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jc w:val="center"/>
      </w:pPr>
      <w:r>
        <w:t>AIAP Pilot Readiness Pack</w:t>
      </w:r>
    </w:p>
    <w:p>
      <w:pPr>
        <w:pStyle w:val="BodyText"/>
        <w:jc w:val="center"/>
      </w:pPr>
      <w:r>
        <w:t>Governed launch criteria, approvals, evidence records, and fail-closed decision log</w:t>
      </w:r>
    </w:p>
    <w:p>
      <w:pPr>
        <w:pStyle w:val="BodyText"/>
        <w:jc w:val="center"/>
      </w:pPr>
      <w:r>
        <w:t>AIAP Release 6.5 | August 2026</w:t>
      </w:r>
    </w:p>
    <w:p>
      <w:pPr>
        <w:pStyle w:val="BodyText"/>
        <w:jc w:val="center"/>
      </w:pPr>
      <w:r>
        <w:t>Version-matched to the AIAP Core Working Paper v6.5 (Canonical Edition), Normative Assurance Standard v6.5, and Pilot and Validation Protocol v6.5.</w:t>
      </w:r>
    </w:p>
    <w:p>
      <w:pPr>
        <w:pStyle w:val="BodyText"/>
      </w:pPr>
      <w:r>
        <w:rPr>
          <w:b/>
        </w:rPr>
        <w:t>Purpose boundary:</w:t>
      </w:r>
      <w:r>
        <w:t xml:space="preserve"> this pack prepares and records a governed pilot launch. Completion does not constitute ethics approval, institutional authorization, preregistration, conformance, or empirical validation.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TOC1"/>
      </w:pPr>
      <w:hyperlink w:anchor="aiap_pr_01" w:history="1">
        <w:r>
          <w:rPr>
            <w:rStyle w:val="Hyperlink"/>
            <w:b/>
            <w:color w:val="1F4E79"/>
            <w:sz w:val="21"/>
          </w:rPr>
          <w:t>How to use this pack</w:t>
        </w:r>
      </w:hyperlink>
      <w:r>
        <w:tab/>
      </w:r>
      <w:hyperlink w:anchor="aiap_pr_01" w:history="1">
        <w:r>
          <w:rPr>
            <w:rStyle w:val="Hyperlink"/>
            <w:b/>
            <w:color w:val="1F4E79"/>
            <w:sz w:val="21"/>
          </w:rPr>
          <w:t>3</w:t>
        </w:r>
      </w:hyperlink>
    </w:p>
    <w:p>
      <w:pPr>
        <w:pStyle w:val="TOC1"/>
      </w:pPr>
      <w:hyperlink w:anchor="aiap_pr_02" w:history="1">
        <w:r>
          <w:rPr>
            <w:rStyle w:val="Hyperlink"/>
            <w:b/>
            <w:color w:val="1F4E79"/>
            <w:sz w:val="21"/>
          </w:rPr>
          <w:t>1. Release identity, authority, and scope</w:t>
        </w:r>
      </w:hyperlink>
      <w:r>
        <w:tab/>
      </w:r>
      <w:hyperlink w:anchor="aiap_pr_02" w:history="1">
        <w:r>
          <w:rPr>
            <w:rStyle w:val="Hyperlink"/>
            <w:b/>
            <w:color w:val="1F4E79"/>
            <w:sz w:val="21"/>
          </w:rPr>
          <w:t>3</w:t>
        </w:r>
      </w:hyperlink>
    </w:p>
    <w:p>
      <w:pPr>
        <w:pStyle w:val="TOC1"/>
      </w:pPr>
      <w:hyperlink w:anchor="aiap_pr_03" w:history="1">
        <w:r>
          <w:rPr>
            <w:rStyle w:val="Hyperlink"/>
            <w:b/>
            <w:color w:val="1F4E79"/>
            <w:sz w:val="21"/>
          </w:rPr>
          <w:t>2. Thirteen-condition pilot-readiness gate</w:t>
        </w:r>
      </w:hyperlink>
      <w:r>
        <w:tab/>
      </w:r>
      <w:hyperlink w:anchor="aiap_pr_03" w:history="1">
        <w:r>
          <w:rPr>
            <w:rStyle w:val="Hyperlink"/>
            <w:b/>
            <w:color w:val="1F4E79"/>
            <w:sz w:val="21"/>
          </w:rPr>
          <w:t>4</w:t>
        </w:r>
      </w:hyperlink>
    </w:p>
    <w:p>
      <w:pPr>
        <w:pStyle w:val="TOC1"/>
      </w:pPr>
      <w:hyperlink w:anchor="aiap_pr_04" w:history="1">
        <w:r>
          <w:rPr>
            <w:rStyle w:val="Hyperlink"/>
            <w:b/>
            <w:color w:val="1F4E79"/>
            <w:sz w:val="21"/>
          </w:rPr>
          <w:t>3. Empirical and analysis readiness</w:t>
        </w:r>
      </w:hyperlink>
      <w:r>
        <w:tab/>
      </w:r>
      <w:hyperlink w:anchor="aiap_pr_04" w:history="1">
        <w:r>
          <w:rPr>
            <w:rStyle w:val="Hyperlink"/>
            <w:b/>
            <w:color w:val="1F4E79"/>
            <w:sz w:val="21"/>
          </w:rPr>
          <w:t>5</w:t>
        </w:r>
      </w:hyperlink>
    </w:p>
    <w:p>
      <w:pPr>
        <w:pStyle w:val="TOC1"/>
      </w:pPr>
      <w:hyperlink w:anchor="aiap_pr_05" w:history="1">
        <w:r>
          <w:rPr>
            <w:rStyle w:val="Hyperlink"/>
            <w:b/>
            <w:color w:val="1F4E79"/>
            <w:sz w:val="21"/>
          </w:rPr>
          <w:t>4. Assessment-event, prompt, and attribution readiness</w:t>
        </w:r>
      </w:hyperlink>
      <w:r>
        <w:tab/>
      </w:r>
      <w:hyperlink w:anchor="aiap_pr_05" w:history="1">
        <w:r>
          <w:rPr>
            <w:rStyle w:val="Hyperlink"/>
            <w:b/>
            <w:color w:val="1F4E79"/>
            <w:sz w:val="21"/>
          </w:rPr>
          <w:t>6</w:t>
        </w:r>
      </w:hyperlink>
    </w:p>
    <w:p>
      <w:pPr>
        <w:pStyle w:val="TOC1"/>
      </w:pPr>
      <w:hyperlink w:anchor="aiap_pr_06" w:history="1">
        <w:r>
          <w:rPr>
            <w:rStyle w:val="Hyperlink"/>
            <w:b/>
            <w:color w:val="1F4E79"/>
            <w:sz w:val="21"/>
          </w:rPr>
          <w:t>5. Rights, accessibility, governance, and operational readiness</w:t>
        </w:r>
      </w:hyperlink>
      <w:r>
        <w:tab/>
      </w:r>
      <w:hyperlink w:anchor="aiap_pr_06" w:history="1">
        <w:r>
          <w:rPr>
            <w:rStyle w:val="Hyperlink"/>
            <w:b/>
            <w:color w:val="1F4E79"/>
            <w:sz w:val="21"/>
          </w:rPr>
          <w:t>7</w:t>
        </w:r>
      </w:hyperlink>
    </w:p>
    <w:p>
      <w:pPr>
        <w:pStyle w:val="TOC1"/>
      </w:pPr>
      <w:hyperlink w:anchor="aiap_pr_07" w:history="1">
        <w:r>
          <w:rPr>
            <w:rStyle w:val="Hyperlink"/>
            <w:b/>
            <w:color w:val="1F4E79"/>
            <w:sz w:val="21"/>
          </w:rPr>
          <w:t>6. Launch decision, controls, sign-off, and requalification</w:t>
        </w:r>
      </w:hyperlink>
      <w:r>
        <w:tab/>
      </w:r>
      <w:hyperlink w:anchor="aiap_pr_07" w:history="1">
        <w:r>
          <w:rPr>
            <w:rStyle w:val="Hyperlink"/>
            <w:b/>
            <w:color w:val="1F4E79"/>
            <w:sz w:val="21"/>
          </w:rPr>
          <w:t>8</w:t>
        </w:r>
      </w:hyperlink>
    </w:p>
    <w:p>
      <w:r>
        <w:br w:type="page"/>
      </w:r>
    </w:p>
    <w:p>
      <w:pPr>
        <w:pStyle w:val="Heading1"/>
      </w:pPr>
      <w:bookmarkStart w:id="1" w:name="aiap_pr_01"/>
      <w:r>
        <w:t>How to use this pack</w:t>
      </w:r>
      <w:bookmarkEnd w:id="1"/>
    </w:p>
    <w:p>
      <w:pPr>
        <w:pStyle w:val="BodyText"/>
      </w:pPr>
      <w:r>
        <w:t>Complete it after the Core and Standard have been understood and before recruitment, data collection, or consequential claims. Link every answer to a controlled local record. A blank, unsupported, expired, or contradicted entry is not a pass. The decision owner must refuse launch where authority, rights, validity, accessibility, security, capacity, or governance prerequisites are unresolved.</w:t>
      </w:r>
    </w:p>
    <w:p>
      <w:pPr>
        <w:pStyle w:val="Heading1"/>
      </w:pPr>
      <w:bookmarkStart w:id="2" w:name="aiap_pr_02"/>
      <w:r>
        <w:t>1. Release identity, authority, and scope</w:t>
      </w:r>
      <w:bookmarkEnd w:id="2"/>
    </w:p>
    <w:tbl>
      <w:tblPr>
        <w:tblW w:type="auto" w:w="0"/>
        <w:tblLook w:firstColumn="1" w:firstRow="1" w:lastColumn="0" w:lastRow="0" w:noHBand="0" w:noVBand="1" w:val="04A0"/>
      </w:tblPr>
      <w:tblGrid>
        <w:gridCol w:w="4830"/>
        <w:gridCol w:w="4830"/>
      </w:tblGrid>
      <w:tr>
        <w:trPr>
          <w:tblHeader w:val="true"/>
        </w:trPr>
        <w:tc>
          <w:tcPr>
            <w:tcW w:type="dxa" w:w="2880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048"/>
            <w:shd w:fill="1F4E78"/>
            <w:vAlign w:val="center"/>
          </w:tcPr>
          <w:p>
            <w:r>
              <w:rPr>
                <w:b/>
                <w:color w:val="FFFFFF"/>
              </w:rPr>
              <w:t>Required record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Protocol and release</w:t>
            </w:r>
          </w:p>
        </w:tc>
        <w:tc>
          <w:tcPr>
            <w:tcW w:type="dxa" w:w="6048"/>
          </w:tcPr>
          <w:p>
            <w:r>
              <w:t>AIAP Release 6.5; local assessment and pilot version identifiers.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Pilot title and scope</w:t>
            </w:r>
          </w:p>
        </w:tc>
        <w:tc>
          <w:tcPr>
            <w:tcW w:type="dxa" w:w="6048"/>
          </w:tcPr>
          <w:p>
            <w:r>
              <w:t>Pilot phase (Phase 1 feasibility/measurement or Phase 2 multi-institution comparator), programme(s), module(s), assessment(s), claim(s), lane(s), modality, population, dates, and sites; record the criterion for progressing between phases.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Decision authority</w:t>
            </w:r>
          </w:p>
        </w:tc>
        <w:tc>
          <w:tcPr>
            <w:tcW w:type="dxa" w:w="6048"/>
          </w:tcPr>
          <w:p>
            <w:r>
              <w:t>Named institutional owner authorized to approve, pause, narrow, or stop the pilot.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Ethics / research approval</w:t>
            </w:r>
          </w:p>
        </w:tc>
        <w:tc>
          <w:tcPr>
            <w:tcW w:type="dxa" w:w="6048"/>
          </w:tcPr>
          <w:p>
            <w:r>
              <w:t>Approval reference and conditions, or explicit not-approved status.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Assessment authority</w:t>
            </w:r>
          </w:p>
        </w:tc>
        <w:tc>
          <w:tcPr>
            <w:tcW w:type="dxa" w:w="6048"/>
          </w:tcPr>
          <w:p>
            <w:r>
              <w:t>Programme/board approval for any live assessment use; research approval does not substitute for it.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Data-controller / governance owner</w:t>
            </w:r>
          </w:p>
        </w:tc>
        <w:tc>
          <w:tcPr>
            <w:tcW w:type="dxa" w:w="6048"/>
          </w:tcPr>
          <w:p>
            <w:r>
              <w:t>Named data-governance authority, lawful/institutional basis, security class, and incident owner.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Independent challenge</w:t>
            </w:r>
          </w:p>
        </w:tc>
        <w:tc>
          <w:tcPr>
            <w:tcW w:type="dxa" w:w="6048"/>
          </w:tcPr>
          <w:p>
            <w:r>
              <w:t>Named reviewer or review body sufficiently independent of design and delivery.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Publication boundary</w:t>
            </w:r>
          </w:p>
        </w:tc>
        <w:tc>
          <w:tcPr>
            <w:tcW w:type="dxa" w:w="6048"/>
          </w:tcPr>
          <w:p>
            <w:r>
              <w:t>Null, adverse, burden, accessibility, privacy, security, and withdrawal findings remain reportable.</w:t>
            </w:r>
          </w:p>
        </w:tc>
      </w:tr>
    </w:tbl>
    <w:p>
      <w:pPr>
        <w:pStyle w:val="BodyText"/>
      </w:pPr>
      <w:r>
        <w:rPr>
          <w:b/>
        </w:rPr>
        <w:t>Launch boundary.</w:t>
      </w:r>
      <w:r>
        <w:t xml:space="preserve"> No status in this pack may be represented as proof that AIAP is empirically validated, legally compliant in every jurisdiction, or authorized for a use outside the recorded scope.</w:t>
      </w:r>
    </w:p>
    <w:p>
      <w:r>
        <w:br w:type="page"/>
      </w:r>
    </w:p>
    <w:p>
      <w:pPr>
        <w:pStyle w:val="Heading1"/>
      </w:pPr>
      <w:bookmarkStart w:id="3" w:name="aiap_pr_03"/>
      <w:r>
        <w:t>2. Thirteen-condition pilot-readiness gate</w:t>
      </w:r>
      <w:bookmarkEnd w:id="3"/>
    </w:p>
    <w:p>
      <w:pPr>
        <w:pStyle w:val="BodyText"/>
        <w:spacing w:after="40" w:line="240" w:lineRule="auto"/>
      </w:pPr>
      <w:r>
        <w:rPr>
          <w:sz w:val="17"/>
        </w:rPr>
        <w:t>Record PASS, PASS_WITH_CONTROLS, FAIL, or NOT_ASSESSED for each condition. Any FAIL or NOT_ASSESSED blocks launch. PASS_WITH_CONTROLS requires a named control, owner, monitoring evidence, expiry, and failure action.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15"/>
        <w:gridCol w:w="2415"/>
        <w:gridCol w:w="2415"/>
        <w:gridCol w:w="2415"/>
      </w:tblGrid>
      <w:tr>
        <w:trPr>
          <w:tblHeader w:val="true"/>
        </w:trPr>
        <w:tc>
          <w:tcPr>
            <w:tcW w:type="dxa" w:w="864"/>
            <w:shd w:fill="1F4E7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4"/>
              </w:rPr>
              <w:t>Gate</w:t>
            </w:r>
          </w:p>
        </w:tc>
        <w:tc>
          <w:tcPr>
            <w:tcW w:type="dxa" w:w="3600"/>
            <w:shd w:fill="1F4E7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4"/>
              </w:rPr>
              <w:t>Condition</w:t>
            </w:r>
          </w:p>
        </w:tc>
        <w:tc>
          <w:tcPr>
            <w:tcW w:type="dxa" w:w="1656"/>
            <w:shd w:fill="1F4E7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3096"/>
            <w:shd w:fill="1F4E78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4"/>
              </w:rPr>
              <w:t>Evidence / control record</w:t>
            </w:r>
          </w:p>
        </w:tc>
      </w:tr>
      <w:tr>
        <w:trPr>
          <w:cantSplit/>
        </w:trPr>
        <w:tc>
          <w:tcPr>
            <w:tcW w:type="dxa" w:w="8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G01</w:t>
            </w:r>
          </w:p>
        </w:tc>
        <w:tc>
          <w:tcPr>
            <w:tcW w:type="dxa" w:w="36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Claim map approved</w:t>
            </w:r>
          </w:p>
        </w:tc>
        <w:tc>
          <w:tcPr>
            <w:tcW w:type="dxa" w:w="165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NOT_ASSESSED</w:t>
            </w:r>
          </w:p>
        </w:tc>
        <w:tc>
          <w:tcPr>
            <w:tcW w:type="dxa" w:w="30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Evidence pointer / control / owner / expiry</w:t>
            </w:r>
          </w:p>
        </w:tc>
      </w:tr>
      <w:tr>
        <w:trPr>
          <w:cantSplit/>
        </w:trPr>
        <w:tc>
          <w:tcPr>
            <w:tcW w:type="dxa" w:w="8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G02</w:t>
            </w:r>
          </w:p>
        </w:tc>
        <w:tc>
          <w:tcPr>
            <w:tcW w:type="dxa" w:w="36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Prompt security governed</w:t>
            </w:r>
          </w:p>
        </w:tc>
        <w:tc>
          <w:tcPr>
            <w:tcW w:type="dxa" w:w="165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NOT_ASSESSED</w:t>
            </w:r>
          </w:p>
        </w:tc>
        <w:tc>
          <w:tcPr>
            <w:tcW w:type="dxa" w:w="30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Evidence pointer / control / owner / expiry</w:t>
            </w:r>
          </w:p>
        </w:tc>
      </w:tr>
      <w:tr>
        <w:trPr>
          <w:cantSplit/>
        </w:trPr>
        <w:tc>
          <w:tcPr>
            <w:tcW w:type="dxa" w:w="8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G03</w:t>
            </w:r>
          </w:p>
        </w:tc>
        <w:tc>
          <w:tcPr>
            <w:tcW w:type="dxa" w:w="36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Parallel-form equivalence supported or explicitly bounded</w:t>
            </w:r>
          </w:p>
        </w:tc>
        <w:tc>
          <w:tcPr>
            <w:tcW w:type="dxa" w:w="165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NOT_ASSESSED</w:t>
            </w:r>
          </w:p>
        </w:tc>
        <w:tc>
          <w:tcPr>
            <w:tcW w:type="dxa" w:w="30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Evidence pointer / control / owner / expiry</w:t>
            </w:r>
          </w:p>
        </w:tc>
      </w:tr>
      <w:tr>
        <w:trPr>
          <w:cantSplit/>
        </w:trPr>
        <w:tc>
          <w:tcPr>
            <w:tcW w:type="dxa" w:w="8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G04</w:t>
            </w:r>
          </w:p>
        </w:tc>
        <w:tc>
          <w:tcPr>
            <w:tcW w:type="dxa" w:w="36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Submission-authentication interval justified</w:t>
            </w:r>
          </w:p>
        </w:tc>
        <w:tc>
          <w:tcPr>
            <w:tcW w:type="dxa" w:w="165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NOT_ASSESSED</w:t>
            </w:r>
          </w:p>
        </w:tc>
        <w:tc>
          <w:tcPr>
            <w:tcW w:type="dxa" w:w="30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Evidence pointer / control / owner / expiry</w:t>
            </w:r>
          </w:p>
        </w:tc>
      </w:tr>
      <w:tr>
        <w:trPr>
          <w:cantSplit/>
        </w:trPr>
        <w:tc>
          <w:tcPr>
            <w:tcW w:type="dxa" w:w="8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G05</w:t>
            </w:r>
          </w:p>
        </w:tc>
        <w:tc>
          <w:tcPr>
            <w:tcW w:type="dxa" w:w="36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Assessor qualification and calibration</w:t>
            </w:r>
          </w:p>
        </w:tc>
        <w:tc>
          <w:tcPr>
            <w:tcW w:type="dxa" w:w="165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NOT_ASSESSED</w:t>
            </w:r>
          </w:p>
        </w:tc>
        <w:tc>
          <w:tcPr>
            <w:tcW w:type="dxa" w:w="30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Evidence pointer / control / owner / expiry</w:t>
            </w:r>
          </w:p>
        </w:tc>
      </w:tr>
      <w:tr>
        <w:trPr>
          <w:cantSplit/>
        </w:trPr>
        <w:tc>
          <w:tcPr>
            <w:tcW w:type="dxa" w:w="8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G06</w:t>
            </w:r>
          </w:p>
        </w:tc>
        <w:tc>
          <w:tcPr>
            <w:tcW w:type="dxa" w:w="36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Reviewer and panel capacity</w:t>
            </w:r>
          </w:p>
        </w:tc>
        <w:tc>
          <w:tcPr>
            <w:tcW w:type="dxa" w:w="165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NOT_ASSESSED</w:t>
            </w:r>
          </w:p>
        </w:tc>
        <w:tc>
          <w:tcPr>
            <w:tcW w:type="dxa" w:w="30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Evidence pointer / control / owner / expiry</w:t>
            </w:r>
          </w:p>
        </w:tc>
      </w:tr>
      <w:tr>
        <w:trPr>
          <w:cantSplit/>
        </w:trPr>
        <w:tc>
          <w:tcPr>
            <w:tcW w:type="dxa" w:w="8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G07</w:t>
            </w:r>
          </w:p>
        </w:tc>
        <w:tc>
          <w:tcPr>
            <w:tcW w:type="dxa" w:w="36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Independence and conflicts controlled</w:t>
            </w:r>
          </w:p>
        </w:tc>
        <w:tc>
          <w:tcPr>
            <w:tcW w:type="dxa" w:w="165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NOT_ASSESSED</w:t>
            </w:r>
          </w:p>
        </w:tc>
        <w:tc>
          <w:tcPr>
            <w:tcW w:type="dxa" w:w="30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Evidence pointer / control / owner / expiry</w:t>
            </w:r>
          </w:p>
        </w:tc>
      </w:tr>
      <w:tr>
        <w:trPr>
          <w:cantSplit/>
        </w:trPr>
        <w:tc>
          <w:tcPr>
            <w:tcW w:type="dxa" w:w="8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G08</w:t>
            </w:r>
          </w:p>
        </w:tc>
        <w:tc>
          <w:tcPr>
            <w:tcW w:type="dxa" w:w="36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Accessible equivalent route operational</w:t>
            </w:r>
          </w:p>
        </w:tc>
        <w:tc>
          <w:tcPr>
            <w:tcW w:type="dxa" w:w="165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NOT_ASSESSED</w:t>
            </w:r>
          </w:p>
        </w:tc>
        <w:tc>
          <w:tcPr>
            <w:tcW w:type="dxa" w:w="30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Evidence pointer / control / owner / expiry</w:t>
            </w:r>
          </w:p>
        </w:tc>
      </w:tr>
      <w:tr>
        <w:trPr>
          <w:cantSplit/>
        </w:trPr>
        <w:tc>
          <w:tcPr>
            <w:tcW w:type="dxa" w:w="8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G09</w:t>
            </w:r>
          </w:p>
        </w:tc>
        <w:tc>
          <w:tcPr>
            <w:tcW w:type="dxa" w:w="36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Appeal and second-review route operational</w:t>
            </w:r>
          </w:p>
        </w:tc>
        <w:tc>
          <w:tcPr>
            <w:tcW w:type="dxa" w:w="165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NOT_ASSESSED</w:t>
            </w:r>
          </w:p>
        </w:tc>
        <w:tc>
          <w:tcPr>
            <w:tcW w:type="dxa" w:w="30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Evidence pointer / control / owner / expiry</w:t>
            </w:r>
          </w:p>
        </w:tc>
      </w:tr>
      <w:tr>
        <w:trPr>
          <w:cantSplit/>
        </w:trPr>
        <w:tc>
          <w:tcPr>
            <w:tcW w:type="dxa" w:w="8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G10</w:t>
            </w:r>
          </w:p>
        </w:tc>
        <w:tc>
          <w:tcPr>
            <w:tcW w:type="dxa" w:w="36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Data governance approved</w:t>
            </w:r>
          </w:p>
        </w:tc>
        <w:tc>
          <w:tcPr>
            <w:tcW w:type="dxa" w:w="165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NOT_ASSESSED</w:t>
            </w:r>
          </w:p>
        </w:tc>
        <w:tc>
          <w:tcPr>
            <w:tcW w:type="dxa" w:w="30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Evidence pointer / control / owner / expiry</w:t>
            </w:r>
          </w:p>
        </w:tc>
      </w:tr>
      <w:tr>
        <w:trPr>
          <w:cantSplit/>
        </w:trPr>
        <w:tc>
          <w:tcPr>
            <w:tcW w:type="dxa" w:w="8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G11</w:t>
            </w:r>
          </w:p>
        </w:tc>
        <w:tc>
          <w:tcPr>
            <w:tcW w:type="dxa" w:w="36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Capacity-degradation fallback declared</w:t>
            </w:r>
          </w:p>
        </w:tc>
        <w:tc>
          <w:tcPr>
            <w:tcW w:type="dxa" w:w="165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NOT_ASSESSED</w:t>
            </w:r>
          </w:p>
        </w:tc>
        <w:tc>
          <w:tcPr>
            <w:tcW w:type="dxa" w:w="30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Evidence pointer / control / owner / expiry</w:t>
            </w:r>
          </w:p>
        </w:tc>
      </w:tr>
      <w:tr>
        <w:trPr>
          <w:cantSplit/>
        </w:trPr>
        <w:tc>
          <w:tcPr>
            <w:tcW w:type="dxa" w:w="8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G12</w:t>
            </w:r>
          </w:p>
        </w:tc>
        <w:tc>
          <w:tcPr>
            <w:tcW w:type="dxa" w:w="36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Threat model acceptable</w:t>
            </w:r>
          </w:p>
        </w:tc>
        <w:tc>
          <w:tcPr>
            <w:tcW w:type="dxa" w:w="165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NOT_ASSESSED</w:t>
            </w:r>
          </w:p>
        </w:tc>
        <w:tc>
          <w:tcPr>
            <w:tcW w:type="dxa" w:w="30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Evidence pointer / control / owner / expiry</w:t>
            </w:r>
          </w:p>
        </w:tc>
      </w:tr>
      <w:tr>
        <w:trPr>
          <w:cantSplit/>
        </w:trPr>
        <w:tc>
          <w:tcPr>
            <w:tcW w:type="dxa" w:w="8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G13</w:t>
            </w:r>
          </w:p>
        </w:tc>
        <w:tc>
          <w:tcPr>
            <w:tcW w:type="dxa" w:w="36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No unresolved high-severity exception</w:t>
            </w:r>
          </w:p>
        </w:tc>
        <w:tc>
          <w:tcPr>
            <w:tcW w:type="dxa" w:w="165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NOT_ASSESSED</w:t>
            </w:r>
          </w:p>
        </w:tc>
        <w:tc>
          <w:tcPr>
            <w:tcW w:type="dxa" w:w="30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sz w:val="14"/>
              </w:rPr>
              <w:t>Evidence pointer / control / owner / expiry</w:t>
            </w:r>
          </w:p>
        </w:tc>
      </w:tr>
    </w:tbl>
    <w:p>
      <w:pPr>
        <w:pStyle w:val="BodyText"/>
        <w:spacing w:after="40" w:line="240" w:lineRule="auto"/>
      </w:pPr>
      <w:r>
        <w:rPr>
          <w:b/>
          <w:sz w:val="17"/>
        </w:rPr>
        <w:t>Overall decision formula. PASS is returned only when all thirteen conditions are PASS. PASS_WITH_CONTROLS is returned only when at least one condition is PASS_WITH_CONTROLS and none is FAIL or NOT_ASSESSED. Any other state is NOT_READY.</w:t>
      </w:r>
      <w:r>
        <w:rPr>
          <w:sz w:val="17"/>
        </w:rPr>
      </w:r>
    </w:p>
    <w:p>
      <w:r>
        <w:br w:type="page"/>
      </w:r>
    </w:p>
    <w:p>
      <w:pPr>
        <w:pStyle w:val="Heading1"/>
      </w:pPr>
      <w:bookmarkStart w:id="4" w:name="aiap_pr_04"/>
      <w:r>
        <w:t>3. Empirical and analysis readiness</w:t>
      </w:r>
      <w:bookmarkEnd w:id="4"/>
    </w:p>
    <w:p>
      <w:pPr>
        <w:pStyle w:val="Compact"/>
      </w:pPr>
      <w:r>
        <w:t>☐ Primary research questions are fixed before outcomes are known: reliability/decision consistency; incremental and generalization validity; feasibility/equity/privacy/decision utility.</w:t>
      </w:r>
    </w:p>
    <w:p>
      <w:pPr>
        <w:pStyle w:val="Compact"/>
      </w:pPr>
      <w:r>
        <w:t>☐ Primary score statistic and primary decision evidence are preregistered; sensitivity statistics are not promoted after results are known.</w:t>
      </w:r>
    </w:p>
    <w:p>
      <w:pPr>
        <w:pStyle w:val="Compact"/>
      </w:pPr>
      <w:r>
        <w:t>☐ Primary estimand, precision target, sample-size method, planned subgroup counts, and stopping/continuation rules are specified.</w:t>
      </w:r>
    </w:p>
    <w:p>
      <w:pPr>
        <w:pStyle w:val="Compact"/>
      </w:pPr>
      <w:r>
        <w:t>☐ Construct map names the load-bearing competence components: explain, defend, verify, adapt, and/or transfer.</w:t>
      </w:r>
    </w:p>
    <w:p>
      <w:pPr>
        <w:pStyle w:val="Compact"/>
      </w:pPr>
      <w:r>
        <w:t>☐ An independent criterion addresses the same construct; its limitations, timing, blinding, reliability, and contamination risk are recorded.</w:t>
      </w:r>
    </w:p>
    <w:p>
      <w:pPr>
        <w:pStyle w:val="Compact"/>
      </w:pPr>
      <w:r>
        <w:t>☐ Comparator is specified and compared on construct coverage, reliability, decision utility, equity, privacy, and burden - not cost alone.</w:t>
      </w:r>
    </w:p>
    <w:p>
      <w:pPr>
        <w:pStyle w:val="Compact"/>
      </w:pPr>
      <w:r>
        <w:t>☐ Standard-setting method, judges, training, uncertainty, consequences, reassessment, and appeal are specified for every hurdle.</w:t>
      </w:r>
    </w:p>
    <w:p>
      <w:pPr>
        <w:pStyle w:val="Compact"/>
      </w:pPr>
      <w:r>
        <w:t>☐ Missing-data rules, deviations, adverse events, subgroup precision, and complete reporting rules are fixed.</w:t>
      </w:r>
    </w:p>
    <w:p>
      <w:pPr>
        <w:pStyle w:val="Compact"/>
      </w:pPr>
      <w:r>
        <w:t>☐ Analysis code, data dictionary, code lists, test cases, and version control are prepared before data collection.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30"/>
        <w:gridCol w:w="4830"/>
      </w:tblGrid>
      <w:tr>
        <w:trPr>
          <w:tblHeader w:val="true"/>
        </w:trPr>
        <w:tc>
          <w:tcPr>
            <w:tcW w:type="dxa" w:w="3600"/>
            <w:shd w:fill="1F4E78"/>
            <w:vAlign w:val="center"/>
          </w:tcPr>
          <w:p>
            <w:r>
              <w:rPr>
                <w:b/>
                <w:color w:val="FFFFFF"/>
              </w:rPr>
              <w:t>Decision point</w:t>
            </w:r>
          </w:p>
        </w:tc>
        <w:tc>
          <w:tcPr>
            <w:tcW w:type="dxa" w:w="5328"/>
            <w:shd w:fill="1F4E78"/>
            <w:vAlign w:val="center"/>
          </w:tcPr>
          <w:p>
            <w:r>
              <w:rPr>
                <w:b/>
                <w:color w:val="FFFFFF"/>
              </w:rPr>
              <w:t>Predeclared consequence</w:t>
            </w:r>
          </w:p>
        </w:tc>
      </w:tr>
      <w:tr>
        <w:trPr>
          <w:cantSplit/>
        </w:trPr>
        <w:tc>
          <w:tcPr>
            <w:tcW w:type="dxa" w:w="3600"/>
          </w:tcPr>
          <w:p>
            <w:r>
              <w:t>Reliability or decision consistency below threshold</w:t>
            </w:r>
          </w:p>
        </w:tc>
        <w:tc>
          <w:tcPr>
            <w:tcW w:type="dxa" w:w="5328"/>
          </w:tcPr>
          <w:p>
            <w:r>
              <w:t>Redesign, increase sampling, narrow claim, or stop.</w:t>
            </w:r>
          </w:p>
        </w:tc>
      </w:tr>
      <w:tr>
        <w:trPr>
          <w:cantSplit/>
        </w:trPr>
        <w:tc>
          <w:tcPr>
            <w:tcW w:type="dxa" w:w="3600"/>
          </w:tcPr>
          <w:p>
            <w:r>
              <w:t>No practically important incremental value</w:t>
            </w:r>
          </w:p>
        </w:tc>
        <w:tc>
          <w:tcPr>
            <w:tcW w:type="dxa" w:w="5328"/>
          </w:tcPr>
          <w:p>
            <w:r>
              <w:t>Do not retain Lane 2A merely because it is procedurally complete.</w:t>
            </w:r>
          </w:p>
        </w:tc>
      </w:tr>
      <w:tr>
        <w:trPr>
          <w:cantSplit/>
        </w:trPr>
        <w:tc>
          <w:tcPr>
            <w:tcW w:type="dxa" w:w="3600"/>
          </w:tcPr>
          <w:p>
            <w:r>
              <w:t>Generalization inadequate for intended use</w:t>
            </w:r>
          </w:p>
        </w:tc>
        <w:tc>
          <w:tcPr>
            <w:tcW w:type="dxa" w:w="5328"/>
          </w:tcPr>
          <w:p>
            <w:r>
              <w:t>Increase cases/occasions/raters or narrow inference.</w:t>
            </w:r>
          </w:p>
        </w:tc>
      </w:tr>
      <w:tr>
        <w:trPr>
          <w:cantSplit/>
        </w:trPr>
        <w:tc>
          <w:tcPr>
            <w:tcW w:type="dxa" w:w="3600"/>
          </w:tcPr>
          <w:p>
            <w:r>
              <w:t>Disproportionate subgroup or accessibility burden</w:t>
            </w:r>
          </w:p>
        </w:tc>
        <w:tc>
          <w:tcPr>
            <w:tcW w:type="dxa" w:w="5328"/>
          </w:tcPr>
          <w:p>
            <w:r>
              <w:t>Repair route, reduce stakes, narrow scope, pause, or reject.</w:t>
            </w:r>
          </w:p>
        </w:tc>
      </w:tr>
      <w:tr>
        <w:trPr>
          <w:cantSplit/>
        </w:trPr>
        <w:tc>
          <w:tcPr>
            <w:tcW w:type="dxa" w:w="3600"/>
          </w:tcPr>
          <w:p>
            <w:r>
              <w:t>Privacy/security harm exceeds utility</w:t>
            </w:r>
          </w:p>
        </w:tc>
        <w:tc>
          <w:tcPr>
            <w:tcW w:type="dxa" w:w="5328"/>
          </w:tcPr>
          <w:p>
            <w:r>
              <w:t>Adopt less intrusive controls, redesign, or stop.</w:t>
            </w:r>
          </w:p>
        </w:tc>
      </w:tr>
      <w:tr>
        <w:trPr>
          <w:cantSplit/>
        </w:trPr>
        <w:tc>
          <w:tcPr>
            <w:tcW w:type="dxa" w:w="3600"/>
          </w:tcPr>
          <w:p>
            <w:r>
              <w:t>Workload/capacity exceeds limit</w:t>
            </w:r>
          </w:p>
        </w:tc>
        <w:tc>
          <w:tcPr>
            <w:tcW w:type="dxa" w:w="5328"/>
          </w:tcPr>
          <w:p>
            <w:r>
              <w:t>Redesign, stage, narrow, delay, or reject; do not silently lower evidence.</w:t>
            </w:r>
          </w:p>
        </w:tc>
      </w:tr>
    </w:tbl>
    <w:p>
      <w:r>
        <w:br w:type="page"/>
      </w:r>
    </w:p>
    <w:p>
      <w:pPr>
        <w:pStyle w:val="Heading1"/>
      </w:pPr>
      <w:bookmarkStart w:id="5" w:name="aiap_pr_05"/>
      <w:r>
        <w:t>4. Assessment-event, prompt, and attribution readiness</w:t>
      </w:r>
      <w:bookmarkEnd w:id="5"/>
    </w:p>
    <w:tbl>
      <w:tblPr>
        <w:tblW w:type="auto" w:w="0"/>
        <w:tblLook w:firstColumn="1" w:firstRow="1" w:lastColumn="0" w:lastRow="0" w:noHBand="0" w:noVBand="1" w:val="04A0"/>
      </w:tblPr>
      <w:tblGrid>
        <w:gridCol w:w="4830"/>
        <w:gridCol w:w="4830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r>
              <w:rPr>
                <w:b/>
                <w:color w:val="FFFFFF"/>
              </w:rPr>
              <w:t>Domain</w:t>
            </w:r>
          </w:p>
        </w:tc>
        <w:tc>
          <w:tcPr>
            <w:tcW w:type="dxa" w:w="6840"/>
            <w:shd w:fill="1F4E78"/>
            <w:vAlign w:val="center"/>
          </w:tcPr>
          <w:p>
            <w:r>
              <w:rPr>
                <w:b/>
                <w:color w:val="FFFFFF"/>
              </w:rPr>
              <w:t>Minimum evidence before launch</w:t>
            </w:r>
          </w:p>
        </w:tc>
      </w:tr>
      <w:tr>
        <w:trPr>
          <w:cantSplit/>
        </w:trPr>
        <w:tc>
          <w:tcPr>
            <w:tcW w:type="dxa" w:w="2088"/>
          </w:tcPr>
          <w:p>
            <w:r>
              <w:t>Material claims</w:t>
            </w:r>
          </w:p>
        </w:tc>
        <w:tc>
          <w:tcPr>
            <w:tcW w:type="dxa" w:w="6840"/>
          </w:tcPr>
          <w:p>
            <w:r>
              <w:t>Each graded, progression, accreditation, or otherwise consequential claim is decomposed and assigned a route.</w:t>
            </w:r>
          </w:p>
        </w:tc>
      </w:tr>
      <w:tr>
        <w:trPr>
          <w:cantSplit/>
        </w:trPr>
        <w:tc>
          <w:tcPr>
            <w:tcW w:type="dxa" w:w="2088"/>
          </w:tcPr>
          <w:p>
            <w:r>
              <w:t>Condition and modality</w:t>
            </w:r>
          </w:p>
        </w:tc>
        <w:tc>
          <w:tcPr>
            <w:tcW w:type="dxa" w:w="6840"/>
          </w:tcPr>
          <w:p>
            <w:r>
              <w:t>Controlled/open status, in-person/invigilated-remote/open-remote/workplace/hybrid/asynchronous modality, assistance channels, and residual threats are recorded.</w:t>
            </w:r>
          </w:p>
        </w:tc>
      </w:tr>
      <w:tr>
        <w:trPr>
          <w:cantSplit/>
        </w:trPr>
        <w:tc>
          <w:tcPr>
            <w:tcW w:type="dxa" w:w="2088"/>
          </w:tcPr>
          <w:p>
            <w:r>
              <w:t>Authentication design</w:t>
            </w:r>
          </w:p>
        </w:tc>
        <w:tc>
          <w:tcPr>
            <w:tcW w:type="dxa" w:w="6840"/>
          </w:tcPr>
          <w:p>
            <w:r>
              <w:t>Claim-targeted event, analytic scoring guide, unseen or meaningfully perturbed element, assessor qualification, calibration, reassessment, and appeal.</w:t>
            </w:r>
          </w:p>
        </w:tc>
      </w:tr>
      <w:tr>
        <w:trPr>
          <w:cantSplit/>
        </w:trPr>
        <w:tc>
          <w:tcPr>
            <w:tcW w:type="dxa" w:w="2088"/>
          </w:tcPr>
          <w:p>
            <w:r>
              <w:t>Prompt security</w:t>
            </w:r>
          </w:p>
        </w:tc>
        <w:tc>
          <w:tcPr>
            <w:tcW w:type="dxa" w:w="6840"/>
          </w:tcPr>
          <w:p>
            <w:r>
              <w:t>Cohort, exposure window, prompt/live-perturbation source, allocation, use count, access owner, rotation/retirement, exposure monitoring, and incident response.</w:t>
            </w:r>
          </w:p>
        </w:tc>
      </w:tr>
      <w:tr>
        <w:trPr>
          <w:cantSplit/>
        </w:trPr>
        <w:tc>
          <w:tcPr>
            <w:tcW w:type="dxa" w:w="2088"/>
          </w:tcPr>
          <w:p>
            <w:r>
              <w:t>Form equivalence</w:t>
            </w:r>
          </w:p>
        </w:tc>
        <w:tc>
          <w:tcPr>
            <w:tcW w:type="dxa" w:w="6840"/>
          </w:tcPr>
          <w:p>
            <w:r>
              <w:t>Common blueprint and evidence for comparable decisions; unsupported forms are not used interchangeably for the same hurdle.</w:t>
            </w:r>
          </w:p>
        </w:tc>
      </w:tr>
      <w:tr>
        <w:trPr>
          <w:cantSplit/>
        </w:trPr>
        <w:tc>
          <w:tcPr>
            <w:tcW w:type="dxa" w:w="2088"/>
          </w:tcPr>
          <w:p>
            <w:r>
              <w:t>Interval</w:t>
            </w:r>
          </w:p>
        </w:tc>
        <w:tc>
          <w:tcPr>
            <w:tcW w:type="dxa" w:w="6840"/>
          </w:tcPr>
          <w:p>
            <w:r>
              <w:t>Submission-authentication interval is recorded and justified against authentication half-life.</w:t>
            </w:r>
          </w:p>
        </w:tc>
      </w:tr>
      <w:tr>
        <w:trPr>
          <w:cantSplit/>
        </w:trPr>
        <w:tc>
          <w:tcPr>
            <w:tcW w:type="dxa" w:w="2088"/>
          </w:tcPr>
          <w:p>
            <w:r>
              <w:t>Combination rule</w:t>
            </w:r>
          </w:p>
        </w:tc>
        <w:tc>
          <w:tcPr>
            <w:tcW w:type="dxa" w:w="6840"/>
          </w:tcPr>
          <w:p>
            <w:r>
              <w:t>Hurdle, dual-score, or integrated rubric predeclared for certifying claims; Lane 2B recorded as non_certifying.</w:t>
            </w:r>
          </w:p>
        </w:tc>
      </w:tr>
      <w:tr>
        <w:trPr>
          <w:cantSplit/>
        </w:trPr>
        <w:tc>
          <w:tcPr>
            <w:tcW w:type="dxa" w:w="2088"/>
          </w:tcPr>
          <w:p>
            <w:r>
              <w:t>Evidence dependence</w:t>
            </w:r>
          </w:p>
        </w:tc>
        <w:tc>
          <w:tcPr>
            <w:tcW w:type="dxa" w:w="6840"/>
          </w:tcPr>
          <w:p>
            <w:r>
              <w:t>Source and environmental independence, dependence groups, double-counting controls, uncertainty, and contradictory evidence route.</w:t>
            </w:r>
          </w:p>
        </w:tc>
      </w:tr>
      <w:tr>
        <w:trPr>
          <w:cantSplit/>
        </w:trPr>
        <w:tc>
          <w:tcPr>
            <w:tcW w:type="dxa" w:w="2088"/>
          </w:tcPr>
          <w:p>
            <w:r>
              <w:t>Group attribution</w:t>
            </w:r>
          </w:p>
        </w:tc>
        <w:tc>
          <w:tcPr>
            <w:tcW w:type="dxa" w:w="6840"/>
          </w:tcPr>
          <w:p>
            <w:r>
              <w:t>Every high- or safety-critical individual claim arising from group work has separate evidence, challenge, score, and decision record.</w:t>
            </w:r>
          </w:p>
        </w:tc>
      </w:tr>
      <w:tr>
        <w:trPr>
          <w:cantSplit/>
        </w:trPr>
        <w:tc>
          <w:tcPr>
            <w:tcW w:type="dxa" w:w="2088"/>
          </w:tcPr>
          <w:p>
            <w:r>
              <w:t>Adversarial test</w:t>
            </w:r>
          </w:p>
        </w:tc>
        <w:tc>
          <w:tcPr>
            <w:tcW w:type="dxa" w:w="6840"/>
          </w:tcPr>
          <w:p>
            <w:r>
              <w:t>Staff-only red-team tests rehearsal, covert assistance, substitution, log fabrication, exposure, model drift, and agentic delegation.</w:t>
            </w:r>
          </w:p>
        </w:tc>
      </w:tr>
    </w:tbl>
    <w:p>
      <w:pPr>
        <w:pStyle w:val="BodyText"/>
      </w:pPr>
      <w:r>
        <w:rPr>
          <w:b/>
        </w:rPr>
        <w:t>Security boundary.</w:t>
      </w:r>
      <w:r>
        <w:t xml:space="preserve"> Operational attack details remain access-controlled. Public reporting describes failure classes, effects, containment, and requalification without publishing a reusable attack recipe.</w:t>
      </w:r>
    </w:p>
    <w:p>
      <w:r>
        <w:br w:type="page"/>
      </w:r>
    </w:p>
    <w:p>
      <w:pPr>
        <w:pStyle w:val="Heading1"/>
      </w:pPr>
      <w:bookmarkStart w:id="6" w:name="aiap_pr_06"/>
      <w:r>
        <w:t>5. Rights, accessibility, governance, and operational readiness</w:t>
      </w:r>
      <w:bookmarkEnd w:id="6"/>
    </w:p>
    <w:p>
      <w:pPr>
        <w:pStyle w:val="Compact"/>
      </w:pPr>
      <w:r>
        <w:t>☐ Student notice is concise and comprehension-tested: claim, condition, required evidence, collection purpose, access, retention, correction, equivalent route, reassessment, and appeal.</w:t>
      </w:r>
    </w:p>
    <w:p>
      <w:pPr>
        <w:pStyle w:val="Compact"/>
      </w:pPr>
      <w:r>
        <w:t>☐ Least-intrusive-sufficient control is justified; surveillance intensity is not treated as assurance strength.</w:t>
      </w:r>
    </w:p>
    <w:p>
      <w:pPr>
        <w:pStyle w:val="Compact"/>
      </w:pPr>
      <w:r>
        <w:t>☐ An accessibility-equivalent route targets the same construct and decision, with criterion-by-criterion mapping and residual differences recorded.</w:t>
      </w:r>
    </w:p>
    <w:p>
      <w:pPr>
        <w:pStyle w:val="Compact"/>
      </w:pPr>
      <w:r>
        <w:t>☐ Accommodation and disability data are separated from scored evidence except where strictly necessary and are access-restricted.</w:t>
      </w:r>
    </w:p>
    <w:p>
      <w:pPr>
        <w:pStyle w:val="Compact"/>
      </w:pPr>
      <w:r>
        <w:t>☐ Data inventory identifies purpose, minimum necessary data, security, access roles, retention, correction, disposal, incident response, and publication boundary.</w:t>
      </w:r>
    </w:p>
    <w:p>
      <w:pPr>
        <w:pStyle w:val="Compact"/>
      </w:pPr>
      <w:r>
        <w:t>☐ Students can access the applicable rubric, rationale, and lawful evidence record; a non-involved review and equivalent rehearing route are operational.</w:t>
      </w:r>
    </w:p>
    <w:p>
      <w:pPr>
        <w:pStyle w:val="Compact"/>
      </w:pPr>
      <w:r>
        <w:t>☐ Staff-hours, calendar time, throughput, transitions, maximum session length, breaks, moderation, calibration, accessibility, rescheduling, appeals, recording review, and data governance are modeled.</w:t>
      </w:r>
    </w:p>
    <w:p>
      <w:pPr>
        <w:pStyle w:val="Compact"/>
      </w:pPr>
      <w:r>
        <w:t>☐ Student preparation, waiting, travel/setup, event, accessibility, rescheduling, anxiety, and appeal burden are captured in the pilot.</w:t>
      </w:r>
    </w:p>
    <w:p>
      <w:pPr>
        <w:pStyle w:val="Compact"/>
      </w:pPr>
      <w:r>
        <w:t>☐ Capacity-degradation scenarios are rehearsed: illness, mass rescheduling, technology outage, prompt compromise, recording loss, accessibility-route failure, and data incident.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30"/>
        <w:gridCol w:w="4830"/>
      </w:tblGrid>
      <w:tr>
        <w:trPr>
          <w:tblHeader w:val="true"/>
        </w:trPr>
        <w:tc>
          <w:tcPr>
            <w:tcW w:type="dxa" w:w="2376"/>
            <w:shd w:fill="1F4E78"/>
            <w:vAlign w:val="center"/>
          </w:tcPr>
          <w:p>
            <w:r>
              <w:rPr>
                <w:b/>
                <w:color w:val="FFFFFF"/>
              </w:rPr>
              <w:t>Incident response</w:t>
            </w:r>
          </w:p>
        </w:tc>
        <w:tc>
          <w:tcPr>
            <w:tcW w:type="dxa" w:w="6552"/>
            <w:shd w:fill="1F4E78"/>
            <w:vAlign w:val="center"/>
          </w:tcPr>
          <w:p>
            <w:r>
              <w:rPr>
                <w:b/>
                <w:color w:val="FFFFFF"/>
              </w:rPr>
              <w:t>Required disposition</w:t>
            </w:r>
          </w:p>
        </w:tc>
      </w:tr>
      <w:tr>
        <w:trPr>
          <w:cantSplit/>
        </w:trPr>
        <w:tc>
          <w:tcPr>
            <w:tcW w:type="dxa" w:w="2376"/>
          </w:tcPr>
          <w:p>
            <w:r>
              <w:t>Contain</w:t>
            </w:r>
          </w:p>
        </w:tc>
        <w:tc>
          <w:tcPr>
            <w:tcW w:type="dxa" w:w="6552"/>
          </w:tcPr>
          <w:p>
            <w:r>
              <w:t>Protect students, prompts, evidence, and decision integrity.</w:t>
            </w:r>
          </w:p>
        </w:tc>
      </w:tr>
      <w:tr>
        <w:trPr>
          <w:cantSplit/>
        </w:trPr>
        <w:tc>
          <w:tcPr>
            <w:tcW w:type="dxa" w:w="2376"/>
          </w:tcPr>
          <w:p>
            <w:r>
              <w:t>Assess scope</w:t>
            </w:r>
          </w:p>
        </w:tc>
        <w:tc>
          <w:tcPr>
            <w:tcW w:type="dxa" w:w="6552"/>
          </w:tcPr>
          <w:p>
            <w:r>
              <w:t>Identify affected students, claims, forms, occasions, records, and public wording.</w:t>
            </w:r>
          </w:p>
        </w:tc>
      </w:tr>
      <w:tr>
        <w:trPr>
          <w:cantSplit/>
        </w:trPr>
        <w:tc>
          <w:tcPr>
            <w:tcW w:type="dxa" w:w="2376"/>
          </w:tcPr>
          <w:p>
            <w:r>
              <w:t>Use governed fallback</w:t>
            </w:r>
          </w:p>
        </w:tc>
        <w:tc>
          <w:tcPr>
            <w:tcW w:type="dxa" w:w="6552"/>
          </w:tcPr>
          <w:p>
            <w:r>
              <w:t>Only a predeclared construct-equivalent route; otherwise reschedule, narrow, delay, or withhold.</w:t>
            </w:r>
          </w:p>
        </w:tc>
      </w:tr>
      <w:tr>
        <w:trPr>
          <w:cantSplit/>
        </w:trPr>
        <w:tc>
          <w:tcPr>
            <w:tcW w:type="dxa" w:w="2376"/>
          </w:tcPr>
          <w:p>
            <w:r>
              <w:t>Correct and appeal</w:t>
            </w:r>
          </w:p>
        </w:tc>
        <w:tc>
          <w:tcPr>
            <w:tcW w:type="dxa" w:w="6552"/>
          </w:tcPr>
          <w:p>
            <w:r>
              <w:t>Notify through lawful routes, preserve challenge evidence, and provide review/rehearing where warranted.</w:t>
            </w:r>
          </w:p>
        </w:tc>
      </w:tr>
      <w:tr>
        <w:trPr>
          <w:cantSplit/>
        </w:trPr>
        <w:tc>
          <w:tcPr>
            <w:tcW w:type="dxa" w:w="2376"/>
          </w:tcPr>
          <w:p>
            <w:r>
              <w:t>Requalify</w:t>
            </w:r>
          </w:p>
        </w:tc>
        <w:tc>
          <w:tcPr>
            <w:tcW w:type="dxa" w:w="6552"/>
          </w:tcPr>
          <w:p>
            <w:r>
              <w:t>Reassess affected decisions, controls, prompts, modality, and current authority.</w:t>
            </w:r>
          </w:p>
        </w:tc>
      </w:tr>
    </w:tbl>
    <w:p>
      <w:r>
        <w:br w:type="page"/>
      </w:r>
    </w:p>
    <w:p>
      <w:pPr>
        <w:pStyle w:val="Heading1"/>
      </w:pPr>
      <w:bookmarkStart w:id="7" w:name="aiap_pr_07"/>
      <w:r>
        <w:t>6. Launch decision, controls, sign-off, and requalification</w:t>
      </w:r>
      <w:bookmarkEnd w:id="7"/>
    </w:p>
    <w:tbl>
      <w:tblPr>
        <w:tblW w:type="auto" w:w="0"/>
        <w:tblLook w:firstColumn="1" w:firstRow="1" w:lastColumn="0" w:lastRow="0" w:noHBand="0" w:noVBand="1" w:val="04A0"/>
      </w:tblPr>
      <w:tblGrid>
        <w:gridCol w:w="4830"/>
        <w:gridCol w:w="4830"/>
      </w:tblGrid>
      <w:tr>
        <w:trPr>
          <w:tblHeader w:val="true"/>
        </w:trPr>
        <w:tc>
          <w:tcPr>
            <w:tcW w:type="dxa" w:w="2448"/>
            <w:shd w:fill="1F4E78"/>
            <w:vAlign w:val="center"/>
          </w:tcPr>
          <w:p>
            <w:r>
              <w:rPr>
                <w:b/>
                <w:color w:val="FFFFFF"/>
              </w:rPr>
              <w:t>Decision field</w:t>
            </w:r>
          </w:p>
        </w:tc>
        <w:tc>
          <w:tcPr>
            <w:tcW w:type="dxa" w:w="6480"/>
            <w:shd w:fill="1F4E78"/>
            <w:vAlign w:val="center"/>
          </w:tcPr>
          <w:p>
            <w:r>
              <w:rPr>
                <w:b/>
                <w:color w:val="FFFFFF"/>
              </w:rPr>
              <w:t>Entry</w:t>
            </w:r>
          </w:p>
        </w:tc>
      </w:tr>
      <w:tr>
        <w:trPr>
          <w:cantSplit/>
        </w:trPr>
        <w:tc>
          <w:tcPr>
            <w:tcW w:type="dxa" w:w="2448"/>
          </w:tcPr>
          <w:p>
            <w:r>
              <w:t>Overall gate status</w:t>
            </w:r>
          </w:p>
        </w:tc>
        <w:tc>
          <w:tcPr>
            <w:tcW w:type="dxa" w:w="6480"/>
          </w:tcPr>
          <w:p>
            <w:r>
              <w:t>NOT_READY / FAIL / PASS_WITH_CONTROLS / PASS</w:t>
            </w:r>
          </w:p>
        </w:tc>
      </w:tr>
      <w:tr>
        <w:trPr>
          <w:cantSplit/>
        </w:trPr>
        <w:tc>
          <w:tcPr>
            <w:tcW w:type="dxa" w:w="2448"/>
          </w:tcPr>
          <w:p>
            <w:r>
              <w:t>Permitted scope</w:t>
            </w:r>
          </w:p>
        </w:tc>
        <w:tc>
          <w:tcPr>
            <w:tcW w:type="dxa" w:w="6480"/>
          </w:tcPr>
          <w:p>
            <w:r>
              <w:t>Exact programmes, assessments, claims, lanes, modalities, populations, dates, and uses.</w:t>
            </w:r>
          </w:p>
        </w:tc>
      </w:tr>
      <w:tr>
        <w:trPr>
          <w:cantSplit/>
        </w:trPr>
        <w:tc>
          <w:tcPr>
            <w:tcW w:type="dxa" w:w="2448"/>
          </w:tcPr>
          <w:p>
            <w:r>
              <w:t>Excluded uses</w:t>
            </w:r>
          </w:p>
        </w:tc>
        <w:tc>
          <w:tcPr>
            <w:tcW w:type="dxa" w:w="6480"/>
          </w:tcPr>
          <w:p>
            <w:r>
              <w:t>Any high-stakes, public, accreditation, progression, or institutional claim outside the evidenced scope.</w:t>
            </w:r>
          </w:p>
        </w:tc>
      </w:tr>
      <w:tr>
        <w:trPr>
          <w:cantSplit/>
        </w:trPr>
        <w:tc>
          <w:tcPr>
            <w:tcW w:type="dxa" w:w="2448"/>
          </w:tcPr>
          <w:p>
            <w:r>
              <w:t>Named controls</w:t>
            </w:r>
          </w:p>
        </w:tc>
        <w:tc>
          <w:tcPr>
            <w:tcW w:type="dxa" w:w="6480"/>
          </w:tcPr>
          <w:p>
            <w:r>
              <w:t>Control, owner, monitoring method, expiry, failure threshold, and action.</w:t>
            </w:r>
          </w:p>
        </w:tc>
      </w:tr>
      <w:tr>
        <w:trPr>
          <w:cantSplit/>
        </w:trPr>
        <w:tc>
          <w:tcPr>
            <w:tcW w:type="dxa" w:w="2448"/>
          </w:tcPr>
          <w:p>
            <w:r>
              <w:t>Decision authority</w:t>
            </w:r>
          </w:p>
        </w:tc>
        <w:tc>
          <w:tcPr>
            <w:tcW w:type="dxa" w:w="6480"/>
          </w:tcPr>
          <w:p>
            <w:r>
              <w:t>Name, role, signature/approval reference, and date.</w:t>
            </w:r>
          </w:p>
        </w:tc>
      </w:tr>
      <w:tr>
        <w:trPr>
          <w:cantSplit/>
        </w:trPr>
        <w:tc>
          <w:tcPr>
            <w:tcW w:type="dxa" w:w="2448"/>
          </w:tcPr>
          <w:p>
            <w:r>
              <w:t>Independent reviewer</w:t>
            </w:r>
          </w:p>
        </w:tc>
        <w:tc>
          <w:tcPr>
            <w:tcW w:type="dxa" w:w="6480"/>
          </w:tcPr>
          <w:p>
            <w:r>
              <w:t>Name, role, finding, conflicts, and date.</w:t>
            </w:r>
          </w:p>
        </w:tc>
      </w:tr>
      <w:tr>
        <w:trPr>
          <w:cantSplit/>
        </w:trPr>
        <w:tc>
          <w:tcPr>
            <w:tcW w:type="dxa" w:w="2448"/>
          </w:tcPr>
          <w:p>
            <w:r>
              <w:t>Ethics/data authority</w:t>
            </w:r>
          </w:p>
        </w:tc>
        <w:tc>
          <w:tcPr>
            <w:tcW w:type="dxa" w:w="6480"/>
          </w:tcPr>
          <w:p>
            <w:r>
              <w:t>Approval or refusal reference and conditions.</w:t>
            </w:r>
          </w:p>
        </w:tc>
      </w:tr>
      <w:tr>
        <w:trPr>
          <w:cantSplit/>
        </w:trPr>
        <w:tc>
          <w:tcPr>
            <w:tcW w:type="dxa" w:w="2448"/>
          </w:tcPr>
          <w:p>
            <w:r>
              <w:t>Student/accessibility review</w:t>
            </w:r>
          </w:p>
        </w:tc>
        <w:tc>
          <w:tcPr>
            <w:tcW w:type="dxa" w:w="6480"/>
          </w:tcPr>
          <w:p>
            <w:r>
              <w:t>Representative review method, findings, changes, and unresolved concerns.</w:t>
            </w:r>
          </w:p>
        </w:tc>
      </w:tr>
      <w:tr>
        <w:trPr>
          <w:cantSplit/>
        </w:trPr>
        <w:tc>
          <w:tcPr>
            <w:tcW w:type="dxa" w:w="2448"/>
          </w:tcPr>
          <w:p>
            <w:r>
              <w:t>Next review</w:t>
            </w:r>
          </w:p>
        </w:tc>
        <w:tc>
          <w:tcPr>
            <w:tcW w:type="dxa" w:w="6480"/>
          </w:tcPr>
          <w:p>
            <w:r>
              <w:t>Date and triggers: model/tool change, task change, modality change, compromise, subgroup harm, burden failure, or adverse evidence.</w:t>
            </w:r>
          </w:p>
        </w:tc>
      </w:tr>
      <w:tr>
        <w:trPr>
          <w:cantSplit/>
        </w:trPr>
        <w:tc>
          <w:tcPr>
            <w:tcW w:type="dxa" w:w="2448"/>
          </w:tcPr>
          <w:p>
            <w:r>
              <w:t>Publication status</w:t>
            </w:r>
          </w:p>
        </w:tc>
        <w:tc>
          <w:tcPr>
            <w:tcW w:type="dxa" w:w="6480"/>
          </w:tcPr>
          <w:p>
            <w:r>
              <w:t>Specified but untested / pilot underway / pilot evidence available; never “validated” unless the evidence supports that exact claim.</w:t>
            </w:r>
          </w:p>
        </w:tc>
      </w:tr>
    </w:tbl>
    <w:p>
      <w:pPr>
        <w:pStyle w:val="BodyText"/>
      </w:pPr>
      <w:r>
        <w:rPr>
          <w:b/>
        </w:rPr>
        <w:t>Final launch rule.</w:t>
      </w:r>
      <w:r>
        <w:t xml:space="preserve"> Launch only when authority exists, all thirteen conditions are assessed, no condition fails, every controlled pass is owned and time-bounded, rights and accessibility floors are operational, and the preregistered decision consequences are accepted in advance.</w:t>
      </w:r>
    </w:p>
    <w:p>
      <w:pPr>
        <w:pStyle w:val="Heading2"/>
      </w:pPr>
      <w:r>
        <w:t>Required attachments</w:t>
      </w:r>
    </w:p>
    <w:p>
      <w:pPr>
        <w:pStyle w:val="Compact"/>
      </w:pPr>
      <w:r>
        <w:t>☐ Approved claim map and programme assurance map</w:t>
      </w:r>
    </w:p>
    <w:p>
      <w:pPr>
        <w:pStyle w:val="Compact"/>
      </w:pPr>
      <w:r>
        <w:t>☐ Assessment brief, student wording, and claim-profile record</w:t>
      </w:r>
    </w:p>
    <w:p>
      <w:pPr>
        <w:pStyle w:val="Compact"/>
      </w:pPr>
      <w:r>
        <w:t>☐ Authentication blueprint, prompts/forms, exposure and equivalence records</w:t>
      </w:r>
    </w:p>
    <w:p>
      <w:pPr>
        <w:pStyle w:val="Compact"/>
      </w:pPr>
      <w:r>
        <w:t>☐ Rubric, standard-setting record, calibration and moderation plan</w:t>
      </w:r>
    </w:p>
    <w:p>
      <w:pPr>
        <w:pStyle w:val="Compact"/>
      </w:pPr>
      <w:r>
        <w:t>☐ Accessibility-equivalent route and construct crosswalk</w:t>
      </w:r>
    </w:p>
    <w:p>
      <w:pPr>
        <w:pStyle w:val="Compact"/>
      </w:pPr>
      <w:r>
        <w:t>☐ Threat model, red-team plan, and incident response</w:t>
      </w:r>
    </w:p>
    <w:p>
      <w:pPr>
        <w:pStyle w:val="Compact"/>
      </w:pPr>
      <w:r>
        <w:t>☐ Workload calculator and Assurance Capacity Gate workbook</w:t>
      </w:r>
    </w:p>
    <w:p>
      <w:pPr>
        <w:pStyle w:val="Compact"/>
      </w:pPr>
      <w:r>
        <w:t>☐ Data-management, retention, appeal, and publication plans</w:t>
      </w:r>
    </w:p>
    <w:p>
      <w:pPr>
        <w:pStyle w:val="Compact"/>
      </w:pPr>
      <w:r>
        <w:t>☐ Pilot protocol, data dictionary, analysis plan/code, and version manifest</w:t>
      </w:r>
    </w:p>
    <w:sectPr>
      <w:headerReference r:id="rId9" w:type="even"/>
      <w:headerReference r:id="rId10" w:type="default"/>
      <w:headerReference r:id="rId11" w:type="first"/>
      <w:footerReference r:id="rId12" w:type="even"/>
      <w:footerReference r:id="rId13" w:type="default"/>
      <w:footerReference r:id="rId14" w:type="first"/>
      <w:type w:val="nextPage"/>
      <w:pgSz w:h="16838" w:w="11906"/>
      <w:pgMar w:bottom="936" w:footer="432" w:gutter="0" w:header="432" w:left="1123" w:right="1123" w:top="1080"/>
      <w:formProt w:val="false"/>
      <w:titlePg/>
      <w:textDirection w:val="lrTb"/>
      <w:docGrid w:charSpace="0" w:linePitch="10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mbria">
    <w:charset w:val="00" w:characterSet="iso-8859-1"/>
    <w:family w:val="roman"/>
    <w:pitch w:val="variable"/>
  </w:font>
  <w:font w:name="Liberation Sans">
    <w:altName w:val="Arial"/>
    <w:charset w:val="00" w:characterSet="iso-8859-1"/>
    <w:family w:val="roman"/>
    <w:pitch w:val="variable"/>
  </w:font>
  <w:font w:name="Calibri">
    <w:charset w:val="00" w:characterSet="iso-8859-1"/>
    <w:family w:val="roman"/>
    <w:pitch w:val="variable"/>
  </w:font>
  <w:font w:name="Consolas"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86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spacing w:after="0"/>
      <w:jc w:val="center"/>
    </w:pPr>
    <w:r>
      <w:rPr>
        <w:rFonts w:ascii="Calibri" w:hAnsi="Calibri"/>
        <w:color w:val="595959"/>
        <w:sz w:val="16"/>
      </w:rPr>
      <w:t xml:space="preserve">Page </w:t>
    </w:r>
    <w:r>
      <w:fldChar w:fldCharType="begin"/>
      <w:instrText xml:space="preserve">PAGE</w:instrText>
      <w:fldChar w:fldCharType="separate"/>
    </w:r>
    <w:r>
      <w:t>1</w:t>
      <w:fldChar w:fldCharType="end"/>
    </w:r>
    <w:r>
      <w:rPr>
        <w:rFonts w:ascii="Calibri" w:hAnsi="Calibri"/>
        <w:color w:val="595959"/>
        <w:sz w:val="16"/>
      </w:rPr>
      <w:t xml:space="preserve"> of </w:t>
    </w:r>
    <w:r>
      <w:fldChar w:fldCharType="begin"/>
      <w:instrText xml:space="preserve">NUMPAGES</w:instrText>
      <w:fldChar w:fldCharType="separate"/>
    </w:r>
    <w:r>
      <w:t>1</w:t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86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tabs>
        <w:tab w:pos="9576" w:val="right"/>
      </w:tabs>
      <w:spacing w:after="0"/>
      <w:jc w:val="center"/>
      <w:pBdr>
        <w:bottom w:val="single" w:sz="4" w:space="5" w:color="9FBAD0"/>
      </w:pBdr>
    </w:pPr>
    <w:r>
      <w:rPr>
        <w:rFonts w:ascii="Calibri" w:hAnsi="Calibri"/>
        <w:b/>
        <w:color w:val="595959"/>
        <w:sz w:val="16"/>
      </w:rPr>
      <w:t>ARTIFICIAL INTELLIGENCE ASSURANCE PROTOCOL   |   PILOT READINESS PACK v6.5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pos="0" w:val="num"/>
        </w:tabs>
        <w:ind w:hanging="480" w:start="720"/>
      </w:pPr>
      <w:rPr>
        <w:rFonts w:ascii="Symbol" w:cs="Symbol" w:hAnsi="Symbol" w:hint="default"/>
      </w:rPr>
    </w:lvl>
    <w:lvl w:ilvl="1">
      <w:start w:val="0"/>
      <w:numFmt w:val="bullet"/>
      <w:lvlText w:val=""/>
      <w:lvlJc w:val="start"/>
      <w:pPr>
        <w:tabs>
          <w:tab w:pos="0" w:val="num"/>
        </w:tabs>
        <w:ind w:hanging="480" w:start="1440"/>
      </w:pPr>
      <w:rPr>
        <w:rFonts w:ascii="Symbol" w:cs="Symbol" w:hAnsi="Symbol" w:hint="default"/>
      </w:rPr>
    </w:lvl>
    <w:lvl w:ilvl="2">
      <w:start w:val="0"/>
      <w:numFmt w:val="bullet"/>
      <w:lvlText w:val=""/>
      <w:lvlJc w:val="start"/>
      <w:pPr>
        <w:tabs>
          <w:tab w:pos="0" w:val="num"/>
        </w:tabs>
        <w:ind w:hanging="480" w:start="2160"/>
      </w:pPr>
      <w:rPr>
        <w:rFonts w:ascii="Symbol" w:cs="Symbol" w:hAnsi="Symbol" w:hint="default"/>
      </w:rPr>
    </w:lvl>
    <w:lvl w:ilvl="3">
      <w:start w:val="0"/>
      <w:numFmt w:val="bullet"/>
      <w:lvlText w:val=""/>
      <w:lvlJc w:val="start"/>
      <w:pPr>
        <w:tabs>
          <w:tab w:pos="0" w:val="num"/>
        </w:tabs>
        <w:ind w:hanging="480" w:start="2880"/>
      </w:pPr>
      <w:rPr>
        <w:rFonts w:ascii="Symbol" w:cs="Symbol" w:hAnsi="Symbol" w:hint="default"/>
      </w:rPr>
    </w:lvl>
    <w:lvl w:ilvl="4">
      <w:start w:val="0"/>
      <w:numFmt w:val="bullet"/>
      <w:lvlText w:val=""/>
      <w:lvlJc w:val="start"/>
      <w:pPr>
        <w:tabs>
          <w:tab w:pos="0" w:val="num"/>
        </w:tabs>
        <w:ind w:hanging="480" w:start="3600"/>
      </w:pPr>
      <w:rPr>
        <w:rFonts w:ascii="Symbol" w:cs="Symbol" w:hAnsi="Symbol" w:hint="default"/>
      </w:rPr>
    </w:lvl>
    <w:lvl w:ilvl="5">
      <w:start w:val="0"/>
      <w:numFmt w:val="bullet"/>
      <w:lvlText w:val=""/>
      <w:lvlJc w:val="start"/>
      <w:pPr>
        <w:tabs>
          <w:tab w:pos="0" w:val="num"/>
        </w:tabs>
        <w:ind w:hanging="480" w:start="4320"/>
      </w:pPr>
      <w:rPr>
        <w:rFonts w:ascii="Symbol" w:cs="Symbol" w:hAnsi="Symbol" w:hint="default"/>
      </w:rPr>
    </w:lvl>
    <w:lvl w:ilvl="6">
      <w:start w:val="0"/>
      <w:numFmt w:val="bullet"/>
      <w:lvlText w:val=""/>
      <w:lvlJc w:val="start"/>
      <w:pPr>
        <w:tabs>
          <w:tab w:pos="0" w:val="num"/>
        </w:tabs>
        <w:ind w:hanging="480" w:start="5040"/>
      </w:pPr>
      <w:rPr>
        <w:rFonts w:ascii="Symbol" w:cs="Symbol" w:hAnsi="Symbol" w:hint="default"/>
      </w:rPr>
    </w:lvl>
    <w:lvl w:ilvl="7">
      <w:start w:val="0"/>
      <w:numFmt w:val="bullet"/>
      <w:lvlText w:val=""/>
      <w:lvlJc w:val="start"/>
      <w:pPr>
        <w:tabs>
          <w:tab w:pos="0" w:val="num"/>
        </w:tabs>
        <w:ind w:hanging="480" w:start="5760"/>
      </w:pPr>
      <w:rPr>
        <w:rFonts w:ascii="Symbol" w:cs="Symbol" w:hAnsi="Symbol" w:hint="default"/>
      </w:rPr>
    </w:lvl>
    <w:lvl w:ilvl="8">
      <w:start w:val="0"/>
      <w:numFmt w:val="bullet"/>
      <w:lvlText w:val=""/>
      <w:lvlJc w:val="start"/>
      <w:pPr>
        <w:tabs>
          <w:tab w:pos="0" w:val="num"/>
        </w:tabs>
        <w:ind w:hanging="480" w:start="6480"/>
      </w:pPr>
      <w:rPr>
        <w:rFonts w:ascii="Symbol" w:cs="Symbol" w:hAnsi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2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compat>
    <w:compatSetting w:name="compatibilityMode" w:uri="http://schemas.microsoft.com/office/word" w:val="12"/>
  </w:compat>
  <w:rsids>
  </w:rsids>
  <w:themeFontLang w:bidi="" w:eastAsia="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bidi w:val="0"/>
      <w:spacing w:after="120" w:before="0" w:line="259" w:lineRule="auto"/>
      <w:jc w:val="both"/>
    </w:pPr>
    <w:rPr>
      <w:rFonts w:ascii="Georgia" w:cs="Liberation Sans" w:eastAsia="Noto Serif" w:hAnsi="Georgia"/>
      <w:color w:val="1F2933"/>
      <w:kern w:val="0"/>
      <w:sz w:val="20"/>
      <w:szCs w:val="24"/>
      <w:lang w:bidi="ar-SA" w:eastAsia="en-US" w:val="en-US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200"/>
      <w:outlineLvl w:val="0"/>
    </w:pPr>
    <w:rPr>
      <w:rFonts w:ascii="Calibri" w:asciiTheme="majorHAnsi" w:cs="" w:cstheme="majorBidi" w:eastAsia="Carlito" w:eastAsiaTheme="majorEastAsia" w:hAnsi="Calibri" w:hAnsiTheme="majorHAnsi"/>
      <w:b/>
      <w:bCs/>
      <w:color w:val="17365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00"/>
      <w:outlineLvl w:val="1"/>
    </w:pPr>
    <w:rPr>
      <w:rFonts w:ascii="Calibri" w:asciiTheme="majorHAnsi" w:cs="" w:cstheme="majorBidi" w:eastAsia="Carlito" w:eastAsiaTheme="majorEastAsia" w:hAnsi="Calibri" w:hAnsiTheme="majorHAnsi"/>
      <w:b/>
      <w:bCs/>
      <w:color w:val="1F4E79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00"/>
      <w:outlineLvl w:val="2"/>
    </w:pPr>
    <w:rPr>
      <w:rFonts w:ascii="Calibri" w:asciiTheme="majorHAnsi" w:cs="" w:cstheme="majorBidi" w:eastAsia="Carlito" w:eastAsiaTheme="majorEastAsia" w:hAnsi="Calibri" w:hAnsiTheme="majorHAnsi"/>
      <w:b/>
      <w:bCs/>
      <w:color w:val="1F4E79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default="1" w:styleId="DefaultParagraphFont" w:type="character">
    <w:name w:val="Default Paragraph Font"/>
    <w:semiHidden/>
    <w:unhideWhenUsed/>
    <w:qFormat/>
    <w:rPr/>
  </w:style>
  <w:style w:customStyle="1" w:styleId="BodyTextChar" w:type="character">
    <w:name w:val="Body Text Char"/>
    <w:basedOn w:val="DefaultParagraphFont"/>
    <w:qFormat/>
    <w:rPr/>
  </w:style>
  <w:style w:customStyle="1" w:styleId="VerbatimChar" w:type="character">
    <w:name w:val="Verbatim Char"/>
    <w:basedOn w:val="BodyTextChar"/>
    <w:qFormat/>
    <w:rPr>
      <w:rFonts w:ascii="Consolas" w:hAnsi="Consolas"/>
      <w:sz w:val="22"/>
    </w:rPr>
  </w:style>
  <w:style w:customStyle="1" w:styleId="SectionNumber" w:type="character">
    <w:name w:val="Section Number"/>
    <w:basedOn w:val="BodyTextChar"/>
    <w:qFormat/>
    <w:rPr/>
  </w:style>
  <w:style w:styleId="FootnoteCharacters" w:type="character">
    <w:name w:val="Footnote Characters"/>
    <w:basedOn w:val="BodyTextChar"/>
    <w:qFormat/>
    <w:rPr>
      <w:vertAlign w:val="superscript"/>
    </w:rPr>
  </w:style>
  <w:style w:styleId="FootnoteReference" w:type="character">
    <w:name w:val="footnote reference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customStyle="1" w:styleId="KeywordTok" w:type="character">
    <w:name w:val="KeywordTok"/>
    <w:basedOn w:val="VerbatimChar"/>
    <w:qFormat/>
    <w:rPr>
      <w:b/>
      <w:color w:val="007020"/>
    </w:rPr>
  </w:style>
  <w:style w:customStyle="1" w:styleId="DataTypeTok" w:type="character">
    <w:name w:val="DataTypeTok"/>
    <w:basedOn w:val="VerbatimChar"/>
    <w:qFormat/>
    <w:rPr>
      <w:color w:val="902000"/>
    </w:rPr>
  </w:style>
  <w:style w:customStyle="1" w:styleId="DecValTok" w:type="character">
    <w:name w:val="DecValTok"/>
    <w:basedOn w:val="VerbatimChar"/>
    <w:qFormat/>
    <w:rPr>
      <w:color w:val="40A070"/>
    </w:rPr>
  </w:style>
  <w:style w:customStyle="1" w:styleId="BaseNTok" w:type="character">
    <w:name w:val="BaseNTok"/>
    <w:basedOn w:val="VerbatimChar"/>
    <w:qFormat/>
    <w:rPr>
      <w:color w:val="40A070"/>
    </w:rPr>
  </w:style>
  <w:style w:customStyle="1" w:styleId="FloatTok" w:type="character">
    <w:name w:val="FloatTok"/>
    <w:basedOn w:val="VerbatimChar"/>
    <w:qFormat/>
    <w:rPr>
      <w:color w:val="40A070"/>
    </w:rPr>
  </w:style>
  <w:style w:customStyle="1" w:styleId="ConstantTok" w:type="character">
    <w:name w:val="ConstantTok"/>
    <w:basedOn w:val="VerbatimChar"/>
    <w:qFormat/>
    <w:rPr>
      <w:color w:val="880000"/>
    </w:rPr>
  </w:style>
  <w:style w:customStyle="1" w:styleId="CharTok" w:type="character">
    <w:name w:val="CharTok"/>
    <w:basedOn w:val="VerbatimChar"/>
    <w:qFormat/>
    <w:rPr>
      <w:color w:val="4070A0"/>
    </w:rPr>
  </w:style>
  <w:style w:customStyle="1" w:styleId="SpecialCharTok" w:type="character">
    <w:name w:val="SpecialCharTok"/>
    <w:basedOn w:val="VerbatimChar"/>
    <w:qFormat/>
    <w:rPr>
      <w:color w:val="4070A0"/>
    </w:rPr>
  </w:style>
  <w:style w:customStyle="1" w:styleId="StringTok" w:type="character">
    <w:name w:val="StringTok"/>
    <w:basedOn w:val="VerbatimChar"/>
    <w:qFormat/>
    <w:rPr>
      <w:color w:val="4070A0"/>
    </w:rPr>
  </w:style>
  <w:style w:customStyle="1" w:styleId="VerbatimStringTok" w:type="character">
    <w:name w:val="VerbatimStringTok"/>
    <w:basedOn w:val="VerbatimChar"/>
    <w:qFormat/>
    <w:rPr>
      <w:color w:val="4070A0"/>
    </w:rPr>
  </w:style>
  <w:style w:customStyle="1" w:styleId="SpecialStringTok" w:type="character">
    <w:name w:val="SpecialStringTok"/>
    <w:basedOn w:val="VerbatimChar"/>
    <w:qFormat/>
    <w:rPr>
      <w:color w:val="BB6688"/>
    </w:rPr>
  </w:style>
  <w:style w:customStyle="1" w:styleId="ImportTok" w:type="character">
    <w:name w:val="ImportTok"/>
    <w:basedOn w:val="VerbatimChar"/>
    <w:qFormat/>
    <w:rPr>
      <w:b/>
      <w:color w:val="008000"/>
    </w:rPr>
  </w:style>
  <w:style w:customStyle="1" w:styleId="CommentTok" w:type="character">
    <w:name w:val="CommentTok"/>
    <w:basedOn w:val="VerbatimChar"/>
    <w:qFormat/>
    <w:rPr>
      <w:i/>
      <w:color w:val="60A0B0"/>
    </w:rPr>
  </w:style>
  <w:style w:customStyle="1" w:styleId="DocumentationTok" w:type="character">
    <w:name w:val="DocumentationTok"/>
    <w:basedOn w:val="VerbatimChar"/>
    <w:qFormat/>
    <w:rPr>
      <w:i/>
      <w:color w:val="BA2121"/>
    </w:rPr>
  </w:style>
  <w:style w:customStyle="1" w:styleId="AnnotationTok" w:type="character">
    <w:name w:val="AnnotationTok"/>
    <w:basedOn w:val="VerbatimChar"/>
    <w:qFormat/>
    <w:rPr>
      <w:b/>
      <w:i/>
      <w:color w:val="60A0B0"/>
    </w:rPr>
  </w:style>
  <w:style w:customStyle="1" w:styleId="CommentVarTok" w:type="character">
    <w:name w:val="CommentVarTok"/>
    <w:basedOn w:val="VerbatimChar"/>
    <w:qFormat/>
    <w:rPr>
      <w:b/>
      <w:i/>
      <w:color w:val="60A0B0"/>
    </w:rPr>
  </w:style>
  <w:style w:customStyle="1" w:styleId="OtherTok" w:type="character">
    <w:name w:val="OtherTok"/>
    <w:basedOn w:val="VerbatimChar"/>
    <w:qFormat/>
    <w:rPr>
      <w:color w:val="007020"/>
    </w:rPr>
  </w:style>
  <w:style w:customStyle="1" w:styleId="FunctionTok" w:type="character">
    <w:name w:val="FunctionTok"/>
    <w:basedOn w:val="VerbatimChar"/>
    <w:qFormat/>
    <w:rPr>
      <w:color w:val="06287E"/>
    </w:rPr>
  </w:style>
  <w:style w:customStyle="1" w:styleId="VariableTok" w:type="character">
    <w:name w:val="VariableTok"/>
    <w:basedOn w:val="VerbatimChar"/>
    <w:qFormat/>
    <w:rPr>
      <w:color w:val="19177C"/>
    </w:rPr>
  </w:style>
  <w:style w:customStyle="1" w:styleId="ControlFlowTok" w:type="character">
    <w:name w:val="ControlFlowTok"/>
    <w:basedOn w:val="VerbatimChar"/>
    <w:qFormat/>
    <w:rPr>
      <w:b/>
      <w:color w:val="007020"/>
    </w:rPr>
  </w:style>
  <w:style w:customStyle="1" w:styleId="OperatorTok" w:type="character">
    <w:name w:val="OperatorTok"/>
    <w:basedOn w:val="VerbatimChar"/>
    <w:qFormat/>
    <w:rPr>
      <w:color w:val="666666"/>
    </w:rPr>
  </w:style>
  <w:style w:customStyle="1" w:styleId="BuiltInTok" w:type="character">
    <w:name w:val="BuiltInTok"/>
    <w:basedOn w:val="VerbatimChar"/>
    <w:qFormat/>
    <w:rPr>
      <w:color w:val="008000"/>
    </w:rPr>
  </w:style>
  <w:style w:customStyle="1" w:styleId="ExtensionTok" w:type="character">
    <w:name w:val="ExtensionTok"/>
    <w:basedOn w:val="VerbatimChar"/>
    <w:qFormat/>
    <w:rPr/>
  </w:style>
  <w:style w:customStyle="1" w:styleId="PreprocessorTok" w:type="character">
    <w:name w:val="PreprocessorTok"/>
    <w:basedOn w:val="VerbatimChar"/>
    <w:qFormat/>
    <w:rPr>
      <w:color w:val="BC7A00"/>
    </w:rPr>
  </w:style>
  <w:style w:customStyle="1" w:styleId="AttributeTok" w:type="character">
    <w:name w:val="AttributeTok"/>
    <w:basedOn w:val="VerbatimChar"/>
    <w:qFormat/>
    <w:rPr>
      <w:color w:val="7D9029"/>
    </w:rPr>
  </w:style>
  <w:style w:customStyle="1" w:styleId="RegionMarkerTok" w:type="character">
    <w:name w:val="RegionMarkerTok"/>
    <w:basedOn w:val="VerbatimChar"/>
    <w:qFormat/>
    <w:rPr/>
  </w:style>
  <w:style w:customStyle="1" w:styleId="InformationTok" w:type="character">
    <w:name w:val="InformationTok"/>
    <w:basedOn w:val="VerbatimChar"/>
    <w:qFormat/>
    <w:rPr>
      <w:b/>
      <w:i/>
      <w:color w:val="60A0B0"/>
    </w:rPr>
  </w:style>
  <w:style w:customStyle="1" w:styleId="WarningTok" w:type="character">
    <w:name w:val="WarningTok"/>
    <w:basedOn w:val="VerbatimChar"/>
    <w:qFormat/>
    <w:rPr>
      <w:b/>
      <w:i/>
      <w:color w:val="60A0B0"/>
    </w:rPr>
  </w:style>
  <w:style w:customStyle="1" w:styleId="AlertTok" w:type="character">
    <w:name w:val="AlertTok"/>
    <w:basedOn w:val="VerbatimChar"/>
    <w:qFormat/>
    <w:rPr>
      <w:b/>
      <w:color w:val="FF0000"/>
    </w:rPr>
  </w:style>
  <w:style w:customStyle="1" w:styleId="ErrorTok" w:type="character">
    <w:name w:val="ErrorTok"/>
    <w:basedOn w:val="VerbatimChar"/>
    <w:qFormat/>
    <w:rPr>
      <w:b/>
      <w:color w:val="FF0000"/>
    </w:rPr>
  </w:style>
  <w:style w:customStyle="1" w:styleId="NormalTok" w:type="character">
    <w:name w:val="NormalTok"/>
    <w:basedOn w:val="VerbatimChar"/>
    <w:qFormat/>
    <w:rPr/>
  </w:style>
  <w:style w:styleId="IndexLink" w:type="character">
    <w:name w:val="Index Link"/>
    <w:qFormat/>
    <w:rPr/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styleId="BodyText" w:type="paragraph">
    <w:name w:val="Body Text"/>
    <w:basedOn w:val="Normal"/>
    <w:link w:val="BodyTextChar"/>
    <w:qFormat/>
    <w:pPr>
      <w:widowControl/>
      <w:spacing w:after="90" w:before="0" w:line="259" w:lineRule="auto"/>
      <w:jc w:val="both"/>
    </w:pPr>
    <w:rPr>
      <w:rFonts w:ascii="Noto Serif" w:cs="Liberation Sans" w:eastAsia="Noto Serif" w:hAnsi="Noto Serif"/>
      <w:color w:val="1F2933"/>
      <w:sz w:val="20"/>
    </w:rPr>
  </w:style>
  <w:style w:styleId="List" w:type="paragraph">
    <w:name w:val="List"/>
    <w:basedOn w:val="BodyText"/>
    <w:pPr/>
    <w:rPr>
      <w:rFonts w:cs="Lohit Devanagari"/>
    </w:rPr>
  </w:style>
  <w:style w:styleId="Caption" w:type="paragraph">
    <w:name w:val="caption"/>
    <w:basedOn w:val="Normal"/>
    <w:link w:val="BodyTextChar"/>
    <w:qFormat/>
    <w:pPr>
      <w:spacing w:after="120" w:before="0"/>
    </w:pPr>
    <w:rPr>
      <w:i/>
    </w:rPr>
  </w:style>
  <w:style w:styleId="Index" w:type="paragraph">
    <w:name w:val="Index"/>
    <w:basedOn w:val="Normal"/>
    <w:qFormat/>
    <w:pPr>
      <w:suppressLineNumbers/>
    </w:pPr>
    <w:rPr>
      <w:rFonts w:cs="Lohit Devanagari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90" w:before="0" w:line="259" w:lineRule="auto"/>
      <w:jc w:val="both"/>
    </w:pPr>
    <w:rPr>
      <w:rFonts w:ascii="Noto Serif" w:cs="Liberation Sans" w:eastAsia="Noto Serif" w:hAnsi="Noto Serif"/>
      <w:color w:val="1F2933"/>
      <w:sz w:val="20"/>
    </w:rPr>
  </w:style>
  <w:style w:customStyle="1" w:styleId="Compact" w:type="paragraph">
    <w:name w:val="Compact"/>
    <w:basedOn w:val="BodyText"/>
    <w:qFormat/>
    <w:pPr>
      <w:spacing w:after="30" w:before="36" w:line="240" w:lineRule="auto"/>
      <w:ind w:hanging="230" w:start="360"/>
    </w:pPr>
    <w:rPr>
      <w:rFonts w:ascii="Carlito" w:cs="Liberation Sans" w:eastAsia="Carlito" w:hAnsi="Carlito"/>
      <w:color w:val="1F2933"/>
      <w:sz w:val="18"/>
    </w:rPr>
  </w:style>
  <w:style w:styleId="Title" w:type="paragraph">
    <w:name w:val="Title"/>
    <w:basedOn w:val="Normal"/>
    <w:next w:val="BodyText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 w:val="true"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BodyText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Title" w:type="paragraph">
    <w:name w:val="Abstract Title"/>
    <w:basedOn w:val="Normal"/>
    <w:next w:val="Abstract"/>
    <w:qFormat/>
    <w:pPr>
      <w:keepNext w:val="true"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 w:val="true"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  <w:pPr>
      <w:spacing w:after="60" w:line="240" w:lineRule="auto"/>
      <w:ind w:hanging="360" w:left="360"/>
    </w:pPr>
    <w:rPr>
      <w:rFonts w:ascii="Noto Serif" w:hAnsi="Noto Serif"/>
      <w:sz w:val="1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end="480" w:hanging="0" w:start="480"/>
    </w:pPr>
    <w:rPr/>
  </w:style>
  <w:style w:styleId="FootnoteText" w:type="paragraph">
    <w:name w:val="footnote text"/>
    <w:basedOn w:val="Normal"/>
    <w:uiPriority w:val="9"/>
    <w:unhideWhenUsed/>
    <w:qFormat/>
    <w:pPr/>
    <w:rPr/>
  </w:style>
  <w:style w:styleId="FootnoteBlockText" w:type="paragraph">
    <w:name w:val="Footnote Block Text"/>
    <w:uiPriority w:val="9"/>
    <w:unhideWhenUsed/>
    <w:qFormat/>
    <w:pPr>
      <w:widowControl/>
      <w:bidi w:val="0"/>
      <w:spacing w:after="100" w:before="100"/>
      <w:ind w:end="480" w:hanging="0" w:start="480"/>
      <w:jc w:val="star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customStyle="1" w:styleId="TableCaption" w:type="paragraph">
    <w:name w:val="Table Caption"/>
    <w:basedOn w:val="Caption"/>
    <w:qFormat/>
    <w:pPr>
      <w:keepNext w:val="true"/>
    </w:pPr>
    <w:rPr/>
  </w:style>
  <w:style w:customStyle="1" w:styleId="ImageCaption" w:type="paragraph">
    <w:name w:val="Image Caption"/>
    <w:basedOn w:val="Caption"/>
    <w:qFormat/>
    <w:pPr/>
    <w:rPr>
      <w:rFonts w:ascii="Noto Serif" w:hAnsi="Noto Serif"/>
      <w:sz w:val="17"/>
    </w:rPr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  <w:spacing w:after="40"/>
    </w:pPr>
    <w:rPr/>
  </w:style>
  <w:style w:styleId="IndexHeading" w:type="paragraph">
    <w:name w:val="index heading"/>
    <w:basedOn w:val="Heading"/>
    <w:pPr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after="0" w:before="240" w:line="259" w:lineRule="auto"/>
      <w:outlineLvl w:val="9"/>
    </w:pPr>
    <w:rPr>
      <w:rFonts w:ascii="Calibri" w:asciiTheme="majorHAnsi" w:cs="" w:cstheme="majorBidi" w:eastAsia="" w:eastAsiaTheme="majorEastAsia" w:hAnsi="Calibri" w:hAnsiTheme="majorHAnsi"/>
      <w:b w:val="false"/>
      <w:bCs w:val="false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qFormat/>
    <w:pPr/>
    <w:rPr/>
  </w:style>
  <w:style w:customStyle="1" w:styleId="TOC1" w:type="paragraph">
    <w:name w:val="toc 1"/>
    <w:pPr>
      <w:widowControl/>
      <w:bidi w:val="0"/>
      <w:spacing w:after="30" w:before="30" w:line="240" w:lineRule="auto"/>
      <w:ind w:start="0"/>
      <w:jc w:val="start"/>
    </w:pPr>
    <w:rPr>
      <w:rFonts w:ascii="Liberation Sans" w:cs="Liberation Sans" w:eastAsia="Liberation Sans" w:hAnsi="Liberation Sans"/>
      <w:b/>
      <w:color w:val="173A5E"/>
      <w:kern w:val="0"/>
      <w:sz w:val="20"/>
      <w:szCs w:val="24"/>
      <w:lang w:bidi="ar-SA" w:eastAsia="en-US" w:val="en-US"/>
    </w:rPr>
  </w:style>
  <w:style w:customStyle="1" w:styleId="TOC2" w:type="paragraph">
    <w:name w:val="toc 2"/>
    <w:pPr>
      <w:widowControl/>
      <w:bidi w:val="0"/>
      <w:spacing w:after="30" w:before="30" w:line="240" w:lineRule="auto"/>
      <w:ind w:start="317"/>
      <w:jc w:val="start"/>
    </w:pPr>
    <w:rPr>
      <w:rFonts w:ascii="Liberation Sans" w:cs="Liberation Sans" w:eastAsia="Liberation Sans" w:hAnsi="Liberation Sans"/>
      <w:b w:val="false"/>
      <w:color w:val="243746"/>
      <w:kern w:val="0"/>
      <w:sz w:val="18"/>
      <w:szCs w:val="24"/>
      <w:lang w:bidi="ar-SA" w:eastAsia="en-US" w:val="en-US"/>
    </w:rPr>
  </w:style>
  <w:style w:customStyle="1" w:styleId="Contents1" w:type="paragraph">
    <w:name w:val="Contents 1"/>
    <w:qFormat/>
    <w:pPr>
      <w:widowControl/>
      <w:bidi w:val="0"/>
      <w:spacing w:after="30" w:before="30" w:line="240" w:lineRule="auto"/>
      <w:ind w:start="0"/>
      <w:jc w:val="start"/>
    </w:pPr>
    <w:rPr>
      <w:rFonts w:ascii="Liberation Sans" w:cs="Liberation Sans" w:eastAsia="Liberation Sans" w:hAnsi="Liberation Sans"/>
      <w:b/>
      <w:color w:val="173A5E"/>
      <w:kern w:val="0"/>
      <w:sz w:val="20"/>
      <w:szCs w:val="24"/>
      <w:lang w:bidi="ar-SA" w:eastAsia="en-US" w:val="en-US"/>
    </w:rPr>
  </w:style>
  <w:style w:customStyle="1" w:styleId="Contents2" w:type="paragraph">
    <w:name w:val="Contents 2"/>
    <w:qFormat/>
    <w:pPr>
      <w:widowControl/>
      <w:bidi w:val="0"/>
      <w:spacing w:after="30" w:before="30" w:line="240" w:lineRule="auto"/>
      <w:ind w:start="317"/>
      <w:jc w:val="start"/>
    </w:pPr>
    <w:rPr>
      <w:rFonts w:ascii="Liberation Sans" w:cs="Liberation Sans" w:eastAsia="Liberation Sans" w:hAnsi="Liberation Sans"/>
      <w:b w:val="false"/>
      <w:color w:val="243746"/>
      <w:kern w:val="0"/>
      <w:sz w:val="18"/>
      <w:szCs w:val="24"/>
      <w:lang w:bidi="ar-SA" w:eastAsia="en-US" w:val="en-US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HeaderandFooter"/>
    <w:pPr/>
    <w:rPr/>
  </w:style>
  <w:style w:styleId="Footer" w:type="paragraph">
    <w:name w:val="footer"/>
    <w:basedOn w:val="HeaderandFooter"/>
    <w:pPr/>
    <w:rPr/>
  </w:style>
  <w:style w:default="1" w:styleId="Table" w:type="table">
    <w:name w:val="Table"/>
    <w:basedOn w:val="TableNormal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val="single"/>
        </w:tcBorders>
        <w:vAlign w:val="bottom"/>
      </w:tcPr>
    </w:tblStylePr>
  </w:style>
  <w:style w:customStyle="1" w:styleId="TOC1" w:type="paragraph">
    <w:name w:val="TOC 1"/>
    <w:basedOn w:val="Normal"/>
    <w:pPr>
      <w:keepLines/>
      <w:spacing w:after="20"/>
      <w:ind w:firstLine="0" w:left="0"/>
    </w:pPr>
    <w:rPr>
      <w:rFonts w:ascii="Calibri" w:hAnsi="Calibri"/>
      <w:sz w:val="19"/>
    </w:rPr>
  </w:style>
  <w:style w:customStyle="1" w:styleId="TOC2" w:type="paragraph">
    <w:name w:val="TOC 2"/>
    <w:basedOn w:val="Normal"/>
    <w:pPr>
      <w:keepLines/>
      <w:spacing w:after="20"/>
      <w:ind w:firstLine="0" w:left="360"/>
    </w:pPr>
    <w:rPr>
      <w:rFonts w:ascii="Calibri" w:hAnsi="Calibri"/>
      <w:sz w:val="18"/>
    </w:rPr>
  </w:style>
  <w:style w:customStyle="1" w:styleId="TOC3" w:type="paragraph">
    <w:name w:val="TOC 3"/>
    <w:basedOn w:val="Normal"/>
    <w:pPr>
      <w:keepLines/>
      <w:spacing w:after="20"/>
      <w:ind w:firstLine="0" w:left="720"/>
    </w:pPr>
    <w:rPr>
      <w:rFonts w:ascii="Calibri" w:hAnsi="Calibri"/>
      <w:sz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LibreOffice/25.2.3.2$Linux_X86_64 LibreOffice_project/520$Build-2</Application>
  <AppVersion>15.0000</AppVersion>
  <Pages>58</Pages>
  <Words>28442</Words>
  <Characters>187488</Characters>
  <CharactersWithSpaces>214726</CharactersWithSpaces>
  <Paragraphs>1170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AIAP Pilot Readiness Pack v6.5</dc:title>
  <dc:creator>James McGaughran</dc:creator>
  <cp:keywords>AIAP, assessment assurance, generative AI, higher education</cp:keywords>
  <dcterms:created xsi:type="dcterms:W3CDTF">2026-08-13T13:56:11Z</dcterms:created>
  <dcterms:modified xsi:type="dcterms:W3CDTF">2026-08-13T13:56:11Z</dcterms:modified>
  <dc:subject>AIAP Pilot Readiness Pack v6.5</dc:subject>
  <dc:description>AIAP Release 6.5; specification-complete and publication-ready for governed pilot preparation; not empirical validation.</dc:description>
  <cp:lastModifiedBy>James McGaughran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