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rFonts w:ascii="Calibri" w:hAnsi="Calibri"/>
          <w:b/>
          <w:bCs/>
          <w:color w:val="17365D"/>
          <w:sz w:val="48"/>
        </w:rPr>
        <w:t xml:space="preserve">AIAP Role Coding Manual</w:t>
      </w:r>
    </w:p>
    <w:p>
      <w:pPr>
        <w:pStyle w:val="BodyText"/>
        <w:jc w:val="center"/>
      </w:pPr>
      <w:r>
        <w:rPr>
          <w:rFonts w:ascii="Georgia" w:hAnsi="Georgia"/>
          <w:i/>
          <w:iCs/>
          <w:color w:val="595959"/>
          <w:sz w:val="24"/>
        </w:rPr>
        <w:t xml:space="preserve">Operational guidance for R0-R6 AI roles and conditions</w:t>
      </w:r>
    </w:p>
    <w:p>
      <w:pPr>
        <w:pStyle w:val="BodyText"/>
        <w:jc w:val="center"/>
      </w:pPr>
      <w:r>
        <w:rPr>
          <w:rFonts w:ascii="Georgia" w:hAnsi="Georgia"/>
          <w:b/>
          <w:bCs/>
          <w:sz w:val="20"/>
        </w:rPr>
        <w:t xml:space="preserve">AIAP Release 6.5 | August 2026</w:t>
      </w:r>
    </w:p>
    <w:p>
      <w:pPr>
        <w:pStyle w:val="BodyText"/>
        <w:jc w:val="center"/>
      </w:pPr>
      <w:r>
        <w:rPr>
          <w:rFonts w:ascii="Georgia" w:hAnsi="Georgia"/>
          <w:sz w:val="20"/>
        </w:rPr>
        <w:t xml:space="preserve">Version-matched to the AIAP Core Working Paper v6.5 (Canonical Edition).</w:t>
      </w:r>
    </w:p>
    <w:bookmarkStart w:id="20" w:name="contents"/>
    <w:p>
      <w:pPr>
        <w:pStyle w:val="Heading1"/>
        <w:keepNext/>
        <w:pageBreakBefore/>
        <w:widowControl/>
        <w:jc w:val="center"/>
      </w:pPr>
      <w:r>
        <w:rPr>
          <w:rFonts w:ascii="Georgia" w:hAnsi="Georgia"/>
          <w:sz w:val="20"/>
        </w:rPr>
        <w:t xml:space="preserve">Contents</w:t>
      </w:r>
    </w:p>
    <w:p>
      <w:pPr>
        <w:pStyle w:val="TOC1"/>
        <w:tabs>
          <w:tab w:val="right" w:leader="dot" w:pos="8856"/>
        </w:tabs>
      </w:pPr>
      <w:hyperlink w:anchor="aiap_c_2000" w:history="1">
        <w:r>
          <w:rPr>
            <w:rStyle w:val="Hyperlink"/>
            <w:b/>
            <w:color w:val="1F4E79"/>
            <w:sz w:val="19"/>
          </w:rPr>
          <w:t>1. Purpose and boundary</w:t>
        </w:r>
      </w:hyperlink>
      <w:r>
        <w:tab/>
      </w:r>
      <w:hyperlink w:anchor="aiap_c_2000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1" w:history="1">
        <w:r>
          <w:rPr>
            <w:rStyle w:val="Hyperlink"/>
            <w:b/>
            <w:color w:val="1F4E79"/>
            <w:sz w:val="19"/>
          </w:rPr>
          <w:t>2. Coding rules</w:t>
        </w:r>
      </w:hyperlink>
      <w:r>
        <w:tab/>
      </w:r>
      <w:hyperlink w:anchor="aiap_c_2001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2" w:history="1">
        <w:r>
          <w:rPr>
            <w:rStyle w:val="Hyperlink"/>
            <w:b/>
            <w:color w:val="1F4E79"/>
            <w:sz w:val="19"/>
          </w:rPr>
          <w:t>3. Role definitions</w:t>
        </w:r>
      </w:hyperlink>
      <w:r>
        <w:tab/>
      </w:r>
      <w:hyperlink w:anchor="aiap_c_2002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3" w:history="1">
        <w:r>
          <w:rPr>
            <w:rStyle w:val="Hyperlink"/>
            <w:b/>
            <w:color w:val="1F4E79"/>
            <w:sz w:val="19"/>
          </w:rPr>
          <w:t>4. Primary and secondary role selection</w:t>
        </w:r>
      </w:hyperlink>
      <w:r>
        <w:tab/>
      </w:r>
      <w:hyperlink w:anchor="aiap_c_2003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04" w:history="1">
        <w:r>
          <w:rPr>
            <w:rStyle w:val="Hyperlink"/>
            <w:b/>
            <w:color w:val="1F4E79"/>
            <w:sz w:val="19"/>
          </w:rPr>
          <w:t>5. Ambiguous cases</w:t>
        </w:r>
      </w:hyperlink>
      <w:r>
        <w:tab/>
      </w:r>
      <w:hyperlink w:anchor="aiap_c_2004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05" w:history="1">
        <w:r>
          <w:rPr>
            <w:rStyle w:val="Hyperlink"/>
            <w:b/>
            <w:color w:val="1F4E79"/>
            <w:sz w:val="19"/>
          </w:rPr>
          <w:t>6. Group and collaborative work</w:t>
        </w:r>
      </w:hyperlink>
      <w:r>
        <w:tab/>
      </w:r>
      <w:hyperlink w:anchor="aiap_c_2005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06" w:history="1">
        <w:r>
          <w:rPr>
            <w:rStyle w:val="Hyperlink"/>
            <w:b/>
            <w:color w:val="1F4E79"/>
            <w:sz w:val="19"/>
          </w:rPr>
          <w:t>7. Reliability study</w:t>
        </w:r>
      </w:hyperlink>
      <w:r>
        <w:tab/>
      </w:r>
      <w:hyperlink w:anchor="aiap_c_2006" w:history="1">
        <w:r>
          <w:rPr>
            <w:rStyle w:val="Hyperlink"/>
            <w:b/>
            <w:color w:val="1F4E79"/>
            <w:sz w:val="19"/>
          </w:rPr>
          <w:t>5</w:t>
        </w:r>
      </w:hyperlink>
    </w:p>
    <w:p>
      <w:pPr>
        <w:pStyle w:val="TOC1"/>
        <w:tabs>
          <w:tab w:val="right" w:leader="dot" w:pos="8856"/>
        </w:tabs>
      </w:pPr>
      <w:hyperlink w:anchor="aiap_c_2007" w:history="1">
        <w:r>
          <w:rPr>
            <w:rStyle w:val="Hyperlink"/>
            <w:b/>
            <w:color w:val="1F4E79"/>
            <w:sz w:val="19"/>
          </w:rPr>
          <w:t>Appendix A. Minimum coding record</w:t>
        </w:r>
      </w:hyperlink>
      <w:r>
        <w:tab/>
      </w:r>
      <w:hyperlink w:anchor="aiap_c_2007" w:history="1">
        <w:r>
          <w:rPr>
            <w:rStyle w:val="Hyperlink"/>
            <w:b/>
            <w:color w:val="1F4E79"/>
            <w:sz w:val="19"/>
          </w:rPr>
          <w:t>5</w:t>
        </w:r>
      </w:hyperlink>
    </w:p>
    <w:bookmarkEnd w:id="20"/>
    <w:bookmarkStart w:id="21" w:name="X58136a99f44b5ba702a596c7a85a46b8602ced4"/>
    <w:p>
      <w:bookmarkStart w:id="2000" w:name="aiap_c_2000"/>
      <w:pPr>
        <w:pStyle w:val="Heading1"/>
        <w:keepNext/>
        <w:pageBreakBefore/>
        <w:widowControl/>
      </w:pPr>
      <w:r>
        <w:t xml:space="preserve">1. Purpose and boundary</w:t>
      </w:r>
      <w:bookmarkEnd w:id="2000"/>
    </w:p>
    <w:p>
      <w:pPr>
        <w:pStyle w:val="FirstParagraph"/>
      </w:pPr>
      <w:r>
        <w:t xml:space="preserve">R0-R6 is a designer-facing and teaching vocabulary. It is not a permission</w:t>
      </w:r>
      <w:r>
        <w:t xml:space="preserve"> </w:t>
      </w:r>
      <w:r>
        <w:t xml:space="preserve">scale, misconduct ladder, or claim of increasing educational value. A role</w:t>
      </w:r>
      <w:r>
        <w:t xml:space="preserve"> </w:t>
      </w:r>
      <w:r>
        <w:t xml:space="preserve">has authority only when it changes the evidence plan, validity risk, or</w:t>
      </w:r>
      <w:r>
        <w:t xml:space="preserve"> </w:t>
      </w:r>
      <w:r>
        <w:t xml:space="preserve">learning claim. Students should not normally be required to self-code every</w:t>
      </w:r>
      <w:r>
        <w:t xml:space="preserve"> </w:t>
      </w:r>
      <w:r>
        <w:t xml:space="preserve">workflow step.</w:t>
      </w:r>
    </w:p>
    <w:bookmarkEnd w:id="21"/>
    <w:bookmarkStart w:id="22" w:name="Xfbc91797ad4cbc350eba9384f747722c03780f3"/>
    <w:p>
      <w:bookmarkStart w:id="2001" w:name="aiap_c_2001"/>
      <w:pPr>
        <w:pStyle w:val="Heading1"/>
        <w:keepNext/>
        <w:widowControl/>
      </w:pPr>
      <w:r>
        <w:t xml:space="preserve">2. Coding rules</w:t>
      </w:r>
      <w:bookmarkEnd w:id="2001"/>
    </w:p>
    <w:p>
      <w:pPr>
        <w:pStyle w:val="Compact"/>
        <w:numPr>
          <w:ilvl w:val="0"/>
          <w:numId w:val="1001"/>
        </w:numPr>
      </w:pPr>
      <w:r>
        <w:t xml:space="preserve">Code the material claim before the tool behavior.</w:t>
      </w:r>
    </w:p>
    <w:p>
      <w:pPr>
        <w:pStyle w:val="Compact"/>
        <w:numPr>
          <w:ilvl w:val="0"/>
          <w:numId w:val="1001"/>
        </w:numPr>
      </w:pPr>
      <w:r>
        <w:t xml:space="preserve">Record one primary role only when it drives the strongest evidence need.</w:t>
      </w:r>
    </w:p>
    <w:p>
      <w:pPr>
        <w:pStyle w:val="Compact"/>
        <w:numPr>
          <w:ilvl w:val="0"/>
          <w:numId w:val="1001"/>
        </w:numPr>
      </w:pPr>
      <w:r>
        <w:t xml:space="preserve">Record secondary roles only when they materially change risk, evidence,</w:t>
      </w:r>
      <w:r>
        <w:t xml:space="preserve"> </w:t>
      </w:r>
      <w:r>
        <w:t xml:space="preserve">or reflection.</w:t>
      </w:r>
    </w:p>
    <w:p>
      <w:pPr>
        <w:pStyle w:val="Compact"/>
        <w:numPr>
          <w:ilvl w:val="0"/>
          <w:numId w:val="1001"/>
        </w:numPr>
      </w:pPr>
      <w:r>
        <w:t xml:space="preserve">Do not escalate evidence because a role sounds technologically advanced;</w:t>
      </w:r>
      <w:r>
        <w:t xml:space="preserve"> </w:t>
      </w:r>
      <w:r>
        <w:t xml:space="preserve">escalate when the role changes the validity argument.</w:t>
      </w:r>
    </w:p>
    <w:p>
      <w:pPr>
        <w:pStyle w:val="Compact"/>
        <w:numPr>
          <w:ilvl w:val="0"/>
          <w:numId w:val="1001"/>
        </w:numPr>
      </w:pPr>
      <w:r>
        <w:t xml:space="preserve">Where a workflow is ambiguous, preserve uncertainty and record the</w:t>
      </w:r>
      <w:r>
        <w:t xml:space="preserve"> </w:t>
      </w:r>
      <w:r>
        <w:t xml:space="preserve">decision rule rather than forcing a neat chronology.</w:t>
      </w:r>
    </w:p>
    <w:bookmarkEnd w:id="22"/>
    <w:bookmarkStart w:id="23" w:name="Xef269b77c01541e42744373803f48e59394bf5e"/>
    <w:p>
      <w:bookmarkStart w:id="2002" w:name="aiap_c_2002"/>
      <w:pPr>
        <w:pStyle w:val="Heading1"/>
        <w:keepNext/>
        <w:widowControl/>
      </w:pPr>
      <w:r>
        <w:t xml:space="preserve">3. Role definitions</w:t>
      </w:r>
      <w:bookmarkEnd w:id="2002"/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Inclusion rule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Exclusion rule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Typical evidence implication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R0 Structurally excluded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access is materially constrained because independent performance is part of the claim.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Ordinary study or preparation support outside the controlled event is not R0.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Identity, access, control strength, accommodations, residual limitations.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R1 Tutor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explains, quizzes, scaffolds, or supports practice.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materially shapes the assessed artifact or judgement.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Usually light reflection when educationally relevant.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R2 Feedback partner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critiques student-created work and suggests changes.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creates the central content or performs the assessed decision.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Draft/feedback/revision rationale when claim-relevant.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R3 Tool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performs bounded procedural functions such as formatting, translation, code support, data cleaning, or visualization.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supplies the central analysis or conclusion.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Tool log and verification where the function is material.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R4 Generative co-production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generates substantial content under student direction.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The output is only an object of critique rather than part of the submitted product.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Representative workflow, source checks, human contribution, accountability.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R5 Object of critique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The assessed construct is evaluation, audit, correction, or comparison of AI output/process.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merely provides background support.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Captured outputs, criteria, errors, corrections, unseen audit.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R6 Agentic workflow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chains tools, automations, or agents across multiple task stages.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 single bounded tool call with no delegated workflow.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Workflow map, delegated functions, retained decision rights, stop/override points, independent verification.</w:t>
            </w:r>
          </w:p>
        </w:tc>
      </w:tr>
    </w:tbl>
    <w:bookmarkEnd w:id="23"/>
    <w:bookmarkStart w:id="24" w:name="X074059f72ab908c2ac609b998ed9303520066d9"/>
    <w:p>
      <w:bookmarkStart w:id="2003" w:name="aiap_c_2003"/>
      <w:pPr>
        <w:pStyle w:val="Heading1"/>
        <w:keepNext/>
        <w:widowControl/>
      </w:pPr>
      <w:r>
        <w:t xml:space="preserve">4. Primary and secondary role selection</w:t>
      </w:r>
      <w:bookmarkEnd w:id="2003"/>
    </w:p>
    <w:p>
      <w:pPr>
        <w:pStyle w:val="FirstParagraph"/>
      </w:pPr>
      <w:r>
        <w:t xml:space="preserve">Select the primary role by asking which AI function most directly changes</w:t>
      </w:r>
      <w:r>
        <w:t xml:space="preserve"> </w:t>
      </w:r>
      <w:r>
        <w:t xml:space="preserve">the inference, highest-weighted criterion, or strongest evidence burden.</w:t>
      </w:r>
      <w:r>
        <w:t xml:space="preserve"> </w:t>
      </w:r>
      <w:r>
        <w:t xml:space="preserve">Secondary roles are recorded only when they independently affect evidence,</w:t>
      </w:r>
      <w:r>
        <w:t xml:space="preserve"> </w:t>
      </w:r>
      <w:r>
        <w:t xml:space="preserve">risk, or student responsibility. One workflow may contain several roles;</w:t>
      </w:r>
      <w:r>
        <w:t xml:space="preserve"> </w:t>
      </w:r>
      <w:r>
        <w:t xml:space="preserve">that does not create several lanes automatically.</w:t>
      </w:r>
    </w:p>
    <w:bookmarkEnd w:id="24"/>
    <w:bookmarkStart w:id="25" w:name="Xf7cc59183192e2171ad5982c49e9e14d621d697"/>
    <w:p>
      <w:bookmarkStart w:id="2004" w:name="aiap_c_2004"/>
      <w:pPr>
        <w:pStyle w:val="Heading1"/>
        <w:keepNext/>
        <w:widowControl/>
      </w:pPr>
      <w:r>
        <w:t xml:space="preserve">5. Ambiguous cases</w:t>
      </w:r>
      <w:bookmarkEnd w:id="2004"/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Case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Default coding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Reason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Translation of a report where language is not assessed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R3 secondary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Bounded procedural support; verify disciplinary meaning.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feedback followed by student revision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R2 primary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Feedback materially shapes revision decisions.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generates data interpretation that the student adopts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R4 primary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Central analytical content is co-produced.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Student audits a new AI output for bias and error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R5 primary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output is the object of assessed judgement.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Agent locates sources, cleans data, drafts and formats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R6 primary; R4 secondary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Multi-stage delegation controls the validity risk.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 used to rehearse a viva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R1 or R2 preparation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Rehearsal is legitimate; unseen/changed challenge carries the authentication burden.</w:t>
            </w:r>
          </w:p>
        </w:tc>
      </w:tr>
    </w:tbl>
    <w:bookmarkEnd w:id="25"/>
    <w:bookmarkStart w:id="26" w:name="X703faa0712e83d5ddb508356e401d9404649719"/>
    <w:p>
      <w:bookmarkStart w:id="2005" w:name="aiap_c_2005"/>
      <w:pPr>
        <w:pStyle w:val="Heading1"/>
        <w:keepNext/>
        <w:widowControl/>
      </w:pPr>
      <w:r>
        <w:t xml:space="preserve">6. Group and collaborative work</w:t>
      </w:r>
      <w:bookmarkEnd w:id="2005"/>
    </w:p>
    <w:p>
      <w:pPr>
        <w:pStyle w:val="FirstParagraph"/>
      </w:pPr>
      <w:r>
        <w:t xml:space="preserve">Code the group workflow and each individual claim separately. A shared R4 or</w:t>
      </w:r>
      <w:r>
        <w:t xml:space="preserve"> </w:t>
      </w:r>
      <w:r>
        <w:t xml:space="preserve">R6 artifact does not establish which person retained which decisions. When</w:t>
      </w:r>
      <w:r>
        <w:t xml:space="preserve"> </w:t>
      </w:r>
      <w:r>
        <w:t xml:space="preserve">an individual claim is consequential, the evidence plan must preserve</w:t>
      </w:r>
      <w:r>
        <w:t xml:space="preserve"> </w:t>
      </w:r>
      <w:r>
        <w:t xml:space="preserve">individual attribution through separate authentication, observed roles,</w:t>
      </w:r>
      <w:r>
        <w:t xml:space="preserve"> </w:t>
      </w:r>
      <w:r>
        <w:t xml:space="preserve">decision logs, or another construct-valid route.</w:t>
      </w:r>
    </w:p>
    <w:bookmarkEnd w:id="26"/>
    <w:bookmarkStart w:id="27" w:name="X67f53862f5a206d3435f1b6a82ba9016e1f9197"/>
    <w:p>
      <w:bookmarkStart w:id="2006" w:name="aiap_c_2006"/>
      <w:pPr>
        <w:pStyle w:val="Heading1"/>
        <w:keepNext/>
        <w:widowControl/>
      </w:pPr>
      <w:r>
        <w:t xml:space="preserve">7. Reliability study</w:t>
      </w:r>
      <w:bookmarkEnd w:id="2006"/>
    </w:p>
    <w:p>
      <w:pPr>
        <w:pStyle w:val="FirstParagraph"/>
      </w:pPr>
      <w:r>
        <w:t xml:space="preserve">A pilot should use independently coded real workflows, a frozen manual,</w:t>
      </w:r>
      <w:r>
        <w:t xml:space="preserve"> </w:t>
      </w:r>
      <w:r>
        <w:t xml:space="preserve">blinded coders, and preregistered agreement statistics. Compare R0-R6 with a</w:t>
      </w:r>
      <w:r>
        <w:t xml:space="preserve"> </w:t>
      </w:r>
      <w:r>
        <w:t xml:space="preserve">simpler alternative. If the seven-role vocabulary does not improve evidence</w:t>
      </w:r>
      <w:r>
        <w:t xml:space="preserve"> </w:t>
      </w:r>
      <w:r>
        <w:t xml:space="preserve">selection, communication, or programme mapping enough to justify burden, it</w:t>
      </w:r>
      <w:r>
        <w:t xml:space="preserve"> </w:t>
      </w:r>
      <w:r>
        <w:t xml:space="preserve">should be simplified.</w:t>
      </w:r>
    </w:p>
    <w:bookmarkEnd w:id="27"/>
    <w:bookmarkStart w:id="28" w:name="appendix-a-minimum-coding-record"/>
    <w:p>
      <w:bookmarkStart w:id="2007" w:name="aiap_c_2007"/>
      <w:pPr>
        <w:pStyle w:val="Heading1"/>
        <w:keepNext/>
        <w:widowControl/>
      </w:pPr>
      <w:r>
        <w:t xml:space="preserve">Appendix A. Minimum coding record</w:t>
      </w:r>
      <w:bookmarkEnd w:id="2007"/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Required content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Claim ID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Material claim affected by AI use.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Primary role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R0-R6 plus rationale.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Secondary roles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Only material secondary functions.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Evidence implication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What the coding changes in the evidence plan.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Uncertainty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Ambiguity, missing evidence, and alternative code.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Reviewer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Coder, date, manual version, adjudication if any.</w:t>
            </w:r>
          </w:p>
        </w:tc>
      </w:tr>
    </w:tbl>
    <w:bookmarkEnd w:id="28"/>
    <w:sectPr>
      <w:headerReference r:id="rId9" w:type="even"/>
      <w:headerReference r:id="rId10" w:type="default"/>
      <w:headerReference r:id="rId11" w:type="first"/>
      <w:footerReference r:id="rId12" w:type="even"/>
      <w:footerReference r:id="rId13" w:type="default"/>
      <w:footerReference r:id="rId14" w:type="first"/>
      <w:type w:val="nextPage"/>
      <w:pgSz w:h="16838" w:w="11906"/>
      <w:pgMar w:bottom="936" w:footer="432" w:gutter="0" w:header="432" w:left="1123" w:right="1123" w:top="1080"/>
      <w:formProt w:val="false"/>
      <w:titlePg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Liberation Sans">
    <w:altName w:val="Arial"/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spacing w:after="0"/>
      <w:jc w:val="center"/>
    </w:pPr>
    <w:r>
      <w:rPr>
        <w:rFonts w:ascii="Calibri" w:hAnsi="Calibri"/>
        <w:color w:val="595959"/>
        <w:sz w:val="16"/>
      </w:rPr>
      <w:t xml:space="preserve">Page </w:t>
    </w:r>
    <w:r>
      <w:fldChar w:fldCharType="begin"/>
      <w:instrText xml:space="preserve">PAGE</w:instrText>
      <w:fldChar w:fldCharType="separate"/>
    </w:r>
    <w:r>
      <w:t>1</w:t>
      <w:fldChar w:fldCharType="end"/>
    </w:r>
    <w:r>
      <w:rPr>
        <w:rFonts w:ascii="Calibri" w:hAnsi="Calibri"/>
        <w:color w:val="595959"/>
        <w:sz w:val="16"/>
      </w:rPr>
      <w:t xml:space="preserve"> of </w:t>
    </w:r>
    <w:r>
      <w:fldChar w:fldCharType="begin"/>
      <w:instrText xml:space="preserve">NUMPAGES</w:instrText>
      <w:fldChar w:fldCharType="separate"/>
    </w:r>
    <w:r>
      <w:t>1</w:t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tabs>
        <w:tab w:pos="9576" w:val="right"/>
      </w:tabs>
      <w:spacing w:after="0"/>
      <w:jc w:val="center"/>
      <w:pBdr>
        <w:bottom w:val="single" w:sz="4" w:space="5" w:color="9FBAD0"/>
      </w:pBdr>
    </w:pPr>
    <w:r>
      <w:rPr>
        <w:rFonts w:ascii="Calibri" w:hAnsi="Calibri"/>
        <w:b/>
        <w:color w:val="595959"/>
        <w:sz w:val="16"/>
      </w:rPr>
      <w:t>ARTIFICIAL INTELLIGENCE ASSURANCE PROTOCOL   |   ROLE CODING MANUAL v6.5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120" w:before="0" w:line="259" w:lineRule="auto"/>
      <w:jc w:val="both"/>
    </w:pPr>
    <w:rPr>
      <w:rFonts w:ascii="Georgia" w:cs="Liberation Sans" w:eastAsia="Noto Serif" w:hAnsi="Georgia"/>
      <w:color w:val="1F2933"/>
      <w:kern w:val="0"/>
      <w:sz w:val="20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="Calibri" w:asciiTheme="majorHAnsi" w:cs="" w:cstheme="majorBidi" w:eastAsia="Carlito" w:eastAsiaTheme="majorEastAsia" w:hAnsi="Calibri" w:hAnsiTheme="majorHAnsi"/>
      <w:b/>
      <w:bCs/>
      <w:color w:val="17365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styleId="List" w:type="paragraph">
    <w:name w:val="List"/>
    <w:basedOn w:val="BodyText"/>
    <w:pPr/>
    <w:rPr>
      <w:rFonts w:cs="Lohit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customStyle="1" w:styleId="Compact" w:type="paragraph">
    <w:name w:val="Compact"/>
    <w:basedOn w:val="BodyText"/>
    <w:qFormat/>
    <w:pPr>
      <w:spacing w:after="30" w:before="36" w:line="240" w:lineRule="auto"/>
      <w:ind w:hanging="230" w:start="360"/>
    </w:pPr>
    <w:rPr>
      <w:rFonts w:ascii="Carlito" w:cs="Liberation Sans" w:eastAsia="Carlito" w:hAnsi="Carlito"/>
      <w:color w:val="1F2933"/>
      <w:sz w:val="18"/>
    </w:rPr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60" w:line="240" w:lineRule="auto"/>
      <w:ind w:hanging="360" w:left="360"/>
    </w:pPr>
    <w:rPr>
      <w:rFonts w:ascii="Noto Serif" w:hAnsi="Noto Serif"/>
      <w:sz w:val="1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end="480" w:hanging="0" w:star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uiPriority w:val="9"/>
    <w:unhideWhenUsed/>
    <w:qFormat/>
    <w:pPr>
      <w:widowControl/>
      <w:bidi w:val="0"/>
      <w:spacing w:after="100" w:before="100"/>
      <w:ind w:end="480" w:hanging="0" w:start="480"/>
      <w:jc w:val="star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>
      <w:rFonts w:ascii="Noto Serif" w:hAnsi="Noto Serif"/>
      <w:sz w:val="17"/>
    </w:rPr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  <w:spacing w:after="40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customStyle="1" w:styleId="TOC1" w:type="paragraph">
    <w:name w:val="toc 1"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TOC2" w:type="paragraph">
    <w:name w:val="toc 2"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customStyle="1" w:styleId="Contents1" w:type="paragraph">
    <w:name w:val="Contents 1"/>
    <w:qFormat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Contents2" w:type="paragraph">
    <w:name w:val="Contents 2"/>
    <w:qFormat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HeaderandFooter"/>
    <w:pPr/>
    <w:rPr/>
  </w:style>
  <w:style w:styleId="Footer" w:type="paragraph">
    <w:name w:val="footer"/>
    <w:basedOn w:val="HeaderandFooter"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customStyle="1" w:styleId="TOC1" w:type="paragraph">
    <w:name w:val="TOC 1"/>
    <w:basedOn w:val="Normal"/>
    <w:pPr>
      <w:keepLines/>
      <w:spacing w:after="20"/>
      <w:ind w:firstLine="0" w:left="0"/>
    </w:pPr>
    <w:rPr>
      <w:rFonts w:ascii="Calibri" w:hAnsi="Calibri"/>
      <w:sz w:val="19"/>
    </w:rPr>
  </w:style>
  <w:style w:customStyle="1" w:styleId="TOC2" w:type="paragraph">
    <w:name w:val="TOC 2"/>
    <w:basedOn w:val="Normal"/>
    <w:pPr>
      <w:keepLines/>
      <w:spacing w:after="20"/>
      <w:ind w:firstLine="0" w:left="360"/>
    </w:pPr>
    <w:rPr>
      <w:rFonts w:ascii="Calibri" w:hAnsi="Calibri"/>
      <w:sz w:val="18"/>
    </w:rPr>
  </w:style>
  <w:style w:customStyle="1" w:styleId="TOC3" w:type="paragraph">
    <w:name w:val="TOC 3"/>
    <w:basedOn w:val="Normal"/>
    <w:pPr>
      <w:keepLines/>
      <w:spacing w:after="20"/>
      <w:ind w:firstLine="0" w:left="720"/>
    </w:pPr>
    <w:rPr>
      <w:rFonts w:ascii="Calibri" w:hAnsi="Calibri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58</Pages>
  <Words>28442</Words>
  <Characters>187488</Characters>
  <CharactersWithSpaces>214726</CharactersWithSpaces>
  <Paragraphs>1170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AIAP Role Coding Manual v6.5</dc:title>
  <dc:creator>James McGaughran</dc:creator>
  <cp:keywords>AIAP, assessment assurance, generative AI, higher education</cp:keywords>
  <dcterms:created xsi:type="dcterms:W3CDTF">2026-08-13T14:00:05Z</dcterms:created>
  <dcterms:modified xsi:type="dcterms:W3CDTF">2026-08-13T14:00:05Z</dcterms:modified>
  <dc:subject>AIAP Roles v6.5</dc:subject>
  <dc:description>AIAP Release 6.5; specification-complete and publication-ready for governed pilot preparation; not empirical validation.</dc:description>
  <cp:lastModifiedBy>James McGaughran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