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Calibri" w:hAnsi="Calibri"/>
          <w:b/>
          <w:bCs/>
          <w:color w:val="17365D"/>
          <w:sz w:val="48"/>
        </w:rPr>
        <w:t xml:space="preserve">AIAP Student and Instructor Toolkit</w:t>
      </w:r>
    </w:p>
    <w:p>
      <w:pPr>
        <w:pStyle w:val="BodyText"/>
        <w:jc w:val="center"/>
      </w:pPr>
      <w:r>
        <w:rPr>
          <w:rFonts w:ascii="Georgia" w:hAnsi="Georgia"/>
          <w:i/>
          <w:iCs/>
          <w:color w:val="595959"/>
          <w:sz w:val="24"/>
        </w:rPr>
        <w:t xml:space="preserve">Copy-ready briefs, records, rubrics, and moderation tools</w:t>
      </w:r>
    </w:p>
    <w:p>
      <w:pPr>
        <w:pStyle w:val="BodyText"/>
        <w:jc w:val="center"/>
      </w:pPr>
      <w:r>
        <w:rPr>
          <w:rFonts w:ascii="Georgia" w:hAnsi="Georgia"/>
          <w:b/>
          <w:bCs/>
          <w:sz w:val="20"/>
        </w:rPr>
        <w:t xml:space="preserve">AIAP Release 6.5 | August 2026</w:t>
      </w:r>
    </w:p>
    <w:p>
      <w:pPr>
        <w:pStyle w:val="BodyText"/>
        <w:jc w:val="center"/>
      </w:pPr>
      <w:r>
        <w:rPr>
          <w:rFonts w:ascii="Georgia" w:hAnsi="Georgia"/>
          <w:sz w:val="20"/>
        </w:rPr>
        <w:t xml:space="preserve">Version-matched to the AIAP Core Working Paper v6.5 (Canonical Edition).</w:t>
      </w:r>
    </w:p>
    <w:bookmarkStart w:id="20" w:name="contents"/>
    <w:p>
      <w:pPr>
        <w:pStyle w:val="Heading1"/>
        <w:keepNext/>
        <w:pageBreakBefore/>
        <w:widowControl/>
        <w:jc w:val="center"/>
      </w:pPr>
      <w:r>
        <w:rPr>
          <w:rFonts w:ascii="Georgia" w:hAnsi="Georgia"/>
          <w:sz w:val="20"/>
        </w:rPr>
        <w:t xml:space="preserve">Contents</w:t>
      </w:r>
    </w:p>
    <w:p>
      <w:pPr>
        <w:pStyle w:val="TOC1"/>
        <w:tabs>
          <w:tab w:val="right" w:leader="dot" w:pos="8856"/>
        </w:tabs>
      </w:pPr>
      <w:hyperlink w:anchor="aiap_c_2000" w:history="1">
        <w:r>
          <w:rPr>
            <w:rStyle w:val="Hyperlink"/>
            <w:b/>
            <w:color w:val="1F4E79"/>
            <w:sz w:val="19"/>
          </w:rPr>
          <w:t>1. Student-facing lane statements</w:t>
        </w:r>
      </w:hyperlink>
      <w:r>
        <w:tab/>
      </w:r>
      <w:hyperlink w:anchor="aiap_c_2000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1" w:history="1">
        <w:r>
          <w:rPr>
            <w:rStyle w:val="Hyperlink"/>
            <w:color w:val="1F4E79"/>
            <w:sz w:val="18"/>
          </w:rPr>
          <w:t>Lane 1 — Secured</w:t>
        </w:r>
      </w:hyperlink>
      <w:r>
        <w:tab/>
      </w:r>
      <w:hyperlink w:anchor="aiap_c_2001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2" w:history="1">
        <w:r>
          <w:rPr>
            <w:rStyle w:val="Hyperlink"/>
            <w:color w:val="1F4E79"/>
            <w:sz w:val="18"/>
          </w:rPr>
          <w:t>Lane 2A — Competence-authenticated open</w:t>
        </w:r>
      </w:hyperlink>
      <w:r>
        <w:tab/>
      </w:r>
      <w:hyperlink w:anchor="aiap_c_2002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3" w:history="1">
        <w:r>
          <w:rPr>
            <w:rStyle w:val="Hyperlink"/>
            <w:color w:val="1F4E79"/>
            <w:sz w:val="18"/>
          </w:rPr>
          <w:t>Lane 2B — Open non-certifying</w:t>
        </w:r>
      </w:hyperlink>
      <w:r>
        <w:tab/>
      </w:r>
      <w:hyperlink w:anchor="aiap_c_2003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4" w:history="1">
        <w:r>
          <w:rPr>
            <w:rStyle w:val="Hyperlink"/>
            <w:color w:val="1F4E79"/>
            <w:sz w:val="18"/>
          </w:rPr>
          <w:t>Lane 3 — AI-integrated open</w:t>
        </w:r>
      </w:hyperlink>
      <w:r>
        <w:tab/>
      </w:r>
      <w:hyperlink w:anchor="aiap_c_2004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5" w:history="1">
        <w:r>
          <w:rPr>
            <w:rStyle w:val="Hyperlink"/>
            <w:b/>
            <w:color w:val="1F4E79"/>
            <w:sz w:val="19"/>
          </w:rPr>
          <w:t>2. Tier 1 claim-dependent record</w:t>
        </w:r>
      </w:hyperlink>
      <w:r>
        <w:tab/>
      </w:r>
      <w:hyperlink w:anchor="aiap_c_2005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6" w:history="1">
        <w:r>
          <w:rPr>
            <w:rStyle w:val="Hyperlink"/>
            <w:b/>
            <w:color w:val="1F4E79"/>
            <w:sz w:val="19"/>
          </w:rPr>
          <w:t>3. Tier 2 workflow record</w:t>
        </w:r>
      </w:hyperlink>
      <w:r>
        <w:tab/>
      </w:r>
      <w:hyperlink w:anchor="aiap_c_2006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7" w:history="1">
        <w:r>
          <w:rPr>
            <w:rStyle w:val="Hyperlink"/>
            <w:b/>
            <w:color w:val="1F4E79"/>
            <w:sz w:val="19"/>
          </w:rPr>
          <w:t>4. Instructor claim-profile sheet</w:t>
        </w:r>
      </w:hyperlink>
      <w:r>
        <w:tab/>
      </w:r>
      <w:hyperlink w:anchor="aiap_c_2007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8" w:history="1">
        <w:r>
          <w:rPr>
            <w:rStyle w:val="Hyperlink"/>
            <w:b/>
            <w:color w:val="1F4E79"/>
            <w:sz w:val="19"/>
          </w:rPr>
          <w:t>5. Authentication prompt bank and exposure template</w:t>
        </w:r>
      </w:hyperlink>
      <w:r>
        <w:tab/>
      </w:r>
      <w:hyperlink w:anchor="aiap_c_2008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09" w:history="1">
        <w:r>
          <w:rPr>
            <w:rStyle w:val="Hyperlink"/>
            <w:b/>
            <w:color w:val="1F4E79"/>
            <w:sz w:val="19"/>
          </w:rPr>
          <w:t>6. Product–authentication decision record</w:t>
        </w:r>
      </w:hyperlink>
      <w:r>
        <w:tab/>
      </w:r>
      <w:hyperlink w:anchor="aiap_c_2009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0" w:history="1">
        <w:r>
          <w:rPr>
            <w:rStyle w:val="Hyperlink"/>
            <w:b/>
            <w:color w:val="1F4E79"/>
            <w:sz w:val="19"/>
          </w:rPr>
          <w:t>7. Moderation checklist</w:t>
        </w:r>
      </w:hyperlink>
      <w:r>
        <w:tab/>
      </w:r>
      <w:hyperlink w:anchor="aiap_c_2010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1" w:history="1">
        <w:r>
          <w:rPr>
            <w:rStyle w:val="Hyperlink"/>
            <w:b/>
            <w:color w:val="1F4E79"/>
            <w:sz w:val="19"/>
          </w:rPr>
          <w:t>8. Programme assurance map</w:t>
        </w:r>
      </w:hyperlink>
      <w:r>
        <w:tab/>
      </w:r>
      <w:hyperlink w:anchor="aiap_c_2011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12" w:history="1">
        <w:r>
          <w:rPr>
            <w:rStyle w:val="Hyperlink"/>
            <w:b/>
            <w:color w:val="1F4E79"/>
            <w:sz w:val="19"/>
          </w:rPr>
          <w:t>9. Student FAQ</w:t>
        </w:r>
      </w:hyperlink>
      <w:r>
        <w:tab/>
      </w:r>
      <w:hyperlink w:anchor="aiap_c_2012" w:history="1">
        <w:r>
          <w:rPr>
            <w:rStyle w:val="Hyperlink"/>
            <w:b/>
            <w:color w:val="1F4E79"/>
            <w:sz w:val="19"/>
          </w:rPr>
          <w:t>5</w:t>
        </w:r>
      </w:hyperlink>
    </w:p>
    <w:bookmarkEnd w:id="20"/>
    <w:bookmarkStart w:id="25" w:name="X2574bd8a691c1d821acededf347e33749f05ca9"/>
    <w:p>
      <w:bookmarkStart w:id="2000" w:name="aiap_c_2000"/>
      <w:pPr>
        <w:pStyle w:val="Heading1"/>
        <w:keepNext/>
        <w:pageBreakBefore/>
        <w:widowControl/>
      </w:pPr>
      <w:r>
        <w:t xml:space="preserve">1. Student-facing lane statements</w:t>
      </w:r>
      <w:bookmarkEnd w:id="2000"/>
    </w:p>
    <w:bookmarkStart w:id="21" w:name="lane-1--secured"/>
    <w:p>
      <w:bookmarkStart w:id="2001" w:name="aiap_c_2001"/>
      <w:pPr>
        <w:pStyle w:val="Heading2"/>
        <w:keepNext/>
        <w:widowControl/>
      </w:pPr>
      <w:r>
        <w:t xml:space="preserve">Lane 1 — Secured</w:t>
      </w:r>
      <w:bookmarkEnd w:id="2001"/>
    </w:p>
    <w:p>
      <w:pPr>
        <w:pStyle w:val="FirstParagraph"/>
      </w:pPr>
      <w:r>
        <w:t xml:space="preserve">You will demonstrate</w:t>
      </w:r>
      <w:r>
        <w:t xml:space="preserve"> </w:t>
      </w:r>
      <w:r>
        <w:rPr>
          <w:b/>
          <w:bCs/>
        </w:rPr>
        <w:t xml:space="preserve">[capability]</w:t>
      </w:r>
      <w:r>
        <w:t xml:space="preserve"> </w:t>
      </w:r>
      <w:r>
        <w:t xml:space="preserve">under materially constrained</w:t>
      </w:r>
      <w:r>
        <w:t xml:space="preserve"> </w:t>
      </w:r>
      <w:r>
        <w:rPr>
          <w:b/>
          <w:bCs/>
        </w:rPr>
        <w:t xml:space="preserve">[named]</w:t>
      </w:r>
      <w:r>
        <w:t xml:space="preserve"> </w:t>
      </w:r>
      <w:r>
        <w:t xml:space="preserve">conditions. The assessment is designed to show what you</w:t>
      </w:r>
      <w:r>
        <w:t xml:space="preserve"> </w:t>
      </w:r>
      <w:r>
        <w:t xml:space="preserve">can do personally in that setting. Approved accessibility arrangements</w:t>
      </w:r>
      <w:r>
        <w:t xml:space="preserve"> </w:t>
      </w:r>
      <w:r>
        <w:t xml:space="preserve">remain available. The result does not prove every part of your</w:t>
      </w:r>
      <w:r>
        <w:t xml:space="preserve"> </w:t>
      </w:r>
      <w:r>
        <w:t xml:space="preserve">historical working process was unaided.</w:t>
      </w:r>
    </w:p>
    <w:bookmarkEnd w:id="21"/>
    <w:bookmarkStart w:id="22" w:name="lane-2a--competence-authenticated-open"/>
    <w:p>
      <w:bookmarkStart w:id="2002" w:name="aiap_c_2002"/>
      <w:pPr>
        <w:pStyle w:val="Heading2"/>
        <w:keepNext/>
        <w:widowControl/>
      </w:pPr>
      <w:r>
        <w:t xml:space="preserve">Lane 2A — Competence-authenticated open</w:t>
      </w:r>
      <w:bookmarkEnd w:id="2002"/>
    </w:p>
    <w:p>
      <w:pPr>
        <w:pStyle w:val="FirstParagraph"/>
      </w:pPr>
      <w:r>
        <w:t xml:space="preserve">You may use ordinary resources, including permitted AI tools, while</w:t>
      </w:r>
      <w:r>
        <w:t xml:space="preserve"> </w:t>
      </w:r>
      <w:r>
        <w:t xml:space="preserve">producing the open work. You will also complete</w:t>
      </w:r>
      <w:r>
        <w:t xml:space="preserve"> </w:t>
      </w:r>
      <w:r>
        <w:rPr>
          <w:b/>
          <w:bCs/>
        </w:rPr>
        <w:t xml:space="preserve">[authentication]</w:t>
      </w:r>
      <w:r>
        <w:t xml:space="preserve">,</w:t>
      </w:r>
      <w:r>
        <w:t xml:space="preserve"> </w:t>
      </w:r>
      <w:r>
        <w:t xml:space="preserve">including an unseen or changed element, so that you can explain, defend, verify, adapt, and transfer the capability being assessed. The brief will state which components are load-bearing. The authentication</w:t>
      </w:r>
      <w:r>
        <w:t xml:space="preserve"> </w:t>
      </w:r>
      <w:r>
        <w:t xml:space="preserve">tests present competence, not a complete reconstruction of who produced</w:t>
      </w:r>
      <w:r>
        <w:t xml:space="preserve"> </w:t>
      </w:r>
      <w:r>
        <w:t xml:space="preserve">every part of the artifact.</w:t>
      </w:r>
    </w:p>
    <w:bookmarkEnd w:id="22"/>
    <w:bookmarkStart w:id="23" w:name="lane-2b--open-non-certifying"/>
    <w:p>
      <w:bookmarkStart w:id="2003" w:name="aiap_c_2003"/>
      <w:pPr>
        <w:pStyle w:val="Heading2"/>
        <w:keepNext/>
        <w:widowControl/>
      </w:pPr>
      <w:r>
        <w:t xml:space="preserve">Lane 2B — Open non-certifying</w:t>
      </w:r>
      <w:bookmarkEnd w:id="2003"/>
    </w:p>
    <w:p>
      <w:pPr>
        <w:pStyle w:val="FirstParagraph"/>
      </w:pPr>
      <w:r>
        <w:t xml:space="preserve">This activity supports practice, feedback, or development. It is not</w:t>
      </w:r>
      <w:r>
        <w:t xml:space="preserve"> </w:t>
      </w:r>
      <w:r>
        <w:t xml:space="preserve">being used as primary certification of</w:t>
      </w:r>
      <w:r>
        <w:t xml:space="preserve"> </w:t>
      </w:r>
      <w:r>
        <w:rPr>
          <w:b/>
          <w:bCs/>
        </w:rPr>
        <w:t xml:space="preserve">[capability]</w:t>
      </w:r>
      <w:r>
        <w:t xml:space="preserve">. That</w:t>
      </w:r>
      <w:r>
        <w:t xml:space="preserve"> </w:t>
      </w:r>
      <w:r>
        <w:t xml:space="preserve">capability is assessed at</w:t>
      </w:r>
      <w:r>
        <w:t xml:space="preserve"> </w:t>
      </w:r>
      <w:r>
        <w:rPr>
          <w:b/>
          <w:bCs/>
        </w:rPr>
        <w:t xml:space="preserve">[named assessment/programme point]</w:t>
      </w:r>
      <w:r>
        <w:t xml:space="preserve">.</w:t>
      </w:r>
    </w:p>
    <w:bookmarkEnd w:id="23"/>
    <w:bookmarkStart w:id="24" w:name="lane-3--ai-integrated-open"/>
    <w:p>
      <w:bookmarkStart w:id="2004" w:name="aiap_c_2004"/>
      <w:pPr>
        <w:pStyle w:val="Heading2"/>
        <w:keepNext/>
        <w:widowControl/>
      </w:pPr>
      <w:r>
        <w:t xml:space="preserve">Lane 3 — AI-integrated open</w:t>
      </w:r>
      <w:bookmarkEnd w:id="2004"/>
    </w:p>
    <w:p>
      <w:pPr>
        <w:pStyle w:val="FirstParagraph"/>
      </w:pPr>
      <w:r>
        <w:t xml:space="preserve">Responsible AI-mediated practice is part of what is assessed. You must</w:t>
      </w:r>
      <w:r>
        <w:t xml:space="preserve"> </w:t>
      </w:r>
      <w:r>
        <w:t xml:space="preserve">show how tools were used, what you verified, what you changed or</w:t>
      </w:r>
      <w:r>
        <w:t xml:space="preserve"> </w:t>
      </w:r>
      <w:r>
        <w:t xml:space="preserve">rejected, which decisions remained yours, how risks were controlled, and</w:t>
      </w:r>
      <w:r>
        <w:t xml:space="preserve"> </w:t>
      </w:r>
      <w:r>
        <w:t xml:space="preserve">how you would adapt the workflow to a new case.</w:t>
      </w:r>
    </w:p>
    <w:bookmarkEnd w:id="24"/>
    <w:bookmarkEnd w:id="25"/>
    <w:bookmarkStart w:id="26" w:name="Xe6bd81b72b981dbfbb6403149925a2d7469e8fe"/>
    <w:p>
      <w:bookmarkStart w:id="2005" w:name="aiap_c_2005"/>
      <w:pPr>
        <w:pStyle w:val="Heading1"/>
        <w:keepNext/>
        <w:widowControl/>
      </w:pPr>
      <w:r>
        <w:t xml:space="preserve">2. Tier 1 claim-dependent record</w:t>
      </w:r>
      <w:bookmarkEnd w:id="2005"/>
    </w:p>
    <w:p>
      <w:pPr>
        <w:pStyle w:val="FirstParagraph"/>
      </w:pPr>
      <w:r>
        <w:t xml:space="preserve">Use only when it serves a declared purpose.</w:t>
      </w:r>
    </w:p>
    <w:p>
      <w:pPr>
        <w:pStyle w:val="Compact"/>
        <w:numPr>
          <w:ilvl w:val="0"/>
          <w:numId w:val="1001"/>
        </w:numPr>
      </w:pPr>
      <w:r>
        <w:t xml:space="preserve">Tool(s), if any:</w:t>
      </w:r>
    </w:p>
    <w:p>
      <w:pPr>
        <w:pStyle w:val="Compact"/>
        <w:numPr>
          <w:ilvl w:val="0"/>
          <w:numId w:val="1001"/>
        </w:numPr>
      </w:pPr>
      <w:r>
        <w:t xml:space="preserve">Purpose:</w:t>
      </w:r>
    </w:p>
    <w:p>
      <w:pPr>
        <w:pStyle w:val="Compact"/>
        <w:numPr>
          <w:ilvl w:val="0"/>
          <w:numId w:val="1001"/>
        </w:numPr>
      </w:pPr>
      <w:r>
        <w:t xml:space="preserve">What I accepted, changed, or rejected:</w:t>
      </w:r>
    </w:p>
    <w:p>
      <w:pPr>
        <w:pStyle w:val="Compact"/>
        <w:numPr>
          <w:ilvl w:val="0"/>
          <w:numId w:val="1001"/>
        </w:numPr>
      </w:pPr>
      <w:r>
        <w:t xml:space="preserve">Verification or source check:</w:t>
      </w:r>
    </w:p>
    <w:p>
      <w:pPr>
        <w:pStyle w:val="Compact"/>
        <w:numPr>
          <w:ilvl w:val="0"/>
          <w:numId w:val="1001"/>
        </w:numPr>
      </w:pPr>
      <w:r>
        <w:t xml:space="preserve">My contribution and responsibility:</w:t>
      </w:r>
    </w:p>
    <w:bookmarkEnd w:id="26"/>
    <w:bookmarkStart w:id="27" w:name="X32f6daf10cd8d511862accea11370708aeb7277"/>
    <w:p>
      <w:bookmarkStart w:id="2006" w:name="aiap_c_2006"/>
      <w:pPr>
        <w:pStyle w:val="Heading1"/>
        <w:keepNext/>
        <w:widowControl/>
      </w:pPr>
      <w:r>
        <w:t xml:space="preserve">3. Tier 2 workflow record</w:t>
      </w:r>
      <w:bookmarkEnd w:id="2006"/>
    </w:p>
    <w:p>
      <w:pPr>
        <w:pStyle w:val="Compact"/>
        <w:numPr>
          <w:ilvl w:val="0"/>
          <w:numId w:val="1002"/>
        </w:numPr>
      </w:pPr>
      <w:r>
        <w:t xml:space="preserve">Task and claim:</w:t>
      </w:r>
    </w:p>
    <w:p>
      <w:pPr>
        <w:pStyle w:val="Compact"/>
        <w:numPr>
          <w:ilvl w:val="0"/>
          <w:numId w:val="1002"/>
        </w:numPr>
      </w:pPr>
      <w:r>
        <w:t xml:space="preserve">Tools/model versions where material:</w:t>
      </w:r>
    </w:p>
    <w:p>
      <w:pPr>
        <w:pStyle w:val="Compact"/>
        <w:numPr>
          <w:ilvl w:val="0"/>
          <w:numId w:val="1002"/>
        </w:numPr>
      </w:pPr>
      <w:r>
        <w:t xml:space="preserve">Workflow and delegated functions:</w:t>
      </w:r>
    </w:p>
    <w:p>
      <w:pPr>
        <w:pStyle w:val="Compact"/>
        <w:numPr>
          <w:ilvl w:val="0"/>
          <w:numId w:val="1002"/>
        </w:numPr>
      </w:pPr>
      <w:r>
        <w:t xml:space="preserve">Representative prompts/steps:</w:t>
      </w:r>
    </w:p>
    <w:p>
      <w:pPr>
        <w:pStyle w:val="Compact"/>
        <w:numPr>
          <w:ilvl w:val="0"/>
          <w:numId w:val="1002"/>
        </w:numPr>
      </w:pPr>
      <w:r>
        <w:t xml:space="preserve">Retained human decisions:</w:t>
      </w:r>
    </w:p>
    <w:p>
      <w:pPr>
        <w:pStyle w:val="Compact"/>
        <w:numPr>
          <w:ilvl w:val="0"/>
          <w:numId w:val="1002"/>
        </w:numPr>
      </w:pPr>
      <w:r>
        <w:t xml:space="preserve">Verification and independent checks:</w:t>
      </w:r>
    </w:p>
    <w:p>
      <w:pPr>
        <w:pStyle w:val="Compact"/>
        <w:numPr>
          <w:ilvl w:val="0"/>
          <w:numId w:val="1002"/>
        </w:numPr>
      </w:pPr>
      <w:r>
        <w:t xml:space="preserve">Errors/biases identified:</w:t>
      </w:r>
    </w:p>
    <w:p>
      <w:pPr>
        <w:pStyle w:val="Compact"/>
        <w:numPr>
          <w:ilvl w:val="0"/>
          <w:numId w:val="1002"/>
        </w:numPr>
      </w:pPr>
      <w:r>
        <w:t xml:space="preserve">Rejected recommendations and reasons:</w:t>
      </w:r>
    </w:p>
    <w:p>
      <w:pPr>
        <w:pStyle w:val="Compact"/>
        <w:numPr>
          <w:ilvl w:val="0"/>
          <w:numId w:val="1002"/>
        </w:numPr>
      </w:pPr>
      <w:r>
        <w:t xml:space="preserve">Stop/override points:</w:t>
      </w:r>
    </w:p>
    <w:p>
      <w:pPr>
        <w:pStyle w:val="Compact"/>
        <w:numPr>
          <w:ilvl w:val="0"/>
          <w:numId w:val="1002"/>
        </w:numPr>
      </w:pPr>
      <w:r>
        <w:t xml:space="preserve">Data, privacy, safety, or fairness controls:</w:t>
      </w:r>
    </w:p>
    <w:p>
      <w:pPr>
        <w:pStyle w:val="Compact"/>
        <w:numPr>
          <w:ilvl w:val="0"/>
          <w:numId w:val="1002"/>
        </w:numPr>
      </w:pPr>
      <w:r>
        <w:t xml:space="preserve">Residual limitations and responsibility:</w:t>
      </w:r>
    </w:p>
    <w:bookmarkEnd w:id="27"/>
    <w:bookmarkStart w:id="28" w:name="X232805a035fa6b9d42e29b5570cff079429c7b9"/>
    <w:p>
      <w:bookmarkStart w:id="2007" w:name="aiap_c_2007"/>
      <w:pPr>
        <w:pStyle w:val="Heading1"/>
        <w:keepNext/>
        <w:widowControl/>
      </w:pPr>
      <w:r>
        <w:t xml:space="preserve">4. Instructor claim-profile sheet</w:t>
      </w:r>
      <w:bookmarkEnd w:id="2007"/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bCs/>
                <w:color w:val="FFFFFF"/>
                <w:sz w:val="17"/>
              </w:rPr>
              <w:t xml:space="preserve">Field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bCs/>
                <w:color w:val="FFFFFF"/>
                <w:sz w:val="17"/>
              </w:rPr>
              <w:t xml:space="preserve">Entry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Material claim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Stakes and use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>Positive assurance object / routing status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>artifact quality / present demonstrable competence / production provenance or unaided authorship / AI-integrated capability; record Lane 1 independent capability and Lane 2B non-certifying learning support as routing values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Condition and modality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controlled/open; in-person/invigilated-remote/open-remote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Lane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1 / 2A / 2B / 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Primary/secondary AI roles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Evidence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Authentication; prompt/live-perturbation source; exposure window; form-equivalence evidence; submission-authentication interval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Combination model and threshold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Source/environmental independence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Accessibility-equivalent route and construct map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Reassessment; rubric/rationale access; second-review and rehearing route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Programme map and public wording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Requalification trigger/date</w:t>
            </w:r>
          </w:p>
        </w:tc>
        <w:tc>
          <w:tcPr/>
          <w:p>
            <w:pPr>
              <w:pStyle w:val="Compact"/>
              <w:spacing w:after="40" w:line="240" w:lineRule="auto"/>
            </w:pPr>
          </w:p>
        </w:tc>
      </w:tr>
    </w:tbl>
    <w:bookmarkEnd w:id="28"/>
    <w:bookmarkStart w:id="29" w:name="X31a1b3d8fc266a435b6e053cd6ec3c75528d58c"/>
    <w:p>
      <w:bookmarkStart w:id="2008" w:name="aiap_c_2008"/>
      <w:pPr>
        <w:pStyle w:val="Heading1"/>
        <w:keepNext/>
        <w:widowControl/>
      </w:pPr>
      <w:r>
        <w:t xml:space="preserve">5. Authentication prompt bank and exposure template</w:t>
      </w:r>
      <w:bookmarkEnd w:id="2008"/>
    </w:p>
    <w:p>
      <w:pPr>
        <w:pStyle w:val="FirstParagraph"/>
      </w:pPr>
      <w:r>
        <w:t xml:space="preserve">Prepare a balanced bank or governed live-perturbation set across</w:t>
      </w:r>
      <w:r>
        <w:t xml:space="preserve"> </w:t>
      </w:r>
      <w:r>
        <w:t xml:space="preserve">explanation, defence, verification, adaptation, error diagnosis, transfer,</w:t>
      </w:r>
      <w:r>
        <w:t xml:space="preserve"> </w:t>
      </w:r>
      <w:r>
        <w:t xml:space="preserve">and limits. Record prompt ID, form ID, material claim, load-bearing</w:t>
      </w:r>
      <w:r>
        <w:t xml:space="preserve"> </w:t>
      </w:r>
      <w:r>
        <w:t xml:space="preserve">component, cohort, exposure window, allocation method, use count, access</w:t>
      </w:r>
      <w:r>
        <w:t xml:space="preserve"> </w:t>
      </w:r>
      <w:r>
        <w:t xml:space="preserve">owner, suspected circulation, rotation/retirement rule, and</w:t>
      </w:r>
      <w:r>
        <w:t xml:space="preserve"> </w:t>
      </w:r>
      <w:r>
        <w:t xml:space="preserve">form-equivalence evidence. No universal bank-size ratio applies; justify</w:t>
      </w:r>
      <w:r>
        <w:t xml:space="preserve"> </w:t>
      </w:r>
      <w:r>
        <w:t xml:space="preserve">adequacy relative to the cohort, scheduling window, stakes, and threat</w:t>
      </w:r>
      <w:r>
        <w:t xml:space="preserve"> </w:t>
      </w:r>
      <w:r>
        <w:t xml:space="preserve">model. Avoid prompts that reward memory,</w:t>
      </w:r>
      <w:r>
        <w:t xml:space="preserve"> </w:t>
      </w:r>
      <w:r>
        <w:t xml:space="preserve">accent, speed, or confidence unless those are part of the construct.</w:t>
      </w:r>
    </w:p>
    <w:p>
      <w:pPr>
        <w:pStyle w:val="Compact"/>
        <w:numPr>
          <w:ilvl w:val="0"/>
          <w:numId w:val="1003"/>
        </w:numPr>
      </w:pPr>
      <w:r>
        <w:t xml:space="preserve">Explain one consequential choice and one credible alternative.</w:t>
      </w:r>
    </w:p>
    <w:p>
      <w:pPr>
        <w:pStyle w:val="Compact"/>
        <w:numPr>
          <w:ilvl w:val="0"/>
          <w:numId w:val="1003"/>
        </w:numPr>
      </w:pPr>
      <w:r>
        <w:t xml:space="preserve">Verify a named source or claim and state residual uncertainty.</w:t>
      </w:r>
    </w:p>
    <w:p>
      <w:pPr>
        <w:pStyle w:val="Compact"/>
        <w:numPr>
          <w:ilvl w:val="0"/>
          <w:numId w:val="1003"/>
        </w:numPr>
      </w:pPr>
      <w:r>
        <w:t xml:space="preserve">Diagnose a planted weakness in a new artifact or output.</w:t>
      </w:r>
    </w:p>
    <w:p>
      <w:pPr>
        <w:pStyle w:val="Compact"/>
        <w:numPr>
          <w:ilvl w:val="0"/>
          <w:numId w:val="1003"/>
        </w:numPr>
      </w:pPr>
      <w:r>
        <w:t xml:space="preserve">Adapt the recommendation to a changed audience, constraint, dataset,</w:t>
      </w:r>
      <w:r>
        <w:t xml:space="preserve"> </w:t>
      </w:r>
      <w:r>
        <w:t xml:space="preserve">or risk.</w:t>
      </w:r>
    </w:p>
    <w:p>
      <w:pPr>
        <w:pStyle w:val="Compact"/>
        <w:numPr>
          <w:ilvl w:val="0"/>
          <w:numId w:val="1003"/>
        </w:numPr>
      </w:pPr>
      <w:r>
        <w:t xml:space="preserve">State when the method should be refused, narrowed, or escalated.</w:t>
      </w:r>
    </w:p>
    <w:bookmarkEnd w:id="29"/>
    <w:bookmarkStart w:id="30" w:name="X323734d871db3da0b32c3374c71d8f121fca776"/>
    <w:p>
      <w:bookmarkStart w:id="2009" w:name="aiap_c_2009"/>
      <w:pPr>
        <w:pStyle w:val="Heading1"/>
        <w:keepNext/>
        <w:widowControl/>
      </w:pPr>
      <w:r>
        <w:t xml:space="preserve">6. Product–authentication decision record</w:t>
      </w:r>
      <w:bookmarkEnd w:id="2009"/>
    </w:p>
    <w:p>
      <w:pPr>
        <w:pStyle w:val="FirstParagraph"/>
      </w:pPr>
      <w:r>
        <w:t>Choose one for certifying claims: hurdle / dual-score / integrated rubric. For Lane 2B, record non_certifying; no product-authentication combination applies.</w:t>
      </w:r>
    </w:p>
    <w:p>
      <w:pPr>
        <w:pStyle w:val="BodyText"/>
      </w:pPr>
      <w:r>
        <w:t xml:space="preserve">Record construct, criteria, evidence-source map, weights, minima,</w:t>
      </w:r>
      <w:r>
        <w:t xml:space="preserve"> </w:t>
      </w:r>
      <w:r>
        <w:t xml:space="preserve">compensation limits, mismatch route, second check, reassessment,</w:t>
      </w:r>
      <w:r>
        <w:t xml:space="preserve"> </w:t>
      </w:r>
      <w:r>
        <w:t xml:space="preserve">integrity referral standard, moderation, and appeal.</w:t>
      </w:r>
    </w:p>
    <w:bookmarkEnd w:id="30"/>
    <w:bookmarkStart w:id="31" w:name="Xb4ba83ddfed44fb50c14b0670a81b97e14fc193"/>
    <w:p>
      <w:bookmarkStart w:id="2010" w:name="aiap_c_2010"/>
      <w:pPr>
        <w:pStyle w:val="Heading1"/>
        <w:keepNext/>
        <w:widowControl/>
      </w:pPr>
      <w:r>
        <w:t xml:space="preserve">7. Moderation checklist</w:t>
      </w:r>
      <w:bookmarkEnd w:id="2010"/>
    </w:p>
    <w:p>
      <w:pPr>
        <w:pStyle w:val="Compact"/>
        <w:numPr>
          <w:ilvl w:val="0"/>
          <w:numId w:val="1004"/>
        </w:numPr>
      </w:pPr>
      <w:r>
        <w:t xml:space="preserve">☐ Markers calibrated on claim-targeted examples.</w:t>
      </w:r>
    </w:p>
    <w:p>
      <w:pPr>
        <w:pStyle w:val="Compact"/>
        <w:numPr>
          <w:ilvl w:val="0"/>
          <w:numId w:val="1004"/>
        </w:numPr>
      </w:pPr>
      <w:r>
        <w:t xml:space="preserve">☐ Product and authentication evidence not double-counted.</w:t>
      </w:r>
    </w:p>
    <w:p>
      <w:pPr>
        <w:pStyle w:val="Compact"/>
        <w:numPr>
          <w:ilvl w:val="0"/>
          <w:numId w:val="1004"/>
        </w:numPr>
      </w:pPr>
      <w:r>
        <w:t xml:space="preserve">☐ Weak authentication not treated automatically as misconduct.</w:t>
      </w:r>
    </w:p>
    <w:p>
      <w:pPr>
        <w:pStyle w:val="Compact"/>
        <w:numPr>
          <w:ilvl w:val="0"/>
          <w:numId w:val="1004"/>
        </w:numPr>
      </w:pPr>
      <w:r>
        <w:t xml:space="preserve">☐ Disclosure-visible and disclosure-blind moderation compared where</w:t>
      </w:r>
      <w:r>
        <w:t xml:space="preserve"> </w:t>
      </w:r>
      <w:r>
        <w:t xml:space="preserve">feasible.</w:t>
      </w:r>
    </w:p>
    <w:p>
      <w:pPr>
        <w:pStyle w:val="Compact"/>
        <w:numPr>
          <w:ilvl w:val="0"/>
          <w:numId w:val="1004"/>
        </w:numPr>
      </w:pPr>
      <w:r>
        <w:t xml:space="preserve">☐ Accessibility and alternative formats reviewed for construct</w:t>
      </w:r>
      <w:r>
        <w:t xml:space="preserve"> </w:t>
      </w:r>
      <w:r>
        <w:t xml:space="preserve">equivalence.</w:t>
      </w:r>
    </w:p>
    <w:p>
      <w:pPr>
        <w:pStyle w:val="Compact"/>
        <w:numPr>
          <w:ilvl w:val="0"/>
          <w:numId w:val="1004"/>
        </w:numPr>
      </w:pPr>
      <w:r>
        <w:t xml:space="preserve">☐ Modality and covert-assistance risks recorded.</w:t>
      </w:r>
    </w:p>
    <w:p>
      <w:pPr>
        <w:pStyle w:val="Compact"/>
        <w:numPr>
          <w:ilvl w:val="0"/>
          <w:numId w:val="1004"/>
        </w:numPr>
      </w:pPr>
      <w:r>
        <w:t xml:space="preserve">☐ Prompt exposure, rotation, retirement, and form equivalence reviewed.</w:t>
      </w:r>
    </w:p>
    <w:p>
      <w:pPr>
        <w:pStyle w:val="Compact"/>
        <w:numPr>
          <w:ilvl w:val="0"/>
          <w:numId w:val="1004"/>
        </w:numPr>
      </w:pPr>
      <w:r>
        <w:t xml:space="preserve">☐ Submission-authentication interval justified.</w:t>
      </w:r>
    </w:p>
    <w:p>
      <w:pPr>
        <w:pStyle w:val="Compact"/>
        <w:numPr>
          <w:ilvl w:val="0"/>
          <w:numId w:val="1004"/>
        </w:numPr>
      </w:pPr>
      <w:r>
        <w:t xml:space="preserve">☐ Group work has separately attributable individual evidence and decisions.</w:t>
      </w:r>
    </w:p>
    <w:p>
      <w:pPr>
        <w:pStyle w:val="Compact"/>
        <w:numPr>
          <w:ilvl w:val="0"/>
          <w:numId w:val="1004"/>
        </w:numPr>
      </w:pPr>
      <w:r>
        <w:t xml:space="preserve">☐ Assessor qualification, session limits, breaks, and drift checks documented.</w:t>
      </w:r>
    </w:p>
    <w:p>
      <w:pPr>
        <w:pStyle w:val="Compact"/>
        <w:numPr>
          <w:ilvl w:val="0"/>
          <w:numId w:val="1004"/>
        </w:numPr>
      </w:pPr>
      <w:r>
        <w:t xml:space="preserve">☐ Students can access the rubric, rationale, evidence record, second review, and rehearing route where applicable.</w:t>
      </w:r>
    </w:p>
    <w:p>
      <w:pPr>
        <w:pStyle w:val="Compact"/>
        <w:numPr>
          <w:ilvl w:val="0"/>
          <w:numId w:val="1004"/>
        </w:numPr>
      </w:pPr>
      <w:r>
        <w:t xml:space="preserve">☐ Decision and public wording match the evidence.</w:t>
      </w:r>
    </w:p>
    <w:bookmarkEnd w:id="31"/>
    <w:bookmarkStart w:id="32" w:name="Xef38d0f88170c0a65b4fa13415dc021d7616d27"/>
    <w:p>
      <w:bookmarkStart w:id="2011" w:name="aiap_c_2011"/>
      <w:pPr>
        <w:pStyle w:val="Heading1"/>
        <w:keepNext/>
        <w:widowControl/>
      </w:pPr>
      <w:r>
        <w:t xml:space="preserve">8. Programme assurance map</w:t>
      </w:r>
      <w:bookmarkEnd w:id="2011"/>
    </w:p>
    <w:p>
      <w:pPr>
        <w:pStyle w:val="FirstParagraph"/>
      </w:pPr>
      <w:r>
        <w:t xml:space="preserve">Use the workbook companion to map each PLO, assessment point, lane,</w:t>
      </w:r>
      <w:r>
        <w:t xml:space="preserve"> </w:t>
      </w:r>
      <w:r>
        <w:t xml:space="preserve">modality, credit/weight, individual authentication, redundancy,</w:t>
      </w:r>
      <w:r>
        <w:t xml:space="preserve"> </w:t>
      </w:r>
      <w:r>
        <w:t xml:space="preserve">progression relevance, public wording, under-evidenced status, and</w:t>
      </w:r>
      <w:r>
        <w:t xml:space="preserve"> </w:t>
      </w:r>
      <w:r>
        <w:t xml:space="preserve">review date.</w:t>
      </w:r>
    </w:p>
    <w:bookmarkEnd w:id="32"/>
    <w:bookmarkStart w:id="33" w:name="Xa5aa59ff7f7d0f9ad1ff9ffe56e8c69228d43e8"/>
    <w:p>
      <w:bookmarkStart w:id="2012" w:name="aiap_c_2012"/>
      <w:pPr>
        <w:pStyle w:val="Heading1"/>
        <w:keepNext/>
        <w:widowControl/>
      </w:pPr>
      <w:r>
        <w:t xml:space="preserve">9. Student FAQ</w:t>
      </w:r>
      <w:bookmarkEnd w:id="2012"/>
    </w:p>
    <w:p>
      <w:pPr>
        <w:pStyle w:val="FirstParagraph"/>
      </w:pPr>
      <w:r>
        <w:rPr>
          <w:b/>
          <w:bCs/>
        </w:rPr>
        <w:t xml:space="preserve">Does using AI automatically reduce my mark?</w:t>
      </w:r>
      <w:r>
        <w:t xml:space="preserve"> </w:t>
      </w:r>
      <w:r>
        <w:t xml:space="preserve">No. Marks follow the</w:t>
      </w:r>
      <w:r>
        <w:t xml:space="preserve"> </w:t>
      </w:r>
      <w:r>
        <w:t xml:space="preserve">declared learning claim and criteria. Honest, permitted use is not a</w:t>
      </w:r>
      <w:r>
        <w:t xml:space="preserve"> </w:t>
      </w:r>
      <w:r>
        <w:t xml:space="preserve">penalty category.</w:t>
      </w:r>
    </w:p>
    <w:p>
      <w:pPr>
        <w:pStyle w:val="BodyText"/>
      </w:pPr>
      <w:r>
        <w:rPr>
          <w:b/>
          <w:bCs/>
        </w:rPr>
        <w:t xml:space="preserve">Does a viva prove I wrote every word?</w:t>
      </w:r>
      <w:r>
        <w:t xml:space="preserve"> </w:t>
      </w:r>
      <w:r>
        <w:t xml:space="preserve">No. It can support present</w:t>
      </w:r>
      <w:r>
        <w:t xml:space="preserve"> </w:t>
      </w:r>
      <w:r>
        <w:t xml:space="preserve">competence; complete production provenance requires different evidence.</w:t>
      </w:r>
    </w:p>
    <w:p>
      <w:pPr>
        <w:pStyle w:val="BodyText"/>
      </w:pPr>
      <w:r>
        <w:rPr>
          <w:b/>
          <w:bCs/>
        </w:rPr>
        <w:t xml:space="preserve">What if anxiety, disability, language, or technology affects the</w:t>
      </w:r>
      <w:r>
        <w:rPr>
          <w:b/>
          <w:bCs/>
        </w:rPr>
        <w:t xml:space="preserve"> </w:t>
      </w:r>
      <w:r>
        <w:rPr>
          <w:b/>
          <w:bCs/>
        </w:rPr>
        <w:t xml:space="preserve">event?</w:t>
      </w:r>
      <w:r>
        <w:t xml:space="preserve"> </w:t>
      </w:r>
      <w:r>
        <w:t xml:space="preserve">Equivalent routes, accommodations, reassessment, and appeal</w:t>
      </w:r>
      <w:r>
        <w:t xml:space="preserve"> </w:t>
      </w:r>
      <w:r>
        <w:t xml:space="preserve">must be available.</w:t>
      </w:r>
    </w:p>
    <w:p>
      <w:pPr>
        <w:pStyle w:val="BodyText"/>
      </w:pPr>
      <w:r>
        <w:rPr>
          <w:b/>
          <w:bCs/>
        </w:rPr>
        <w:t xml:space="preserve">Can weak authentication lead directly to misconduct?</w:t>
      </w:r>
      <w:r>
        <w:t xml:space="preserve"> </w:t>
      </w:r>
      <w:r>
        <w:t xml:space="preserve">Not by itself.</w:t>
      </w:r>
      <w:r>
        <w:t xml:space="preserve"> </w:t>
      </w:r>
      <w:r>
        <w:t xml:space="preserve">Misconduct requires separate evidence of deception, fabrication,</w:t>
      </w:r>
      <w:r>
        <w:t xml:space="preserve"> </w:t>
      </w:r>
      <w:r>
        <w:t xml:space="preserve">identity breach, prohibited outsourcing, or controlled-condition</w:t>
      </w:r>
      <w:r>
        <w:t xml:space="preserve"> </w:t>
      </w:r>
      <w:r>
        <w:t xml:space="preserve">violation.</w:t>
      </w:r>
    </w:p>
    <w:p>
      <w:pPr>
        <w:pStyle w:val="BodyText"/>
      </w:pPr>
      <w:r>
        <w:rPr>
          <w:b/>
          <w:bCs/>
        </w:rPr>
        <w:t xml:space="preserve">Can I use AI to prepare for the authentication?</w:t>
      </w:r>
      <w:r>
        <w:t xml:space="preserve"> </w:t>
      </w:r>
      <w:r>
        <w:t xml:space="preserve">Yes, unless the brief</w:t>
      </w:r>
      <w:r>
        <w:t xml:space="preserve"> </w:t>
      </w:r>
      <w:r>
        <w:t xml:space="preserve">states a separate controlled preparation condition. Rehearsal is</w:t>
      </w:r>
      <w:r>
        <w:t xml:space="preserve"> </w:t>
      </w:r>
      <w:r>
        <w:t xml:space="preserve">legitimate preparation. At least one element will be new or changed so the</w:t>
      </w:r>
      <w:r>
        <w:t xml:space="preserve"> </w:t>
      </w:r>
      <w:r>
        <w:t xml:space="preserve">event can test adaptation, verification, reasoning, or transfer rather</w:t>
      </w:r>
      <w:r>
        <w:t xml:space="preserve"> </w:t>
      </w:r>
      <w:r>
        <w:t xml:space="preserve">than memorized reproduction.</w:t>
      </w:r>
    </w:p>
    <w:p>
      <w:pPr>
        <w:pStyle w:val="BodyText"/>
      </w:pPr>
      <w:r>
        <w:rPr>
          <w:b/>
          <w:bCs/>
        </w:rPr>
        <w:t xml:space="preserve">What happens if a prompt circulates before my event?</w:t>
      </w:r>
      <w:r>
        <w:t xml:space="preserve"> </w:t>
      </w:r>
      <w:r>
        <w:t xml:space="preserve">Tell the</w:t>
      </w:r>
      <w:r>
        <w:t xml:space="preserve"> </w:t>
      </w:r>
      <w:r>
        <w:t xml:space="preserve">programme. A compromised prompt should be retired or replaced, affected</w:t>
      </w:r>
      <w:r>
        <w:t xml:space="preserve"> </w:t>
      </w:r>
      <w:r>
        <w:t xml:space="preserve">decisions reviewed, and students protected from unfair disadvantage.</w:t>
      </w:r>
    </w:p>
    <w:p>
      <w:pPr>
        <w:pStyle w:val="BodyText"/>
      </w:pPr>
      <w:r>
        <w:rPr>
          <w:b/>
          <w:bCs/>
        </w:rPr>
        <w:t xml:space="preserve">What information can I access if I appeal?</w:t>
      </w:r>
      <w:r>
        <w:t xml:space="preserve"> </w:t>
      </w:r>
      <w:r>
        <w:t xml:space="preserve">Subject to lawful and</w:t>
      </w:r>
      <w:r>
        <w:t xml:space="preserve"> </w:t>
      </w:r>
      <w:r>
        <w:t xml:space="preserve">proportionate limits, you should receive the applicable rubric, decision</w:t>
      </w:r>
      <w:r>
        <w:t xml:space="preserve"> </w:t>
      </w:r>
      <w:r>
        <w:t xml:space="preserve">rationale, recording or assessor notes where they exist, and a route to a</w:t>
      </w:r>
      <w:r>
        <w:t xml:space="preserve"> </w:t>
      </w:r>
      <w:r>
        <w:t xml:space="preserve">qualified reviewer who was not involved in the original decision. A</w:t>
      </w:r>
      <w:r>
        <w:t xml:space="preserve"> </w:t>
      </w:r>
      <w:r>
        <w:t xml:space="preserve">rehearing or equivalent reassessment should be available when procedural,</w:t>
      </w:r>
      <w:r>
        <w:t xml:space="preserve"> </w:t>
      </w:r>
      <w:r>
        <w:t xml:space="preserve">technology, accessibility, or prompt-security failure is established.</w:t>
      </w:r>
    </w:p>
    <w:bookmarkEnd w:id="33"/>
    <w:sectPr>
      <w:headerReference r:id="rId9" w:type="even"/>
      <w:headerReference r:id="rId10" w:type="default"/>
      <w:headerReference r:id="rId11" w:type="first"/>
      <w:footerReference r:id="rId12" w:type="even"/>
      <w:footerReference r:id="rId13" w:type="default"/>
      <w:footerReference r:id="rId14" w:type="first"/>
      <w:type w:val="nextPage"/>
      <w:pgSz w:h="16838" w:w="11906"/>
      <w:pgMar w:bottom="936" w:footer="432" w:gutter="0" w:header="432" w:left="1123" w:right="1123" w:top="1080"/>
      <w:formProt w:val="false"/>
      <w:titlePg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after="0"/>
      <w:jc w:val="center"/>
    </w:pPr>
    <w:r>
      <w:rPr>
        <w:rFonts w:ascii="Calibri" w:hAnsi="Calibri"/>
        <w:color w:val="595959"/>
        <w:sz w:val="16"/>
      </w:rPr>
      <w:t xml:space="preserve">Page </w:t>
    </w:r>
    <w:r>
      <w:fldChar w:fldCharType="begin"/>
      <w:instrText xml:space="preserve">PAGE</w:instrText>
      <w:fldChar w:fldCharType="separate"/>
    </w:r>
    <w:r>
      <w:t>1</w: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fldChar w:fldCharType="begin"/>
      <w:instrText xml:space="preserve">NUMPAGES</w:instrText>
      <w:fldChar w:fldCharType="separate"/>
    </w:r>
    <w:r>
      <w:t>1</w:t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tabs>
        <w:tab w:pos="9576" w:val="right"/>
      </w:tabs>
      <w:spacing w:after="0"/>
      <w:jc w:val="center"/>
      <w:pBdr>
        <w:bottom w:val="single" w:sz="4" w:space="5" w:color="9FBAD0"/>
      </w:pBdr>
    </w:pPr>
    <w:r>
      <w:rPr>
        <w:rFonts w:ascii="Calibri" w:hAnsi="Calibri"/>
        <w:b/>
        <w:color w:val="595959"/>
        <w:sz w:val="16"/>
      </w:rPr>
      <w:t>ARTIFICIAL INTELLIGENCE ASSURANCE PROTOCOL   |   STUDENT AND INSTRUCTOR TOOLKIT v6.5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120" w:before="0" w:line="259" w:lineRule="auto"/>
      <w:jc w:val="both"/>
    </w:pPr>
    <w:rPr>
      <w:rFonts w:ascii="Georgia" w:cs="Liberation Sans" w:eastAsia="Noto Serif" w:hAnsi="Georgia"/>
      <w:color w:val="1F2933"/>
      <w:kern w:val="0"/>
      <w:sz w:val="20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="Calibri" w:asciiTheme="majorHAnsi" w:cs="" w:cstheme="majorBidi" w:eastAsia="Carlito" w:eastAsiaTheme="majorEastAsia" w:hAnsi="Calibri" w:hAnsiTheme="majorHAnsi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customStyle="1" w:styleId="Compact" w:type="paragraph">
    <w:name w:val="Compact"/>
    <w:basedOn w:val="BodyText"/>
    <w:qFormat/>
    <w:pPr>
      <w:spacing w:after="30" w:before="36" w:line="240" w:lineRule="auto"/>
      <w:ind w:hanging="230" w:start="360"/>
    </w:pPr>
    <w:rPr>
      <w:rFonts w:ascii="Carlito" w:cs="Liberation Sans" w:eastAsia="Carlito" w:hAnsi="Carlito"/>
      <w:color w:val="1F2933"/>
      <w:sz w:val="18"/>
    </w:rPr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60" w:line="240" w:lineRule="auto"/>
      <w:ind w:hanging="360" w:left="360"/>
    </w:pPr>
    <w:rPr>
      <w:rFonts w:ascii="Noto Serif" w:hAnsi="Noto Serif"/>
      <w:sz w:val="1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bidi w:val="0"/>
      <w:spacing w:after="100" w:before="100"/>
      <w:ind w:end="480" w:hanging="0" w:start="48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>
      <w:rFonts w:ascii="Noto Serif" w:hAnsi="Noto Serif"/>
      <w:sz w:val="17"/>
    </w:rPr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  <w:spacing w:after="40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customStyle="1" w:styleId="TOC1" w:type="paragraph">
    <w:name w:val="toc 1"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TOC2" w:type="paragraph">
    <w:name w:val="toc 2"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customStyle="1" w:styleId="Contents1" w:type="paragraph">
    <w:name w:val="Contents 1"/>
    <w:qFormat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Contents2" w:type="paragraph">
    <w:name w:val="Contents 2"/>
    <w:qFormat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HeaderandFooter"/>
    <w:pPr/>
    <w:rPr/>
  </w:style>
  <w:style w:styleId="Footer" w:type="paragraph">
    <w:name w:val="footer"/>
    <w:basedOn w:val="HeaderandFooter"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TOC1" w:type="paragraph">
    <w:name w:val="TOC 1"/>
    <w:basedOn w:val="Normal"/>
    <w:pPr>
      <w:keepLines/>
      <w:spacing w:after="20"/>
      <w:ind w:firstLine="0" w:left="0"/>
    </w:pPr>
    <w:rPr>
      <w:rFonts w:ascii="Calibri" w:hAnsi="Calibri"/>
      <w:sz w:val="19"/>
    </w:rPr>
  </w:style>
  <w:style w:customStyle="1" w:styleId="TOC2" w:type="paragraph">
    <w:name w:val="TOC 2"/>
    <w:basedOn w:val="Normal"/>
    <w:pPr>
      <w:keepLines/>
      <w:spacing w:after="20"/>
      <w:ind w:firstLine="0" w:left="360"/>
    </w:pPr>
    <w:rPr>
      <w:rFonts w:ascii="Calibri" w:hAnsi="Calibri"/>
      <w:sz w:val="18"/>
    </w:rPr>
  </w:style>
  <w:style w:customStyle="1" w:styleId="TOC3" w:type="paragraph">
    <w:name w:val="TOC 3"/>
    <w:basedOn w:val="Normal"/>
    <w:pPr>
      <w:keepLines/>
      <w:spacing w:after="20"/>
      <w:ind w:firstLine="0" w:left="720"/>
    </w:pPr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58</Pages>
  <Words>28442</Words>
  <Characters>187488</Characters>
  <CharactersWithSpaces>214726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AIAP Student and Instructor Toolkit v6.5</dc:title>
  <dc:creator>James McGaughran</dc:creator>
  <cp:keywords>AIAP, assessment assurance, generative AI, higher education</cp:keywords>
  <dcterms:created xsi:type="dcterms:W3CDTF">2026-08-13T13:58:33Z</dcterms:created>
  <dcterms:modified xsi:type="dcterms:W3CDTF">2026-08-13T13:58:33Z</dcterms:modified>
  <dc:subject>AIAP Toolkit v6.5</dc:subject>
  <dc:description>AIAP Release 6.5; specification-complete and publication-ready for governed pilot preparation; not empirical validation.</dc:description>
  <cp:lastModifiedBy>James McGaughran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