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Calibri" w:hAnsi="Calibri"/>
          <w:b/>
          <w:bCs/>
          <w:color w:val="17365D"/>
          <w:sz w:val="48"/>
        </w:rPr>
        <w:t xml:space="preserve">AIAP Pilot and Validation Protocol</w:t>
      </w:r>
    </w:p>
    <w:p>
      <w:pPr>
        <w:pStyle w:val="BodyText"/>
        <w:jc w:val="center"/>
      </w:pPr>
      <w:r>
        <w:rPr>
          <w:rFonts w:ascii="Georgia" w:hAnsi="Georgia"/>
          <w:i/>
          <w:iCs/>
          <w:color w:val="595959"/>
          <w:sz w:val="24"/>
        </w:rPr>
        <w:t xml:space="preserve">Preregistration-ready design for testing the load-bearing mechanisms</w:t>
      </w:r>
    </w:p>
    <w:p>
      <w:pPr>
        <w:pStyle w:val="BodyText"/>
        <w:jc w:val="center"/>
      </w:pPr>
      <w:r>
        <w:rPr>
          <w:rFonts w:ascii="Georgia" w:hAnsi="Georgia"/>
          <w:b/>
          <w:bCs/>
          <w:sz w:val="20"/>
        </w:rPr>
        <w:t xml:space="preserve">AIAP Release 6.5 | August 2026</w:t>
      </w:r>
    </w:p>
    <w:p>
      <w:pPr>
        <w:pStyle w:val="BodyText"/>
        <w:jc w:val="center"/>
      </w:pPr>
      <w:r>
        <w:rPr>
          <w:rFonts w:ascii="Georgia" w:hAnsi="Georgia"/>
          <w:sz w:val="20"/>
        </w:rPr>
        <w:t xml:space="preserve">Version-matched to the AIAP Core Working Paper v6.5 (Canonical Edition).</w:t>
      </w:r>
    </w:p>
    <w:bookmarkStart w:id="20" w:name="contents"/>
    <w:p>
      <w:pPr>
        <w:pStyle w:val="Heading1"/>
        <w:keepNext/>
        <w:pageBreakBefore/>
        <w:widowControl/>
        <w:jc w:val="center"/>
      </w:pPr>
      <w:r>
        <w:rPr>
          <w:rFonts w:ascii="Georgia" w:hAnsi="Georgia"/>
          <w:sz w:val="20"/>
        </w:rPr>
        <w:t xml:space="preserve">Contents</w:t>
      </w:r>
    </w:p>
    <w:p>
      <w:pPr>
        <w:pStyle w:val="TOC1"/>
        <w:tabs>
          <w:tab w:val="right" w:leader="dot" w:pos="8856"/>
        </w:tabs>
      </w:pPr>
      <w:hyperlink w:anchor="aiap_c_2000" w:history="1">
        <w:r>
          <w:rPr>
            <w:rStyle w:val="Hyperlink"/>
            <w:b/>
            <w:color w:val="1F4E79"/>
            <w:sz w:val="19"/>
          </w:rPr>
          <w:t>Evidence boundary</w:t>
        </w:r>
      </w:hyperlink>
      <w:r>
        <w:tab/>
      </w:r>
      <w:hyperlink w:anchor="aiap_c_2000" w:history="1">
        <w:r>
          <w:rPr>
            <w:rStyle w:val="Hyperlink"/>
            <w:b/>
            <w:color w:val="1F4E79"/>
            <w:sz w:val="19"/>
          </w:rPr>
          <w:t>3</w:t>
        </w:r>
      </w:hyperlink>
    </w:p>
    <w:p>
      <w:pPr>
        <w:pStyle w:val="TOC1"/>
        <w:tabs>
          <w:tab w:val="right" w:leader="dot" w:pos="8856"/>
        </w:tabs>
      </w:pPr>
      <w:hyperlink w:anchor="aiap_c_2001" w:history="1">
        <w:r>
          <w:rPr>
            <w:rStyle w:val="Hyperlink"/>
            <w:b/>
            <w:color w:val="1F4E79"/>
            <w:sz w:val="19"/>
          </w:rPr>
          <w:t>1. Primary research questions</w:t>
        </w:r>
      </w:hyperlink>
      <w:r>
        <w:tab/>
      </w:r>
      <w:hyperlink w:anchor="aiap_c_2001" w:history="1">
        <w:r>
          <w:rPr>
            <w:rStyle w:val="Hyperlink"/>
            <w:b/>
            <w:color w:val="1F4E79"/>
            <w:sz w:val="19"/>
          </w:rPr>
          <w:t>3</w:t>
        </w:r>
      </w:hyperlink>
    </w:p>
    <w:p>
      <w:pPr>
        <w:pStyle w:val="TOC2"/>
        <w:tabs>
          <w:tab w:val="right" w:leader="dot" w:pos="8856"/>
        </w:tabs>
      </w:pPr>
      <w:hyperlink w:anchor="aiap_c_2002" w:history="1">
        <w:r>
          <w:rPr>
            <w:rStyle w:val="Hyperlink"/>
            <w:color w:val="1F4E79"/>
            <w:sz w:val="18"/>
          </w:rPr>
          <w:t>RQ1 — Reliability and decision consistency</w:t>
        </w:r>
      </w:hyperlink>
      <w:r>
        <w:tab/>
      </w:r>
      <w:hyperlink w:anchor="aiap_c_2002" w:history="1">
        <w:r>
          <w:rPr>
            <w:rStyle w:val="Hyperlink"/>
            <w:color w:val="1F4E79"/>
            <w:sz w:val="18"/>
          </w:rPr>
          <w:t>3</w:t>
        </w:r>
      </w:hyperlink>
    </w:p>
    <w:p>
      <w:pPr>
        <w:pStyle w:val="TOC2"/>
        <w:tabs>
          <w:tab w:val="right" w:leader="dot" w:pos="8856"/>
        </w:tabs>
      </w:pPr>
      <w:hyperlink w:anchor="aiap_c_2003" w:history="1">
        <w:r>
          <w:rPr>
            <w:rStyle w:val="Hyperlink"/>
            <w:color w:val="1F4E79"/>
            <w:sz w:val="18"/>
          </w:rPr>
          <w:t>RQ2 — Incremental and generalization validity</w:t>
        </w:r>
      </w:hyperlink>
      <w:r>
        <w:tab/>
      </w:r>
      <w:hyperlink w:anchor="aiap_c_2003" w:history="1">
        <w:r>
          <w:rPr>
            <w:rStyle w:val="Hyperlink"/>
            <w:color w:val="1F4E79"/>
            <w:sz w:val="18"/>
          </w:rPr>
          <w:t>3</w:t>
        </w:r>
      </w:hyperlink>
    </w:p>
    <w:p>
      <w:pPr>
        <w:pStyle w:val="TOC2"/>
        <w:tabs>
          <w:tab w:val="right" w:leader="dot" w:pos="8856"/>
        </w:tabs>
      </w:pPr>
      <w:hyperlink w:anchor="aiap_c_2004" w:history="1">
        <w:r>
          <w:rPr>
            <w:rStyle w:val="Hyperlink"/>
            <w:color w:val="1F4E79"/>
            <w:sz w:val="18"/>
          </w:rPr>
          <w:t>RQ3 — Feasibility, equity, privacy, and decision utility</w:t>
        </w:r>
      </w:hyperlink>
      <w:r>
        <w:tab/>
      </w:r>
      <w:hyperlink w:anchor="aiap_c_2004" w:history="1">
        <w:r>
          <w:rPr>
            <w:rStyle w:val="Hyperlink"/>
            <w:color w:val="1F4E79"/>
            <w:sz w:val="18"/>
          </w:rPr>
          <w:t>3</w:t>
        </w:r>
      </w:hyperlink>
    </w:p>
    <w:p>
      <w:pPr>
        <w:pStyle w:val="TOC1"/>
        <w:tabs>
          <w:tab w:val="right" w:leader="dot" w:pos="8856"/>
        </w:tabs>
      </w:pPr>
      <w:hyperlink w:anchor="aiap_c_2005" w:history="1">
        <w:r>
          <w:rPr>
            <w:rStyle w:val="Hyperlink"/>
            <w:b/>
            <w:color w:val="1F4E79"/>
            <w:sz w:val="19"/>
          </w:rPr>
          <w:t>2. Secondary and exploratory questions</w:t>
        </w:r>
      </w:hyperlink>
      <w:r>
        <w:tab/>
      </w:r>
      <w:hyperlink w:anchor="aiap_c_2005" w:history="1">
        <w:r>
          <w:rPr>
            <w:rStyle w:val="Hyperlink"/>
            <w:b/>
            <w:color w:val="1F4E79"/>
            <w:sz w:val="19"/>
          </w:rPr>
          <w:t>3</w:t>
        </w:r>
      </w:hyperlink>
    </w:p>
    <w:p>
      <w:pPr>
        <w:pStyle w:val="TOC1"/>
        <w:tabs>
          <w:tab w:val="right" w:leader="dot" w:pos="8856"/>
        </w:tabs>
      </w:pPr>
      <w:hyperlink w:anchor="aiap_c_2006" w:history="1">
        <w:r>
          <w:rPr>
            <w:rStyle w:val="Hyperlink"/>
            <w:b/>
            <w:color w:val="1F4E79"/>
            <w:sz w:val="19"/>
          </w:rPr>
          <w:t>3. Design</w:t>
        </w:r>
      </w:hyperlink>
      <w:r>
        <w:tab/>
      </w:r>
      <w:hyperlink w:anchor="aiap_c_2006" w:history="1">
        <w:r>
          <w:rPr>
            <w:rStyle w:val="Hyperlink"/>
            <w:b/>
            <w:color w:val="1F4E79"/>
            <w:sz w:val="19"/>
          </w:rPr>
          <w:t>4</w:t>
        </w:r>
      </w:hyperlink>
    </w:p>
    <w:p>
      <w:pPr>
        <w:pStyle w:val="TOC1"/>
        <w:tabs>
          <w:tab w:val="right" w:leader="dot" w:pos="8856"/>
        </w:tabs>
      </w:pPr>
      <w:hyperlink w:anchor="aiap_c_2007" w:history="1">
        <w:r>
          <w:rPr>
            <w:rStyle w:val="Hyperlink"/>
            <w:b/>
            <w:color w:val="1F4E79"/>
            <w:sz w:val="19"/>
          </w:rPr>
          <w:t>4. Authentication event</w:t>
        </w:r>
      </w:hyperlink>
      <w:r>
        <w:tab/>
      </w:r>
      <w:hyperlink w:anchor="aiap_c_2007" w:history="1">
        <w:r>
          <w:rPr>
            <w:rStyle w:val="Hyperlink"/>
            <w:b/>
            <w:color w:val="1F4E79"/>
            <w:sz w:val="19"/>
          </w:rPr>
          <w:t>4</w:t>
        </w:r>
      </w:hyperlink>
    </w:p>
    <w:p>
      <w:pPr>
        <w:pStyle w:val="TOC2"/>
        <w:tabs>
          <w:tab w:val="right" w:leader="dot" w:pos="8856"/>
        </w:tabs>
      </w:pPr>
      <w:hyperlink w:anchor="aiap_c_2008" w:history="1">
        <w:r>
          <w:rPr>
            <w:rStyle w:val="Hyperlink"/>
            <w:color w:val="1F4E79"/>
            <w:sz w:val="18"/>
          </w:rPr>
          <w:t>4.1 Prompt exposure and form-equivalence study</w:t>
        </w:r>
      </w:hyperlink>
      <w:r>
        <w:tab/>
      </w:r>
      <w:hyperlink w:anchor="aiap_c_2008" w:history="1">
        <w:r>
          <w:rPr>
            <w:rStyle w:val="Hyperlink"/>
            <w:color w:val="1F4E79"/>
            <w:sz w:val="18"/>
          </w:rPr>
          <w:t>4</w:t>
        </w:r>
      </w:hyperlink>
    </w:p>
    <w:p>
      <w:pPr>
        <w:pStyle w:val="TOC1"/>
        <w:tabs>
          <w:tab w:val="right" w:leader="dot" w:pos="8856"/>
        </w:tabs>
      </w:pPr>
      <w:hyperlink w:anchor="aiap_c_2009" w:history="1">
        <w:r>
          <w:rPr>
            <w:rStyle w:val="Hyperlink"/>
            <w:b/>
            <w:color w:val="1F4E79"/>
            <w:sz w:val="19"/>
          </w:rPr>
          <w:t>5. Independent criterion evidence</w:t>
        </w:r>
      </w:hyperlink>
      <w:r>
        <w:tab/>
      </w:r>
      <w:hyperlink w:anchor="aiap_c_2009" w:history="1">
        <w:r>
          <w:rPr>
            <w:rStyle w:val="Hyperlink"/>
            <w:b/>
            <w:color w:val="1F4E79"/>
            <w:sz w:val="19"/>
          </w:rPr>
          <w:t>4</w:t>
        </w:r>
      </w:hyperlink>
    </w:p>
    <w:p>
      <w:pPr>
        <w:pStyle w:val="TOC1"/>
        <w:tabs>
          <w:tab w:val="right" w:leader="dot" w:pos="8856"/>
        </w:tabs>
      </w:pPr>
      <w:hyperlink w:anchor="aiap_c_2010" w:history="1">
        <w:r>
          <w:rPr>
            <w:rStyle w:val="Hyperlink"/>
            <w:b/>
            <w:color w:val="1F4E79"/>
            <w:sz w:val="19"/>
          </w:rPr>
          <w:t>6. Standard setting</w:t>
        </w:r>
      </w:hyperlink>
      <w:r>
        <w:tab/>
      </w:r>
      <w:hyperlink w:anchor="aiap_c_2010" w:history="1">
        <w:r>
          <w:rPr>
            <w:rStyle w:val="Hyperlink"/>
            <w:b/>
            <w:color w:val="1F4E79"/>
            <w:sz w:val="19"/>
          </w:rPr>
          <w:t>4</w:t>
        </w:r>
      </w:hyperlink>
    </w:p>
    <w:p>
      <w:pPr>
        <w:pStyle w:val="TOC1"/>
        <w:tabs>
          <w:tab w:val="right" w:leader="dot" w:pos="8856"/>
        </w:tabs>
      </w:pPr>
      <w:hyperlink w:anchor="aiap_c_2011" w:history="1">
        <w:r>
          <w:rPr>
            <w:rStyle w:val="Hyperlink"/>
            <w:b/>
            <w:color w:val="1F4E79"/>
            <w:sz w:val="19"/>
          </w:rPr>
          <w:t>7. Equity and accessibility</w:t>
        </w:r>
      </w:hyperlink>
      <w:r>
        <w:tab/>
      </w:r>
      <w:hyperlink w:anchor="aiap_c_2011" w:history="1">
        <w:r>
          <w:rPr>
            <w:rStyle w:val="Hyperlink"/>
            <w:b/>
            <w:color w:val="1F4E79"/>
            <w:sz w:val="19"/>
          </w:rPr>
          <w:t>4</w:t>
        </w:r>
      </w:hyperlink>
    </w:p>
    <w:p>
      <w:pPr>
        <w:pStyle w:val="TOC1"/>
        <w:tabs>
          <w:tab w:val="right" w:leader="dot" w:pos="8856"/>
        </w:tabs>
      </w:pPr>
      <w:hyperlink w:anchor="aiap_c_2012" w:history="1">
        <w:r>
          <w:rPr>
            <w:rStyle w:val="Hyperlink"/>
            <w:b/>
            <w:color w:val="1F4E79"/>
            <w:sz w:val="19"/>
          </w:rPr>
          <w:t>8. Modality and adversarial testing</w:t>
        </w:r>
      </w:hyperlink>
      <w:r>
        <w:tab/>
      </w:r>
      <w:hyperlink w:anchor="aiap_c_2012" w:history="1">
        <w:r>
          <w:rPr>
            <w:rStyle w:val="Hyperlink"/>
            <w:b/>
            <w:color w:val="1F4E79"/>
            <w:sz w:val="19"/>
          </w:rPr>
          <w:t>5</w:t>
        </w:r>
      </w:hyperlink>
    </w:p>
    <w:p>
      <w:pPr>
        <w:pStyle w:val="TOC1"/>
        <w:tabs>
          <w:tab w:val="right" w:leader="dot" w:pos="8856"/>
        </w:tabs>
      </w:pPr>
      <w:hyperlink w:anchor="aiap_c_2013" w:history="1">
        <w:r>
          <w:rPr>
            <w:rStyle w:val="Hyperlink"/>
            <w:b/>
            <w:color w:val="1F4E79"/>
            <w:sz w:val="19"/>
          </w:rPr>
          <w:t>9. Workload and burden</w:t>
        </w:r>
      </w:hyperlink>
      <w:r>
        <w:tab/>
      </w:r>
      <w:hyperlink w:anchor="aiap_c_2013" w:history="1">
        <w:r>
          <w:rPr>
            <w:rStyle w:val="Hyperlink"/>
            <w:b/>
            <w:color w:val="1F4E79"/>
            <w:sz w:val="19"/>
          </w:rPr>
          <w:t>5</w:t>
        </w:r>
      </w:hyperlink>
    </w:p>
    <w:p>
      <w:pPr>
        <w:pStyle w:val="TOC1"/>
        <w:tabs>
          <w:tab w:val="right" w:leader="dot" w:pos="8856"/>
        </w:tabs>
      </w:pPr>
      <w:hyperlink w:anchor="aiap_c_2014" w:history="1">
        <w:r>
          <w:rPr>
            <w:rStyle w:val="Hyperlink"/>
            <w:b/>
            <w:color w:val="1F4E79"/>
            <w:sz w:val="19"/>
          </w:rPr>
          <w:t>9.1 Group assessment and individual attribution</w:t>
        </w:r>
      </w:hyperlink>
      <w:r>
        <w:tab/>
      </w:r>
      <w:hyperlink w:anchor="aiap_c_2014" w:history="1">
        <w:r>
          <w:rPr>
            <w:rStyle w:val="Hyperlink"/>
            <w:b/>
            <w:color w:val="1F4E79"/>
            <w:sz w:val="19"/>
          </w:rPr>
          <w:t>5</w:t>
        </w:r>
      </w:hyperlink>
    </w:p>
    <w:p>
      <w:pPr>
        <w:pStyle w:val="TOC1"/>
        <w:tabs>
          <w:tab w:val="right" w:leader="dot" w:pos="8856"/>
        </w:tabs>
      </w:pPr>
      <w:hyperlink w:anchor="aiap_c_2015" w:history="1">
        <w:r>
          <w:rPr>
            <w:rStyle w:val="Hyperlink"/>
            <w:b/>
            <w:color w:val="1F4E79"/>
            <w:sz w:val="19"/>
          </w:rPr>
          <w:t>9.2 Capacity-degradation events</w:t>
        </w:r>
      </w:hyperlink>
      <w:r>
        <w:tab/>
      </w:r>
      <w:hyperlink w:anchor="aiap_c_2015" w:history="1">
        <w:r>
          <w:rPr>
            <w:rStyle w:val="Hyperlink"/>
            <w:b/>
            <w:color w:val="1F4E79"/>
            <w:sz w:val="19"/>
          </w:rPr>
          <w:t>5</w:t>
        </w:r>
      </w:hyperlink>
    </w:p>
    <w:p>
      <w:pPr>
        <w:pStyle w:val="TOC1"/>
        <w:tabs>
          <w:tab w:val="right" w:leader="dot" w:pos="8856"/>
        </w:tabs>
      </w:pPr>
      <w:hyperlink w:anchor="aiap_c_2016" w:history="1">
        <w:r>
          <w:rPr>
            <w:rStyle w:val="Hyperlink"/>
            <w:b/>
            <w:color w:val="1F4E79"/>
            <w:sz w:val="19"/>
          </w:rPr>
          <w:t>10. Data governance</w:t>
        </w:r>
      </w:hyperlink>
      <w:r>
        <w:tab/>
      </w:r>
      <w:hyperlink w:anchor="aiap_c_2016" w:history="1">
        <w:r>
          <w:rPr>
            <w:rStyle w:val="Hyperlink"/>
            <w:b/>
            <w:color w:val="1F4E79"/>
            <w:sz w:val="19"/>
          </w:rPr>
          <w:t>5</w:t>
        </w:r>
      </w:hyperlink>
    </w:p>
    <w:p>
      <w:pPr>
        <w:pStyle w:val="TOC1"/>
        <w:tabs>
          <w:tab w:val="right" w:leader="dot" w:pos="8856"/>
        </w:tabs>
      </w:pPr>
      <w:hyperlink w:anchor="aiap_c_2017" w:history="1">
        <w:r>
          <w:rPr>
            <w:rStyle w:val="Hyperlink"/>
            <w:b/>
            <w:color w:val="1F4E79"/>
            <w:sz w:val="19"/>
          </w:rPr>
          <w:t>11. Preregistered continuation rules</w:t>
        </w:r>
      </w:hyperlink>
      <w:r>
        <w:tab/>
      </w:r>
      <w:hyperlink w:anchor="aiap_c_2017" w:history="1">
        <w:r>
          <w:rPr>
            <w:rStyle w:val="Hyperlink"/>
            <w:b/>
            <w:color w:val="1F4E79"/>
            <w:sz w:val="19"/>
          </w:rPr>
          <w:t>5</w:t>
        </w:r>
      </w:hyperlink>
    </w:p>
    <w:p>
      <w:pPr>
        <w:pStyle w:val="TOC1"/>
        <w:tabs>
          <w:tab w:val="right" w:leader="dot" w:pos="8856"/>
        </w:tabs>
      </w:pPr>
      <w:hyperlink w:anchor="aiap_c_2018" w:history="1">
        <w:r>
          <w:rPr>
            <w:rStyle w:val="Hyperlink"/>
            <w:b/>
            <w:color w:val="1F4E79"/>
            <w:sz w:val="19"/>
          </w:rPr>
          <w:t>12. Reporting</w:t>
        </w:r>
      </w:hyperlink>
      <w:r>
        <w:tab/>
      </w:r>
      <w:hyperlink w:anchor="aiap_c_2018" w:history="1">
        <w:r>
          <w:rPr>
            <w:rStyle w:val="Hyperlink"/>
            <w:b/>
            <w:color w:val="1F4E79"/>
            <w:sz w:val="19"/>
          </w:rPr>
          <w:t>5</w:t>
        </w:r>
      </w:hyperlink>
    </w:p>
    <w:p>
      <w:pPr>
        <w:pStyle w:val="TOC1"/>
        <w:tabs>
          <w:tab w:val="right" w:leader="dot" w:pos="8856"/>
        </w:tabs>
      </w:pPr>
      <w:hyperlink w:anchor="aiap_c_2019" w:history="1">
        <w:r>
          <w:rPr>
            <w:rStyle w:val="Hyperlink"/>
            <w:b/>
            <w:color w:val="1F4E79"/>
            <w:sz w:val="19"/>
          </w:rPr>
          <w:t>Appendix A. Minimum dataset fields</w:t>
        </w:r>
      </w:hyperlink>
      <w:r>
        <w:tab/>
      </w:r>
      <w:hyperlink w:anchor="aiap_c_2019" w:history="1">
        <w:r>
          <w:rPr>
            <w:rStyle w:val="Hyperlink"/>
            <w:b/>
            <w:color w:val="1F4E79"/>
            <w:sz w:val="19"/>
          </w:rPr>
          <w:t>6</w:t>
        </w:r>
      </w:hyperlink>
    </w:p>
    <w:p>
      <w:pPr>
        <w:pStyle w:val="TOC1"/>
        <w:tabs>
          <w:tab w:val="right" w:leader="dot" w:pos="8856"/>
        </w:tabs>
      </w:pPr>
      <w:hyperlink w:anchor="aiap_c_2020" w:history="1">
        <w:r>
          <w:rPr>
            <w:rStyle w:val="Hyperlink"/>
            <w:b/>
            <w:color w:val="1F4E79"/>
            <w:sz w:val="19"/>
          </w:rPr>
          <w:t>Appendix B. Analysis decision table</w:t>
        </w:r>
      </w:hyperlink>
      <w:r>
        <w:tab/>
      </w:r>
      <w:hyperlink w:anchor="aiap_c_2020" w:history="1">
        <w:r>
          <w:rPr>
            <w:rStyle w:val="Hyperlink"/>
            <w:b/>
            <w:color w:val="1F4E79"/>
            <w:sz w:val="19"/>
          </w:rPr>
          <w:t>6</w:t>
        </w:r>
      </w:hyperlink>
    </w:p>
    <w:bookmarkEnd w:id="20"/>
    <w:bookmarkStart w:id="21" w:name="evidence-boundary"/>
    <w:p>
      <w:bookmarkStart w:id="2000" w:name="aiap_c_2000"/>
      <w:pPr>
        <w:pStyle w:val="Heading1"/>
        <w:keepNext/>
        <w:pageBreakBefore/>
        <w:widowControl/>
      </w:pPr>
      <w:r>
        <w:t xml:space="preserve">Evidence boundary</w:t>
      </w:r>
      <w:bookmarkEnd w:id="2000"/>
    </w:p>
    <w:p>
      <w:pPr>
        <w:pStyle w:val="FirstParagraph"/>
      </w:pPr>
      <w:r>
        <w:t xml:space="preserve">This protocol prepares a governed empirical study. It does not</w:t>
      </w:r>
      <w:r>
        <w:t xml:space="preserve"> </w:t>
      </w:r>
      <w:r>
        <w:t xml:space="preserve">constitute preregistration, ethics approval, institutional</w:t>
      </w:r>
      <w:r>
        <w:t xml:space="preserve"> </w:t>
      </w:r>
      <w:r>
        <w:t xml:space="preserve">authorization, or validation. Local teams must complete estimands,</w:t>
      </w:r>
      <w:r>
        <w:t xml:space="preserve"> </w:t>
      </w:r>
      <w:r>
        <w:t xml:space="preserve">thresholds, sample-size analysis, approvals, governance, and analysis</w:t>
      </w:r>
      <w:r>
        <w:t xml:space="preserve"> </w:t>
      </w:r>
      <w:r>
        <w:t xml:space="preserve">code before data collection.</w:t>
      </w:r>
    </w:p>
    <w:bookmarkEnd w:id="21"/>
    <w:bookmarkStart w:id="25" w:name="X7d58a50a9d3741a6fb647ca07eb73f1a4a63061"/>
    <w:p>
      <w:bookmarkStart w:id="2001" w:name="aiap_c_2001"/>
      <w:pPr>
        <w:pStyle w:val="Heading1"/>
        <w:keepNext/>
        <w:widowControl/>
      </w:pPr>
      <w:r>
        <w:t xml:space="preserve">1. Primary research questions</w:t>
      </w:r>
      <w:bookmarkEnd w:id="2001"/>
    </w:p>
    <w:bookmarkStart w:id="22" w:name="X97fb3a766c45c0188169401252820b5a77842e9"/>
    <w:p>
      <w:bookmarkStart w:id="2002" w:name="aiap_c_2002"/>
      <w:pPr>
        <w:pStyle w:val="Heading2"/>
        <w:keepNext/>
        <w:widowControl/>
      </w:pPr>
      <w:r>
        <w:t xml:space="preserve">RQ1 — Reliability and decision consistency</w:t>
      </w:r>
      <w:bookmarkEnd w:id="2002"/>
    </w:p>
    <w:p>
      <w:pPr>
        <w:pStyle w:val="FirstParagraph"/>
      </w:pPr>
      <w:r>
        <w:t xml:space="preserve">Can trained assessors score the Lane 2A authentication event</w:t>
      </w:r>
      <w:r>
        <w:t xml:space="preserve"> </w:t>
      </w:r>
      <w:r>
        <w:t xml:space="preserve">consistently enough for the intended use, and what classification errors</w:t>
      </w:r>
      <w:r>
        <w:t xml:space="preserve"> </w:t>
      </w:r>
      <w:r>
        <w:t xml:space="preserve">occur at the decision boundary?</w:t>
      </w:r>
    </w:p>
    <w:p>
      <w:pPr>
        <w:pStyle w:val="BodyText"/>
      </w:pPr>
      <w:r>
        <w:rPr>
          <w:b/>
          <w:bCs/>
        </w:rPr>
        <w:t xml:space="preserve">Primary score statistic:</w:t>
      </w:r>
      <w:r>
        <w:t xml:space="preserve"> </w:t>
      </w:r>
      <w:r>
        <w:t xml:space="preserve">two-way random-effects, absolute-agreement</w:t>
      </w:r>
      <w:r>
        <w:t xml:space="preserve"> </w:t>
      </w:r>
      <w:r>
        <w:t xml:space="preserve">ICC for a single assessor, with confidence interval and variance</w:t>
      </w:r>
      <w:r>
        <w:t xml:space="preserve"> </w:t>
      </w:r>
      <w:r>
        <w:t xml:space="preserve">components.</w:t>
      </w:r>
    </w:p>
    <w:p>
      <w:pPr>
        <w:pStyle w:val="BodyText"/>
      </w:pPr>
      <w:r>
        <w:rPr>
          <w:b/>
          <w:bCs/>
        </w:rPr>
        <w:t xml:space="preserve">Primary decision evidence:</w:t>
      </w:r>
      <w:r>
        <w:t xml:space="preserve"> </w:t>
      </w:r>
      <w:r>
        <w:t xml:space="preserve">raw agreement, cross-classification,</w:t>
      </w:r>
      <w:r>
        <w:t xml:space="preserve"> </w:t>
      </w:r>
      <w:r>
        <w:t xml:space="preserve">false-positive and false-negative consequences, and classification</w:t>
      </w:r>
      <w:r>
        <w:t xml:space="preserve"> </w:t>
      </w:r>
      <w:r>
        <w:t xml:space="preserve">consistency at the preregistered cut.</w:t>
      </w:r>
    </w:p>
    <w:p>
      <w:pPr>
        <w:pStyle w:val="BodyText"/>
      </w:pPr>
      <w:r>
        <w:rPr>
          <w:b/>
          <w:bCs/>
        </w:rPr>
        <w:t xml:space="preserve">Sensitivity analyses:</w:t>
      </w:r>
      <w:r>
        <w:t xml:space="preserve"> </w:t>
      </w:r>
      <w:r>
        <w:t xml:space="preserve">quadratic-weighted kappa and Gwet's AC2,</w:t>
      </w:r>
      <w:r>
        <w:t xml:space="preserve"> </w:t>
      </w:r>
      <w:r>
        <w:t xml:space="preserve">reported with prevalence and category counts. Because Vach and Gerke</w:t>
      </w:r>
      <w:r>
        <w:t xml:space="preserve"> </w:t>
      </w:r>
      <w:r>
        <w:t xml:space="preserve">(2023) analyse AC1 rather than AC2, their critique is treated as a</w:t>
      </w:r>
      <w:r>
        <w:t xml:space="preserve"> </w:t>
      </w:r>
      <w:r>
        <w:t xml:space="preserve">caution about coefficient properties, not direct validation or rejection</w:t>
      </w:r>
      <w:r>
        <w:t xml:space="preserve"> </w:t>
      </w:r>
      <w:r>
        <w:t xml:space="preserve">of AC2. Prompt/form exposure, assessor-session order, fatigue, and drift</w:t>
      </w:r>
      <w:r>
        <w:t xml:space="preserve"> </w:t>
      </w:r>
      <w:r>
        <w:t xml:space="preserve">are prespecified diagnostics. No statistic may be selected after outcomes</w:t>
      </w:r>
      <w:r>
        <w:t xml:space="preserve"> </w:t>
      </w:r>
      <w:r>
        <w:t xml:space="preserve">are known.</w:t>
      </w:r>
    </w:p>
    <w:bookmarkEnd w:id="22"/>
    <w:bookmarkStart w:id="23" w:name="X5a72c010b16684eb1288f412d2757a63f013710"/>
    <w:p>
      <w:bookmarkStart w:id="2003" w:name="aiap_c_2003"/>
      <w:pPr>
        <w:pStyle w:val="Heading2"/>
        <w:keepNext/>
        <w:widowControl/>
      </w:pPr>
      <w:r>
        <w:t xml:space="preserve">RQ2 — Incremental and generalization validity</w:t>
      </w:r>
      <w:bookmarkEnd w:id="2003"/>
    </w:p>
    <w:p>
      <w:pPr>
        <w:pStyle w:val="FirstParagraph"/>
      </w:pPr>
      <w:r>
        <w:t xml:space="preserve">Does authentication add a preregistered practically important increment</w:t>
      </w:r>
      <w:r>
        <w:t xml:space="preserve"> </w:t>
      </w:r>
      <w:r>
        <w:t xml:space="preserve">over product-only evidence, converge with an independent criterion</w:t>
      </w:r>
      <w:r>
        <w:t xml:space="preserve"> </w:t>
      </w:r>
      <w:r>
        <w:t xml:space="preserve">addressing the same construct, and generalize across prompts/cases,</w:t>
      </w:r>
      <w:r>
        <w:t xml:space="preserve"> </w:t>
      </w:r>
      <w:r>
        <w:t xml:space="preserve">occasions, raters, and modalities?</w:t>
      </w:r>
    </w:p>
    <w:p>
      <w:pPr>
        <w:pStyle w:val="BodyText"/>
      </w:pPr>
      <w:r>
        <w:t xml:space="preserve">Use a secured unseen transfer task where feasible. Present demonstrable</w:t>
      </w:r>
      <w:r>
        <w:t xml:space="preserve"> </w:t>
      </w:r>
      <w:r>
        <w:t xml:space="preserve">competence is a declared profile of explain, defend, verify, adapt, and</w:t>
      </w:r>
      <w:r>
        <w:t xml:space="preserve"> </w:t>
      </w:r>
      <w:r>
        <w:t xml:space="preserve">transfer; programmes identify the load-bearing components for each claim.</w:t>
      </w:r>
      <w:r>
        <w:t xml:space="preserve"> </w:t>
      </w:r>
      <w:r>
        <w:t xml:space="preserve">Estimate subscore correlations and internal structure, and examine factor</w:t>
      </w:r>
      <w:r>
        <w:t xml:space="preserve"> </w:t>
      </w:r>
      <w:r>
        <w:t xml:space="preserve">structure only where the sample and design support it. Do not treat the</w:t>
      </w:r>
      <w:r>
        <w:t xml:space="preserve"> </w:t>
      </w:r>
      <w:r>
        <w:t xml:space="preserve">profile as one latent trait by default.</w:t>
      </w:r>
    </w:p>
    <w:p>
      <w:pPr>
        <w:pStyle w:val="BodyText"/>
      </w:pPr>
      <w:r>
        <w:t xml:space="preserve">A generalizability study or cross-classified mixed model should estimate</w:t>
      </w:r>
      <w:r>
        <w:t xml:space="preserve"> </w:t>
      </w:r>
      <w:r>
        <w:t xml:space="preserve">student, case/prompt, form, occasion, rater, modality, exposure status,</w:t>
      </w:r>
      <w:r>
        <w:t xml:space="preserve"> </w:t>
      </w:r>
      <w:r>
        <w:t xml:space="preserve">and interaction variance. Conduct a decision study when the design</w:t>
      </w:r>
      <w:r>
        <w:t xml:space="preserve"> </w:t>
      </w:r>
      <w:r>
        <w:t xml:space="preserve">supports it. Record the submission-authentication interval and test its</w:t>
      </w:r>
      <w:r>
        <w:t xml:space="preserve"> </w:t>
      </w:r>
      <w:r>
        <w:t xml:space="preserve">association with performance and mismatch.</w:t>
      </w:r>
    </w:p>
    <w:bookmarkEnd w:id="23"/>
    <w:bookmarkStart w:id="24" w:name="Xefb1c6fcaeb24b09d2c55af838b7b38e76f5319"/>
    <w:p>
      <w:bookmarkStart w:id="2004" w:name="aiap_c_2004"/>
      <w:pPr>
        <w:pStyle w:val="Heading2"/>
        <w:keepNext/>
        <w:widowControl/>
      </w:pPr>
      <w:r>
        <w:t xml:space="preserve">RQ3 — Feasibility, equity, privacy, and decision utility</w:t>
      </w:r>
      <w:bookmarkEnd w:id="2004"/>
    </w:p>
    <w:p>
      <w:pPr>
        <w:pStyle w:val="FirstParagraph"/>
      </w:pPr>
      <w:r>
        <w:t xml:space="preserve">Can the mechanism be delivered within the Assurance Capacity Gate</w:t>
      </w:r>
      <w:r>
        <w:t xml:space="preserve"> </w:t>
      </w:r>
      <w:r>
        <w:t xml:space="preserve">without disproportionate subgroup burden, construct-irrelevant</w:t>
      </w:r>
      <w:r>
        <w:t xml:space="preserve"> </w:t>
      </w:r>
      <w:r>
        <w:t xml:space="preserve">oral-performance variance, privacy harm, accessibility failure, or</w:t>
      </w:r>
      <w:r>
        <w:t xml:space="preserve"> </w:t>
      </w:r>
      <w:r>
        <w:t xml:space="preserve">negligible decision value?</w:t>
      </w:r>
    </w:p>
    <w:bookmarkEnd w:id="24"/>
    <w:bookmarkEnd w:id="25"/>
    <w:bookmarkStart w:id="26" w:name="Xadc3337b6530da98205081bcd4dae2748590862"/>
    <w:p>
      <w:bookmarkStart w:id="2005" w:name="aiap_c_2005"/>
      <w:pPr>
        <w:pStyle w:val="Heading1"/>
        <w:keepNext/>
        <w:widowControl/>
      </w:pPr>
      <w:r>
        <w:t xml:space="preserve">2. Secondary and exploratory questions</w:t>
      </w:r>
      <w:bookmarkEnd w:id="2005"/>
    </w:p>
    <w:p>
      <w:pPr>
        <w:pStyle w:val="FirstParagraph"/>
      </w:pPr>
      <w:r>
        <w:t xml:space="preserve">Secondary outcomes may include student comprehension, interpretive load,</w:t>
      </w:r>
      <w:r>
        <w:t xml:space="preserve"> </w:t>
      </w:r>
      <w:r>
        <w:t xml:space="preserve">assessment anxiety, disclosure behaviour, agency, evaluative judgement,</w:t>
      </w:r>
      <w:r>
        <w:t xml:space="preserve"> </w:t>
      </w:r>
      <w:r>
        <w:t xml:space="preserve">tool access, marker experience, programme-map completeness, Lane 2B</w:t>
      </w:r>
      <w:r>
        <w:t xml:space="preserve"> </w:t>
      </w:r>
      <w:r>
        <w:t xml:space="preserve">drift, agentic-AI resilience, and comparative utility against simpler</w:t>
      </w:r>
      <w:r>
        <w:t xml:space="preserve"> </w:t>
      </w:r>
      <w:r>
        <w:t xml:space="preserve">frameworks. These outcomes must not be promoted to primary after results</w:t>
      </w:r>
      <w:r>
        <w:t xml:space="preserve"> </w:t>
      </w:r>
      <w:r>
        <w:t xml:space="preserve">are known.</w:t>
      </w:r>
    </w:p>
    <w:bookmarkEnd w:id="26"/>
    <w:bookmarkStart w:id="27" w:name="Xd62b7b567de27242e92c7dfd6acc0a2de43731d"/>
    <w:p>
      <w:bookmarkStart w:id="2006" w:name="aiap_c_2006"/>
      <w:pPr>
        <w:pStyle w:val="Heading1"/>
        <w:keepNext/>
        <w:widowControl/>
      </w:pPr>
      <w:r>
        <w:t xml:space="preserve">3. Design</w:t>
      </w:r>
      <w:bookmarkEnd w:id="2006"/>
    </w:p>
    <w:p>
      <w:pPr>
        <w:pStyle w:val="FirstParagraph"/>
      </w:pPr>
      <w:r>
        <w:t>A minimum Phase 1 design should include one or two programmes, two or three modules, approximately 120 students as a feasibility starting point rather than a power claim, at least two cases/prompts or occasions for a planned subsample, independent double rating, and a random triple-rated subset. Phase 2 should then expand to at least two and preferably three or more institutions with different profiles, retain the preregistered core measures and realistic comparators, and collect evidence over at least two academic cycles to test transportability, comparative utility, and programme-level claims.</w:t>
      </w:r>
    </w:p>
    <w:p>
      <w:pPr>
        <w:pStyle w:val="BodyText"/>
      </w:pPr>
      <w:r>
        <w:t xml:space="preserve">Sample size shall be derived from the primary estimand and precision</w:t>
      </w:r>
      <w:r>
        <w:t xml:space="preserve"> </w:t>
      </w:r>
      <w:r>
        <w:t xml:space="preserve">target using validated software or simulation. Subgroup findings that do</w:t>
      </w:r>
      <w:r>
        <w:t xml:space="preserve"> </w:t>
      </w:r>
      <w:r>
        <w:t xml:space="preserve">not meet the precision target remain exploratory; a non-significant</w:t>
      </w:r>
      <w:r>
        <w:t xml:space="preserve"> </w:t>
      </w:r>
      <w:r>
        <w:t xml:space="preserve">difference is not evidence of equivalence.</w:t>
      </w:r>
    </w:p>
    <w:bookmarkEnd w:id="27"/>
    <w:bookmarkStart w:id="29" w:name="X3cc0908027a71946a8d46825492f7b776582a1b"/>
    <w:p>
      <w:bookmarkStart w:id="2007" w:name="aiap_c_2007"/>
      <w:pPr>
        <w:pStyle w:val="Heading1"/>
        <w:keepNext/>
        <w:widowControl/>
      </w:pPr>
      <w:r>
        <w:t xml:space="preserve">4. Authentication event</w:t>
      </w:r>
      <w:bookmarkEnd w:id="2007"/>
    </w:p>
    <w:p>
      <w:pPr>
        <w:pStyle w:val="FirstParagraph"/>
      </w:pPr>
      <w:r>
        <w:t xml:space="preserve">Map each prompt to the declared construct and the load-bearing competence</w:t>
      </w:r>
      <w:r>
        <w:t xml:space="preserve"> </w:t>
      </w:r>
      <w:r>
        <w:t xml:space="preserve">components. Include at least one materially unseen or meaningfully</w:t>
      </w:r>
      <w:r>
        <w:t xml:space="preserve"> </w:t>
      </w:r>
      <w:r>
        <w:t xml:space="preserve">perturbed requirement. A</w:t>
      </w:r>
      <w:r>
        <w:t xml:space="preserve"> </w:t>
      </w:r>
      <w:r>
        <w:t xml:space="preserve">five-to-seven-minute structured event may be tested, but lower-burden</w:t>
      </w:r>
      <w:r>
        <w:t xml:space="preserve"> </w:t>
      </w:r>
      <w:r>
        <w:t xml:space="preserve">alternatives—supervised reconstruction, staged sign-off, live</w:t>
      </w:r>
      <w:r>
        <w:t xml:space="preserve"> </w:t>
      </w:r>
      <w:r>
        <w:t xml:space="preserve">walkthrough, or asynchronous evidence with selective live</w:t>
      </w:r>
      <w:r>
        <w:t xml:space="preserve"> </w:t>
      </w:r>
      <w:r>
        <w:t xml:space="preserve">follow-up—should be compared where feasible.</w:t>
      </w:r>
    </w:p>
    <w:p>
      <w:pPr>
        <w:pStyle w:val="BodyText"/>
      </w:pPr>
      <w:r>
        <w:t xml:space="preserve">The scoring guide must separate disciplinary understanding from</w:t>
      </w:r>
      <w:r>
        <w:t xml:space="preserve"> </w:t>
      </w:r>
      <w:r>
        <w:t xml:space="preserve">confidence, accent, speed, extroversion, or presentation style unless</w:t>
      </w:r>
      <w:r>
        <w:t xml:space="preserve"> </w:t>
      </w:r>
      <w:r>
        <w:t xml:space="preserve">oral communication is itself part of the construct.</w:t>
      </w:r>
    </w:p>
    <w:bookmarkStart w:id="28" w:name="Xed900a6b86eb9a0cb2bb30da1411ad56b1304ee"/>
    <w:p>
      <w:bookmarkStart w:id="2008" w:name="aiap_c_2008"/>
      <w:pPr>
        <w:pStyle w:val="Heading2"/>
        <w:keepNext/>
        <w:widowControl/>
      </w:pPr>
      <w:r>
        <w:t xml:space="preserve">4.1 Prompt exposure and form-equivalence study</w:t>
      </w:r>
      <w:bookmarkEnd w:id="2008"/>
    </w:p>
    <w:p>
      <w:pPr>
        <w:pStyle w:val="FirstParagraph"/>
      </w:pPr>
      <w:r>
        <w:t xml:space="preserve">Preregister the cohort, exposure window, prompt source, allocation,</w:t>
      </w:r>
      <w:r>
        <w:t xml:space="preserve"> </w:t>
      </w:r>
      <w:r>
        <w:t xml:space="preserve">rotation, retirement, and exposure-monitoring rules. Prefer live</w:t>
      </w:r>
      <w:r>
        <w:t xml:space="preserve"> </w:t>
      </w:r>
      <w:r>
        <w:t xml:space="preserve">artifact-specific perturbations where feasible. Record prompt and form IDs,</w:t>
      </w:r>
      <w:r>
        <w:t xml:space="preserve"> </w:t>
      </w:r>
      <w:r>
        <w:t xml:space="preserve">use counts, suspected circulation, retirement, and affected decisions.</w:t>
      </w:r>
      <w:r>
        <w:t xml:space="preserve"> </w:t>
      </w:r>
      <w:r>
        <w:t xml:space="preserve">Before parallel forms carry the same hurdle, establish a common blueprint</w:t>
      </w:r>
      <w:r>
        <w:t xml:space="preserve"> </w:t>
      </w:r>
      <w:r>
        <w:t xml:space="preserve">and collect expert-review, difficulty, decision-consistency, and</w:t>
      </w:r>
      <w:r>
        <w:t xml:space="preserve"> </w:t>
      </w:r>
      <w:r>
        <w:t xml:space="preserve">accessibility evidence. Treat prompt/form as a facet in the reliability and</w:t>
      </w:r>
      <w:r>
        <w:t xml:space="preserve"> </w:t>
      </w:r>
      <w:r>
        <w:t xml:space="preserve">generalization analyses where the design permits.</w:t>
      </w:r>
    </w:p>
    <w:bookmarkEnd w:id="28"/>
    <w:bookmarkEnd w:id="29"/>
    <w:bookmarkStart w:id="30" w:name="X3dd48d71edebc67b9fbb8df8248a78d29f19b2c"/>
    <w:p>
      <w:bookmarkStart w:id="2009" w:name="aiap_c_2009"/>
      <w:pPr>
        <w:pStyle w:val="Heading1"/>
        <w:keepNext/>
        <w:widowControl/>
      </w:pPr>
      <w:r>
        <w:t xml:space="preserve">5. Independent criterion evidence</w:t>
      </w:r>
      <w:bookmarkEnd w:id="2009"/>
    </w:p>
    <w:p>
      <w:pPr>
        <w:pStyle w:val="FirstParagraph"/>
      </w:pPr>
      <w:r>
        <w:t xml:space="preserve">Collect an external criterion for the same capability, preferably a</w:t>
      </w:r>
      <w:r>
        <w:t xml:space="preserve"> </w:t>
      </w:r>
      <w:r>
        <w:t xml:space="preserve">short secured unseen transfer task scored by assessors blinded to</w:t>
      </w:r>
      <w:r>
        <w:t xml:space="preserve"> </w:t>
      </w:r>
      <w:r>
        <w:t xml:space="preserve">product and authentication results. Declare construct coverage,</w:t>
      </w:r>
      <w:r>
        <w:t xml:space="preserve"> </w:t>
      </w:r>
      <w:r>
        <w:t xml:space="preserve">reliability, timing, contamination risk, and expected relation. The</w:t>
      </w:r>
      <w:r>
        <w:t xml:space="preserve"> </w:t>
      </w:r>
      <w:r>
        <w:t xml:space="preserve">criterion is not a perfect gold standard.</w:t>
      </w:r>
    </w:p>
    <w:bookmarkEnd w:id="30"/>
    <w:bookmarkStart w:id="31" w:name="Xaa6e999746dcdc6e9bf296f13344cc993888da4"/>
    <w:p>
      <w:bookmarkStart w:id="2010" w:name="aiap_c_2010"/>
      <w:pPr>
        <w:pStyle w:val="Heading1"/>
        <w:keepNext/>
        <w:widowControl/>
      </w:pPr>
      <w:r>
        <w:t xml:space="preserve">6. Standard setting</w:t>
      </w:r>
      <w:bookmarkEnd w:id="2010"/>
    </w:p>
    <w:p>
      <w:pPr>
        <w:pStyle w:val="FirstParagraph"/>
      </w:pPr>
      <w:r>
        <w:t xml:space="preserve">For any hurdle, preregister a defensible method such as modified Angoff,</w:t>
      </w:r>
      <w:r>
        <w:t xml:space="preserve"> </w:t>
      </w:r>
      <w:r>
        <w:t xml:space="preserve">contrasting groups, or borderline regression where appropriate. Record</w:t>
      </w:r>
      <w:r>
        <w:t xml:space="preserve"> </w:t>
      </w:r>
      <w:r>
        <w:t xml:space="preserve">judge selection, training, uncertainty, review, classification</w:t>
      </w:r>
      <w:r>
        <w:t xml:space="preserve"> </w:t>
      </w:r>
      <w:r>
        <w:t xml:space="preserve">consistency, and consequences at the cut.</w:t>
      </w:r>
    </w:p>
    <w:bookmarkEnd w:id="31"/>
    <w:bookmarkStart w:id="32" w:name="X4942c5c4fcbec23f8f1546cbc7823b0515a64f3"/>
    <w:p>
      <w:bookmarkStart w:id="2011" w:name="aiap_c_2011"/>
      <w:pPr>
        <w:pStyle w:val="Heading1"/>
        <w:keepNext/>
        <w:widowControl/>
      </w:pPr>
      <w:r>
        <w:t xml:space="preserve">7. Equity and accessibility</w:t>
      </w:r>
      <w:bookmarkEnd w:id="2011"/>
    </w:p>
    <w:p>
      <w:pPr>
        <w:pStyle w:val="FirstParagraph"/>
      </w:pPr>
      <w:r>
        <w:t xml:space="preserve">Preregister practically important subgroup differences with stakeholder</w:t>
      </w:r>
      <w:r>
        <w:t xml:space="preserve"> </w:t>
      </w:r>
      <w:r>
        <w:t xml:space="preserve">justification. Estimate effects and uncertainty for EAL status,</w:t>
      </w:r>
      <w:r>
        <w:t xml:space="preserve"> </w:t>
      </w:r>
      <w:r>
        <w:t xml:space="preserve">accommodation status, anxiety, tool access, modality, and</w:t>
      </w:r>
      <w:r>
        <w:t xml:space="preserve"> </w:t>
      </w:r>
      <w:r>
        <w:t xml:space="preserve">alternative-format use. Test whether alternatives address the same</w:t>
      </w:r>
      <w:r>
        <w:t xml:space="preserve"> </w:t>
      </w:r>
      <w:r>
        <w:t xml:space="preserve">construct. Record accessibility incidents, rescheduling, complaints, appeals,</w:t>
      </w:r>
      <w:r>
        <w:t xml:space="preserve"> </w:t>
      </w:r>
      <w:r>
        <w:t xml:space="preserve">and abandonment. Include at least one worked equivalent route, such as a</w:t>
      </w:r>
      <w:r>
        <w:t xml:space="preserve"> </w:t>
      </w:r>
      <w:r>
        <w:t xml:space="preserve">supervised written unseen-transfer task with selective live follow-up,</w:t>
      </w:r>
      <w:r>
        <w:t xml:space="preserve"> </w:t>
      </w:r>
      <w:r>
        <w:t xml:space="preserve">scored against the same construct map. Do not infer equivalence from</w:t>
      </w:r>
      <w:r>
        <w:t xml:space="preserve"> </w:t>
      </w:r>
      <w:r>
        <w:t xml:space="preserve">format similarity.</w:t>
      </w:r>
    </w:p>
    <w:bookmarkEnd w:id="32"/>
    <w:bookmarkStart w:id="33" w:name="Xcdfc12921db27cd0abc825f6f0e2178d92813f6"/>
    <w:p>
      <w:bookmarkStart w:id="2012" w:name="aiap_c_2012"/>
      <w:pPr>
        <w:pStyle w:val="Heading1"/>
        <w:keepNext/>
        <w:widowControl/>
      </w:pPr>
      <w:r>
        <w:t xml:space="preserve">8. Modality and adversarial testing</w:t>
      </w:r>
      <w:bookmarkEnd w:id="2012"/>
    </w:p>
    <w:p>
      <w:pPr>
        <w:pStyle w:val="FirstParagraph"/>
      </w:pPr>
      <w:r>
        <w:t xml:space="preserve">Where remote authentication is used, conduct a staff-only red-team</w:t>
      </w:r>
      <w:r>
        <w:t xml:space="preserve"> </w:t>
      </w:r>
      <w:r>
        <w:t xml:space="preserve">attempt to defeat the event through plausible covert real-time</w:t>
      </w:r>
      <w:r>
        <w:t xml:space="preserve"> </w:t>
      </w:r>
      <w:r>
        <w:t xml:space="preserve">assistance under ethics and security controls. Also test AI-rehearsed</w:t>
      </w:r>
      <w:r>
        <w:t xml:space="preserve"> </w:t>
      </w:r>
      <w:r>
        <w:t xml:space="preserve">defence. Rehearsal itself is legitimate preparation; the event fails</w:t>
      </w:r>
      <w:r>
        <w:t xml:space="preserve"> </w:t>
      </w:r>
      <w:r>
        <w:t xml:space="preserve">when rehearsed or covertly assisted performance can satisfy the claim</w:t>
      </w:r>
      <w:r>
        <w:t xml:space="preserve"> </w:t>
      </w:r>
      <w:r>
        <w:t xml:space="preserve">without genuine adaptation, verification, or transfer.</w:t>
      </w:r>
    </w:p>
    <w:bookmarkEnd w:id="33"/>
    <w:bookmarkStart w:id="34" w:name="X50fa7693b85a700064724ffa3e9c3d59f95b82f"/>
    <w:p>
      <w:bookmarkStart w:id="2013" w:name="aiap_c_2013"/>
      <w:pPr>
        <w:pStyle w:val="Heading1"/>
        <w:keepNext/>
        <w:widowControl/>
      </w:pPr>
      <w:r>
        <w:t xml:space="preserve">9. Workload and burden</w:t>
      </w:r>
      <w:bookmarkEnd w:id="2013"/>
    </w:p>
    <w:p>
      <w:pPr>
        <w:pStyle w:val="FirstParagraph"/>
      </w:pPr>
      <w:r>
        <w:t xml:space="preserve">Record one-off and recurring staff-hours, elapsed scheduling time,</w:t>
      </w:r>
      <w:r>
        <w:t xml:space="preserve"> </w:t>
      </w:r>
      <w:r>
        <w:t xml:space="preserve">assessor throughput, transition time, maximum continuous session length,</w:t>
      </w:r>
      <w:r>
        <w:t xml:space="preserve"> </w:t>
      </w:r>
      <w:r>
        <w:t xml:space="preserve">breaks, moderation, calibration and drift checks, accessibility,</w:t>
      </w:r>
      <w:r>
        <w:t xml:space="preserve"> </w:t>
      </w:r>
      <w:r>
        <w:t xml:space="preserve">rescheduling, recording review, appeals, data governance, and incident</w:t>
      </w:r>
      <w:r>
        <w:t xml:space="preserve"> </w:t>
      </w:r>
      <w:r>
        <w:t xml:space="preserve">handling. Record student preparation, waiting, travel/setup, event,</w:t>
      </w:r>
      <w:r>
        <w:t xml:space="preserve"> </w:t>
      </w:r>
      <w:r>
        <w:t xml:space="preserve">accessibility, rescheduling, and appeal time. Configure a local comparator</w:t>
      </w:r>
      <w:r>
        <w:t xml:space="preserve"> </w:t>
      </w:r>
      <w:r>
        <w:t xml:space="preserve">for the assessment route being replaced or supplemented; compare decision</w:t>
      </w:r>
      <w:r>
        <w:t xml:space="preserve"> </w:t>
      </w:r>
      <w:r>
        <w:t xml:space="preserve">utility, construct coverage, reliability, privacy, equity, and burden, not</w:t>
      </w:r>
      <w:r>
        <w:t xml:space="preserve"> </w:t>
      </w:r>
      <w:r>
        <w:t xml:space="preserve">cost alone.</w:t>
      </w:r>
    </w:p>
    <w:bookmarkEnd w:id="34"/>
    <w:bookmarkStart w:id="35" w:name="Xf84ca429e072dcb196f14775fc27f3b0d07aebd"/>
    <w:p>
      <w:bookmarkStart w:id="2014" w:name="aiap_c_2014"/>
      <w:pPr>
        <w:pStyle w:val="Heading1"/>
        <w:keepNext/>
        <w:widowControl/>
      </w:pPr>
      <w:r>
        <w:t xml:space="preserve">9.1 Group assessment and individual attribution</w:t>
      </w:r>
      <w:bookmarkEnd w:id="2014"/>
    </w:p>
    <w:p>
      <w:pPr>
        <w:pStyle w:val="FirstParagraph"/>
      </w:pPr>
      <w:r>
        <w:t xml:space="preserve">Where a shared artifact is used, record whether the claim is group-level</w:t>
      </w:r>
      <w:r>
        <w:t xml:space="preserve"> </w:t>
      </w:r>
      <w:r>
        <w:t xml:space="preserve">or individual. Individual certification requires separately attributable</w:t>
      </w:r>
      <w:r>
        <w:t xml:space="preserve"> </w:t>
      </w:r>
      <w:r>
        <w:t xml:space="preserve">evidence and a separate decision for every student. Group-level evidence</w:t>
      </w:r>
      <w:r>
        <w:t xml:space="preserve"> </w:t>
      </w:r>
      <w:r>
        <w:t xml:space="preserve">must not be substituted for missing individual evidence.</w:t>
      </w:r>
    </w:p>
    <w:bookmarkEnd w:id="35"/>
    <w:bookmarkStart w:id="36" w:name="X3910b30308d47838a641af5b0e61b4ff4e118ad"/>
    <w:p>
      <w:bookmarkStart w:id="2015" w:name="aiap_c_2015"/>
      <w:pPr>
        <w:pStyle w:val="Heading1"/>
        <w:keepNext/>
        <w:widowControl/>
      </w:pPr>
      <w:r>
        <w:t xml:space="preserve">9.2 Capacity-degradation events</w:t>
      </w:r>
      <w:bookmarkEnd w:id="2015"/>
    </w:p>
    <w:p>
      <w:pPr>
        <w:pStyle w:val="FirstParagraph"/>
      </w:pPr>
      <w:r>
        <w:t xml:space="preserve">Record assessor illness, mass rescheduling, technology failure, prompt</w:t>
      </w:r>
      <w:r>
        <w:t xml:space="preserve"> </w:t>
      </w:r>
      <w:r>
        <w:t xml:space="preserve">compromise, recording loss, accessibility failure, and data incidents.</w:t>
      </w:r>
      <w:r>
        <w:t xml:space="preserve"> </w:t>
      </w:r>
      <w:r>
        <w:t xml:space="preserve">State the fallback used, affected students and claims, delay or narrowing,</w:t>
      </w:r>
      <w:r>
        <w:t xml:space="preserve"> </w:t>
      </w:r>
      <w:r>
        <w:t xml:space="preserve">and requalification decision.</w:t>
      </w:r>
    </w:p>
    <w:bookmarkEnd w:id="36"/>
    <w:bookmarkStart w:id="37" w:name="Xcc9d9ae643bac0cbceeed9107d0775013269742"/>
    <w:p>
      <w:bookmarkStart w:id="2016" w:name="aiap_c_2016"/>
      <w:pPr>
        <w:pStyle w:val="Heading1"/>
        <w:keepNext/>
        <w:widowControl/>
      </w:pPr>
      <w:r>
        <w:t xml:space="preserve">10. Data governance</w:t>
      </w:r>
      <w:bookmarkEnd w:id="2016"/>
    </w:p>
    <w:p>
      <w:pPr>
        <w:pStyle w:val="FirstParagraph"/>
      </w:pPr>
      <w:r>
        <w:t xml:space="preserve">Complete a data inventory and local legal/ethics review. Minimize</w:t>
      </w:r>
      <w:r>
        <w:t xml:space="preserve"> </w:t>
      </w:r>
      <w:r>
        <w:t xml:space="preserve">recordings and process traces. State access, retention, correction,</w:t>
      </w:r>
      <w:r>
        <w:t xml:space="preserve"> </w:t>
      </w:r>
      <w:r>
        <w:t xml:space="preserve">deletion, incident response, and publication rules. Protect</w:t>
      </w:r>
      <w:r>
        <w:t xml:space="preserve"> </w:t>
      </w:r>
      <w:r>
        <w:t xml:space="preserve">accommodation and disability data. Publish null and adverse results</w:t>
      </w:r>
      <w:r>
        <w:t xml:space="preserve"> </w:t>
      </w:r>
      <w:r>
        <w:t xml:space="preserve">without author, sponsor, candidate, or host veto.</w:t>
      </w:r>
    </w:p>
    <w:bookmarkEnd w:id="37"/>
    <w:bookmarkStart w:id="38" w:name="X5dc6f52e43e4826af8f05fb6f2c0899234902d4"/>
    <w:p>
      <w:bookmarkStart w:id="2017" w:name="aiap_c_2017"/>
      <w:pPr>
        <w:pStyle w:val="Heading1"/>
        <w:keepNext/>
        <w:widowControl/>
      </w:pPr>
      <w:r>
        <w:t xml:space="preserve">11. Preregistered continuation rules</w:t>
      </w:r>
      <w:bookmarkEnd w:id="2017"/>
    </w:p>
    <w:p>
      <w:pPr>
        <w:pStyle w:val="FirstParagraph"/>
      </w:pPr>
      <w:r>
        <w:t xml:space="preserve">Before data collection, state thresholds or minimum practically</w:t>
      </w:r>
      <w:r>
        <w:t xml:space="preserve"> </w:t>
      </w:r>
      <w:r>
        <w:t xml:space="preserve">important differences that lead to continuation, redesign, narrower</w:t>
      </w:r>
      <w:r>
        <w:t xml:space="preserve"> </w:t>
      </w:r>
      <w:r>
        <w:t xml:space="preserve">claims, replacement, pause, or rejection. A procedurally complete</w:t>
      </w:r>
      <w:r>
        <w:t xml:space="preserve"> </w:t>
      </w:r>
      <w:r>
        <w:t xml:space="preserve">mechanism must still be rejected or narrowed when incremental validity</w:t>
      </w:r>
      <w:r>
        <w:t xml:space="preserve"> </w:t>
      </w:r>
      <w:r>
        <w:t xml:space="preserve">or decision utility is negligible relative to burden.</w:t>
      </w:r>
    </w:p>
    <w:bookmarkEnd w:id="38"/>
    <w:bookmarkStart w:id="39" w:name="X53b1a28c184632253dc762e4cccca64b433b104"/>
    <w:p>
      <w:bookmarkStart w:id="2018" w:name="aiap_c_2018"/>
      <w:pPr>
        <w:pStyle w:val="Heading1"/>
        <w:keepNext/>
        <w:widowControl/>
      </w:pPr>
      <w:r>
        <w:t xml:space="preserve">12. Reporting</w:t>
      </w:r>
      <w:bookmarkEnd w:id="2018"/>
    </w:p>
    <w:p>
      <w:pPr>
        <w:pStyle w:val="FirstParagraph"/>
      </w:pPr>
      <w:r>
        <w:t xml:space="preserve">Report all primary and sensitivity analyses, missingness, deviations,</w:t>
      </w:r>
      <w:r>
        <w:t xml:space="preserve"> </w:t>
      </w:r>
      <w:r>
        <w:t xml:space="preserve">adverse events, subgroup precision, workload, privacy/accessibility</w:t>
      </w:r>
      <w:r>
        <w:t xml:space="preserve"> </w:t>
      </w:r>
      <w:r>
        <w:t xml:space="preserve">outcomes, and the full decision record. Do not describe a feasibility</w:t>
      </w:r>
      <w:r>
        <w:t xml:space="preserve"> </w:t>
      </w:r>
      <w:r>
        <w:t xml:space="preserve">signal as validation.</w:t>
      </w:r>
    </w:p>
    <w:bookmarkEnd w:id="39"/>
    <w:bookmarkStart w:id="40" w:name="appendix-a-minimum-dataset-fields"/>
    <w:p>
      <w:bookmarkStart w:id="2019" w:name="aiap_c_2019"/>
      <w:pPr>
        <w:pStyle w:val="Heading1"/>
        <w:keepNext/>
        <w:widowControl/>
      </w:pPr>
      <w:r>
        <w:t xml:space="preserve">Appendix A. Minimum dataset fields</w:t>
      </w:r>
      <w:bookmarkEnd w:id="2019"/>
    </w:p>
    <w:tbl>
      <w:tblPr>
        <w:tblStyle w:val="Table"/>
        <w:tblW w:type="auto" w:w="0"/>
        <w:jc w:val="left"/>
        <w:tblLayout w:type="fixed"/>
        <w:tblLook w:firstRow="1" w:lastRow="0" w:firstColumn="0" w:lastColumn="0" w:noHBand="0" w:noVBand="0" w:val="0020"/>
      </w:tblPr>
      <w:tblGrid>
        <w:gridCol w:w="3960"/>
        <w:gridCol w:w="3960"/>
      </w:tblGrid>
      <w:tr>
        <w:trPr>
          <w:tblHeader w:val="on"/>
          <w:cantSplit/>
        </w:trPr>
        <w:tc>
          <w:tcPr>
            <w:shd w:fill="1F4E79"/>
          </w:tcPr>
          <w:p>
            <w:pPr>
              <w:pStyle w:val="Compact"/>
              <w:spacing w:after="40" w:line="240" w:lineRule="auto"/>
              <w:jc w:val="left"/>
            </w:pPr>
            <w:r>
              <w:rPr>
                <w:rFonts w:ascii="Georgia" w:hAnsi="Georgia"/>
                <w:b/>
                <w:bCs/>
                <w:color w:val="FFFFFF"/>
                <w:sz w:val="17"/>
              </w:rPr>
              <w:t xml:space="preserve">Domain</w:t>
            </w:r>
          </w:p>
        </w:tc>
        <w:tc>
          <w:tcPr>
            <w:shd w:fill="1F4E79"/>
          </w:tcPr>
          <w:p>
            <w:pPr>
              <w:pStyle w:val="Compact"/>
              <w:spacing w:after="40" w:line="240" w:lineRule="auto"/>
              <w:jc w:val="left"/>
            </w:pPr>
            <w:r>
              <w:rPr>
                <w:rFonts w:ascii="Georgia" w:hAnsi="Georgia"/>
                <w:b/>
                <w:bCs/>
                <w:color w:val="FFFFFF"/>
                <w:sz w:val="17"/>
              </w:rPr>
              <w:t xml:space="preserve">Fields</w:t>
            </w:r>
          </w:p>
        </w:tc>
      </w:tr>
      <w:tr>
        <w:trPr>
          <w:cantSplit/>
        </w:trPr>
        <w:tc>
          <w:tcPr/>
          <w:p>
            <w:pPr>
              <w:pStyle w:val="Compact"/>
              <w:spacing w:after="40" w:line="240" w:lineRule="auto"/>
              <w:jc w:val="left"/>
            </w:pPr>
            <w:r>
              <w:rPr>
                <w:rFonts w:ascii="Georgia" w:hAnsi="Georgia"/>
                <w:sz w:val="17"/>
              </w:rPr>
              <w:t xml:space="preserve">Participant</w:t>
            </w:r>
          </w:p>
        </w:tc>
        <w:tc>
          <w:tcPr/>
          <w:p>
            <w:pPr>
              <w:pStyle w:val="Compact"/>
              <w:spacing w:after="40" w:line="240" w:lineRule="auto"/>
              <w:jc w:val="left"/>
            </w:pPr>
            <w:r>
              <w:rPr>
                <w:rFonts w:ascii="Georgia" w:hAnsi="Georgia"/>
                <w:sz w:val="17"/>
              </w:rPr>
              <w:t xml:space="preserve">pseudonymous ID, programme/module, declared subgroup variables under approved governance</w:t>
            </w:r>
          </w:p>
        </w:tc>
      </w:tr>
      <w:tr>
        <w:trPr>
          <w:cantSplit/>
        </w:trPr>
        <w:tc>
          <w:tcPr/>
          <w:p>
            <w:pPr>
              <w:pStyle w:val="Compact"/>
              <w:spacing w:after="40" w:line="240" w:lineRule="auto"/>
              <w:jc w:val="left"/>
            </w:pPr>
            <w:r>
              <w:rPr>
                <w:rFonts w:ascii="Georgia" w:hAnsi="Georgia"/>
                <w:sz w:val="17"/>
              </w:rPr>
              <w:t xml:space="preserve">Assessment</w:t>
            </w:r>
          </w:p>
        </w:tc>
        <w:tc>
          <w:tcPr/>
          <w:p>
            <w:pPr>
              <w:pStyle w:val="Compact"/>
              <w:spacing w:after="40" w:line="240" w:lineRule="auto"/>
              <w:jc w:val="left"/>
            </w:pPr>
            <w:r>
              <w:rPr>
                <w:rFonts w:ascii="Georgia" w:hAnsi="Georgia"/>
                <w:sz w:val="17"/>
              </w:rPr>
              <w:t xml:space="preserve">claim ID, lane, modality, prompt/case, occasion, product score</w:t>
            </w:r>
          </w:p>
        </w:tc>
      </w:tr>
      <w:tr>
        <w:trPr>
          <w:cantSplit/>
        </w:trPr>
        <w:tc>
          <w:tcPr/>
          <w:p>
            <w:pPr>
              <w:pStyle w:val="Compact"/>
              <w:spacing w:after="40" w:line="240" w:lineRule="auto"/>
              <w:jc w:val="left"/>
            </w:pPr>
            <w:r>
              <w:rPr>
                <w:rFonts w:ascii="Georgia" w:hAnsi="Georgia"/>
                <w:sz w:val="17"/>
              </w:rPr>
              <w:t xml:space="preserve">Authentication</w:t>
            </w:r>
          </w:p>
        </w:tc>
        <w:tc>
          <w:tcPr/>
          <w:p>
            <w:pPr>
              <w:pStyle w:val="Compact"/>
              <w:spacing w:after="40" w:line="240" w:lineRule="auto"/>
              <w:jc w:val="left"/>
            </w:pPr>
            <w:r>
              <w:rPr>
                <w:rFonts w:ascii="Georgia" w:hAnsi="Georgia"/>
                <w:sz w:val="17"/>
              </w:rPr>
              <w:t xml:space="preserve">event ID, assessor and session IDs, component scores (explain, defend, verify, adapt, transfer), total/decision, duration, submission-authentication interval, prompt/form ID, prompt source, exposure status, unseen/perturbed item</w:t>
            </w:r>
          </w:p>
        </w:tc>
      </w:tr>
      <w:tr>
        <w:trPr>
          <w:cantSplit/>
        </w:trPr>
        <w:tc>
          <w:tcPr/>
          <w:p>
            <w:pPr>
              <w:pStyle w:val="Compact"/>
              <w:spacing w:after="40" w:line="240" w:lineRule="auto"/>
              <w:jc w:val="left"/>
            </w:pPr>
            <w:r>
              <w:rPr>
                <w:rFonts w:ascii="Georgia" w:hAnsi="Georgia"/>
                <w:sz w:val="17"/>
              </w:rPr>
              <w:t xml:space="preserve">Criterion</w:t>
            </w:r>
          </w:p>
        </w:tc>
        <w:tc>
          <w:tcPr/>
          <w:p>
            <w:pPr>
              <w:pStyle w:val="Compact"/>
              <w:spacing w:after="40" w:line="240" w:lineRule="auto"/>
              <w:jc w:val="left"/>
            </w:pPr>
            <w:r>
              <w:rPr>
                <w:rFonts w:ascii="Georgia" w:hAnsi="Georgia"/>
                <w:sz w:val="17"/>
              </w:rPr>
              <w:t xml:space="preserve">independent criterion score/decision, timing, assessor blinding</w:t>
            </w:r>
          </w:p>
        </w:tc>
      </w:tr>
      <w:tr>
        <w:trPr>
          <w:cantSplit/>
        </w:trPr>
        <w:tc>
          <w:tcPr/>
          <w:p>
            <w:pPr>
              <w:pStyle w:val="Compact"/>
              <w:spacing w:after="40" w:line="240" w:lineRule="auto"/>
              <w:jc w:val="left"/>
            </w:pPr>
            <w:r>
              <w:rPr>
                <w:rFonts w:ascii="Georgia" w:hAnsi="Georgia"/>
                <w:sz w:val="17"/>
              </w:rPr>
              <w:t xml:space="preserve">Burden</w:t>
            </w:r>
          </w:p>
        </w:tc>
        <w:tc>
          <w:tcPr/>
          <w:p>
            <w:pPr>
              <w:pStyle w:val="Compact"/>
              <w:spacing w:after="40" w:line="240" w:lineRule="auto"/>
              <w:jc w:val="left"/>
            </w:pPr>
            <w:r>
              <w:rPr>
                <w:rFonts w:ascii="Georgia" w:hAnsi="Georgia"/>
                <w:sz w:val="17"/>
              </w:rPr>
              <w:t xml:space="preserve">staff role hours, transition and breaks, assessor drift, student preparation/wait/travel/event time, scheduling, rescheduling, accessibility, appeal</w:t>
            </w:r>
          </w:p>
        </w:tc>
      </w:tr>
      <w:tr>
        <w:trPr>
          <w:cantSplit/>
        </w:trPr>
        <w:tc>
          <w:tcPr/>
          <w:p>
            <w:pPr>
              <w:pStyle w:val="Compact"/>
              <w:spacing w:after="40" w:line="240" w:lineRule="auto"/>
              <w:jc w:val="left"/>
            </w:pPr>
            <w:r>
              <w:rPr>
                <w:rFonts w:ascii="Georgia" w:hAnsi="Georgia"/>
                <w:sz w:val="17"/>
              </w:rPr>
              <w:t xml:space="preserve">Governance</w:t>
            </w:r>
          </w:p>
        </w:tc>
        <w:tc>
          <w:tcPr/>
          <w:p>
            <w:pPr>
              <w:pStyle w:val="Compact"/>
              <w:spacing w:after="40" w:line="240" w:lineRule="auto"/>
              <w:jc w:val="left"/>
            </w:pPr>
            <w:r>
              <w:rPr>
                <w:rFonts w:ascii="Georgia" w:hAnsi="Georgia"/>
                <w:sz w:val="17"/>
              </w:rPr>
              <w:t xml:space="preserve">consent/notice basis, access, retention, prompt exposure/retirement, capacity incident, appeal, withdrawal/correction</w:t>
            </w:r>
          </w:p>
        </w:tc>
      </w:tr>
    </w:tbl>
    <w:bookmarkEnd w:id="40"/>
    <w:bookmarkStart w:id="41" w:name="appendix-b-analysis-decision-table"/>
    <w:p>
      <w:bookmarkStart w:id="2020" w:name="aiap_c_2020"/>
      <w:pPr>
        <w:pStyle w:val="Heading1"/>
        <w:keepNext/>
        <w:widowControl/>
      </w:pPr>
      <w:r>
        <w:t xml:space="preserve">Appendix B. Analysis decision table</w:t>
      </w:r>
      <w:bookmarkEnd w:id="2020"/>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7"/>
              </w:rPr>
              <w:t xml:space="preserve">Question</w:t>
            </w:r>
          </w:p>
        </w:tc>
        <w:tc>
          <w:tcPr>
            <w:shd w:fill="1F4E79"/>
          </w:tcPr>
          <w:p>
            <w:pPr>
              <w:pStyle w:val="Compact"/>
              <w:spacing w:after="40" w:line="240" w:lineRule="auto"/>
              <w:jc w:val="left"/>
            </w:pPr>
            <w:r>
              <w:rPr>
                <w:rFonts w:ascii="Georgia" w:hAnsi="Georgia"/>
                <w:b/>
                <w:bCs/>
                <w:color w:val="FFFFFF"/>
                <w:sz w:val="17"/>
              </w:rPr>
              <w:t xml:space="preserve">Primary estimand/evidence</w:t>
            </w:r>
          </w:p>
        </w:tc>
        <w:tc>
          <w:tcPr>
            <w:shd w:fill="1F4E79"/>
          </w:tcPr>
          <w:p>
            <w:pPr>
              <w:pStyle w:val="Compact"/>
              <w:spacing w:after="40" w:line="240" w:lineRule="auto"/>
              <w:jc w:val="left"/>
            </w:pPr>
            <w:r>
              <w:rPr>
                <w:rFonts w:ascii="Georgia" w:hAnsi="Georgia"/>
                <w:b/>
                <w:bCs/>
                <w:color w:val="FFFFFF"/>
                <w:sz w:val="17"/>
              </w:rPr>
              <w:t xml:space="preserve">Binding decision use</w:t>
            </w:r>
          </w:p>
        </w:tc>
      </w:tr>
      <w:tr>
        <w:trPr>
          <w:cantSplit/>
        </w:trPr>
        <w:tc>
          <w:tcPr/>
          <w:p>
            <w:pPr>
              <w:pStyle w:val="Compact"/>
              <w:spacing w:after="40" w:line="240" w:lineRule="auto"/>
              <w:jc w:val="left"/>
            </w:pPr>
            <w:r>
              <w:rPr>
                <w:rFonts w:ascii="Georgia" w:hAnsi="Georgia"/>
                <w:sz w:val="17"/>
              </w:rPr>
              <w:t xml:space="preserve">RQ1</w:t>
            </w:r>
          </w:p>
        </w:tc>
        <w:tc>
          <w:tcPr/>
          <w:p>
            <w:pPr>
              <w:pStyle w:val="Compact"/>
              <w:spacing w:after="40" w:line="240" w:lineRule="auto"/>
              <w:jc w:val="left"/>
            </w:pPr>
            <w:r>
              <w:rPr>
                <w:rFonts w:ascii="Georgia" w:hAnsi="Georgia"/>
                <w:sz w:val="17"/>
              </w:rPr>
              <w:t xml:space="preserve">ICC absolute agreement; raw decision agreement and error consequences</w:t>
            </w:r>
          </w:p>
        </w:tc>
        <w:tc>
          <w:tcPr/>
          <w:p>
            <w:pPr>
              <w:pStyle w:val="Compact"/>
              <w:spacing w:after="40" w:line="240" w:lineRule="auto"/>
              <w:jc w:val="left"/>
            </w:pPr>
            <w:r>
              <w:rPr>
                <w:rFonts w:ascii="Georgia" w:hAnsi="Georgia"/>
                <w:sz w:val="17"/>
              </w:rPr>
              <w:t xml:space="preserve">whether scoring/decisions are sufficiently stable</w:t>
            </w:r>
          </w:p>
        </w:tc>
      </w:tr>
      <w:tr>
        <w:trPr>
          <w:cantSplit/>
        </w:trPr>
        <w:tc>
          <w:tcPr/>
          <w:p>
            <w:pPr>
              <w:pStyle w:val="Compact"/>
              <w:spacing w:after="40" w:line="240" w:lineRule="auto"/>
              <w:jc w:val="left"/>
            </w:pPr>
            <w:r>
              <w:rPr>
                <w:rFonts w:ascii="Georgia" w:hAnsi="Georgia"/>
                <w:sz w:val="17"/>
              </w:rPr>
              <w:t xml:space="preserve">RQ2</w:t>
            </w:r>
          </w:p>
        </w:tc>
        <w:tc>
          <w:tcPr/>
          <w:p>
            <w:pPr>
              <w:pStyle w:val="Compact"/>
              <w:spacing w:after="40" w:line="240" w:lineRule="auto"/>
              <w:jc w:val="left"/>
            </w:pPr>
            <w:r>
              <w:rPr>
                <w:rFonts w:ascii="Georgia" w:hAnsi="Georgia"/>
                <w:sz w:val="17"/>
              </w:rPr>
              <w:t xml:space="preserve">incremental validity and generalization variance</w:t>
            </w:r>
          </w:p>
        </w:tc>
        <w:tc>
          <w:tcPr/>
          <w:p>
            <w:pPr>
              <w:pStyle w:val="Compact"/>
              <w:spacing w:after="40" w:line="240" w:lineRule="auto"/>
              <w:jc w:val="left"/>
            </w:pPr>
            <w:r>
              <w:rPr>
                <w:rFonts w:ascii="Georgia" w:hAnsi="Georgia"/>
                <w:sz w:val="17"/>
              </w:rPr>
              <w:t xml:space="preserve">whether the claimed inference is supported and how much sampling is required</w:t>
            </w:r>
          </w:p>
        </w:tc>
      </w:tr>
      <w:tr>
        <w:trPr>
          <w:cantSplit/>
        </w:trPr>
        <w:tc>
          <w:tcPr/>
          <w:p>
            <w:pPr>
              <w:pStyle w:val="Compact"/>
              <w:spacing w:after="40" w:line="240" w:lineRule="auto"/>
              <w:jc w:val="left"/>
            </w:pPr>
            <w:r>
              <w:rPr>
                <w:rFonts w:ascii="Georgia" w:hAnsi="Georgia"/>
                <w:sz w:val="17"/>
              </w:rPr>
              <w:t xml:space="preserve">RQ3</w:t>
            </w:r>
          </w:p>
        </w:tc>
        <w:tc>
          <w:tcPr/>
          <w:p>
            <w:pPr>
              <w:pStyle w:val="Compact"/>
              <w:spacing w:after="40" w:line="240" w:lineRule="auto"/>
              <w:jc w:val="left"/>
            </w:pPr>
            <w:r>
              <w:rPr>
                <w:rFonts w:ascii="Georgia" w:hAnsi="Georgia"/>
                <w:sz w:val="17"/>
              </w:rPr>
              <w:t xml:space="preserve">capacity gate, subgroup estimates, privacy/accessibility incidents, decision utility</w:t>
            </w:r>
          </w:p>
        </w:tc>
        <w:tc>
          <w:tcPr/>
          <w:p>
            <w:pPr>
              <w:pStyle w:val="Compact"/>
              <w:spacing w:after="40" w:line="240" w:lineRule="auto"/>
              <w:jc w:val="left"/>
            </w:pPr>
            <w:r>
              <w:rPr>
                <w:rFonts w:ascii="Georgia" w:hAnsi="Georgia"/>
                <w:sz w:val="17"/>
              </w:rPr>
              <w:t xml:space="preserve">whether the mechanism is feasible and proportionate</w:t>
            </w:r>
          </w:p>
        </w:tc>
      </w:tr>
    </w:tbl>
    <w:bookmarkEnd w:id="41"/>
    <w:sectPr>
      <w:headerReference r:id="rId9" w:type="even"/>
      <w:headerReference r:id="rId10" w:type="default"/>
      <w:headerReference r:id="rId11" w:type="first"/>
      <w:footerReference r:id="rId12" w:type="even"/>
      <w:footerReference r:id="rId13" w:type="default"/>
      <w:footerReference r:id="rId14" w:type="first"/>
      <w:type w:val="nextPage"/>
      <w:pgSz w:h="16838" w:w="11906"/>
      <w:pgMar w:bottom="936" w:footer="432" w:gutter="0" w:header="432" w:left="1123" w:right="1123" w:top="1080"/>
      <w:formProt w:val="false"/>
      <w:titlePg/>
      <w:textDirection w:val="lrTb"/>
      <w:docGrid w:charSpace="0" w:linePitch="100" w:type="default"/>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Liberation Sans">
    <w:altName w:val="Arial"/>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6"/>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jc w:val="center"/>
    </w:pPr>
    <w:r>
      <w:rPr>
        <w:rFonts w:ascii="Calibri" w:hAnsi="Calibri"/>
        <w:color w:val="595959"/>
        <w:sz w:val="16"/>
      </w:rPr>
      <w:t xml:space="preserve">Page </w:t>
    </w:r>
    <w:r>
      <w:fldChar w:fldCharType="begin"/>
      <w:instrText xml:space="preserve">PAGE</w:instrText>
      <w:fldChar w:fldCharType="separate"/>
    </w:r>
    <w:r>
      <w:t>1</w:t>
      <w:fldChar w:fldCharType="end"/>
    </w:r>
    <w:r>
      <w:rPr>
        <w:rFonts w:ascii="Calibri" w:hAnsi="Calibri"/>
        <w:color w:val="595959"/>
        <w:sz w:val="16"/>
      </w:rPr>
      <w:t xml:space="preserve"> of </w:t>
    </w:r>
    <w:r>
      <w:fldChar w:fldCharType="begin"/>
      <w:instrText xml:space="preserve">NUMPAGES</w:instrText>
      <w:fldChar w:fldCharType="separate"/>
    </w:r>
    <w:r>
      <w:t>1</w: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6"/>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tabs>
        <w:tab w:pos="9576" w:val="right"/>
      </w:tabs>
      <w:spacing w:after="0"/>
      <w:jc w:val="center"/>
      <w:pBdr>
        <w:bottom w:val="single" w:sz="4" w:space="5" w:color="9FBAD0"/>
      </w:pBdr>
    </w:pPr>
    <w:r>
      <w:rPr>
        <w:rFonts w:ascii="Calibri" w:hAnsi="Calibri"/>
        <w:b/>
        <w:color w:val="595959"/>
        <w:sz w:val="16"/>
      </w:rPr>
      <w:t>ARTIFICIAL INTELLIGENCE ASSURANCE PROTOCOL   |   PILOT AND VALIDATION PROTOCOL v6.5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numFmt w:val="bullet"/>
      <w:lvlText w:val=""/>
      <w:lvlJc w:val="start"/>
      <w:pPr>
        <w:tabs>
          <w:tab w:pos="0" w:val="num"/>
        </w:tabs>
        <w:ind w:hanging="480" w:start="720"/>
      </w:pPr>
      <w:rPr>
        <w:rFonts w:ascii="Symbol" w:cs="Symbol" w:hAnsi="Symbol" w:hint="default"/>
      </w:rPr>
    </w:lvl>
    <w:lvl w:ilvl="1">
      <w:start w:val="0"/>
      <w:numFmt w:val="bullet"/>
      <w:lvlText w:val=""/>
      <w:lvlJc w:val="start"/>
      <w:pPr>
        <w:tabs>
          <w:tab w:pos="0" w:val="num"/>
        </w:tabs>
        <w:ind w:hanging="480" w:start="1440"/>
      </w:pPr>
      <w:rPr>
        <w:rFonts w:ascii="Symbol" w:cs="Symbol" w:hAnsi="Symbol" w:hint="default"/>
      </w:rPr>
    </w:lvl>
    <w:lvl w:ilvl="2">
      <w:start w:val="0"/>
      <w:numFmt w:val="bullet"/>
      <w:lvlText w:val=""/>
      <w:lvlJc w:val="start"/>
      <w:pPr>
        <w:tabs>
          <w:tab w:pos="0" w:val="num"/>
        </w:tabs>
        <w:ind w:hanging="480" w:start="2160"/>
      </w:pPr>
      <w:rPr>
        <w:rFonts w:ascii="Symbol" w:cs="Symbol" w:hAnsi="Symbol" w:hint="default"/>
      </w:rPr>
    </w:lvl>
    <w:lvl w:ilvl="3">
      <w:start w:val="0"/>
      <w:numFmt w:val="bullet"/>
      <w:lvlText w:val=""/>
      <w:lvlJc w:val="start"/>
      <w:pPr>
        <w:tabs>
          <w:tab w:pos="0" w:val="num"/>
        </w:tabs>
        <w:ind w:hanging="480" w:start="2880"/>
      </w:pPr>
      <w:rPr>
        <w:rFonts w:ascii="Symbol" w:cs="Symbol" w:hAnsi="Symbol" w:hint="default"/>
      </w:rPr>
    </w:lvl>
    <w:lvl w:ilvl="4">
      <w:start w:val="0"/>
      <w:numFmt w:val="bullet"/>
      <w:lvlText w:val=""/>
      <w:lvlJc w:val="start"/>
      <w:pPr>
        <w:tabs>
          <w:tab w:pos="0" w:val="num"/>
        </w:tabs>
        <w:ind w:hanging="480" w:start="3600"/>
      </w:pPr>
      <w:rPr>
        <w:rFonts w:ascii="Symbol" w:cs="Symbol" w:hAnsi="Symbol" w:hint="default"/>
      </w:rPr>
    </w:lvl>
    <w:lvl w:ilvl="5">
      <w:start w:val="0"/>
      <w:numFmt w:val="bullet"/>
      <w:lvlText w:val=""/>
      <w:lvlJc w:val="start"/>
      <w:pPr>
        <w:tabs>
          <w:tab w:pos="0" w:val="num"/>
        </w:tabs>
        <w:ind w:hanging="480" w:start="4320"/>
      </w:pPr>
      <w:rPr>
        <w:rFonts w:ascii="Symbol" w:cs="Symbol" w:hAnsi="Symbol" w:hint="default"/>
      </w:rPr>
    </w:lvl>
    <w:lvl w:ilvl="6">
      <w:start w:val="0"/>
      <w:numFmt w:val="bullet"/>
      <w:lvlText w:val=""/>
      <w:lvlJc w:val="start"/>
      <w:pPr>
        <w:tabs>
          <w:tab w:pos="0" w:val="num"/>
        </w:tabs>
        <w:ind w:hanging="480" w:start="5040"/>
      </w:pPr>
      <w:rPr>
        <w:rFonts w:ascii="Symbol" w:cs="Symbol" w:hAnsi="Symbol" w:hint="default"/>
      </w:rPr>
    </w:lvl>
    <w:lvl w:ilvl="7">
      <w:start w:val="0"/>
      <w:numFmt w:val="bullet"/>
      <w:lvlText w:val=""/>
      <w:lvlJc w:val="start"/>
      <w:pPr>
        <w:tabs>
          <w:tab w:pos="0" w:val="num"/>
        </w:tabs>
        <w:ind w:hanging="480" w:start="5760"/>
      </w:pPr>
      <w:rPr>
        <w:rFonts w:ascii="Symbol" w:cs="Symbol" w:hAnsi="Symbol" w:hint="default"/>
      </w:rPr>
    </w:lvl>
    <w:lvl w:ilvl="8">
      <w:start w:val="0"/>
      <w:numFmt w:val="bullet"/>
      <w:lvlText w:val=""/>
      <w:lvlJc w:val="start"/>
      <w:pPr>
        <w:tabs>
          <w:tab w:pos="0" w:val="num"/>
        </w:tabs>
        <w:ind w:hanging="480" w:start="6480"/>
      </w:pPr>
      <w:rPr>
        <w:rFonts w:ascii="Symbol" w:cs="Symbol" w:hAnsi="Symbol" w:hint="default"/>
      </w:rPr>
    </w:lvl>
  </w:abstractNum>
  <w:abstractNum w:abstractNumId="2">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bidi w:val="0"/>
      <w:spacing w:after="120" w:before="0" w:line="259" w:lineRule="auto"/>
      <w:jc w:val="both"/>
    </w:pPr>
    <w:rPr>
      <w:rFonts w:ascii="Georgia" w:cs="Liberation Sans" w:eastAsia="Noto Serif" w:hAnsi="Georgia"/>
      <w:color w:val="1F2933"/>
      <w:kern w:val="0"/>
      <w:sz w:val="20"/>
      <w:szCs w:val="24"/>
      <w:lang w:bidi="ar-SA" w:eastAsia="en-US" w:val="en-US"/>
    </w:rPr>
  </w:style>
  <w:style w:styleId="Heading1" w:type="paragraph">
    <w:name w:val="heading 1"/>
    <w:basedOn w:val="Normal"/>
    <w:next w:val="BodyText"/>
    <w:uiPriority w:val="9"/>
    <w:qFormat/>
    <w:pPr>
      <w:keepNext/>
      <w:keepLines/>
      <w:spacing w:after="100" w:before="200"/>
      <w:outlineLvl w:val="0"/>
    </w:pPr>
    <w:rPr>
      <w:rFonts w:ascii="Calibri" w:asciiTheme="majorHAnsi" w:cs="" w:cstheme="majorBidi" w:eastAsia="Carlito" w:eastAsiaTheme="majorEastAsia" w:hAnsi="Calibri" w:hAnsiTheme="majorHAnsi"/>
      <w:b/>
      <w:bCs/>
      <w:color w:val="17365D"/>
      <w:sz w:val="32"/>
      <w:szCs w:val="32"/>
    </w:rPr>
  </w:style>
  <w:style w:styleId="Heading2" w:type="paragraph">
    <w:name w:val="heading 2"/>
    <w:basedOn w:val="Normal"/>
    <w:next w:val="BodyText"/>
    <w:uiPriority w:val="9"/>
    <w:unhideWhenUsed/>
    <w:qFormat/>
    <w:pPr>
      <w:keepNext/>
      <w:keepLines/>
      <w:spacing w:after="100" w:before="200"/>
      <w:outlineLvl w:val="1"/>
    </w:pPr>
    <w:rPr>
      <w:rFonts w:ascii="Calibri" w:asciiTheme="majorHAnsi" w:cs="" w:cstheme="majorBidi" w:eastAsia="Carlito" w:eastAsiaTheme="majorEastAsia" w:hAnsi="Calibri" w:hAnsiTheme="majorHAnsi"/>
      <w:b/>
      <w:bCs/>
      <w:color w:val="1F4E79"/>
      <w:sz w:val="26"/>
      <w:szCs w:val="28"/>
    </w:rPr>
  </w:style>
  <w:style w:styleId="Heading3" w:type="paragraph">
    <w:name w:val="heading 3"/>
    <w:basedOn w:val="Normal"/>
    <w:next w:val="BodyText"/>
    <w:uiPriority w:val="9"/>
    <w:unhideWhenUsed/>
    <w:qFormat/>
    <w:pPr>
      <w:keepNext/>
      <w:keepLines/>
      <w:spacing w:after="100" w:before="200"/>
      <w:outlineLvl w:val="2"/>
    </w:pPr>
    <w:rPr>
      <w:rFonts w:ascii="Calibri" w:asciiTheme="majorHAnsi" w:cs="" w:cstheme="majorBidi" w:eastAsia="Carlito" w:eastAsiaTheme="majorEastAsia" w:hAnsi="Calibri" w:hAnsiTheme="majorHAnsi"/>
      <w:b/>
      <w:bCs/>
      <w:color w:val="1F4E79"/>
      <w:sz w:val="22"/>
      <w:szCs w:val="24"/>
    </w:rPr>
  </w:style>
  <w:style w:styleId="Heading4" w:type="paragraph">
    <w:name w:val="heading 4"/>
    <w:basedOn w:val="Normal"/>
    <w:next w:val="BodyText"/>
    <w:uiPriority w:val="9"/>
    <w:unhideWhenUsed/>
    <w:qFormat/>
    <w:pPr>
      <w:keepNext w:val="true"/>
      <w:keepLines/>
      <w:spacing w:after="0" w:before="200"/>
      <w:outlineLvl w:val="3"/>
    </w:pPr>
    <w:rPr>
      <w:rFonts w:ascii="Calibri" w:asciiTheme="majorHAnsi" w:cs="" w:cstheme="majorBidi" w:eastAsia="" w:eastAsiaTheme="majorEastAsia" w:hAnsi="Calibri" w:hAnsiTheme="majorHAnsi"/>
      <w:bCs/>
      <w:i/>
      <w:color w:themeColor="accent1" w:val="4F81BD"/>
      <w:sz w:val="24"/>
      <w:szCs w:val="24"/>
    </w:rPr>
  </w:style>
  <w:style w:styleId="Heading5" w:type="paragraph">
    <w:name w:val="heading 5"/>
    <w:basedOn w:val="Normal"/>
    <w:next w:val="BodyText"/>
    <w:uiPriority w:val="9"/>
    <w:unhideWhenUsed/>
    <w:qFormat/>
    <w:pPr>
      <w:keepNext w:val="true"/>
      <w:keepLines/>
      <w:spacing w:after="0" w:before="200"/>
      <w:outlineLvl w:val="4"/>
    </w:pPr>
    <w:rPr>
      <w:rFonts w:ascii="Calibri" w:asciiTheme="majorHAnsi" w:cs="" w:cstheme="majorBidi" w:eastAsia=""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val="true"/>
      <w:keepLines/>
      <w:spacing w:after="0" w:before="200"/>
      <w:outlineLvl w:val="6"/>
    </w:pPr>
    <w:rPr>
      <w:rFonts w:ascii="Calibri" w:asciiTheme="majorHAnsi" w:cs="" w:cstheme="majorBidi" w:eastAsia=""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val="true"/>
      <w:keepLines/>
      <w:spacing w:after="0" w:before="200"/>
      <w:outlineLvl w:val="7"/>
    </w:pPr>
    <w:rPr>
      <w:rFonts w:ascii="Calibri" w:asciiTheme="majorHAnsi" w:cs="" w:cstheme="majorBidi" w:eastAsia=""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sz w:val="24"/>
      <w:szCs w:val="24"/>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7020"/>
    </w:rPr>
  </w:style>
  <w:style w:customStyle="1" w:styleId="DataTypeTok" w:type="character">
    <w:name w:val="DataTypeTok"/>
    <w:basedOn w:val="VerbatimChar"/>
    <w:qFormat/>
    <w:rPr>
      <w:color w:val="902000"/>
    </w:rPr>
  </w:style>
  <w:style w:customStyle="1" w:styleId="DecValTok" w:type="character">
    <w:name w:val="DecValTok"/>
    <w:basedOn w:val="VerbatimChar"/>
    <w:qFormat/>
    <w:rPr>
      <w:color w:val="40A070"/>
    </w:rPr>
  </w:style>
  <w:style w:customStyle="1" w:styleId="BaseNTok" w:type="character">
    <w:name w:val="BaseNTok"/>
    <w:basedOn w:val="VerbatimChar"/>
    <w:qFormat/>
    <w:rPr>
      <w:color w:val="40A070"/>
    </w:rPr>
  </w:style>
  <w:style w:customStyle="1" w:styleId="FloatTok" w:type="character">
    <w:name w:val="FloatTok"/>
    <w:basedOn w:val="VerbatimChar"/>
    <w:qFormat/>
    <w:rPr>
      <w:color w:val="40A070"/>
    </w:rPr>
  </w:style>
  <w:style w:customStyle="1" w:styleId="ConstantTok" w:type="character">
    <w:name w:val="ConstantTok"/>
    <w:basedOn w:val="VerbatimChar"/>
    <w:qFormat/>
    <w:rPr>
      <w:color w:val="880000"/>
    </w:rPr>
  </w:style>
  <w:style w:customStyle="1" w:styleId="CharTok" w:type="character">
    <w:name w:val="CharTok"/>
    <w:basedOn w:val="VerbatimChar"/>
    <w:qFormat/>
    <w:rPr>
      <w:color w:val="4070A0"/>
    </w:rPr>
  </w:style>
  <w:style w:customStyle="1" w:styleId="SpecialCharTok" w:type="character">
    <w:name w:val="SpecialCharTok"/>
    <w:basedOn w:val="VerbatimChar"/>
    <w:qFormat/>
    <w:rPr>
      <w:color w:val="4070A0"/>
    </w:rPr>
  </w:style>
  <w:style w:customStyle="1" w:styleId="StringTok" w:type="character">
    <w:name w:val="StringTok"/>
    <w:basedOn w:val="VerbatimChar"/>
    <w:qFormat/>
    <w:rPr>
      <w:color w:val="4070A0"/>
    </w:rPr>
  </w:style>
  <w:style w:customStyle="1" w:styleId="VerbatimStringTok" w:type="character">
    <w:name w:val="VerbatimStringTok"/>
    <w:basedOn w:val="VerbatimChar"/>
    <w:qFormat/>
    <w:rPr>
      <w:color w:val="4070A0"/>
    </w:rPr>
  </w:style>
  <w:style w:customStyle="1" w:styleId="SpecialStringTok" w:type="character">
    <w:name w:val="SpecialStringTok"/>
    <w:basedOn w:val="VerbatimChar"/>
    <w:qFormat/>
    <w:rPr>
      <w:color w:val="BB6688"/>
    </w:rPr>
  </w:style>
  <w:style w:customStyle="1" w:styleId="ImportTok" w:type="character">
    <w:name w:val="ImportTok"/>
    <w:basedOn w:val="VerbatimChar"/>
    <w:qFormat/>
    <w:rPr>
      <w:b/>
      <w:color w:val="008000"/>
    </w:rPr>
  </w:style>
  <w:style w:customStyle="1" w:styleId="CommentTok" w:type="character">
    <w:name w:val="CommentTok"/>
    <w:basedOn w:val="VerbatimChar"/>
    <w:qFormat/>
    <w:rPr>
      <w:i/>
      <w:color w:val="60A0B0"/>
    </w:rPr>
  </w:style>
  <w:style w:customStyle="1" w:styleId="DocumentationTok" w:type="character">
    <w:name w:val="DocumentationTok"/>
    <w:basedOn w:val="VerbatimChar"/>
    <w:qFormat/>
    <w:rPr>
      <w:i/>
      <w:color w:val="BA2121"/>
    </w:rPr>
  </w:style>
  <w:style w:customStyle="1" w:styleId="AnnotationTok" w:type="character">
    <w:name w:val="AnnotationTok"/>
    <w:basedOn w:val="VerbatimChar"/>
    <w:qFormat/>
    <w:rPr>
      <w:b/>
      <w:i/>
      <w:color w:val="60A0B0"/>
    </w:rPr>
  </w:style>
  <w:style w:customStyle="1" w:styleId="CommentVarTok" w:type="character">
    <w:name w:val="CommentVarTok"/>
    <w:basedOn w:val="VerbatimChar"/>
    <w:qFormat/>
    <w:rPr>
      <w:b/>
      <w:i/>
      <w:color w:val="60A0B0"/>
    </w:rPr>
  </w:style>
  <w:style w:customStyle="1" w:styleId="OtherTok" w:type="character">
    <w:name w:val="OtherTok"/>
    <w:basedOn w:val="VerbatimChar"/>
    <w:qFormat/>
    <w:rPr>
      <w:color w:val="007020"/>
    </w:rPr>
  </w:style>
  <w:style w:customStyle="1" w:styleId="FunctionTok" w:type="character">
    <w:name w:val="FunctionTok"/>
    <w:basedOn w:val="VerbatimChar"/>
    <w:qFormat/>
    <w:rPr>
      <w:color w:val="06287E"/>
    </w:rPr>
  </w:style>
  <w:style w:customStyle="1" w:styleId="VariableTok" w:type="character">
    <w:name w:val="VariableTok"/>
    <w:basedOn w:val="VerbatimChar"/>
    <w:qFormat/>
    <w:rPr>
      <w:color w:val="19177C"/>
    </w:rPr>
  </w:style>
  <w:style w:customStyle="1" w:styleId="ControlFlowTok" w:type="character">
    <w:name w:val="ControlFlowTok"/>
    <w:basedOn w:val="VerbatimChar"/>
    <w:qFormat/>
    <w:rPr>
      <w:b/>
      <w:color w:val="007020"/>
    </w:rPr>
  </w:style>
  <w:style w:customStyle="1" w:styleId="OperatorTok" w:type="character">
    <w:name w:val="OperatorTok"/>
    <w:basedOn w:val="VerbatimChar"/>
    <w:qFormat/>
    <w:rPr>
      <w:color w:val="666666"/>
    </w:rPr>
  </w:style>
  <w:style w:customStyle="1" w:styleId="BuiltInTok" w:type="character">
    <w:name w:val="BuiltInTok"/>
    <w:basedOn w:val="VerbatimChar"/>
    <w:qFormat/>
    <w:rPr>
      <w:color w:val="008000"/>
    </w:rPr>
  </w:style>
  <w:style w:customStyle="1" w:styleId="ExtensionTok" w:type="character">
    <w:name w:val="ExtensionTok"/>
    <w:basedOn w:val="VerbatimChar"/>
    <w:qFormat/>
    <w:rPr/>
  </w:style>
  <w:style w:customStyle="1" w:styleId="PreprocessorTok" w:type="character">
    <w:name w:val="PreprocessorTok"/>
    <w:basedOn w:val="VerbatimChar"/>
    <w:qFormat/>
    <w:rPr>
      <w:color w:val="BC7A00"/>
    </w:rPr>
  </w:style>
  <w:style w:customStyle="1" w:styleId="AttributeTok" w:type="character">
    <w:name w:val="AttributeTok"/>
    <w:basedOn w:val="VerbatimChar"/>
    <w:qFormat/>
    <w:rPr>
      <w:color w:val="7D9029"/>
    </w:rPr>
  </w:style>
  <w:style w:customStyle="1" w:styleId="RegionMarkerTok" w:type="character">
    <w:name w:val="RegionMarkerTok"/>
    <w:basedOn w:val="VerbatimChar"/>
    <w:qFormat/>
    <w:rPr/>
  </w:style>
  <w:style w:customStyle="1" w:styleId="InformationTok" w:type="character">
    <w:name w:val="InformationTok"/>
    <w:basedOn w:val="VerbatimChar"/>
    <w:qFormat/>
    <w:rPr>
      <w:b/>
      <w:i/>
      <w:color w:val="60A0B0"/>
    </w:rPr>
  </w:style>
  <w:style w:customStyle="1" w:styleId="WarningTok" w:type="character">
    <w:name w:val="WarningTok"/>
    <w:basedOn w:val="VerbatimChar"/>
    <w:qFormat/>
    <w:rPr>
      <w:b/>
      <w:i/>
      <w:color w:val="60A0B0"/>
    </w:rPr>
  </w:style>
  <w:style w:customStyle="1" w:styleId="AlertTok" w:type="character">
    <w:name w:val="AlertTok"/>
    <w:basedOn w:val="VerbatimChar"/>
    <w:qFormat/>
    <w:rPr>
      <w:b/>
      <w:color w:val="FF0000"/>
    </w:rPr>
  </w:style>
  <w:style w:customStyle="1" w:styleId="ErrorTok" w:type="character">
    <w:name w:val="ErrorTok"/>
    <w:basedOn w:val="VerbatimChar"/>
    <w:qFormat/>
    <w:rPr>
      <w:b/>
      <w:color w:val="FF0000"/>
    </w:rPr>
  </w:style>
  <w:style w:customStyle="1" w:styleId="NormalTok" w:type="character">
    <w:name w:val="NormalTok"/>
    <w:basedOn w:val="VerbatimChar"/>
    <w:qFormat/>
    <w:rPr/>
  </w:style>
  <w:style w:styleId="IndexLink" w:type="character">
    <w:name w:val="Index Link"/>
    <w:qFormat/>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link w:val="BodyTextChar"/>
    <w:qFormat/>
    <w:pPr>
      <w:widowControl/>
      <w:spacing w:after="90" w:before="0" w:line="259" w:lineRule="auto"/>
      <w:jc w:val="both"/>
    </w:pPr>
    <w:rPr>
      <w:rFonts w:ascii="Noto Serif" w:cs="Liberation Sans" w:eastAsia="Noto Serif" w:hAnsi="Noto Serif"/>
      <w:color w:val="1F2933"/>
      <w:sz w:val="20"/>
    </w:rPr>
  </w:style>
  <w:style w:styleId="List" w:type="paragraph">
    <w:name w:val="List"/>
    <w:basedOn w:val="BodyText"/>
    <w:pPr/>
    <w:rPr>
      <w:rFonts w:cs="Lohit Devanagari"/>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Lohit Devanagari"/>
    </w:rPr>
  </w:style>
  <w:style w:customStyle="1" w:styleId="FirstParagraph" w:type="paragraph">
    <w:name w:val="First Paragraph"/>
    <w:basedOn w:val="BodyText"/>
    <w:next w:val="BodyText"/>
    <w:qFormat/>
    <w:pPr>
      <w:widowControl/>
      <w:spacing w:after="90" w:before="0" w:line="259" w:lineRule="auto"/>
      <w:jc w:val="both"/>
    </w:pPr>
    <w:rPr>
      <w:rFonts w:ascii="Noto Serif" w:cs="Liberation Sans" w:eastAsia="Noto Serif" w:hAnsi="Noto Serif"/>
      <w:color w:val="1F2933"/>
      <w:sz w:val="20"/>
    </w:rPr>
  </w:style>
  <w:style w:customStyle="1" w:styleId="Compact" w:type="paragraph">
    <w:name w:val="Compact"/>
    <w:basedOn w:val="BodyText"/>
    <w:qFormat/>
    <w:pPr>
      <w:spacing w:after="30" w:before="36" w:line="240" w:lineRule="auto"/>
      <w:ind w:hanging="230" w:start="360"/>
    </w:pPr>
    <w:rPr>
      <w:rFonts w:ascii="Carlito" w:cs="Liberation Sans" w:eastAsia="Carlito" w:hAnsi="Carlito"/>
      <w:color w:val="1F2933"/>
      <w:sz w:val="18"/>
    </w:rPr>
  </w:style>
  <w:style w:styleId="Title" w:type="paragraph">
    <w:name w:val="Title"/>
    <w:basedOn w:val="Normal"/>
    <w:next w:val="BodyText"/>
    <w:qFormat/>
    <w:pPr>
      <w:keepNext w:val="true"/>
      <w:keepLines/>
      <w:spacing w:after="240" w:before="480"/>
      <w:jc w:val="center"/>
    </w:pPr>
    <w:rPr>
      <w:rFonts w:ascii="Calibri" w:asciiTheme="majorHAnsi" w:cs="" w:cstheme="majorBidi" w:eastAsia="" w:eastAsiaTheme="majorEastAsia" w:hAnsi="Calibri" w:hAnsiTheme="majorHAnsi"/>
      <w:b/>
      <w:bCs/>
      <w:color w:themeColor="accent1" w:themeShade="b5" w:val="345A8A"/>
      <w:sz w:val="36"/>
      <w:szCs w:val="36"/>
    </w:rPr>
  </w:style>
  <w:style w:styleId="Subtitle" w:type="paragraph">
    <w:name w:val="Subtitle"/>
    <w:basedOn w:val="Title"/>
    <w:next w:val="BodyText"/>
    <w:qFormat/>
    <w:pPr>
      <w:keepNext w:val="true"/>
      <w:keepLines/>
      <w:spacing w:after="240" w:before="240"/>
      <w:jc w:val="center"/>
    </w:pPr>
    <w:rPr>
      <w:sz w:val="30"/>
      <w:szCs w:val="30"/>
    </w:rPr>
  </w:style>
  <w:style w:customStyle="1" w:styleId="Author" w:type="paragraph">
    <w:name w:val="Author"/>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spacing w:after="60" w:line="240" w:lineRule="auto"/>
      <w:ind w:hanging="360" w:left="360"/>
    </w:pPr>
    <w:rPr>
      <w:rFonts w:ascii="Noto Serif" w:hAnsi="Noto Serif"/>
      <w:sz w:val="17"/>
    </w:rPr>
  </w:style>
  <w:style w:styleId="BlockText" w:type="paragraph">
    <w:name w:val="Block Text"/>
    <w:basedOn w:val="BodyText"/>
    <w:next w:val="BodyText"/>
    <w:uiPriority w:val="9"/>
    <w:unhideWhenUsed/>
    <w:qFormat/>
    <w:pPr>
      <w:spacing w:after="100" w:before="100"/>
      <w:ind w:end="480" w:hanging="0" w:start="480"/>
    </w:pPr>
    <w:rPr/>
  </w:style>
  <w:style w:styleId="FootnoteText" w:type="paragraph">
    <w:name w:val="footnote text"/>
    <w:basedOn w:val="Normal"/>
    <w:uiPriority w:val="9"/>
    <w:unhideWhenUsed/>
    <w:qFormat/>
    <w:pPr/>
    <w:rPr/>
  </w:style>
  <w:style w:styleId="FootnoteBlockText" w:type="paragraph">
    <w:name w:val="Footnote Block Text"/>
    <w:uiPriority w:val="9"/>
    <w:unhideWhenUsed/>
    <w:qFormat/>
    <w:pPr>
      <w:widowControl/>
      <w:bidi w:val="0"/>
      <w:spacing w:after="100" w:before="100"/>
      <w:ind w:end="480" w:hanging="0" w:start="480"/>
      <w:jc w:val="start"/>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rFonts w:ascii="Noto Serif" w:hAnsi="Noto Serif"/>
      <w:sz w:val="17"/>
    </w:rPr>
  </w:style>
  <w:style w:customStyle="1" w:styleId="Figure" w:type="paragraph">
    <w:name w:val="Figure"/>
    <w:basedOn w:val="Normal"/>
    <w:qFormat/>
    <w:pPr/>
    <w:rPr/>
  </w:style>
  <w:style w:customStyle="1" w:styleId="CaptionedFigure" w:type="paragraph">
    <w:name w:val="Captioned Figure"/>
    <w:basedOn w:val="Figure"/>
    <w:qFormat/>
    <w:pPr>
      <w:keepNext w:val="true"/>
      <w:spacing w:after="40"/>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0" w:before="240" w:line="259" w:lineRule="auto"/>
      <w:outlineLvl w:val="9"/>
    </w:pPr>
    <w:rPr>
      <w:rFonts w:ascii="Calibri" w:asciiTheme="majorHAnsi" w:cs="" w:cstheme="majorBidi" w:eastAsia="" w:eastAsiaTheme="majorEastAsia" w:hAnsi="Calibri" w:hAnsiTheme="majorHAnsi"/>
      <w:b w:val="false"/>
      <w:bCs w:val="false"/>
      <w:color w:themeColor="accent1" w:themeShade="bf" w:val="365F91"/>
    </w:rPr>
  </w:style>
  <w:style w:customStyle="1" w:styleId="SourceCode" w:type="paragraph">
    <w:name w:val="Source Code"/>
    <w:basedOn w:val="Normal"/>
    <w:link w:val="VerbatimChar"/>
    <w:qFormat/>
    <w:pPr/>
    <w:rPr/>
  </w:style>
  <w:style w:customStyle="1" w:styleId="TOC1" w:type="paragraph">
    <w:name w:val="toc 1"/>
    <w:pPr>
      <w:widowControl/>
      <w:bidi w:val="0"/>
      <w:spacing w:after="30" w:before="30" w:line="240" w:lineRule="auto"/>
      <w:ind w:start="0"/>
      <w:jc w:val="start"/>
    </w:pPr>
    <w:rPr>
      <w:rFonts w:ascii="Liberation Sans" w:cs="Liberation Sans" w:eastAsia="Liberation Sans" w:hAnsi="Liberation Sans"/>
      <w:b/>
      <w:color w:val="173A5E"/>
      <w:kern w:val="0"/>
      <w:sz w:val="20"/>
      <w:szCs w:val="24"/>
      <w:lang w:bidi="ar-SA" w:eastAsia="en-US" w:val="en-US"/>
    </w:rPr>
  </w:style>
  <w:style w:customStyle="1" w:styleId="TOC2" w:type="paragraph">
    <w:name w:val="toc 2"/>
    <w:pPr>
      <w:widowControl/>
      <w:bidi w:val="0"/>
      <w:spacing w:after="30" w:before="30" w:line="240" w:lineRule="auto"/>
      <w:ind w:start="317"/>
      <w:jc w:val="start"/>
    </w:pPr>
    <w:rPr>
      <w:rFonts w:ascii="Liberation Sans" w:cs="Liberation Sans" w:eastAsia="Liberation Sans" w:hAnsi="Liberation Sans"/>
      <w:b w:val="false"/>
      <w:color w:val="243746"/>
      <w:kern w:val="0"/>
      <w:sz w:val="18"/>
      <w:szCs w:val="24"/>
      <w:lang w:bidi="ar-SA" w:eastAsia="en-US" w:val="en-US"/>
    </w:rPr>
  </w:style>
  <w:style w:customStyle="1" w:styleId="Contents1" w:type="paragraph">
    <w:name w:val="Contents 1"/>
    <w:qFormat/>
    <w:pPr>
      <w:widowControl/>
      <w:bidi w:val="0"/>
      <w:spacing w:after="30" w:before="30" w:line="240" w:lineRule="auto"/>
      <w:ind w:start="0"/>
      <w:jc w:val="start"/>
    </w:pPr>
    <w:rPr>
      <w:rFonts w:ascii="Liberation Sans" w:cs="Liberation Sans" w:eastAsia="Liberation Sans" w:hAnsi="Liberation Sans"/>
      <w:b/>
      <w:color w:val="173A5E"/>
      <w:kern w:val="0"/>
      <w:sz w:val="20"/>
      <w:szCs w:val="24"/>
      <w:lang w:bidi="ar-SA" w:eastAsia="en-US" w:val="en-US"/>
    </w:rPr>
  </w:style>
  <w:style w:customStyle="1" w:styleId="Contents2" w:type="paragraph">
    <w:name w:val="Contents 2"/>
    <w:qFormat/>
    <w:pPr>
      <w:widowControl/>
      <w:bidi w:val="0"/>
      <w:spacing w:after="30" w:before="30" w:line="240" w:lineRule="auto"/>
      <w:ind w:start="317"/>
      <w:jc w:val="start"/>
    </w:pPr>
    <w:rPr>
      <w:rFonts w:ascii="Liberation Sans" w:cs="Liberation Sans" w:eastAsia="Liberation Sans" w:hAnsi="Liberation Sans"/>
      <w:b w:val="false"/>
      <w:color w:val="243746"/>
      <w:kern w:val="0"/>
      <w:sz w:val="18"/>
      <w:szCs w:val="24"/>
      <w:lang w:bidi="ar-SA" w:eastAsia="en-US" w:val="en-US"/>
    </w:rPr>
  </w:style>
  <w:style w:styleId="HeaderandFooter" w:type="paragraph">
    <w:name w:val="Header and Footer"/>
    <w:basedOn w:val="Normal"/>
    <w:qFormat/>
    <w:pPr/>
    <w:rPr/>
  </w:style>
  <w:style w:styleId="Header" w:type="paragraph">
    <w:name w:val="header"/>
    <w:basedOn w:val="HeaderandFooter"/>
    <w:pPr/>
    <w:rPr/>
  </w:style>
  <w:style w:styleId="Footer" w:type="paragraph">
    <w:name w:val="footer"/>
    <w:basedOn w:val="HeaderandFooter"/>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customStyle="1" w:styleId="TOC1" w:type="paragraph">
    <w:name w:val="TOC 1"/>
    <w:basedOn w:val="Normal"/>
    <w:pPr>
      <w:keepLines/>
      <w:spacing w:after="20"/>
      <w:ind w:firstLine="0" w:left="0"/>
    </w:pPr>
    <w:rPr>
      <w:rFonts w:ascii="Calibri" w:hAnsi="Calibri"/>
      <w:sz w:val="19"/>
    </w:rPr>
  </w:style>
  <w:style w:customStyle="1" w:styleId="TOC2" w:type="paragraph">
    <w:name w:val="TOC 2"/>
    <w:basedOn w:val="Normal"/>
    <w:pPr>
      <w:keepLines/>
      <w:spacing w:after="20"/>
      <w:ind w:firstLine="0" w:left="360"/>
    </w:pPr>
    <w:rPr>
      <w:rFonts w:ascii="Calibri" w:hAnsi="Calibri"/>
      <w:sz w:val="18"/>
    </w:rPr>
  </w:style>
  <w:style w:customStyle="1" w:styleId="TOC3" w:type="paragraph">
    <w:name w:val="TOC 3"/>
    <w:basedOn w:val="Normal"/>
    <w:pPr>
      <w:keepLines/>
      <w:spacing w:after="20"/>
      <w:ind w:firstLine="0" w:left="720"/>
    </w:pPr>
    <w:rPr>
      <w:rFonts w:ascii="Calibri" w:hAnsi="Calibri"/>
      <w:sz w:val="17"/>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58</Pages>
  <Words>28442</Words>
  <Characters>187488</Characters>
  <CharactersWithSpaces>214726</CharactersWithSpaces>
  <Paragraphs>1170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AIAP Pilot and Validation Protocol v6.5</dc:title>
  <dc:creator>James McGaughran</dc:creator>
  <cp:keywords>AIAP, assessment assurance, generative AI, higher education</cp:keywords>
  <dcterms:created xsi:type="dcterms:W3CDTF">2026-08-13T13:56:42Z</dcterms:created>
  <dcterms:modified xsi:type="dcterms:W3CDTF">2026-08-13T13:56:42Z</dcterms:modified>
  <dc:subject>AIAP Pilot v6.5</dc:subject>
  <dc:description>AIAP Release 6.5; specification-complete and publication-ready for governed pilot preparation; not empirical validation.</dc:description>
  <cp:lastModifiedBy>James McGaughran</cp:lastModifiedBy>
</cp:coreProperties>
</file>

<file path=docProps/custom.xml><?xml version="1.0" encoding="utf-8"?>
<Properties xmlns="http://schemas.openxmlformats.org/officeDocument/2006/custom-properties" xmlns:vt="http://schemas.openxmlformats.org/officeDocument/2006/docPropsVTypes"/>
</file>