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f60fb063ec13f5b84e00d05959cc49f164e3de"/>
    <w:p>
      <w:bookmarkStart w:id="1" w:name="af_auditable_flourishing_v6_1_constitu"/>
      <w:pPr>
        <w:pStyle w:val="Heading1"/>
        <w:keepNext/>
        <w:keepLines/>
      </w:pPr>
      <w:r>
        <w:t>Auditable Flourishing v6.2 Constitutional Legitimacy and Stewardship Charter</w:t>
      </w:r>
      <w:bookmarkEnd w:id="1"/>
    </w:p>
    <w:bookmarkStart w:id="20" w:name="status-and-purpose"/>
    <w:p>
      <w:bookmarkStart w:id="2" w:name="af_status_and_purpose"/>
      <w:pPr>
        <w:pStyle w:val="Heading2"/>
        <w:keepNext/>
        <w:keepLines/>
      </w:pPr>
      <w:r>
        <w:t xml:space="preserve">Status and purpose</w:t>
      </w:r>
      <w:bookmarkEnd w:id="2"/>
    </w:p>
    <w:p>
      <w:pPr>
        <w:pStyle w:val="FirstParagraph"/>
      </w:pPr>
      <w:r>
        <w:t xml:space="preserve">This charter governs C0-C5 as contestable constitutional-class propositions. It does not declare them universally legitimate. It defines the minimum process by which their rationale, alternatives, exclusions, amendment, succession, and retirement can be examined by people and institutions other than the author.</w:t>
      </w:r>
    </w:p>
    <w:bookmarkEnd w:id="20"/>
    <w:bookmarkStart w:id="21" w:name="constitutional-humility"/>
    <w:p>
      <w:bookmarkStart w:id="3" w:name="af_1_constitutional_humility"/>
      <w:pPr>
        <w:pStyle w:val="Heading2"/>
        <w:keepNext/>
        <w:keepLines/>
      </w:pPr>
      <w:r>
        <w:t xml:space="preserve">1. Constitutional humility</w:t>
      </w:r>
      <w:bookmarkEnd w:id="3"/>
    </w:p>
    <w:p>
      <w:pPr>
        <w:pStyle w:val="FirstParagraph"/>
      </w:pPr>
      <w:r>
        <w:t xml:space="preserve">C0-C5 determine which frameworks can enter comparison and therefore exercise admission and exclusion power. Internal coherence, citation, software tests, or author commitment cannot establish public constitutional legitimacy. Until the applicable independent process has occurred, every positive AF result remains</w:t>
      </w:r>
      <w:r>
        <w:t xml:space="preserve"> </w:t>
      </w:r>
      <w:r>
        <w:rPr>
          <w:b/>
          <w:bCs/>
        </w:rPr>
        <w:t xml:space="preserve">protocol-relative</w:t>
      </w:r>
      <w:r>
        <w:t xml:space="preserve">.</w:t>
      </w:r>
    </w:p>
    <w:p>
      <w:pPr>
        <w:pStyle w:val="BodyText"/>
      </w:pPr>
      <w:r>
        <w:t xml:space="preserve">The process is non-compensatory: representation, independence, access, dissent, and public reasons are minimum conditions. A large attendance count or favorable vote cannot compensate for exclusion of materially affected groups, sponsor control, inaccessible participation, or suppression of dissent.</w:t>
      </w:r>
    </w:p>
    <w:bookmarkEnd w:id="21"/>
    <w:bookmarkStart w:id="22" w:name="constitutional-process-maturity-ladder"/>
    <w:p>
      <w:bookmarkStart w:id="4" w:name="af_2_constitutional_process_maturity_l"/>
      <w:pPr>
        <w:pStyle w:val="Heading2"/>
        <w:keepNext/>
        <w:keepLines/>
      </w:pPr>
      <w:r>
        <w:t xml:space="preserve">2. Constitutional process-maturity ladder</w:t>
      </w:r>
      <w:bookmarkEnd w:id="4"/>
    </w:p>
    <w:p>
      <w:pPr>
        <w:pStyle w:val="FirstParagraph"/>
      </w:pPr>
      <w:r>
        <w:t xml:space="preserve">The ladder records institutional progress without converting legitimacy into a scalar score. Levels are cumulative minimums and remain scope-specific.</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Level</w:t>
            </w:r>
          </w:p>
        </w:tc>
        <w:tc>
          <w:tcPr>
            <w:tcMar>
              <w:top w:w="100" w:type="dxa"/>
              <w:start w:w="110" w:type="dxa"/>
              <w:bottom w:w="100" w:type="dxa"/>
              <w:end w:w="110" w:type="dxa"/>
            </w:tcMar>
            <w:shd w:fill="2F75B5"/>
          </w:tcPr>
          <w:p>
            <w:pPr>
              <w:pStyle w:val="Compact"/>
              <w:jc w:val="left"/>
            </w:pPr>
            <w:r>
              <w:rPr>
                <w:b/>
                <w:bCs/>
                <w:color w:val="FFFFFF"/>
                <w:sz w:val="17"/>
              </w:rPr>
              <w:t xml:space="preserve">Process maturity</w:t>
            </w:r>
          </w:p>
        </w:tc>
        <w:tc>
          <w:tcPr>
            <w:tcMar>
              <w:top w:w="100" w:type="dxa"/>
              <w:start w:w="110" w:type="dxa"/>
              <w:bottom w:w="100" w:type="dxa"/>
              <w:end w:w="110" w:type="dxa"/>
            </w:tcMar>
            <w:shd w:fill="2F75B5"/>
          </w:tcPr>
          <w:p>
            <w:pPr>
              <w:pStyle w:val="Compact"/>
              <w:jc w:val="left"/>
            </w:pPr>
            <w:r>
              <w:rPr>
                <w:b/>
                <w:bCs/>
                <w:color w:val="FFFFFF"/>
                <w:sz w:val="17"/>
              </w:rPr>
              <w:t xml:space="preserve">Permitted claim</w:t>
            </w:r>
          </w:p>
        </w:tc>
        <w:tc>
          <w:tcPr>
            <w:tcMar>
              <w:top w:w="100" w:type="dxa"/>
              <w:start w:w="110" w:type="dxa"/>
              <w:bottom w:w="100" w:type="dxa"/>
              <w:end w:w="110" w:type="dxa"/>
            </w:tcMar>
            <w:shd w:fill="2F75B5"/>
          </w:tcPr>
          <w:p>
            <w:pPr>
              <w:pStyle w:val="Compact"/>
              <w:jc w:val="left"/>
            </w:pPr>
            <w:r>
              <w:rPr>
                <w:b/>
                <w:bCs/>
                <w:color w:val="FFFFFF"/>
                <w:sz w:val="17"/>
              </w:rPr>
              <w:t xml:space="preserve">Prohibited inference</w:t>
            </w:r>
          </w:p>
        </w:tc>
      </w:tr>
      <w:tr>
        <w:trPr>
          <w:cantSplit/>
        </w:trPr>
        <w:tc>
          <w:tcPr>
            <w:tcMar>
              <w:top w:w="100" w:type="dxa"/>
              <w:start w:w="110" w:type="dxa"/>
              <w:bottom w:w="100" w:type="dxa"/>
              <w:end w:w="110" w:type="dxa"/>
            </w:tcMar>
          </w:tcPr>
          <w:p>
            <w:pPr>
              <w:pStyle w:val="Compact"/>
              <w:jc w:val="left"/>
            </w:pPr>
            <w:r>
              <w:rPr>
                <w:b/>
                <w:bCs/>
                <w:sz w:val="17"/>
              </w:rPr>
              <w:t xml:space="preserve">CL0</w:t>
            </w:r>
          </w:p>
        </w:tc>
        <w:tc>
          <w:tcPr>
            <w:tcMar>
              <w:top w:w="100" w:type="dxa"/>
              <w:start w:w="110" w:type="dxa"/>
              <w:bottom w:w="100" w:type="dxa"/>
              <w:end w:w="110" w:type="dxa"/>
            </w:tcMar>
          </w:tcPr>
          <w:p>
            <w:pPr>
              <w:pStyle w:val="Compact"/>
              <w:jc w:val="left"/>
            </w:pPr>
            <w:r>
              <w:rPr>
                <w:sz w:val="17"/>
              </w:rPr>
              <w:t xml:space="preserve">Author proposal</w:t>
            </w:r>
          </w:p>
        </w:tc>
        <w:tc>
          <w:tcPr>
            <w:tcMar>
              <w:top w:w="100" w:type="dxa"/>
              <w:start w:w="110" w:type="dxa"/>
              <w:bottom w:w="100" w:type="dxa"/>
              <w:end w:w="110" w:type="dxa"/>
            </w:tcMar>
          </w:tcPr>
          <w:p>
            <w:pPr>
              <w:pStyle w:val="Compact"/>
              <w:jc w:val="left"/>
            </w:pPr>
            <w:r>
              <w:rPr>
                <w:sz w:val="17"/>
              </w:rPr>
              <w:t xml:space="preserve">C0-C5 are published propositions</w:t>
            </w:r>
          </w:p>
        </w:tc>
        <w:tc>
          <w:tcPr>
            <w:tcMar>
              <w:top w:w="100" w:type="dxa"/>
              <w:start w:w="110" w:type="dxa"/>
              <w:bottom w:w="100" w:type="dxa"/>
              <w:end w:w="110" w:type="dxa"/>
            </w:tcMar>
          </w:tcPr>
          <w:p>
            <w:pPr>
              <w:pStyle w:val="Compact"/>
              <w:jc w:val="left"/>
            </w:pPr>
            <w:r>
              <w:rPr>
                <w:sz w:val="17"/>
              </w:rPr>
              <w:t xml:space="preserve">no independent legitimacy claim</w:t>
            </w:r>
          </w:p>
        </w:tc>
      </w:tr>
      <w:tr>
        <w:trPr>
          <w:cantSplit/>
        </w:trPr>
        <w:tc>
          <w:tcPr>
            <w:tcMar>
              <w:top w:w="100" w:type="dxa"/>
              <w:start w:w="110" w:type="dxa"/>
              <w:bottom w:w="100" w:type="dxa"/>
              <w:end w:w="110" w:type="dxa"/>
            </w:tcMar>
          </w:tcPr>
          <w:p>
            <w:pPr>
              <w:pStyle w:val="Compact"/>
              <w:jc w:val="left"/>
            </w:pPr>
            <w:r>
              <w:rPr>
                <w:b/>
                <w:bCs/>
                <w:sz w:val="17"/>
              </w:rPr>
              <w:t xml:space="preserve">CL1</w:t>
            </w:r>
          </w:p>
        </w:tc>
        <w:tc>
          <w:tcPr>
            <w:tcMar>
              <w:top w:w="100" w:type="dxa"/>
              <w:start w:w="110" w:type="dxa"/>
              <w:bottom w:w="100" w:type="dxa"/>
              <w:end w:w="110" w:type="dxa"/>
            </w:tcMar>
          </w:tcPr>
          <w:p>
            <w:pPr>
              <w:pStyle w:val="Compact"/>
              <w:jc w:val="left"/>
            </w:pPr>
            <w:r>
              <w:rPr>
                <w:sz w:val="17"/>
              </w:rPr>
              <w:t xml:space="preserve">Genealogy, functions, rival formulations, boundary cases, and disconfirming evidence are public</w:t>
            </w:r>
          </w:p>
        </w:tc>
        <w:tc>
          <w:tcPr>
            <w:tcMar>
              <w:top w:w="100" w:type="dxa"/>
              <w:start w:w="110" w:type="dxa"/>
              <w:bottom w:w="100" w:type="dxa"/>
              <w:end w:w="110" w:type="dxa"/>
            </w:tcMar>
          </w:tcPr>
          <w:p>
            <w:pPr>
              <w:pStyle w:val="Compact"/>
              <w:jc w:val="left"/>
            </w:pPr>
            <w:r>
              <w:rPr>
                <w:sz w:val="17"/>
              </w:rPr>
              <w:t xml:space="preserve">inspectable constitutional proposal</w:t>
            </w:r>
          </w:p>
        </w:tc>
        <w:tc>
          <w:tcPr>
            <w:tcMar>
              <w:top w:w="100" w:type="dxa"/>
              <w:start w:w="110" w:type="dxa"/>
              <w:bottom w:w="100" w:type="dxa"/>
              <w:end w:w="110" w:type="dxa"/>
            </w:tcMar>
          </w:tcPr>
          <w:p>
            <w:pPr>
              <w:pStyle w:val="Compact"/>
              <w:jc w:val="left"/>
            </w:pPr>
            <w:r>
              <w:rPr>
                <w:sz w:val="17"/>
              </w:rPr>
              <w:t xml:space="preserve">no plural endorsement</w:t>
            </w:r>
          </w:p>
        </w:tc>
      </w:tr>
      <w:tr>
        <w:trPr>
          <w:cantSplit/>
        </w:trPr>
        <w:tc>
          <w:tcPr>
            <w:tcMar>
              <w:top w:w="100" w:type="dxa"/>
              <w:start w:w="110" w:type="dxa"/>
              <w:bottom w:w="100" w:type="dxa"/>
              <w:end w:w="110" w:type="dxa"/>
            </w:tcMar>
          </w:tcPr>
          <w:p>
            <w:pPr>
              <w:pStyle w:val="Compact"/>
              <w:jc w:val="left"/>
            </w:pPr>
            <w:r>
              <w:rPr>
                <w:b/>
                <w:bCs/>
                <w:sz w:val="17"/>
              </w:rPr>
              <w:t xml:space="preserve">CL2</w:t>
            </w:r>
          </w:p>
        </w:tc>
        <w:tc>
          <w:tcPr>
            <w:tcMar>
              <w:top w:w="100" w:type="dxa"/>
              <w:start w:w="110" w:type="dxa"/>
              <w:bottom w:w="100" w:type="dxa"/>
              <w:end w:w="110" w:type="dxa"/>
            </w:tcMar>
          </w:tcPr>
          <w:p>
            <w:pPr>
              <w:pStyle w:val="Compact"/>
              <w:jc w:val="left"/>
            </w:pPr>
            <w:r>
              <w:rPr>
                <w:sz w:val="17"/>
              </w:rPr>
              <w:t xml:space="preserve">Independent design group publishes representation, selection, compensation, access, agenda, conflict, evidence, and decision rules for a convention</w:t>
            </w:r>
          </w:p>
        </w:tc>
        <w:tc>
          <w:tcPr>
            <w:tcMar>
              <w:top w:w="100" w:type="dxa"/>
              <w:start w:w="110" w:type="dxa"/>
              <w:bottom w:w="100" w:type="dxa"/>
              <w:end w:w="110" w:type="dxa"/>
            </w:tcMar>
          </w:tcPr>
          <w:p>
            <w:pPr>
              <w:pStyle w:val="Compact"/>
              <w:jc w:val="left"/>
            </w:pPr>
            <w:r>
              <w:rPr>
                <w:sz w:val="17"/>
              </w:rPr>
              <w:t xml:space="preserve">convention-ready design</w:t>
            </w:r>
          </w:p>
        </w:tc>
        <w:tc>
          <w:tcPr>
            <w:tcMar>
              <w:top w:w="100" w:type="dxa"/>
              <w:start w:w="110" w:type="dxa"/>
              <w:bottom w:w="100" w:type="dxa"/>
              <w:end w:w="110" w:type="dxa"/>
            </w:tcMar>
          </w:tcPr>
          <w:p>
            <w:pPr>
              <w:pStyle w:val="Compact"/>
              <w:jc w:val="left"/>
            </w:pPr>
            <w:r>
              <w:rPr>
                <w:sz w:val="17"/>
              </w:rPr>
              <w:t xml:space="preserve">no convention outcome</w:t>
            </w:r>
          </w:p>
        </w:tc>
      </w:tr>
      <w:tr>
        <w:trPr>
          <w:cantSplit/>
        </w:trPr>
        <w:tc>
          <w:tcPr>
            <w:tcMar>
              <w:top w:w="100" w:type="dxa"/>
              <w:start w:w="110" w:type="dxa"/>
              <w:bottom w:w="100" w:type="dxa"/>
              <w:end w:w="110" w:type="dxa"/>
            </w:tcMar>
          </w:tcPr>
          <w:p>
            <w:pPr>
              <w:pStyle w:val="Compact"/>
              <w:jc w:val="left"/>
            </w:pPr>
            <w:r>
              <w:rPr>
                <w:b/>
                <w:bCs/>
                <w:sz w:val="17"/>
              </w:rPr>
              <w:t xml:space="preserve">CL3</w:t>
            </w:r>
          </w:p>
        </w:tc>
        <w:tc>
          <w:tcPr>
            <w:tcMar>
              <w:top w:w="100" w:type="dxa"/>
              <w:start w:w="110" w:type="dxa"/>
              <w:bottom w:w="100" w:type="dxa"/>
              <w:end w:w="110" w:type="dxa"/>
            </w:tcMar>
          </w:tcPr>
          <w:p>
            <w:pPr>
              <w:pStyle w:val="Compact"/>
              <w:jc w:val="left"/>
            </w:pPr>
            <w:r>
              <w:rPr>
                <w:sz w:val="17"/>
              </w:rPr>
              <w:t xml:space="preserve">Minimum viable plural convention is completed for a declared scope with affected-party representation, independent chairing, compensation, accessibility, protected dissent, and reasoned disposition</w:t>
            </w:r>
          </w:p>
        </w:tc>
        <w:tc>
          <w:tcPr>
            <w:tcMar>
              <w:top w:w="100" w:type="dxa"/>
              <w:start w:w="110" w:type="dxa"/>
              <w:bottom w:w="100" w:type="dxa"/>
              <w:end w:w="110" w:type="dxa"/>
            </w:tcMar>
          </w:tcPr>
          <w:p>
            <w:pPr>
              <w:pStyle w:val="Compact"/>
              <w:jc w:val="left"/>
            </w:pPr>
            <w:r>
              <w:rPr>
                <w:sz w:val="17"/>
              </w:rPr>
              <w:t xml:space="preserve">protocol-relative plural legitimacy for the stated scope</w:t>
            </w:r>
          </w:p>
        </w:tc>
        <w:tc>
          <w:tcPr>
            <w:tcMar>
              <w:top w:w="100" w:type="dxa"/>
              <w:start w:w="110" w:type="dxa"/>
              <w:bottom w:w="100" w:type="dxa"/>
              <w:end w:w="110" w:type="dxa"/>
            </w:tcMar>
          </w:tcPr>
          <w:p>
            <w:pPr>
              <w:pStyle w:val="Compact"/>
              <w:jc w:val="left"/>
            </w:pPr>
            <w:r>
              <w:rPr>
                <w:sz w:val="17"/>
              </w:rPr>
              <w:t xml:space="preserve">no universal or cross-context legitimacy</w:t>
            </w:r>
          </w:p>
        </w:tc>
      </w:tr>
      <w:tr>
        <w:trPr>
          <w:cantSplit/>
        </w:trPr>
        <w:tc>
          <w:tcPr>
            <w:tcMar>
              <w:top w:w="100" w:type="dxa"/>
              <w:start w:w="110" w:type="dxa"/>
              <w:bottom w:w="100" w:type="dxa"/>
              <w:end w:w="110" w:type="dxa"/>
            </w:tcMar>
          </w:tcPr>
          <w:p>
            <w:pPr>
              <w:pStyle w:val="Compact"/>
              <w:jc w:val="left"/>
            </w:pPr>
            <w:r>
              <w:rPr>
                <w:b/>
                <w:bCs/>
                <w:sz w:val="17"/>
              </w:rPr>
              <w:t xml:space="preserve">CL4</w:t>
            </w:r>
          </w:p>
        </w:tc>
        <w:tc>
          <w:tcPr>
            <w:tcMar>
              <w:top w:w="100" w:type="dxa"/>
              <w:start w:w="110" w:type="dxa"/>
              <w:bottom w:w="100" w:type="dxa"/>
              <w:end w:w="110" w:type="dxa"/>
            </w:tcMar>
          </w:tcPr>
          <w:p>
            <w:pPr>
              <w:pStyle w:val="Compact"/>
              <w:jc w:val="left"/>
            </w:pPr>
            <w:r>
              <w:rPr>
                <w:sz w:val="17"/>
              </w:rPr>
              <w:t xml:space="preserve">At least two materially different contexts independently challenge and revise the criteria, including architecture and evidence-form diversity</w:t>
            </w:r>
          </w:p>
        </w:tc>
        <w:tc>
          <w:tcPr>
            <w:tcMar>
              <w:top w:w="100" w:type="dxa"/>
              <w:start w:w="110" w:type="dxa"/>
              <w:bottom w:w="100" w:type="dxa"/>
              <w:end w:w="110" w:type="dxa"/>
            </w:tcMar>
          </w:tcPr>
          <w:p>
            <w:pPr>
              <w:pStyle w:val="Compact"/>
              <w:jc w:val="left"/>
            </w:pPr>
            <w:r>
              <w:rPr>
                <w:sz w:val="17"/>
              </w:rPr>
              <w:t xml:space="preserve">multi-context support and identified limits</w:t>
            </w:r>
          </w:p>
        </w:tc>
        <w:tc>
          <w:tcPr>
            <w:tcMar>
              <w:top w:w="100" w:type="dxa"/>
              <w:start w:w="110" w:type="dxa"/>
              <w:bottom w:w="100" w:type="dxa"/>
              <w:end w:w="110" w:type="dxa"/>
            </w:tcMar>
          </w:tcPr>
          <w:p>
            <w:pPr>
              <w:pStyle w:val="Compact"/>
              <w:jc w:val="left"/>
            </w:pPr>
            <w:r>
              <w:rPr>
                <w:sz w:val="17"/>
              </w:rPr>
              <w:t xml:space="preserve">no assumption of global invariance</w:t>
            </w:r>
          </w:p>
        </w:tc>
      </w:tr>
      <w:tr>
        <w:trPr>
          <w:cantSplit/>
        </w:trPr>
        <w:tc>
          <w:tcPr>
            <w:tcMar>
              <w:top w:w="100" w:type="dxa"/>
              <w:start w:w="110" w:type="dxa"/>
              <w:bottom w:w="100" w:type="dxa"/>
              <w:end w:w="110" w:type="dxa"/>
            </w:tcMar>
          </w:tcPr>
          <w:p>
            <w:pPr>
              <w:pStyle w:val="Compact"/>
              <w:jc w:val="left"/>
            </w:pPr>
            <w:r>
              <w:rPr>
                <w:b/>
                <w:bCs/>
                <w:sz w:val="17"/>
              </w:rPr>
              <w:t xml:space="preserve">CL5</w:t>
            </w:r>
          </w:p>
        </w:tc>
        <w:tc>
          <w:tcPr>
            <w:tcMar>
              <w:top w:w="100" w:type="dxa"/>
              <w:start w:w="110" w:type="dxa"/>
              <w:bottom w:w="100" w:type="dxa"/>
              <w:end w:w="110" w:type="dxa"/>
            </w:tcMar>
          </w:tcPr>
          <w:p>
            <w:pPr>
              <w:pStyle w:val="Compact"/>
              <w:jc w:val="left"/>
            </w:pPr>
            <w:r>
              <w:rPr>
                <w:sz w:val="17"/>
              </w:rPr>
              <w:t xml:space="preserve">Stewardship body operates amendment, petition, appeal, succession, conflict, funding, deprecation, and retirement rules over time</w:t>
            </w:r>
          </w:p>
        </w:tc>
        <w:tc>
          <w:tcPr>
            <w:tcMar>
              <w:top w:w="100" w:type="dxa"/>
              <w:start w:w="110" w:type="dxa"/>
              <w:bottom w:w="100" w:type="dxa"/>
              <w:end w:w="110" w:type="dxa"/>
            </w:tcMar>
          </w:tcPr>
          <w:p>
            <w:pPr>
              <w:pStyle w:val="Compact"/>
              <w:jc w:val="left"/>
            </w:pPr>
            <w:r>
              <w:rPr>
                <w:sz w:val="17"/>
              </w:rPr>
              <w:t xml:space="preserve">governed maintenance for the stated release family</w:t>
            </w:r>
          </w:p>
        </w:tc>
        <w:tc>
          <w:tcPr>
            <w:tcMar>
              <w:top w:w="100" w:type="dxa"/>
              <w:start w:w="110" w:type="dxa"/>
              <w:bottom w:w="100" w:type="dxa"/>
              <w:end w:w="110" w:type="dxa"/>
            </w:tcMar>
          </w:tcPr>
          <w:p>
            <w:pPr>
              <w:pStyle w:val="Compact"/>
              <w:jc w:val="left"/>
            </w:pPr>
            <w:r>
              <w:rPr>
                <w:sz w:val="17"/>
              </w:rPr>
              <w:t xml:space="preserve">no guarantee of substantive correctness</w:t>
            </w:r>
          </w:p>
        </w:tc>
      </w:tr>
      <w:tr>
        <w:trPr>
          <w:cantSplit/>
        </w:trPr>
        <w:tc>
          <w:tcPr>
            <w:tcMar>
              <w:top w:w="100" w:type="dxa"/>
              <w:start w:w="110" w:type="dxa"/>
              <w:bottom w:w="100" w:type="dxa"/>
              <w:end w:w="110" w:type="dxa"/>
            </w:tcMar>
          </w:tcPr>
          <w:p>
            <w:pPr>
              <w:pStyle w:val="Compact"/>
              <w:jc w:val="left"/>
            </w:pPr>
            <w:r>
              <w:rPr>
                <w:b/>
                <w:bCs/>
                <w:sz w:val="17"/>
              </w:rPr>
              <w:t xml:space="preserve">CL6</w:t>
            </w:r>
          </w:p>
        </w:tc>
        <w:tc>
          <w:tcPr>
            <w:tcMar>
              <w:top w:w="100" w:type="dxa"/>
              <w:start w:w="110" w:type="dxa"/>
              <w:bottom w:w="100" w:type="dxa"/>
              <w:end w:w="110" w:type="dxa"/>
            </w:tcMar>
          </w:tcPr>
          <w:p>
            <w:pPr>
              <w:pStyle w:val="Compact"/>
              <w:jc w:val="left"/>
            </w:pPr>
            <w:r>
              <w:rPr>
                <w:sz w:val="17"/>
              </w:rPr>
              <w:t xml:space="preserve">Repeated cross-context review shows that objections, harms, capture attempts, and failed criteria produce observable correction or retirement</w:t>
            </w:r>
          </w:p>
        </w:tc>
        <w:tc>
          <w:tcPr>
            <w:tcMar>
              <w:top w:w="100" w:type="dxa"/>
              <w:start w:w="110" w:type="dxa"/>
              <w:bottom w:w="100" w:type="dxa"/>
              <w:end w:w="110" w:type="dxa"/>
            </w:tcMar>
          </w:tcPr>
          <w:p>
            <w:pPr>
              <w:pStyle w:val="Compact"/>
              <w:jc w:val="left"/>
            </w:pPr>
            <w:r>
              <w:rPr>
                <w:sz w:val="17"/>
              </w:rPr>
              <w:t xml:space="preserve">demonstrated corrigibility of the constitutional process</w:t>
            </w:r>
          </w:p>
        </w:tc>
        <w:tc>
          <w:tcPr>
            <w:tcMar>
              <w:top w:w="100" w:type="dxa"/>
              <w:start w:w="110" w:type="dxa"/>
              <w:bottom w:w="100" w:type="dxa"/>
              <w:end w:w="110" w:type="dxa"/>
            </w:tcMar>
          </w:tcPr>
          <w:p>
            <w:pPr>
              <w:pStyle w:val="Compact"/>
              <w:jc w:val="left"/>
            </w:pPr>
            <w:r>
              <w:rPr>
                <w:sz w:val="17"/>
              </w:rPr>
              <w:t xml:space="preserve">no permanent legitimacy or immunity from renewed challenge</w:t>
            </w:r>
          </w:p>
        </w:tc>
      </w:tr>
    </w:tbl>
    <w:p>
      <w:pPr>
        <w:pStyle w:val="BodyText"/>
      </w:pPr>
      <w:r>
        <w:t xml:space="preserve">No level grants deployment authorization. Failure at a non-compensatory process minimum blocks the claimed level.</w:t>
      </w:r>
    </w:p>
    <w:p>
      <w:pPr>
        <w:pStyle w:val="BodyText"/>
      </w:pPr>
      <w:r>
        <w:rPr>
          <w:b/>
          <w:bCs/>
        </w:rPr>
        <w:t xml:space="preserve">Current status.</w:t>
      </w:r>
      <w:r>
        <w:t xml:space="preserve"> </w:t>
      </w:r>
      <w:r>
        <w:t>AF v6.2 is CL1 by author self-assessment. The charter specifies CL2 requirements, but no independent body has prepared, owned, funded, and frozen the convention design; AF therefore does not claim CL2.</w:t>
      </w:r>
    </w:p>
    <w:bookmarkEnd w:id="22"/>
    <w:bookmarkStart w:id="23" w:name="minimum-viable-convention-at-cl3"/>
    <w:p>
      <w:bookmarkStart w:id="5" w:name="af_3_minimum_viable_convention_at_cl3"/>
      <w:pPr>
        <w:pStyle w:val="Heading2"/>
        <w:keepNext/>
        <w:keepLines/>
      </w:pPr>
      <w:r>
        <w:t xml:space="preserve">3. Minimum viable convention at CL3</w:t>
      </w:r>
      <w:bookmarkEnd w:id="5"/>
    </w:p>
    <w:p>
      <w:pPr>
        <w:pStyle w:val="FirstParagraph"/>
      </w:pPr>
      <w:r>
        <w:t xml:space="preserve">A CL3 convention must include, as relevant to scope:</w:t>
      </w:r>
    </w:p>
    <w:p>
      <w:pPr>
        <w:pStyle w:val="Compact"/>
        <w:numPr>
          <w:ilvl w:val="0"/>
          <w:numId w:val="1001"/>
        </w:numPr>
      </w:pPr>
      <w:r>
        <w:t xml:space="preserve">people materially affected by admission or exclusion decisions;</w:t>
      </w:r>
    </w:p>
    <w:p>
      <w:pPr>
        <w:pStyle w:val="Compact"/>
        <w:numPr>
          <w:ilvl w:val="0"/>
          <w:numId w:val="1001"/>
        </w:numPr>
      </w:pPr>
      <w:r>
        <w:t xml:space="preserve">Indigenous, customary, local, or community governance selected through legitimate community routes;</w:t>
      </w:r>
    </w:p>
    <w:p>
      <w:pPr>
        <w:pStyle w:val="Compact"/>
        <w:numPr>
          <w:ilvl w:val="0"/>
          <w:numId w:val="1001"/>
        </w:numPr>
      </w:pPr>
      <w:r>
        <w:t xml:space="preserve">disability and accessibility competence;</w:t>
      </w:r>
    </w:p>
    <w:p>
      <w:pPr>
        <w:pStyle w:val="Compact"/>
        <w:numPr>
          <w:ilvl w:val="0"/>
          <w:numId w:val="1001"/>
        </w:numPr>
      </w:pPr>
      <w:r>
        <w:t xml:space="preserve">low-resource and non-documentary architectures;</w:t>
      </w:r>
    </w:p>
    <w:p>
      <w:pPr>
        <w:pStyle w:val="Compact"/>
        <w:numPr>
          <w:ilvl w:val="0"/>
          <w:numId w:val="1001"/>
        </w:numPr>
      </w:pPr>
      <w:r>
        <w:t xml:space="preserve">rights and legal competence;</w:t>
      </w:r>
    </w:p>
    <w:p>
      <w:pPr>
        <w:pStyle w:val="Compact"/>
        <w:numPr>
          <w:ilvl w:val="0"/>
          <w:numId w:val="1001"/>
        </w:numPr>
      </w:pPr>
      <w:r>
        <w:t xml:space="preserve">measurement and evaluation competence;</w:t>
      </w:r>
    </w:p>
    <w:p>
      <w:pPr>
        <w:pStyle w:val="Compact"/>
        <w:numPr>
          <w:ilvl w:val="0"/>
          <w:numId w:val="1001"/>
        </w:numPr>
      </w:pPr>
      <w:r>
        <w:t xml:space="preserve">domain practitioners;</w:t>
      </w:r>
    </w:p>
    <w:p>
      <w:pPr>
        <w:pStyle w:val="Compact"/>
        <w:numPr>
          <w:ilvl w:val="0"/>
          <w:numId w:val="1001"/>
        </w:numPr>
      </w:pPr>
      <w:r>
        <w:t xml:space="preserve">technical and safety competence;</w:t>
      </w:r>
    </w:p>
    <w:p>
      <w:pPr>
        <w:pStyle w:val="Compact"/>
        <w:numPr>
          <w:ilvl w:val="0"/>
          <w:numId w:val="1001"/>
        </w:numPr>
      </w:pPr>
      <w:r>
        <w:t xml:space="preserve">informed critics and rival-framework proponents.</w:t>
      </w:r>
    </w:p>
    <w:p>
      <w:pPr>
        <w:pStyle w:val="FirstParagraph"/>
      </w:pPr>
      <w:r>
        <w:t xml:space="preserve">The independent design group fixes before deliberation:</w:t>
      </w:r>
    </w:p>
    <w:p>
      <w:pPr>
        <w:pStyle w:val="Compact"/>
        <w:numPr>
          <w:ilvl w:val="0"/>
          <w:numId w:val="1002"/>
        </w:numPr>
      </w:pPr>
      <w:r>
        <w:t xml:space="preserve">constituency and selection rules;</w:t>
      </w:r>
    </w:p>
    <w:p>
      <w:pPr>
        <w:pStyle w:val="Compact"/>
        <w:numPr>
          <w:ilvl w:val="0"/>
          <w:numId w:val="1002"/>
        </w:numPr>
      </w:pPr>
      <w:r>
        <w:t xml:space="preserve">compensation and expense support;</w:t>
      </w:r>
    </w:p>
    <w:p>
      <w:pPr>
        <w:pStyle w:val="Compact"/>
        <w:numPr>
          <w:ilvl w:val="0"/>
          <w:numId w:val="1002"/>
        </w:numPr>
      </w:pPr>
      <w:r>
        <w:t xml:space="preserve">translation, interpretation, disability access, and remote participation;</w:t>
      </w:r>
    </w:p>
    <w:p>
      <w:pPr>
        <w:pStyle w:val="Compact"/>
        <w:numPr>
          <w:ilvl w:val="0"/>
          <w:numId w:val="1002"/>
        </w:numPr>
      </w:pPr>
      <w:r>
        <w:t xml:space="preserve">agenda-setting and proposal rights;</w:t>
      </w:r>
    </w:p>
    <w:p>
      <w:pPr>
        <w:pStyle w:val="Compact"/>
        <w:numPr>
          <w:ilvl w:val="0"/>
          <w:numId w:val="1002"/>
        </w:numPr>
      </w:pPr>
      <w:r>
        <w:t xml:space="preserve">evidence submission and challenge;</w:t>
      </w:r>
    </w:p>
    <w:p>
      <w:pPr>
        <w:pStyle w:val="Compact"/>
        <w:numPr>
          <w:ilvl w:val="0"/>
          <w:numId w:val="1002"/>
        </w:numPr>
      </w:pPr>
      <w:r>
        <w:t xml:space="preserve">conflict, recusal, removal, and replacement;</w:t>
      </w:r>
    </w:p>
    <w:p>
      <w:pPr>
        <w:pStyle w:val="Compact"/>
        <w:numPr>
          <w:ilvl w:val="0"/>
          <w:numId w:val="1002"/>
        </w:numPr>
      </w:pPr>
      <w:r>
        <w:t xml:space="preserve">confidentiality and community data sovereignty;</w:t>
      </w:r>
    </w:p>
    <w:p>
      <w:pPr>
        <w:pStyle w:val="Compact"/>
        <w:numPr>
          <w:ilvl w:val="0"/>
          <w:numId w:val="1002"/>
        </w:numPr>
      </w:pPr>
      <w:r>
        <w:t xml:space="preserve">voting or consensus rules and their limits;</w:t>
      </w:r>
    </w:p>
    <w:p>
      <w:pPr>
        <w:pStyle w:val="Compact"/>
        <w:numPr>
          <w:ilvl w:val="0"/>
          <w:numId w:val="1002"/>
        </w:numPr>
      </w:pPr>
      <w:r>
        <w:t xml:space="preserve">protected minority reports;</w:t>
      </w:r>
    </w:p>
    <w:p>
      <w:pPr>
        <w:pStyle w:val="Compact"/>
        <w:numPr>
          <w:ilvl w:val="0"/>
          <w:numId w:val="1002"/>
        </w:numPr>
      </w:pPr>
      <w:r>
        <w:t xml:space="preserve">reasoned disposition of objections;</w:t>
      </w:r>
    </w:p>
    <w:p>
      <w:pPr>
        <w:pStyle w:val="Compact"/>
        <w:numPr>
          <w:ilvl w:val="0"/>
          <w:numId w:val="1002"/>
        </w:numPr>
      </w:pPr>
      <w:r>
        <w:t xml:space="preserve">publication and appeal;</w:t>
      </w:r>
    </w:p>
    <w:p>
      <w:pPr>
        <w:pStyle w:val="Compact"/>
        <w:numPr>
          <w:ilvl w:val="0"/>
          <w:numId w:val="1002"/>
        </w:numPr>
      </w:pPr>
      <w:r>
        <w:t xml:space="preserve">review, sunset, and retirement dates.</w:t>
      </w:r>
    </w:p>
    <w:p>
      <w:pPr>
        <w:pStyle w:val="FirstParagraph"/>
      </w:pPr>
      <w:r>
        <w:t xml:space="preserve">A convention that omits a materially affected constituency cannot cure the omission through an overall vote. It must narrow its scope, reopen participation, or remain at CL2.</w:t>
      </w:r>
    </w:p>
    <w:bookmarkEnd w:id="23"/>
    <w:bookmarkStart w:id="24" w:name="criterion-legitimacy-record"/>
    <w:p>
      <w:bookmarkStart w:id="6" w:name="af_4_criterion_legitimacy_record"/>
      <w:pPr>
        <w:pStyle w:val="Heading2"/>
        <w:keepNext/>
        <w:keepLines/>
      </w:pPr>
      <w:r>
        <w:t xml:space="preserve">4. Criterion legitimacy record</w:t>
      </w:r>
      <w:bookmarkEnd w:id="6"/>
    </w:p>
    <w:p>
      <w:pPr>
        <w:pStyle w:val="FirstParagraph"/>
      </w:pPr>
      <w:r>
        <w:t xml:space="preserve">Each criterion record contains:</w:t>
      </w:r>
    </w:p>
    <w:p>
      <w:pPr>
        <w:pStyle w:val="Compact"/>
        <w:numPr>
          <w:ilvl w:val="0"/>
          <w:numId w:val="1003"/>
        </w:numPr>
      </w:pPr>
      <w:r>
        <w:t xml:space="preserve">criterion and version;</w:t>
      </w:r>
    </w:p>
    <w:p>
      <w:pPr>
        <w:pStyle w:val="Compact"/>
        <w:numPr>
          <w:ilvl w:val="0"/>
          <w:numId w:val="1003"/>
        </w:numPr>
      </w:pPr>
      <w:r>
        <w:t xml:space="preserve">protected function and normative basis;</w:t>
      </w:r>
    </w:p>
    <w:p>
      <w:pPr>
        <w:pStyle w:val="Compact"/>
        <w:numPr>
          <w:ilvl w:val="0"/>
          <w:numId w:val="1003"/>
        </w:numPr>
      </w:pPr>
      <w:r>
        <w:t xml:space="preserve">declared scope and exclusions;</w:t>
      </w:r>
    </w:p>
    <w:p>
      <w:pPr>
        <w:pStyle w:val="Compact"/>
        <w:numPr>
          <w:ilvl w:val="0"/>
          <w:numId w:val="1003"/>
        </w:numPr>
      </w:pPr>
      <w:r>
        <w:t xml:space="preserve">genealogy and author-affiliation risk;</w:t>
      </w:r>
    </w:p>
    <w:p>
      <w:pPr>
        <w:pStyle w:val="Compact"/>
        <w:numPr>
          <w:ilvl w:val="0"/>
          <w:numId w:val="1003"/>
        </w:numPr>
      </w:pPr>
      <w:r>
        <w:t xml:space="preserve">at least two rival formulations;</w:t>
      </w:r>
    </w:p>
    <w:p>
      <w:pPr>
        <w:pStyle w:val="Compact"/>
        <w:numPr>
          <w:ilvl w:val="0"/>
          <w:numId w:val="1003"/>
        </w:numPr>
      </w:pPr>
      <w:r>
        <w:t xml:space="preserve">admission-error and exclusion-error costs;</w:t>
      </w:r>
    </w:p>
    <w:p>
      <w:pPr>
        <w:pStyle w:val="Compact"/>
        <w:numPr>
          <w:ilvl w:val="0"/>
          <w:numId w:val="1003"/>
        </w:numPr>
      </w:pPr>
      <w:r>
        <w:t xml:space="preserve">architecture and evidence-form effects;</w:t>
      </w:r>
    </w:p>
    <w:p>
      <w:pPr>
        <w:pStyle w:val="Compact"/>
        <w:numPr>
          <w:ilvl w:val="0"/>
          <w:numId w:val="1003"/>
        </w:numPr>
      </w:pPr>
      <w:r>
        <w:t xml:space="preserve">boundary cases and disconfirming evidence;</w:t>
      </w:r>
    </w:p>
    <w:p>
      <w:pPr>
        <w:pStyle w:val="Compact"/>
        <w:numPr>
          <w:ilvl w:val="0"/>
          <w:numId w:val="1003"/>
        </w:numPr>
      </w:pPr>
      <w:r>
        <w:t xml:space="preserve">affected-party submissions;</w:t>
      </w:r>
    </w:p>
    <w:p>
      <w:pPr>
        <w:pStyle w:val="Compact"/>
        <w:numPr>
          <w:ilvl w:val="0"/>
          <w:numId w:val="1003"/>
        </w:numPr>
      </w:pPr>
      <w:r>
        <w:t xml:space="preserve">majority decision and reasons;</w:t>
      </w:r>
    </w:p>
    <w:p>
      <w:pPr>
        <w:pStyle w:val="Compact"/>
        <w:numPr>
          <w:ilvl w:val="0"/>
          <w:numId w:val="1003"/>
        </w:numPr>
      </w:pPr>
      <w:r>
        <w:t xml:space="preserve">minority or dissenting views and response;</w:t>
      </w:r>
    </w:p>
    <w:p>
      <w:pPr>
        <w:pStyle w:val="Compact"/>
        <w:numPr>
          <w:ilvl w:val="0"/>
          <w:numId w:val="1003"/>
        </w:numPr>
      </w:pPr>
      <w:r>
        <w:t xml:space="preserve">unresolved issues;</w:t>
      </w:r>
    </w:p>
    <w:p>
      <w:pPr>
        <w:pStyle w:val="Compact"/>
        <w:numPr>
          <w:ilvl w:val="0"/>
          <w:numId w:val="1003"/>
        </w:numPr>
      </w:pPr>
      <w:r>
        <w:t xml:space="preserve">retained, revised, replaced, split, restricted, paused, or retired status;</w:t>
      </w:r>
    </w:p>
    <w:p>
      <w:pPr>
        <w:pStyle w:val="Compact"/>
        <w:numPr>
          <w:ilvl w:val="0"/>
          <w:numId w:val="1003"/>
        </w:numPr>
      </w:pPr>
      <w:r>
        <w:t xml:space="preserve">review date and triggers.</w:t>
      </w:r>
    </w:p>
    <w:bookmarkEnd w:id="24"/>
    <w:bookmarkStart w:id="25" w:name="symmetric-genealogy-and-affiliation-test"/>
    <w:p>
      <w:bookmarkStart w:id="7" w:name="af_5_symmetric_genealogy_and_affiliati"/>
      <w:pPr>
        <w:pStyle w:val="Heading2"/>
        <w:keepNext/>
        <w:keepLines/>
      </w:pPr>
      <w:r>
        <w:t xml:space="preserve">5. Symmetric genealogy and affiliation test</w:t>
      </w:r>
      <w:bookmarkEnd w:id="7"/>
    </w:p>
    <w:p>
      <w:pPr>
        <w:pStyle w:val="FirstParagraph"/>
      </w:pPr>
      <w:r>
        <w:t xml:space="preserve">The process tests both:</w:t>
      </w:r>
    </w:p>
    <w:p>
      <w:pPr>
        <w:pStyle w:val="Compact"/>
        <w:numPr>
          <w:ilvl w:val="0"/>
          <w:numId w:val="1004"/>
        </w:numPr>
      </w:pPr>
      <w:r>
        <w:t xml:space="preserve">whether an unaffiliated architecture is excluded because AF encodes MathGov-specific vocabulary, sequence, scenario, or artifact form; and</w:t>
      </w:r>
    </w:p>
    <w:p>
      <w:pPr>
        <w:pStyle w:val="Compact"/>
        <w:numPr>
          <w:ilvl w:val="0"/>
          <w:numId w:val="1004"/>
        </w:numPr>
      </w:pPr>
      <w:r>
        <w:t xml:space="preserve">whether an affiliated architecture receives systematically higher ratings, lower burden, fewer missing-evidence findings, or more favorable interpretation because the protocol and reviewers are familiar with its native artifacts.</w:t>
      </w:r>
    </w:p>
    <w:p>
      <w:pPr>
        <w:pStyle w:val="FirstParagraph"/>
      </w:pPr>
      <w:r>
        <w:t xml:space="preserve">Either pattern can falsify an architecture-neutrality claim.</w:t>
      </w:r>
    </w:p>
    <w:bookmarkEnd w:id="25"/>
    <w:bookmarkStart w:id="26" w:name="affected-party-standing"/>
    <w:p>
      <w:bookmarkStart w:id="8" w:name="af_6_affected_party_standing"/>
      <w:pPr>
        <w:pStyle w:val="Heading2"/>
        <w:keepNext/>
        <w:keepLines/>
      </w:pPr>
      <w:r>
        <w:t xml:space="preserve">6. Affected-party standing</w:t>
      </w:r>
      <w:bookmarkEnd w:id="8"/>
    </w:p>
    <w:p>
      <w:pPr>
        <w:pStyle w:val="FirstParagraph"/>
      </w:pPr>
      <w:r>
        <w:t xml:space="preserve">Affected people and communities may submit evidence, challenge scope, correct factual records, request accessibility and interpretation, preserve dissent, appeal process defects, petition amendment or retirement, and withdraw improperly obtained evidence subject to legal and safety limits. Participation must not create retaliation or loss of ordinary entitlements.</w:t>
      </w:r>
    </w:p>
    <w:bookmarkEnd w:id="26"/>
    <w:bookmarkStart w:id="27" w:name="independence-and-anti-capture"/>
    <w:p>
      <w:bookmarkStart w:id="9" w:name="af_7_independence_and_anti_capture"/>
      <w:pPr>
        <w:pStyle w:val="Heading2"/>
        <w:keepNext/>
        <w:keepLines/>
      </w:pPr>
      <w:r>
        <w:t xml:space="preserve">7. Independence and anti-capture</w:t>
      </w:r>
      <w:bookmarkEnd w:id="9"/>
    </w:p>
    <w:p>
      <w:pPr>
        <w:pStyle w:val="FirstParagraph"/>
      </w:pPr>
      <w:r>
        <w:t xml:space="preserve">No author, sponsor, vendor, candidate, host, funder, or stakeholder class has unilateral agenda, appointment, amendment, interpretation, publication, or veto power. Funding, payments, in-kind support, repository control, legal exposure, procurement interests, and preferred outcomes are public or securely auditable.</w:t>
      </w:r>
    </w:p>
    <w:p>
      <w:pPr>
        <w:pStyle w:val="BodyText"/>
      </w:pPr>
      <w:r>
        <w:t xml:space="preserve">The process includes a host-motivation probe: reviewers examine whether the convening institution uses AF to legitimate a predetermined procurement, policy, litigation, or reputational outcome. Selective scope, evidence, scenarios, panel composition, timing, or publication are capture signals.</w:t>
      </w:r>
    </w:p>
    <w:bookmarkEnd w:id="27"/>
    <w:bookmarkStart w:id="28" w:name="amendment-classes"/>
    <w:p>
      <w:bookmarkStart w:id="10" w:name="af_8_amendment_classes"/>
      <w:pPr>
        <w:pStyle w:val="Heading2"/>
        <w:keepNext/>
        <w:keepLines/>
      </w:pPr>
      <w:r>
        <w:t xml:space="preserve">8. Amendment classes</w:t>
      </w:r>
      <w:bookmarkEnd w:id="10"/>
    </w:p>
    <w:p>
      <w:pPr>
        <w:pStyle w:val="Compact"/>
        <w:numPr>
          <w:ilvl w:val="0"/>
          <w:numId w:val="1005"/>
        </w:numPr>
      </w:pPr>
      <w:r>
        <w:rPr>
          <w:b/>
          <w:bCs/>
        </w:rPr>
        <w:t xml:space="preserve">E - editorial:</w:t>
      </w:r>
      <w:r>
        <w:t xml:space="preserve"> </w:t>
      </w:r>
      <w:r>
        <w:t xml:space="preserve">typographical or non-semantic release repair;</w:t>
      </w:r>
    </w:p>
    <w:p>
      <w:pPr>
        <w:pStyle w:val="Compact"/>
        <w:numPr>
          <w:ilvl w:val="0"/>
          <w:numId w:val="1005"/>
        </w:numPr>
      </w:pPr>
      <w:r>
        <w:rPr>
          <w:b/>
          <w:bCs/>
        </w:rPr>
        <w:t xml:space="preserve">O - operational:</w:t>
      </w:r>
      <w:r>
        <w:t xml:space="preserve"> </w:t>
      </w:r>
      <w:r>
        <w:t xml:space="preserve">administration, schema, evidence, calibration, or measurement changes;</w:t>
      </w:r>
    </w:p>
    <w:p>
      <w:pPr>
        <w:pStyle w:val="Compact"/>
        <w:numPr>
          <w:ilvl w:val="0"/>
          <w:numId w:val="1005"/>
        </w:numPr>
      </w:pPr>
      <w:r>
        <w:rPr>
          <w:b/>
          <w:bCs/>
        </w:rPr>
        <w:t xml:space="preserve">C - constitutional:</w:t>
      </w:r>
      <w:r>
        <w:t xml:space="preserve"> </w:t>
      </w:r>
      <w:r>
        <w:t xml:space="preserve">C0-C5, protected floors, refusal, authorization, or Stage B relation logic;</w:t>
      </w:r>
    </w:p>
    <w:p>
      <w:pPr>
        <w:pStyle w:val="Compact"/>
        <w:numPr>
          <w:ilvl w:val="0"/>
          <w:numId w:val="1005"/>
        </w:numPr>
      </w:pPr>
      <w:r>
        <w:rPr>
          <w:b/>
          <w:bCs/>
        </w:rPr>
        <w:t xml:space="preserve">X - urgent integrity:</w:t>
      </w:r>
      <w:r>
        <w:t xml:space="preserve"> </w:t>
      </w:r>
      <w:r>
        <w:t xml:space="preserve">narrowly scoped temporary correction for false attestation, exposure, corruption, or harmful ambiguity.</w:t>
      </w:r>
    </w:p>
    <w:p>
      <w:pPr>
        <w:pStyle w:val="FirstParagraph"/>
      </w:pPr>
      <w:r>
        <w:t xml:space="preserve">Class C changes require a CL3-or-higher process for the affected scope or must be labeled as an author proposal or fork. Class X changes expire into ordinary review.</w:t>
      </w:r>
    </w:p>
    <w:bookmarkEnd w:id="28"/>
    <w:bookmarkStart w:id="29" w:name="stewardship-and-succession"/>
    <w:p>
      <w:bookmarkStart w:id="11" w:name="af_9_stewardship_and_succession"/>
      <w:pPr>
        <w:pStyle w:val="Heading2"/>
        <w:keepNext/>
        <w:keepLines/>
      </w:pPr>
      <w:r>
        <w:t xml:space="preserve">9. Stewardship and succession</w:t>
      </w:r>
      <w:bookmarkEnd w:id="11"/>
    </w:p>
    <w:p>
      <w:pPr>
        <w:pStyle w:val="FirstParagraph"/>
      </w:pPr>
      <w:r>
        <w:t xml:space="preserve">The stewardship record identifies repository and signing control, maintainer, editor, rights review, affected-party representation, technical review, appeals, terms, rotation, funding, quorum, objection handling, security exceptions, deprecation, transition, and succession. If governance fails, the last verified release remains frozen. Forks disclose lineage and may not imply canonical continuity without the public succession record.</w:t>
      </w:r>
    </w:p>
    <w:bookmarkEnd w:id="29"/>
    <w:bookmarkStart w:id="30" w:name="acceptance-and-falsification-tests"/>
    <w:p>
      <w:bookmarkStart w:id="12" w:name="af_10_acceptance_and_falsification_tes"/>
      <w:pPr>
        <w:pStyle w:val="Heading2"/>
        <w:keepNext/>
        <w:keepLines/>
      </w:pPr>
      <w:r>
        <w:t xml:space="preserve">10. Acceptance and falsification tests</w:t>
      </w:r>
      <w:bookmarkEnd w:id="12"/>
    </w:p>
    <w:p>
      <w:pPr>
        <w:pStyle w:val="FirstParagraph"/>
      </w:pPr>
      <w:r>
        <w:t xml:space="preserve">The charter is not satisfied by a meeting alone. A claimed level fails when:</w:t>
      </w:r>
    </w:p>
    <w:p>
      <w:pPr>
        <w:pStyle w:val="Compact"/>
        <w:numPr>
          <w:ilvl w:val="0"/>
          <w:numId w:val="1006"/>
        </w:numPr>
      </w:pPr>
      <w:r>
        <w:t xml:space="preserve">required representation is absent or selected by an interested party;</w:t>
      </w:r>
    </w:p>
    <w:p>
      <w:pPr>
        <w:pStyle w:val="Compact"/>
        <w:numPr>
          <w:ilvl w:val="0"/>
          <w:numId w:val="1006"/>
        </w:numPr>
      </w:pPr>
      <w:r>
        <w:t xml:space="preserve">access or compensation makes participation practically impossible;</w:t>
      </w:r>
    </w:p>
    <w:p>
      <w:pPr>
        <w:pStyle w:val="Compact"/>
        <w:numPr>
          <w:ilvl w:val="0"/>
          <w:numId w:val="1006"/>
        </w:numPr>
      </w:pPr>
      <w:r>
        <w:t xml:space="preserve">dissent is removed or cannot be published;</w:t>
      </w:r>
    </w:p>
    <w:p>
      <w:pPr>
        <w:pStyle w:val="Compact"/>
        <w:numPr>
          <w:ilvl w:val="0"/>
          <w:numId w:val="1006"/>
        </w:numPr>
      </w:pPr>
      <w:r>
        <w:t xml:space="preserve">sponsor or host controls the result;</w:t>
      </w:r>
    </w:p>
    <w:p>
      <w:pPr>
        <w:pStyle w:val="Compact"/>
        <w:numPr>
          <w:ilvl w:val="0"/>
          <w:numId w:val="1006"/>
        </w:numPr>
      </w:pPr>
      <w:r>
        <w:t xml:space="preserve">rival formulations are not seriously considered;</w:t>
      </w:r>
    </w:p>
    <w:p>
      <w:pPr>
        <w:pStyle w:val="Compact"/>
        <w:numPr>
          <w:ilvl w:val="0"/>
          <w:numId w:val="1006"/>
        </w:numPr>
      </w:pPr>
      <w:r>
        <w:t xml:space="preserve">the affiliated entrant receives unexplained systematic advantage;</w:t>
      </w:r>
    </w:p>
    <w:p>
      <w:pPr>
        <w:pStyle w:val="Compact"/>
        <w:numPr>
          <w:ilvl w:val="0"/>
          <w:numId w:val="1006"/>
        </w:numPr>
      </w:pPr>
      <w:r>
        <w:t xml:space="preserve">objections cannot trigger revision, restriction, or retirement;</w:t>
      </w:r>
    </w:p>
    <w:p>
      <w:pPr>
        <w:pStyle w:val="Compact"/>
        <w:numPr>
          <w:ilvl w:val="0"/>
          <w:numId w:val="1006"/>
        </w:numPr>
      </w:pPr>
      <w:r>
        <w:t xml:space="preserve">no evidence can change the criterion.</w:t>
      </w:r>
    </w:p>
    <w:p>
      <w:pPr>
        <w:pStyle w:val="FirstParagraph"/>
      </w:pPr>
      <w:r>
        <w:t xml:space="preserve">The empirical question is whether the process changes decisions and criteria when warranted. If it never does, constitutional participation may be ceremonial rather than governing.</w:t>
      </w:r>
    </w:p>
    <w:bookmarkEnd w:id="30"/>
    <w:bookmarkEnd w:id="31"/>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CONSTITUTIONAL LEGITIMACY AND STEWARDSHIP CHARTER</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Constitutional Legitimacy and Stewardship Charter</dc:title>
  <dc:creator/>
  <cp:keywords>Auditable Flourishing; assurance; rights; non-compensation; partial order; validation</cp:keywords>
  <dcterms:created xsi:type="dcterms:W3CDTF">2026-08-12T08:58:20Z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