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bb48c28ffe5fd3ddee687be091112f5dbca392"/>
    <w:p>
      <w:bookmarkStart w:id="1" w:name="af_auditable_flourishing_v6_1_master_r"/>
      <w:pPr>
        <w:pStyle w:val="Heading1"/>
        <w:keepNext/>
        <w:keepLines/>
      </w:pPr>
      <w:r>
        <w:t>Auditable Flourishing v6.2 Master Reference Catalog</w:t>
      </w:r>
      <w:bookmarkEnd w:id="1"/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>Version-matched master catalog for the AF v6.2 protocol family.</w:t>
      </w:r>
    </w:p>
    <w:p>
      <w:pPr>
        <w:pStyle w:val="BodyText"/>
      </w:pPr>
      <w:r>
        <w:t xml:space="preserve">This catalog is the single release-level bibliography. Individual companions contain only the works they directly cite. Inclusion here means that a source is cited somewhere in the version-matched family or is retained as a verified contextual source; it does not mean that every companion relies on every entry. Current factual sources remain date-bounded to the release evidence snapshot of 12 August 2026.</w:t>
      </w:r>
    </w:p>
    <w:bookmarkEnd w:id="20"/>
    <w:bookmarkStart w:id="63" w:name="catalog"/>
    <w:p>
      <w:bookmarkStart w:id="2" w:name="af_catalog"/>
      <w:pPr>
        <w:pStyle w:val="Heading1"/>
        <w:keepNext/>
        <w:keepLines/>
      </w:pPr>
      <w:r>
        <w:t xml:space="preserve">Catalog</w:t>
      </w:r>
      <w:bookmarkEnd w:id="2"/>
    </w:p>
    <w:p>
      <w:pPr>
        <w:pStyle w:val="FirstParagraph"/>
      </w:pPr>
      <w:r>
        <w:t xml:space="preserve">Ada Lovelace Institute, AI Now Institute, &amp; Open Government Partnership. (2021). Algorithmic accountability for the public sector: Learning from the first wave of policy implementation.</w:t>
      </w:r>
      <w:r>
        <w:t xml:space="preserve"> </w:t>
      </w:r>
      <w:hyperlink r:id="rId21">
        <w:r>
          <w:rPr>
            <w:rStyle w:val="Hyperlink"/>
          </w:rPr>
          <w:t xml:space="preserve">https://www.opengovpartnership.org/wp-content/uploads/2021/08/algorithmic-accountability-public-sector.pdf</w:t>
        </w:r>
      </w:hyperlink>
    </w:p>
    <w:p>
      <w:pPr>
        <w:pStyle w:val="BodyText"/>
      </w:pPr>
      <w:r>
        <w:t xml:space="preserve">Alexy, R. (2002). A theory of constitutional rights (J. Rivers, Trans.). Oxford University Press.</w:t>
      </w:r>
    </w:p>
    <w:p>
      <w:pPr>
        <w:pStyle w:val="BodyText"/>
      </w:pPr>
      <w:r>
        <w:t xml:space="preserve">Alkire, S., Mishra, R., Selden, L., &amp; Suppa, N. (2025). The global Multidimensional Poverty Index (MPI) 2025: Country results and methodological note (OPHI MPI Methodological Note No. 61). Oxford Poverty and Human Development Initiative.</w:t>
      </w:r>
    </w:p>
    <w:p>
      <w:pPr>
        <w:pStyle w:val="BodyText"/>
      </w:pPr>
      <w:r>
        <w:t xml:space="preserve">Almada, M. (2019). Human intervention in automated decision-making: Toward the construction of contestable systems. Proceedings of the Seventeenth International Conference on Artificial Intelligence and Law, 2-11.</w:t>
      </w:r>
      <w:r>
        <w:t xml:space="preserve"> </w:t>
      </w:r>
      <w:hyperlink r:id="rId22">
        <w:r>
          <w:rPr>
            <w:rStyle w:val="Hyperlink"/>
          </w:rPr>
          <w:t xml:space="preserve">https://doi.org/10.1145/3322640.3326699</w:t>
        </w:r>
      </w:hyperlink>
    </w:p>
    <w:p>
      <w:pPr>
        <w:pStyle w:val="BodyText"/>
      </w:pPr>
      <w:r>
        <w:t xml:space="preserve">American Educational Research Association, American Psychological Association, &amp; National Council on Measurement in Education. (2014). Standards for educational and psychological testing. American Educational Research Association.</w:t>
      </w:r>
    </w:p>
    <w:p>
      <w:pPr>
        <w:pStyle w:val="BodyText"/>
      </w:pPr>
      <w:r>
        <w:t xml:space="preserve">Barocas, S., &amp; Selbst, A. D. (2016). Big data’s disparate impact. California Law Review, 104(3), 671-732.</w:t>
      </w:r>
      <w:r>
        <w:t xml:space="preserve"> </w:t>
      </w:r>
      <w:hyperlink r:id="rId23">
        <w:r>
          <w:rPr>
            <w:rStyle w:val="Hyperlink"/>
          </w:rPr>
          <w:t xml:space="preserve">https://doi.org/10.15779/Z38BG31</w:t>
        </w:r>
      </w:hyperlink>
    </w:p>
    <w:p>
      <w:pPr>
        <w:pStyle w:val="BodyText"/>
      </w:pPr>
      <w:r>
        <w:t xml:space="preserve">Block, S., Emerson, J. W., Esty, D. C., de Sherbinin, A., Wendling, Z. A., et al. (2024). 2024 Environmental Performance Index. Yale Center for Environmental Law &amp; Policy.</w:t>
      </w:r>
      <w:r>
        <w:t xml:space="preserve"> </w:t>
      </w:r>
      <w:hyperlink r:id="rId24">
        <w:r>
          <w:rPr>
            <w:rStyle w:val="Hyperlink"/>
          </w:rPr>
          <w:t xml:space="preserve">https://epi.yale.edu</w:t>
        </w:r>
      </w:hyperlink>
    </w:p>
    <w:p>
      <w:pPr>
        <w:pStyle w:val="BodyText"/>
      </w:pPr>
      <w:r>
        <w:t xml:space="preserve">Bostrom, N. (2014). Superintelligence: Paths, dangers, strategies. Oxford University Press.</w:t>
      </w:r>
    </w:p>
    <w:p>
      <w:pPr>
        <w:pStyle w:val="BodyText"/>
      </w:pPr>
      <w:r>
        <w:t xml:space="preserve">Campbell, D. T. (1979). Assessing the impact of planned social change. Evaluation and Program Planning, 2(1), 67-90.</w:t>
      </w:r>
      <w:r>
        <w:t xml:space="preserve"> </w:t>
      </w:r>
      <w:hyperlink r:id="rId25">
        <w:r>
          <w:rPr>
            <w:rStyle w:val="Hyperlink"/>
          </w:rPr>
          <w:t xml:space="preserve">https://doi.org/10.1016/0149-7189(79)90048-X</w:t>
        </w:r>
      </w:hyperlink>
    </w:p>
    <w:p>
      <w:pPr>
        <w:pStyle w:val="BodyText"/>
      </w:pPr>
      <w:r>
        <w:t xml:space="preserve">Center for Open Science. (n.d.). Registered Reports. https://www.cos.io/initiatives/registered-reports</w:t>
      </w:r>
    </w:p>
    <w:p>
      <w:pPr>
        <w:pStyle w:val="BodyText"/>
      </w:pPr>
      <w:r>
        <w:t xml:space="preserve">Collier, D. (2011). Understanding process tracing. PS: Political Science &amp; Politics, 44(4), 823-830.</w:t>
      </w:r>
      <w:r>
        <w:t xml:space="preserve"> </w:t>
      </w:r>
      <w:hyperlink r:id="rId26">
        <w:r>
          <w:rPr>
            <w:rStyle w:val="Hyperlink"/>
          </w:rPr>
          <w:t xml:space="preserve">https://doi.org/10.1017/S1049096511001429</w:t>
        </w:r>
      </w:hyperlink>
    </w:p>
    <w:p>
      <w:pPr>
        <w:pStyle w:val="BodyText"/>
      </w:pPr>
      <w:r>
        <w:t xml:space="preserve">Committee on Economic, Social and Cultural Rights. (1990). General comment No. 3: The nature of States parties’ obligations (art. 2, para. 1, of the Covenant). United Nations.</w:t>
      </w:r>
    </w:p>
    <w:p>
      <w:pPr>
        <w:pStyle w:val="BodyText"/>
      </w:pPr>
      <w:r>
        <w:t xml:space="preserve">Council of Europe. (1950). Convention for the Protection of Human Rights and Fundamental Freedoms, Article 15. https://www.echr.coe.int/documents/d/echr/convention_ENG</w:t>
      </w:r>
    </w:p>
    <w:p>
      <w:pPr>
        <w:pStyle w:val="BodyText"/>
      </w:pPr>
      <w:r>
        <w:t xml:space="preserve">Council of Europe. (2024). Council of Europe Framework Convention on Artificial Intelligence and Human Rights, Democracy and the Rule of Law (CETS No. 225). Council of Europe.</w:t>
      </w:r>
      <w:r>
        <w:t xml:space="preserve"> </w:t>
      </w:r>
      <w:hyperlink r:id="rId27">
        <w:r>
          <w:rPr>
            <w:rStyle w:val="Hyperlink"/>
          </w:rPr>
          <w:t xml:space="preserve">https://www.coe.int/en/web/artificial-intelligence/the-framework-convention-on-artificial-intelligence</w:t>
        </w:r>
      </w:hyperlink>
    </w:p>
    <w:p>
      <w:pPr>
        <w:pStyle w:val="BodyText"/>
      </w:pPr>
      <w:r>
        <w:t xml:space="preserve">European Court of Human Rights. (2025). Guide on Article 15 of the European Convention on Human Rights: Derogation in time of emergency. https://ks.echr.coe.int/documents/d/echr-ks/guide_art_15_eng</w:t>
      </w:r>
    </w:p>
    <w:p>
      <w:pPr>
        <w:pStyle w:val="BodyText"/>
      </w:pPr>
      <w:r>
        <w:t xml:space="preserve">European Parliament and Council of the European Union. (2024). Regulation (EU) 2024/1689 of 13 June 2024 laying down harmonised rules on artificial intelligence and amending Regulations (EC) No 300/2008, (EU) No 167/2013, (EU) No 168/2013, (EU) 2018/858, (EU) 2018/1139 and (EU) 2019/2144 and Directives 2014/90/EU, (EU) 2016/797 and (EU) 2020/1828 (Artificial Intelligence Act). Official Journal of the European Union, L, 2024/1689.</w:t>
      </w:r>
      <w:r>
        <w:t xml:space="preserve"> </w:t>
      </w:r>
      <w:hyperlink r:id="rId28">
        <w:r>
          <w:rPr>
            <w:rStyle w:val="Hyperlink"/>
          </w:rPr>
          <w:t xml:space="preserve">https://eur-lex.europa.eu/eli/reg/2024/1689/oj</w:t>
        </w:r>
      </w:hyperlink>
    </w:p>
    <w:p>
      <w:pPr>
        <w:pStyle w:val="BodyText"/>
      </w:pPr>
      <w:r>
        <w:t xml:space="preserve">European Union Agency for Fundamental Rights. (2025). Assessing high-risk artificial intelligence: Fundamental rights risks. Publications Office of the European Union.</w:t>
      </w:r>
      <w:r>
        <w:t xml:space="preserve"> </w:t>
      </w:r>
      <w:hyperlink r:id="rId29">
        <w:r>
          <w:rPr>
            <w:rStyle w:val="Hyperlink"/>
          </w:rPr>
          <w:t xml:space="preserve">https://fra.europa.eu/en/publication/2025/assessing-high-risk-ai</w:t>
        </w:r>
      </w:hyperlink>
    </w:p>
    <w:p>
      <w:pPr>
        <w:pStyle w:val="BodyText"/>
      </w:pPr>
      <w:r>
        <w:t xml:space="preserve">Gebru, T., Morgenstern, J., Vecchione, B., Vaughan, J. W., Wallach, H., Daumé III, H., &amp; Crawford, K. (2021). Datasheets for datasets. Communications of the ACM, 64(12), 86-92.</w:t>
      </w:r>
      <w:r>
        <w:t xml:space="preserve"> </w:t>
      </w:r>
      <w:hyperlink r:id="rId30">
        <w:r>
          <w:rPr>
            <w:rStyle w:val="Hyperlink"/>
          </w:rPr>
          <w:t xml:space="preserve">https://doi.org/10.1145/3458723</w:t>
        </w:r>
      </w:hyperlink>
    </w:p>
    <w:p>
      <w:pPr>
        <w:pStyle w:val="BodyText"/>
      </w:pPr>
      <w:r>
        <w:t xml:space="preserve">Goodhart, C. A. E. (1984). Problems of monetary management: The U.K. experience. In C. A. E. Goodhart, Monetary theory and practice: The U.K. experience (pp. 91-121). Macmillan.</w:t>
      </w:r>
    </w:p>
    <w:p>
      <w:pPr>
        <w:pStyle w:val="BodyText"/>
      </w:pPr>
      <w:r>
        <w:t xml:space="preserve">Gwet, K. L. (2014). Handbook of inter-rater reliability: The definitive guide to measuring the extent of agreement among raters (4th ed.). Advanced Analytics, LLC.</w:t>
      </w:r>
    </w:p>
    <w:p>
      <w:pPr>
        <w:pStyle w:val="BodyText"/>
      </w:pPr>
      <w:r>
        <w:t xml:space="preserve">Hadfield-Menell, D., Russell, S. J., Abbeel, P., &amp; Dragan, A. D. (2016). Cooperative inverse reinforcement learning. Advances in Neural Information Processing Systems, 29.</w:t>
      </w:r>
    </w:p>
    <w:p>
      <w:pPr>
        <w:pStyle w:val="BodyText"/>
      </w:pPr>
      <w:r>
        <w:t xml:space="preserve">Harris, P. A., Taylor, R., Thielke, R., Payne, J., Gonzalez, N., &amp; Conde, J. G. (2009). Research electronic data capture (REDCap): A metadata-driven methodology and workflow process for providing translational research informatics support. Journal of Biomedical Informatics, 42(2), 377-381. https://doi.org/10.1016/j.jbi.2008.08.010</w:t>
      </w:r>
    </w:p>
    <w:p>
      <w:pPr>
        <w:pStyle w:val="BodyText"/>
      </w:pPr>
      <w:r>
        <w:t xml:space="preserve">Human Rights Committee. (2001). General comment No. 29: States of emergency (Article 4) (CCPR/C/21/Rev.1/Add.11). United Nations.</w:t>
      </w:r>
    </w:p>
    <w:p>
      <w:pPr>
        <w:pStyle w:val="BodyText"/>
      </w:pPr>
      <w:r>
        <w:t xml:space="preserve">Human Rights Measurement Initiative. (n.d.). Rights Tracker. Retrieved July 11, 2026, from</w:t>
      </w:r>
      <w:r>
        <w:t xml:space="preserve"> </w:t>
      </w:r>
      <w:hyperlink r:id="rId31">
        <w:r>
          <w:rPr>
            <w:rStyle w:val="Hyperlink"/>
          </w:rPr>
          <w:t xml:space="preserve">https://rightstracker.org/</w:t>
        </w:r>
      </w:hyperlink>
    </w:p>
    <w:p>
      <w:pPr>
        <w:pStyle w:val="BodyText"/>
      </w:pPr>
      <w:r>
        <w:t xml:space="preserve">Institute for Economics &amp; Peace. (2026). Global Peace Index 2026: Identifying and measuring the factors that drive peace. Institute for Economics &amp; Peace.</w:t>
      </w:r>
      <w:r>
        <w:t xml:space="preserve"> </w:t>
      </w:r>
      <w:hyperlink r:id="rId32">
        <w:r>
          <w:rPr>
            <w:rStyle w:val="Hyperlink"/>
          </w:rPr>
          <w:t xml:space="preserve">https://www.visionofhumanity.org/resources/</w:t>
        </w:r>
      </w:hyperlink>
    </w:p>
    <w:p>
      <w:pPr>
        <w:pStyle w:val="BodyText"/>
      </w:pPr>
      <w:r>
        <w:t xml:space="preserve">International Auditing and Assurance Standards Board. (2013). International Standard on Assurance Engagements 3000 (Revised): Assurance engagements other than audits or reviews of historical financial information. International Federation of Accountants. https://www.iaasb.org/publications/international-standard-assurance-engagements-isae-3000-revised-assurance-engagements-other-audits-or</w:t>
      </w:r>
    </w:p>
    <w:p>
      <w:pPr>
        <w:pStyle w:val="BodyText"/>
      </w:pPr>
      <w:r>
        <w:t xml:space="preserve">International Organization for Standardization &amp; International Electrotechnical Commission. (2024).</w:t>
      </w:r>
      <w:r>
        <w:t xml:space="preserve"> </w:t>
      </w:r>
      <w:r>
        <w:rPr>
          <w:i/>
          <w:iCs/>
        </w:rPr>
        <w:t xml:space="preserve">ISO/IEC Directives, Part 1: Procedures for the technical work - Consolidated ISO Supplement: Procedures specific to ISO</w:t>
      </w:r>
      <w:r>
        <w:t xml:space="preserve"> </w:t>
      </w:r>
      <w:r>
        <w:t xml:space="preserve">(Edition 2024, V01/2024). Retrieved July 27, 2026, from https://www.iso.org/sites/directives/current/consolidated/</w:t>
      </w:r>
    </w:p>
    <w:p>
      <w:pPr>
        <w:pStyle w:val="BodyText"/>
      </w:pPr>
      <w:r>
        <w:t xml:space="preserve">International Organization for Standardization. (2018). ISO 31000:2018 Risk management - Guidelines. International Organization for Standardization.</w:t>
      </w:r>
    </w:p>
    <w:p>
      <w:pPr>
        <w:pStyle w:val="BodyText"/>
      </w:pPr>
      <w:r>
        <w:t xml:space="preserve">International Organization for Standardization. (2020). ISO/IEC 17000:2020 Conformity assessment - Vocabulary and general principles. International Organization for Standardization. https://www.iso.org/standard/73029.html</w:t>
      </w:r>
    </w:p>
    <w:p>
      <w:pPr>
        <w:pStyle w:val="BodyText"/>
      </w:pPr>
      <w:r>
        <w:t xml:space="preserve">International Organization for Standardization. (2023a). ISO/IEC 23894:2023 Information technology - Artificial intelligence - Guidance on risk management. International Organization for Standardization.</w:t>
      </w:r>
    </w:p>
    <w:p>
      <w:pPr>
        <w:pStyle w:val="BodyText"/>
      </w:pPr>
      <w:r>
        <w:t xml:space="preserve">International Organization for Standardization. (2023b). ISO/IEC 42001:2023 Information technology - Artificial intelligence - Management system. International Organization for Standardization.</w:t>
      </w:r>
    </w:p>
    <w:p>
      <w:pPr>
        <w:pStyle w:val="BodyText"/>
      </w:pPr>
      <w:r>
        <w:t xml:space="preserve">ISEAL Alliance. (2025).</w:t>
      </w:r>
      <w:r>
        <w:t xml:space="preserve"> </w:t>
      </w:r>
      <w:r>
        <w:rPr>
          <w:i/>
          <w:iCs/>
        </w:rPr>
        <w:t xml:space="preserve">ISEAL Code of Good Practice for Sustainability Systems, version 1.1</w:t>
      </w:r>
      <w:r>
        <w:t xml:space="preserve">. https://isealalliance.org/get-involved/resources/iseal-code-good-practice-sustainability-systems-v11</w:t>
      </w:r>
    </w:p>
    <w:p>
      <w:pPr>
        <w:pStyle w:val="BodyText"/>
      </w:pPr>
      <w:r>
        <w:t xml:space="preserve">Joint Committee on Standards for Educational Evaluation. (2011). The program evaluation standards: A guide for evaluators and evaluation users (3rd ed.). SAGE.</w:t>
      </w:r>
    </w:p>
    <w:p>
      <w:pPr>
        <w:pStyle w:val="BodyText"/>
      </w:pPr>
      <w:r>
        <w:t xml:space="preserve">Kaufmann, D., Kraay, A., &amp; Mastruzzi, M. (2010). The Worldwide Governance Indicators: Methodology and analytical issues (World Bank Policy Research Working Paper No. 5430). World Bank.</w:t>
      </w:r>
      <w:r>
        <w:t xml:space="preserve"> </w:t>
      </w:r>
      <w:hyperlink r:id="rId33">
        <w:r>
          <w:rPr>
            <w:rStyle w:val="Hyperlink"/>
          </w:rPr>
          <w:t xml:space="preserve">https://doi.org/10.1596/1813-9450-5430</w:t>
        </w:r>
      </w:hyperlink>
    </w:p>
    <w:p>
      <w:pPr>
        <w:pStyle w:val="BodyText"/>
      </w:pPr>
      <w:r>
        <w:t xml:space="preserve">Kelly, T. (2004). A systematic approach to safety case management. SAE Technical Paper 2004-01-1779. https://doi.org/10.4271/2004-01-1779</w:t>
      </w:r>
    </w:p>
    <w:p>
      <w:pPr>
        <w:pStyle w:val="BodyText"/>
      </w:pPr>
      <w:r>
        <w:t xml:space="preserve">Krippendorff, K. (2018). Content analysis: An introduction to its methodology (4th ed.). SAGE.</w:t>
      </w:r>
    </w:p>
    <w:p>
      <w:pPr>
        <w:pStyle w:val="BodyText"/>
      </w:pPr>
      <w:r>
        <w:t xml:space="preserve">Lahdelma, R., Hokkanen, J., &amp; Salminen, P. (1998). SMAA - Stochastic multiobjective acceptability analysis. European Journal of Operational Research, 106(1), 137-143. https://doi.org/10.1016/S0377-2217(97)00163-X</w:t>
      </w:r>
    </w:p>
    <w:p>
      <w:pPr>
        <w:pStyle w:val="BodyText"/>
      </w:pPr>
      <w:r>
        <w:t xml:space="preserve">Lam, K., Lange, B., Blili-Hamelin, B., Davidovic, J., Brown, S., &amp; Hasan, A. (2024). A framework for assurance audits of algorithmic systems. Proceedings of the 2024 ACM Conference on Fairness, Accountability, and Transparency, 1078–1092. https://doi.org/10.1145/3630106.3658957</w:t>
      </w:r>
    </w:p>
    <w:p>
      <w:pPr>
        <w:pStyle w:val="BodyText"/>
      </w:pPr>
      <w:r>
        <w:t xml:space="preserve">Lempert, R. J., Popper, S. W., &amp; Bankes, S. C. (2003). Shaping the next one hundred years: New methods for quantitative, long-term policy analysis. RAND Corporation.</w:t>
      </w:r>
    </w:p>
    <w:p>
      <w:pPr>
        <w:pStyle w:val="BodyText"/>
      </w:pPr>
      <w:r>
        <w:t xml:space="preserve">Liddell, T. M., &amp; Kruschke, J. K. (2018). Analyzing ordinal data with metric models: What could possibly go wrong? Journal of Experimental Social Psychology, 79, 328-348.</w:t>
      </w:r>
      <w:r>
        <w:t xml:space="preserve"> </w:t>
      </w:r>
      <w:hyperlink r:id="rId34">
        <w:r>
          <w:rPr>
            <w:rStyle w:val="Hyperlink"/>
          </w:rPr>
          <w:t xml:space="preserve">https://doi.org/10.1016/j.jesp.2018.08.009</w:t>
        </w:r>
      </w:hyperlink>
    </w:p>
    <w:p>
      <w:pPr>
        <w:pStyle w:val="BodyText"/>
      </w:pPr>
      <w:r>
        <w:t xml:space="preserve">Manheim, D., &amp; Garrabrant, S. (2018). Categorizing variants of Goodhart’s Law. arXiv.</w:t>
      </w:r>
      <w:r>
        <w:t xml:space="preserve"> </w:t>
      </w:r>
      <w:hyperlink r:id="rId35">
        <w:r>
          <w:rPr>
            <w:rStyle w:val="Hyperlink"/>
          </w:rPr>
          <w:t xml:space="preserve">https://arxiv.org/abs/1803.04585</w:t>
        </w:r>
      </w:hyperlink>
    </w:p>
    <w:p>
      <w:pPr>
        <w:pStyle w:val="BodyText"/>
      </w:pPr>
      <w:r>
        <w:t xml:space="preserve">Messick, S. (1995). Validity of psychological assessment: Validation of inferences from persons’ responses and performances as scientific inquiry into score meaning. American Psychologist, 50(9), 741-749.</w:t>
      </w:r>
      <w:r>
        <w:t xml:space="preserve"> </w:t>
      </w:r>
      <w:hyperlink r:id="rId36">
        <w:r>
          <w:rPr>
            <w:rStyle w:val="Hyperlink"/>
          </w:rPr>
          <w:t xml:space="preserve">https://doi.org/10.1037/0003-066X.50.9.741</w:t>
        </w:r>
      </w:hyperlink>
    </w:p>
    <w:p>
      <w:pPr>
        <w:pStyle w:val="BodyText"/>
      </w:pPr>
      <w:r>
        <w:t xml:space="preserve">Mitchell, M., Wu, S., Zaldivar, A., Barnes, P., Vasserman, L., Hutchinson, B., Spitzer, E., Raji, I. D., &amp; Gebru, T. (2019). Model cards for model reporting. Proceedings of the Conference on Fairness, Accountability, and Transparency, 220-229.</w:t>
      </w:r>
      <w:r>
        <w:t xml:space="preserve"> </w:t>
      </w:r>
      <w:hyperlink r:id="rId37">
        <w:r>
          <w:rPr>
            <w:rStyle w:val="Hyperlink"/>
          </w:rPr>
          <w:t xml:space="preserve">https://doi.org/10.1145/3287560.3287596</w:t>
        </w:r>
      </w:hyperlink>
    </w:p>
    <w:p>
      <w:pPr>
        <w:pStyle w:val="BodyText"/>
      </w:pPr>
      <w:r>
        <w:t xml:space="preserve">Mökander, J., Schuett, J., Kirk, H. R., &amp; Floridi, L. (2024). Auditing large language models: A three-layered approach. AI and Ethics, 4, 1085-1115.</w:t>
      </w:r>
      <w:r>
        <w:t xml:space="preserve"> </w:t>
      </w:r>
      <w:hyperlink r:id="rId38">
        <w:r>
          <w:rPr>
            <w:rStyle w:val="Hyperlink"/>
          </w:rPr>
          <w:t xml:space="preserve">https://doi.org/10.1007/s43681-023-00289-2</w:t>
        </w:r>
      </w:hyperlink>
    </w:p>
    <w:p>
      <w:pPr>
        <w:pStyle w:val="BodyText"/>
      </w:pPr>
      <w:r>
        <w:t xml:space="preserve">Muller, J. Z. (2018). The tyranny of metrics. Princeton University Press.</w:t>
      </w:r>
    </w:p>
    <w:p>
      <w:pPr>
        <w:pStyle w:val="BodyText"/>
      </w:pPr>
      <w:r>
        <w:t xml:space="preserve">National Institute of Standards and Technology. (2023). Artificial intelligence risk management framework (AI RMF 1.0) (NIST AI 100-1). U.S. Department of Commerce.</w:t>
      </w:r>
      <w:r>
        <w:t xml:space="preserve"> </w:t>
      </w:r>
      <w:hyperlink r:id="rId39">
        <w:r>
          <w:rPr>
            <w:rStyle w:val="Hyperlink"/>
          </w:rPr>
          <w:t xml:space="preserve">https://doi.org/10.6028/NIST.AI.100-1</w:t>
        </w:r>
      </w:hyperlink>
    </w:p>
    <w:p>
      <w:pPr>
        <w:pStyle w:val="BodyText"/>
      </w:pPr>
      <w:r>
        <w:t xml:space="preserve">National Institute of Standards and Technology. (2024). Artificial Intelligence Risk Management Framework: Generative Artificial Intelligence Profile (NIST AI 600-1). U.S. Department of Commerce.</w:t>
      </w:r>
      <w:r>
        <w:t xml:space="preserve"> </w:t>
      </w:r>
      <w:hyperlink r:id="rId40">
        <w:r>
          <w:rPr>
            <w:rStyle w:val="Hyperlink"/>
          </w:rPr>
          <w:t xml:space="preserve">https://doi.org/10.6028/NIST.AI.600-1</w:t>
        </w:r>
      </w:hyperlink>
    </w:p>
    <w:p>
      <w:pPr>
        <w:pStyle w:val="BodyText"/>
      </w:pPr>
      <w:r>
        <w:t xml:space="preserve">Nussbaum, M. C. (2011). Creating capabilities: The human development approach. Harvard University Press.</w:t>
      </w:r>
    </w:p>
    <w:p>
      <w:pPr>
        <w:pStyle w:val="BodyText"/>
      </w:pPr>
      <w:r>
        <w:t xml:space="preserve">Open Source Initiative. (2024). The Open Source AI Definition, version 1.0. Open Source Initiative.</w:t>
      </w:r>
      <w:r>
        <w:t xml:space="preserve"> </w:t>
      </w:r>
      <w:hyperlink r:id="rId41">
        <w:r>
          <w:rPr>
            <w:rStyle w:val="Hyperlink"/>
          </w:rPr>
          <w:t xml:space="preserve">https://opensource.org/ai/open-source-ai-definition</w:t>
        </w:r>
      </w:hyperlink>
    </w:p>
    <w:p>
      <w:pPr>
        <w:pStyle w:val="BodyText"/>
      </w:pPr>
      <w:r>
        <w:t xml:space="preserve">Ord, T. (2020). The precipice: Existential risk and the future of humanity. Hachette Books.</w:t>
      </w:r>
    </w:p>
    <w:p>
      <w:pPr>
        <w:pStyle w:val="BodyText"/>
      </w:pPr>
      <w:r>
        <w:t xml:space="preserve">Organisation for Economic Co-operation and Development. (2019a). Better criteria for better evaluation: Revised evaluation criteria definitions and principles for use. OECD Publishing.</w:t>
      </w:r>
    </w:p>
    <w:p>
      <w:pPr>
        <w:pStyle w:val="BodyText"/>
      </w:pPr>
      <w:r>
        <w:t xml:space="preserve">Organisation for Economic Co-operation and Development. (2019b). Recommendation of the Council on Artificial Intelligence (OECD/LEGAL/0449; amended 2024). OECD Legal Instruments.</w:t>
      </w:r>
      <w:r>
        <w:t xml:space="preserve"> </w:t>
      </w:r>
      <w:hyperlink r:id="rId42">
        <w:r>
          <w:rPr>
            <w:rStyle w:val="Hyperlink"/>
          </w:rPr>
          <w:t xml:space="preserve">https://legalinstruments.oecd.org/en/instruments/OECD-LEGAL-0449</w:t>
        </w:r>
      </w:hyperlink>
    </w:p>
    <w:p>
      <w:pPr>
        <w:pStyle w:val="BodyText"/>
      </w:pPr>
      <w:r>
        <w:t xml:space="preserve">Organisation for Economic Co-operation and Development. (2023). The state of implementation of the OECD AI Principles four years on. OECD Publishing.</w:t>
      </w:r>
    </w:p>
    <w:p>
      <w:pPr>
        <w:pStyle w:val="BodyText"/>
      </w:pPr>
      <w:r>
        <w:t xml:space="preserve">Organization of American States. (1969). American Convention on Human Rights, Article 27. https://www.oas.org/dil/treaties_b-32_american_convention_on_human_rights.pdf</w:t>
      </w:r>
    </w:p>
    <w:p>
      <w:pPr>
        <w:pStyle w:val="BodyText"/>
      </w:pPr>
      <w:r>
        <w:t xml:space="preserve">Ostrom, E. (1990). Governing the commons: The evolution of institutions for collective action. Cambridge University Press.</w:t>
      </w:r>
    </w:p>
    <w:p>
      <w:pPr>
        <w:pStyle w:val="BodyText"/>
      </w:pPr>
      <w:r>
        <w:t xml:space="preserve">Pintér, L., Hardi, P., Martinuzzi, A., &amp; Hall, J. (2012). Bellagio STAMP: Principles for sustainability assessment and measurement. Ecological Indicators, 17, 20-28.</w:t>
      </w:r>
      <w:r>
        <w:t xml:space="preserve"> </w:t>
      </w:r>
      <w:hyperlink r:id="rId43">
        <w:r>
          <w:rPr>
            <w:rStyle w:val="Hyperlink"/>
          </w:rPr>
          <w:t xml:space="preserve">https://doi.org/10.1016/j.ecolind.2011.07.001</w:t>
        </w:r>
      </w:hyperlink>
    </w:p>
    <w:p>
      <w:pPr>
        <w:pStyle w:val="BodyText"/>
      </w:pPr>
      <w:r>
        <w:t xml:space="preserve">Raji, I. D., Smart, A., White, R. N., Mitchell, M., Gebru, T., Hutchinson, B., Smith-Loud, J., Theron, D., &amp; Barnes, P. (2020). Closing the AI accountability gap: Defining an end-to-end framework for internal algorithmic auditing. Proceedings of the 2020 Conference on Fairness, Accountability, and Transparency, 33-44.</w:t>
      </w:r>
      <w:r>
        <w:t xml:space="preserve"> </w:t>
      </w:r>
      <w:hyperlink r:id="rId44">
        <w:r>
          <w:rPr>
            <w:rStyle w:val="Hyperlink"/>
          </w:rPr>
          <w:t xml:space="preserve">https://doi.org/10.1145/3351095.3372873</w:t>
        </w:r>
      </w:hyperlink>
    </w:p>
    <w:p>
      <w:pPr>
        <w:pStyle w:val="BodyText"/>
      </w:pPr>
      <w:r>
        <w:t xml:space="preserve">Raworth, K. (2017). Doughnut economics: Seven ways to think like a 21st-century economist. Chelsea Green Publishing.</w:t>
      </w:r>
    </w:p>
    <w:p>
      <w:pPr>
        <w:pStyle w:val="BodyText"/>
      </w:pPr>
      <w:r>
        <w:t xml:space="preserve">Richardson, K., Steffen, W., Lucht, W., Bendtsen, J., Cornell, S. E., Donges, J. F., Drüke, M., Fetzer, I., Bala, G., von Bloh, W., Feulner, G., Fiedler, S., Gerten, D., Gleeson, T., Hofmann, M., Huiskamp, W., Kummu, M., Mohan, C., Nogués-Bravo, D., … Rockström, J. (2023). Earth beyond six of nine planetary boundaries. Science Advances, 9(37), eadh2458.</w:t>
      </w:r>
      <w:r>
        <w:t xml:space="preserve"> </w:t>
      </w:r>
      <w:hyperlink r:id="rId45">
        <w:r>
          <w:rPr>
            <w:rStyle w:val="Hyperlink"/>
          </w:rPr>
          <w:t xml:space="preserve">https://doi.org/10.1126/sciadv.adh2458</w:t>
        </w:r>
      </w:hyperlink>
    </w:p>
    <w:p>
      <w:pPr>
        <w:pStyle w:val="BodyText"/>
      </w:pPr>
      <w:r>
        <w:t xml:space="preserve">Robeyns, I. (2017). Wellbeing, freedom and social justice: The capability approach re-examined. Open Book Publishers.</w:t>
      </w:r>
      <w:r>
        <w:t xml:space="preserve"> </w:t>
      </w:r>
      <w:hyperlink r:id="rId46">
        <w:r>
          <w:rPr>
            <w:rStyle w:val="Hyperlink"/>
          </w:rPr>
          <w:t xml:space="preserve">https://doi.org/10.11647/OBP.0130</w:t>
        </w:r>
      </w:hyperlink>
    </w:p>
    <w:p>
      <w:pPr>
        <w:pStyle w:val="BodyText"/>
      </w:pPr>
      <w:r>
        <w:t xml:space="preserve">Rockström, J., Gupta, J., Qin, D., Lade, S. J., Abrams, J. F., Andersen, L. S., Armstrong McKay, D. I., Bai, X., Bala, G., Bunn, S. E., Ciobanu, D., DeClerck, F., Ebi, K., Gifford, L., Gordon, C., Hasan, S., Kanie, N., Lenton, T. M., Loriani, S., … Zhang, X. (2023). Safe and just Earth system boundaries. Nature, 619, 102-111.</w:t>
      </w:r>
      <w:r>
        <w:t xml:space="preserve"> </w:t>
      </w:r>
      <w:hyperlink r:id="rId47">
        <w:r>
          <w:rPr>
            <w:rStyle w:val="Hyperlink"/>
          </w:rPr>
          <w:t xml:space="preserve">https://doi.org/10.1038/s41586-023-06083-8</w:t>
        </w:r>
      </w:hyperlink>
    </w:p>
    <w:p>
      <w:pPr>
        <w:pStyle w:val="BodyText"/>
      </w:pPr>
      <w:r>
        <w:t xml:space="preserve">Rockström, J., Steffen, W., Noone, K., Persson, A., Chapin, F. S., III, Lambin, E. F., Lenton, T. M., Scheffer, M., Folke, C., Schellnhuber, H. J., Nykvist, B., de Wit, C. A., Hughes, T., van der Leeuw, S., Rodhe, H., Sörlin, S., Snyder, P. K., Costanza, R., Svedin, U., … Foley, J. A. (2009). A safe operating space for humanity. Nature, 461, 472-475.</w:t>
      </w:r>
      <w:r>
        <w:t xml:space="preserve"> </w:t>
      </w:r>
      <w:hyperlink r:id="rId48">
        <w:r>
          <w:rPr>
            <w:rStyle w:val="Hyperlink"/>
          </w:rPr>
          <w:t xml:space="preserve">https://doi.org/10.1038/461472a</w:t>
        </w:r>
      </w:hyperlink>
    </w:p>
    <w:p>
      <w:pPr>
        <w:pStyle w:val="BodyText"/>
      </w:pPr>
      <w:r>
        <w:t xml:space="preserve">Roy, B. (1968). Classement et choix en présence de points de vue multiples. Revue française d’informatique et de recherche opérationnelle. Série verte, 2(V1), 57–75. https://www.numdam.org/item/RO_1968__2_1_57_0/</w:t>
      </w:r>
    </w:p>
    <w:p>
      <w:pPr>
        <w:pStyle w:val="BodyText"/>
      </w:pPr>
      <w:r>
        <w:t xml:space="preserve">Royal Society Open Science. (n.d.). Registered Reports. https://royalsocietypublishing.org/rsos/registered-reports</w:t>
      </w:r>
    </w:p>
    <w:p>
      <w:pPr>
        <w:pStyle w:val="BodyText"/>
      </w:pPr>
      <w:r>
        <w:t xml:space="preserve">Russell, S. (2019). Human compatible: Artificial intelligence and the problem of control. Viking.</w:t>
      </w:r>
    </w:p>
    <w:p>
      <w:pPr>
        <w:pStyle w:val="BodyText"/>
      </w:pPr>
      <w:r>
        <w:t xml:space="preserve">Rustad, S. A. (2026). Conflict trends: A global overview, 1946-2025. PRIO Paper. Peace Research Institute Oslo.</w:t>
      </w:r>
      <w:r>
        <w:t xml:space="preserve"> </w:t>
      </w:r>
      <w:hyperlink r:id="rId49">
        <w:r>
          <w:rPr>
            <w:rStyle w:val="Hyperlink"/>
          </w:rPr>
          <w:t xml:space="preserve">https://www.prio.org/publications/14802</w:t>
        </w:r>
      </w:hyperlink>
    </w:p>
    <w:p>
      <w:pPr>
        <w:pStyle w:val="BodyText"/>
      </w:pPr>
      <w:r>
        <w:t xml:space="preserve">Sakschewski, B., Caesar, L., Andersen, L. S., Bechthold, M., Bergfeld, L., Beusen, A., Billing, M., Bodirsky, B. L., Botsyun, S., Dennis, D., Donges, J. F., Dou, X., Eriksson, A., Fetzer, I., Gerten, D., Häyhä, T., Hebden, S., Heckmann, T., Heilemann, A., … Rockström, J. (2025). Planetary Health Check 2025: A scientific assessment of the state of the planet. Potsdam Institute for Climate Impact Research.</w:t>
      </w:r>
      <w:r>
        <w:t xml:space="preserve"> </w:t>
      </w:r>
      <w:hyperlink r:id="rId50">
        <w:r>
          <w:rPr>
            <w:rStyle w:val="Hyperlink"/>
          </w:rPr>
          <w:t xml:space="preserve">https://doi.org/10.48485/pik.2025.017</w:t>
        </w:r>
      </w:hyperlink>
    </w:p>
    <w:p>
      <w:pPr>
        <w:pStyle w:val="BodyText"/>
      </w:pPr>
      <w:r>
        <w:t xml:space="preserve">Scriven, M. (1991). Evaluation thesaurus (4th ed.). SAGE.</w:t>
      </w:r>
    </w:p>
    <w:p>
      <w:pPr>
        <w:pStyle w:val="BodyText"/>
      </w:pPr>
      <w:r>
        <w:t xml:space="preserve">Selbst, A. D., Boyd, D., Friedler, S. A., Venkatasubramanian, S., &amp; Vertesi, J. (2019). Fairness and abstraction in sociotechnical systems. Proceedings of the Conference on Fairness, Accountability, and Transparency, 59-68.</w:t>
      </w:r>
      <w:r>
        <w:t xml:space="preserve"> </w:t>
      </w:r>
      <w:hyperlink r:id="rId51">
        <w:r>
          <w:rPr>
            <w:rStyle w:val="Hyperlink"/>
          </w:rPr>
          <w:t xml:space="preserve">https://doi.org/10.1145/3287560.3287598</w:t>
        </w:r>
      </w:hyperlink>
    </w:p>
    <w:p>
      <w:pPr>
        <w:pStyle w:val="BodyText"/>
      </w:pPr>
      <w:r>
        <w:t xml:space="preserve">Sen, A. (1999). Development as freedom. Knopf.</w:t>
      </w:r>
    </w:p>
    <w:p>
      <w:pPr>
        <w:pStyle w:val="BodyText"/>
      </w:pPr>
      <w:r>
        <w:t xml:space="preserve">Sen, A. (2017). Reason and justice: The optimal and the maximal.</w:t>
      </w:r>
      <w:r>
        <w:t xml:space="preserve"> </w:t>
      </w:r>
      <w:r>
        <w:rPr>
          <w:i/>
          <w:iCs/>
        </w:rPr>
        <w:t xml:space="preserve">Philosophy, 92</w:t>
      </w:r>
      <w:r>
        <w:t xml:space="preserve">(1), 5-19. https://doi.org/10.1017/S0031819116000309</w:t>
      </w:r>
    </w:p>
    <w:p>
      <w:pPr>
        <w:pStyle w:val="BodyText"/>
      </w:pPr>
      <w:r>
        <w:t xml:space="preserve">Shadish, W. R., Cook, T. D., &amp; Campbell, D. T. (2002). Experimental and quasi-experimental designs for generalized causal inference. Houghton Mifflin.</w:t>
      </w:r>
    </w:p>
    <w:p>
      <w:pPr>
        <w:pStyle w:val="BodyText"/>
      </w:pPr>
      <w:r>
        <w:t xml:space="preserve">Soares, N., Fallenstein, B., Armstrong, S., &amp; Yudkowsky, E. (2015). Corrigibility. In Workshops at the Twenty-Ninth AAAI Conference on Artificial Intelligence.</w:t>
      </w:r>
    </w:p>
    <w:p>
      <w:pPr>
        <w:pStyle w:val="BodyText"/>
      </w:pPr>
      <w:r>
        <w:t xml:space="preserve">Steffen, W., Richardson, K., Rockström, J., Cornell, S. E., Fetzer, I., Bennett, E. M., Biggs, R., Carpenter, S. R., de Vries, W., de Wit, C. A., Folke, C., Gerten, D., Heinke, J., Mace, G. M., Persson, L. M., Ramanathan, V., Reyers, B., &amp; Sörlin, S. (2015). Planetary boundaries: Guiding human development on a changing planet. Science, 347(6223), 1259855.</w:t>
      </w:r>
      <w:r>
        <w:t xml:space="preserve"> </w:t>
      </w:r>
      <w:hyperlink r:id="rId52">
        <w:r>
          <w:rPr>
            <w:rStyle w:val="Hyperlink"/>
          </w:rPr>
          <w:t xml:space="preserve">https://doi.org/10.1126/science.1259855</w:t>
        </w:r>
      </w:hyperlink>
    </w:p>
    <w:p>
      <w:pPr>
        <w:pStyle w:val="BodyText"/>
      </w:pPr>
      <w:r>
        <w:t xml:space="preserve">Stiglitz, J. E., Sen, A., &amp; Fitoussi, J.-P. (2009). Report by the Commission on the Measurement of Economic Performance and Social Progress. Commission on the Measurement of Economic Performance and Social Progress.</w:t>
      </w:r>
    </w:p>
    <w:p>
      <w:pPr>
        <w:pStyle w:val="BodyText"/>
      </w:pPr>
      <w:r>
        <w:t xml:space="preserve">Stufflebeam, D. L., &amp; Coryn, C. L. S. (2014). Evaluation theory, models, and applications (2nd ed.). Jossey-Bass.</w:t>
      </w:r>
    </w:p>
    <w:p>
      <w:pPr>
        <w:pStyle w:val="BodyText"/>
      </w:pPr>
      <w:r>
        <w:t xml:space="preserve">Toulmin, S. E. (1958). The uses of argument. Cambridge University Press.</w:t>
      </w:r>
    </w:p>
    <w:p>
      <w:pPr>
        <w:pStyle w:val="BodyText"/>
      </w:pPr>
      <w:r>
        <w:t xml:space="preserve">Tsakyrakis, S. (2009). Proportionality: An assault on human rights? International Journal of Constitutional Law, 7(3), 468-493.</w:t>
      </w:r>
      <w:r>
        <w:t xml:space="preserve"> </w:t>
      </w:r>
      <w:hyperlink r:id="rId53">
        <w:r>
          <w:rPr>
            <w:rStyle w:val="Hyperlink"/>
          </w:rPr>
          <w:t xml:space="preserve">https://doi.org/10.1093/icon/mop011</w:t>
        </w:r>
      </w:hyperlink>
    </w:p>
    <w:p>
      <w:pPr>
        <w:pStyle w:val="BodyText"/>
      </w:pPr>
      <w:r>
        <w:t xml:space="preserve">UNESCO. (2021). Recommendation on the Ethics of Artificial Intelligence. UNESCO.</w:t>
      </w:r>
      <w:r>
        <w:t xml:space="preserve"> </w:t>
      </w:r>
      <w:hyperlink r:id="rId54">
        <w:r>
          <w:rPr>
            <w:rStyle w:val="Hyperlink"/>
          </w:rPr>
          <w:t xml:space="preserve">https://unesdoc.unesco.org/ark:/48223/pf0000381137</w:t>
        </w:r>
      </w:hyperlink>
    </w:p>
    <w:p>
      <w:pPr>
        <w:pStyle w:val="BodyText"/>
      </w:pPr>
      <w:r>
        <w:t xml:space="preserve">United Nations Development Programme, &amp; Oxford Poverty and Human Development Initiative. (2025).</w:t>
      </w:r>
      <w:r>
        <w:t xml:space="preserve"> </w:t>
      </w:r>
      <w:r>
        <w:rPr>
          <w:i/>
          <w:iCs/>
        </w:rPr>
        <w:t xml:space="preserve">2025 Global Multidimensional Poverty Index (MPI): Overlapping hardships - Poverty and climate hazards</w:t>
      </w:r>
      <w:r>
        <w:t xml:space="preserve">. United Nations Development Programme.</w:t>
      </w:r>
      <w:r>
        <w:t xml:space="preserve"> </w:t>
      </w:r>
      <w:hyperlink r:id="rId55">
        <w:r>
          <w:rPr>
            <w:rStyle w:val="Hyperlink"/>
          </w:rPr>
          <w:t xml:space="preserve">https://hdr.undp.org/content/2025-global-multidimensional-poverty-index-mpi</w:t>
        </w:r>
      </w:hyperlink>
    </w:p>
    <w:p>
      <w:pPr>
        <w:pStyle w:val="BodyText"/>
      </w:pPr>
      <w:r>
        <w:t xml:space="preserve">United Nations Development Programme. (2025). Human Development Report 2025: A matter of choice: People and possibilities in the age of AI. United Nations Development Programme.</w:t>
      </w:r>
    </w:p>
    <w:p>
      <w:pPr>
        <w:pStyle w:val="BodyText"/>
      </w:pPr>
      <w:r>
        <w:t xml:space="preserve">United Nations Economic and Social Council. (1985). Siracusa Principles on the Limitation and Derogation Provisions in the International Covenant on Civil and Political Rights (UN Doc. E/CN.4/1985/4, Annex). United Nations.</w:t>
      </w:r>
    </w:p>
    <w:p>
      <w:pPr>
        <w:pStyle w:val="BodyText"/>
      </w:pPr>
      <w:r>
        <w:t xml:space="preserve">United Nations General Assembly. (1948). Universal Declaration of Human Rights.</w:t>
      </w:r>
    </w:p>
    <w:p>
      <w:pPr>
        <w:pStyle w:val="BodyText"/>
      </w:pPr>
      <w:r>
        <w:t xml:space="preserve">United Nations General Assembly. (1966a). International Covenant on Civil and Political Rights.</w:t>
      </w:r>
    </w:p>
    <w:p>
      <w:pPr>
        <w:pStyle w:val="BodyText"/>
      </w:pPr>
      <w:r>
        <w:t xml:space="preserve">United Nations General Assembly. (1966b). International Covenant on Economic, Social and Cultural Rights.</w:t>
      </w:r>
    </w:p>
    <w:p>
      <w:pPr>
        <w:pStyle w:val="BodyText"/>
      </w:pPr>
      <w:r>
        <w:t xml:space="preserve">United Nations Human Rights Office of the High Commissioner. (2011). Guiding Principles on Business and Human Rights. https://www.ohchr.org/documents/publications/guidingprinciplesbusinesshr_en.pdf</w:t>
      </w:r>
    </w:p>
    <w:p>
      <w:pPr>
        <w:pStyle w:val="BodyText"/>
      </w:pPr>
      <w:r>
        <w:t xml:space="preserve">United Nations Statistics Division. (2025). Sustainable Development Goals report 2025: Goal 1. United Nations.</w:t>
      </w:r>
      <w:r>
        <w:t xml:space="preserve"> </w:t>
      </w:r>
      <w:hyperlink r:id="rId56">
        <w:r>
          <w:rPr>
            <w:rStyle w:val="Hyperlink"/>
          </w:rPr>
          <w:t xml:space="preserve">https://unstats.un.org/sdgs/report/2025/goal-01/</w:t>
        </w:r>
      </w:hyperlink>
    </w:p>
    <w:p>
      <w:pPr>
        <w:pStyle w:val="BodyText"/>
      </w:pPr>
      <w:r>
        <w:t xml:space="preserve">United Nations. (1951). Convention relating to the Status of Refugees, Article 33.</w:t>
      </w:r>
    </w:p>
    <w:p>
      <w:pPr>
        <w:pStyle w:val="BodyText"/>
      </w:pPr>
      <w:r>
        <w:t xml:space="preserve">United Nations. (1984). Convention against Torture and Other Cruel, Inhuman or Degrading Treatment or Punishment, Article 3. https://www.ohchr.org/en/instruments-mechanisms/instruments/convention-against-torture-and-other-cruel-inhuman-or-degrading</w:t>
      </w:r>
    </w:p>
    <w:p>
      <w:pPr>
        <w:pStyle w:val="BodyText"/>
      </w:pPr>
      <w:r>
        <w:t xml:space="preserve">VanderWeele, T. J., Johnson, B. R., Bialowolski, P. T., Bonhag, R., Bradshaw, M., Breedlove, T., Case, B., Chen, Y., Chen, Z. J., Counted, V., Cowden, R. G., de la Rosa, P. A., Felton, C., Fogleman, A., Gibson, C., Grigoropoulou, N., Gundersen, C., Jang, S. J., Johnson, K. A., … Yancey, G. (2025). The Global Flourishing Study: Study profile and initial results on flourishing. Nature Mental Health, 3(6), 636-653.</w:t>
      </w:r>
      <w:r>
        <w:t xml:space="preserve"> </w:t>
      </w:r>
      <w:hyperlink r:id="rId57">
        <w:r>
          <w:rPr>
            <w:rStyle w:val="Hyperlink"/>
          </w:rPr>
          <w:t xml:space="preserve">https://doi.org/10.1038/s44220-025-00423-5</w:t>
        </w:r>
      </w:hyperlink>
    </w:p>
    <w:p>
      <w:pPr>
        <w:pStyle w:val="BodyText"/>
      </w:pPr>
      <w:r>
        <w:t xml:space="preserve">Varieties of Democracy Project. (2025). Varieties of Democracy (V-Dem) Dataset v15. University of Gothenburg.</w:t>
      </w:r>
      <w:r>
        <w:t xml:space="preserve"> </w:t>
      </w:r>
      <w:hyperlink r:id="rId58">
        <w:r>
          <w:rPr>
            <w:rStyle w:val="Hyperlink"/>
          </w:rPr>
          <w:t xml:space="preserve">https://www.v-dem.net/data/the-v-dem-dataset/</w:t>
        </w:r>
      </w:hyperlink>
    </w:p>
    <w:p>
      <w:pPr>
        <w:pStyle w:val="BodyText"/>
      </w:pPr>
      <w:r>
        <w:t xml:space="preserve">Webber, G. (2009). The negotiable constitution: On the limitation of rights. Cambridge University Press.</w:t>
      </w:r>
    </w:p>
    <w:p>
      <w:pPr>
        <w:pStyle w:val="BodyText"/>
      </w:pPr>
      <w:r>
        <w:t xml:space="preserve">World Bank. (2025a, June 5). June 2025 update to global poverty lines.</w:t>
      </w:r>
      <w:r>
        <w:t xml:space="preserve"> </w:t>
      </w:r>
      <w:hyperlink r:id="rId59">
        <w:r>
          <w:rPr>
            <w:rStyle w:val="Hyperlink"/>
          </w:rPr>
          <w:t xml:space="preserve">https://www.worldbank.org/en/news/factsheet/2025/06/05/june-2025-update-to-global-poverty-lines</w:t>
        </w:r>
      </w:hyperlink>
    </w:p>
    <w:p>
      <w:pPr>
        <w:pStyle w:val="BodyText"/>
      </w:pPr>
      <w:r>
        <w:t xml:space="preserve">World Bank. (2025b). Worldwide Governance Indicators.</w:t>
      </w:r>
      <w:r>
        <w:t xml:space="preserve"> </w:t>
      </w:r>
      <w:hyperlink r:id="rId60">
        <w:r>
          <w:rPr>
            <w:rStyle w:val="Hyperlink"/>
          </w:rPr>
          <w:t xml:space="preserve">https://www.worldbank.org/en/publication/worldwide-governance-indicators</w:t>
        </w:r>
      </w:hyperlink>
    </w:p>
    <w:p>
      <w:pPr>
        <w:pStyle w:val="BodyText"/>
      </w:pPr>
      <w:r>
        <w:t xml:space="preserve">World Bank. (2026, March 26). March 2026 global poverty update from the World Bank: New data and updated poverty numbers.</w:t>
      </w:r>
      <w:r>
        <w:t xml:space="preserve"> </w:t>
      </w:r>
      <w:hyperlink r:id="rId61">
        <w:r>
          <w:rPr>
            <w:rStyle w:val="Hyperlink"/>
          </w:rPr>
          <w:t xml:space="preserve">https://blogs.worldbank.org/en/opendata/march-2026-global-poverty-update-from-the-world-bank–new-data-a</w:t>
        </w:r>
      </w:hyperlink>
    </w:p>
    <w:p>
      <w:pPr>
        <w:pStyle w:val="BodyText"/>
      </w:pPr>
      <w:r>
        <w:t xml:space="preserve">World Health Organization Commission on Social Determinants of Health. (2008). Closing the gap in a generation: Health equity through action on the social determinants of health. World Health Organization.</w:t>
      </w:r>
    </w:p>
    <w:p>
      <w:pPr>
        <w:pStyle w:val="BodyText"/>
      </w:pPr>
      <w:r>
        <w:t xml:space="preserve">World Meteorological Organization. (2026). State of the Global Climate 2025.</w:t>
      </w:r>
      <w:r>
        <w:t xml:space="preserve"> </w:t>
      </w:r>
      <w:hyperlink r:id="rId62">
        <w:r>
          <w:rPr>
            <w:rStyle w:val="Hyperlink"/>
          </w:rPr>
          <w:t xml:space="preserve">https://wmo.int/publication-series/state-of-global-climate/state-of-global-climate-2025</w:t>
        </w:r>
      </w:hyperlink>
    </w:p>
    <w:p>
      <w:pPr>
        <w:pStyle w:val="BodyText"/>
      </w:pPr>
      <w:r>
        <w:t xml:space="preserve">World Wide Web Consortium. (2025, August 18).</w:t>
      </w:r>
      <w:r>
        <w:t xml:space="preserve"> </w:t>
      </w:r>
      <w:r>
        <w:rPr>
          <w:i/>
          <w:iCs/>
        </w:rPr>
        <w:t xml:space="preserve">W3C Process Document</w:t>
      </w:r>
      <w:r>
        <w:t xml:space="preserve">. https://www.w3.org/policies/process/20250818/</w:t>
      </w:r>
    </w:p>
    <w:bookmarkEnd w:id="63"/>
    <w:sectPr>
      <w:footerReference r:id="rId12" w:type="default"/>
      <w:headerReference r:id="rId9" w:type="default"/>
      <w:headerReference r:id="rId10" w:type="first"/>
      <w:footerReference r:id="rId13" w:type="first"/>
      <w:headerReference r:id="rId11" w:type="even"/>
      <w:footerReference r:id="rId14" w:type="even"/>
      <w:pgSz w:h="15840" w:w="12240"/>
      <w:pgMar w:bottom="979" w:footer="403" w:header="403" w:left="1123" w:right="1123" w:top="103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before="0"/>
      <w:jc w:val="right"/>
    </w:pPr>
    <w:r>
      <w:rPr>
        <w:rFonts w:ascii="Arimo" w:hAnsi="Arimo" w:eastAsia="Arimo"/>
        <w:color w:val="5B6573"/>
        <w:sz w:val="16"/>
      </w:rPr>
      <w:t xml:space="preserve">Page </w:t>
    </w:r>
    <w:fldSimple w:instr="PAGE">
      <w:r>
        <w:rPr>
          <w:sz w:val="16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576" w:val="right"/>
      </w:tabs>
      <w:spacing w:after="0"/>
      <w:jc w:val="left"/>
      <w:pBdr>
        <w:bottom w:val="single" w:sz="4" w:space="2" w:color="B4C6E7"/>
      </w:pBdr>
    </w:pPr>
    <w:r>
      <w:rPr>
        <w:rFonts w:ascii="Arimo" w:hAnsi="Arimo" w:eastAsia="Arimo"/>
        <w:b/>
        <w:color w:val="5B6573"/>
        <w:sz w:val="15"/>
      </w:rPr>
      <w:t>MASTER REFERENCE CATALOG</w:t>
    </w:r>
    <w:r>
      <w:rPr>
        <w:rFonts w:ascii="Arimo" w:hAnsi="Arimo" w:eastAsia="Arimo"/>
        <w:color w:val="5B6573"/>
        <w:sz w:val="15"/>
      </w:rPr>
      <w:tab/>
      <w:t>AF v6.2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10" w:line="269" w:lineRule="auto"/>
    </w:pPr>
    <w:rPr>
      <w:rFonts w:ascii="Arimo" w:cs="Aptos" w:eastAsia="Arimo" w:hAnsi="Arimo"/>
      <w:b w:val="0"/>
      <w:color w:val="1F2937"/>
      <w:sz w:val="20"/>
    </w:rPr>
  </w:style>
  <w:style w:styleId="BodyText" w:type="paragraph">
    <w:name w:val="Body Text"/>
    <w:basedOn w:val="Normal"/>
    <w:link w:val="BodyTextChar"/>
    <w:qFormat/>
    <w:pPr>
      <w:widowControl/>
      <w:spacing w:after="110" w:before="180" w:line="269" w:lineRule="auto"/>
    </w:pPr>
    <w:rPr>
      <w:rFonts w:ascii="Arimo" w:cs="Aptos" w:eastAsia="Arimo" w:hAnsi="Arimo"/>
      <w:b w:val="0"/>
      <w:color w:val="1F2937"/>
      <w:sz w:val="20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10" w:line="269" w:lineRule="auto"/>
    </w:pPr>
    <w:rPr>
      <w:rFonts w:ascii="Arimo" w:cs="Aptos" w:eastAsia="Arimo" w:hAnsi="Arimo"/>
      <w:b w:val="0"/>
      <w:color w:val="1F2937"/>
      <w:sz w:val="20"/>
    </w:rPr>
  </w:style>
  <w:style w:customStyle="1" w:styleId="Compact" w:type="paragraph">
    <w:name w:val="Compact"/>
    <w:basedOn w:val="BodyText"/>
    <w:qFormat/>
    <w:pPr>
      <w:widowControl/>
      <w:spacing w:after="110" w:before="36" w:line="269" w:lineRule="auto"/>
      <w:ind w:hanging="230" w:left="230"/>
    </w:pPr>
    <w:rPr>
      <w:rFonts w:ascii="Arimo" w:cs="Aptos" w:eastAsia="Arimo" w:hAnsi="Arimo"/>
      <w:b w:val="0"/>
      <w:color w:val="1F2937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1600"/>
      <w:jc w:val="center"/>
    </w:pPr>
    <w:rPr>
      <w:rFonts w:ascii="Arimo" w:asciiTheme="majorHAnsi" w:cstheme="majorBidi" w:eastAsia="Arimo" w:eastAsiaTheme="majorEastAsia" w:hAnsi="Arimo" w:hAnsiTheme="majorHAnsi"/>
      <w:b/>
      <w:bCs/>
      <w:color w:val="17365D"/>
      <w:sz w:val="5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60" w:before="0"/>
      <w:jc w:val="center"/>
    </w:pPr>
    <w:rPr>
      <w:rFonts w:ascii="Arimo" w:eastAsia="Arimo" w:hAnsi="Arimo"/>
      <w:b w:val="0"/>
      <w:color w:val="2F75B5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160" w:before="40"/>
      <w:jc w:val="center"/>
    </w:pPr>
    <w:rPr>
      <w:rFonts w:ascii="Arimo" w:eastAsia="Arimo" w:hAnsi="Arimo"/>
      <w:b w:val="0"/>
      <w:color w:val="5B6573"/>
      <w:sz w:val="21"/>
    </w:rPr>
  </w:style>
  <w:style w:styleId="Date" w:type="paragraph">
    <w:name w:val="Date"/>
    <w:next w:val="BodyText"/>
    <w:qFormat/>
    <w:pPr>
      <w:keepNext/>
      <w:keepLines/>
      <w:spacing w:after="80" w:before="20"/>
      <w:jc w:val="center"/>
    </w:pPr>
    <w:rPr>
      <w:rFonts w:ascii="Aptos" w:hAnsi="Aptos"/>
      <w:b w:val="0"/>
      <w:color w:val="666666"/>
      <w:sz w:val="18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100" w:line="259" w:lineRule="auto"/>
      <w:ind w:hanging="360" w:left="360"/>
    </w:pPr>
    <w:rPr>
      <w:rFonts w:ascii="Aptos" w:eastAsia="Aptos" w:hAnsi="Aptos"/>
      <w:sz w:val="18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20"/>
      <w:outlineLvl w:val="0"/>
    </w:pPr>
    <w:rPr>
      <w:rFonts w:ascii="Aptos Display" w:asciiTheme="majorHAnsi" w:cs="Aptos Display" w:cstheme="majorBidi" w:eastAsia="Aptos Display" w:eastAsiaTheme="majorEastAsia" w:hAnsi="Aptos Display" w:hAnsiTheme="majorHAnsi"/>
      <w:b/>
      <w:bCs/>
      <w:color w:val="17365D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80"/>
      <w:outlineLvl w:val="1"/>
    </w:pPr>
    <w:rPr>
      <w:rFonts w:ascii="Aptos Display" w:asciiTheme="majorHAnsi" w:cs="Aptos Display" w:cstheme="majorBidi" w:eastAsia="Aptos Display" w:eastAsiaTheme="majorEastAsia" w:hAnsi="Aptos Display" w:hAnsiTheme="majorHAnsi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40" w:before="140"/>
      <w:outlineLvl w:val="2"/>
    </w:pPr>
    <w:rPr>
      <w:rFonts w:ascii="Aptos" w:asciiTheme="majorHAnsi" w:cs="Aptos Display" w:cstheme="majorBidi" w:eastAsia="Aptos Display" w:eastAsiaTheme="majorEastAsia" w:hAnsi="Aptos" w:hAnsiTheme="majorHAnsi"/>
      <w:b/>
      <w:bCs/>
      <w:color w:val="17365D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20" w:before="100"/>
      <w:outlineLvl w:val="3"/>
    </w:pPr>
    <w:rPr>
      <w:rFonts w:ascii="Aptos" w:asciiTheme="majorHAnsi" w:cstheme="majorBidi" w:eastAsiaTheme="majorEastAsia" w:hAnsi="Aptos" w:hAnsiTheme="majorHAnsi"/>
      <w:b/>
      <w:bCs/>
      <w:i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Next/>
      <w:spacing w:after="120" w:before="120" w:line="240" w:lineRule="auto"/>
      <w:jc w:val="center"/>
    </w:pPr>
    <w:rPr>
      <w:rFonts w:ascii="Aptos" w:cs="Aptos" w:eastAsia="Aptos" w:hAnsi="Aptos"/>
      <w:b/>
      <w:i/>
      <w:color w:val="666666"/>
      <w:sz w:val="17"/>
    </w:rPr>
  </w:style>
  <w:style w:customStyle="1" w:styleId="TableCaption" w:type="paragraph">
    <w:name w:val="Table Caption"/>
    <w:basedOn w:val="Caption"/>
    <w:pPr>
      <w:keepNext/>
      <w:keepLines/>
      <w:spacing w:after="60" w:before="140"/>
    </w:pPr>
    <w:rPr>
      <w:rFonts w:ascii="Arimo" w:eastAsia="Arimo" w:hAnsi="Arimo"/>
      <w:b/>
      <w:color w:val="17365D"/>
      <w:sz w:val="18"/>
    </w:rPr>
  </w:style>
  <w:style w:customStyle="1" w:styleId="ImageCaption" w:type="paragraph">
    <w:name w:val="Image Caption"/>
    <w:basedOn w:val="Caption"/>
    <w:pPr>
      <w:keepLines/>
      <w:spacing w:after="160" w:before="40"/>
      <w:jc w:val="center"/>
    </w:pPr>
    <w:rPr>
      <w:rFonts w:ascii="Arimo" w:eastAsia="Arimo" w:hAnsi="Arimo"/>
      <w:i/>
      <w:color w:val="5B6573"/>
      <w:sz w:val="17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/>
      <w:spacing w:after="160" w:before="120" w:line="259" w:lineRule="auto"/>
      <w:outlineLvl w:val="9"/>
    </w:pPr>
    <w:rPr>
      <w:rFonts w:ascii="Arimo" w:asciiTheme="majorHAnsi" w:cstheme="majorBidi" w:eastAsia="Arimo" w:eastAsiaTheme="majorEastAsia" w:hAnsi="Arimo" w:hAnsiTheme="majorHAnsi"/>
      <w:b/>
      <w:bCs w:val="0"/>
      <w:color w:val="17365D"/>
      <w:sz w:val="34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Liberation Mono" w:eastAsia="Liberation Mono" w:hAnsi="Liberation Mono"/>
      <w:color w:val="1F2937"/>
      <w:sz w:val="17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Heading1" w:type="paragraph">
    <w:name w:val="heading 1"/>
    <w:pPr>
      <w:keepNext/>
      <w:keepLines/>
      <w:widowControl/>
      <w:spacing w:after="100" w:before="240"/>
      <w:outlineLvl w:val="0"/>
    </w:pPr>
    <w:rPr>
      <w:rFonts w:ascii="Arimo" w:eastAsia="Arimo" w:hAnsi="Arimo"/>
      <w:b/>
      <w:color w:val="17365D"/>
      <w:sz w:val="32"/>
    </w:rPr>
  </w:style>
  <w:style w:customStyle="1" w:styleId="Heading2" w:type="paragraph">
    <w:name w:val="heading 2"/>
    <w:pPr>
      <w:keepNext/>
      <w:keepLines/>
      <w:widowControl/>
      <w:spacing w:after="100" w:before="180"/>
      <w:outlineLvl w:val="1"/>
    </w:pPr>
    <w:rPr>
      <w:rFonts w:ascii="Arimo" w:eastAsia="Arimo" w:hAnsi="Arimo"/>
      <w:b/>
      <w:color w:val="17365D"/>
      <w:sz w:val="25"/>
    </w:rPr>
  </w:style>
  <w:style w:customStyle="1" w:styleId="Heading3" w:type="paragraph">
    <w:name w:val="heading 3"/>
    <w:pPr>
      <w:keepNext/>
      <w:keepLines/>
      <w:widowControl/>
      <w:spacing w:after="100" w:before="180"/>
      <w:outlineLvl w:val="2"/>
    </w:pPr>
    <w:rPr>
      <w:rFonts w:ascii="Arimo" w:eastAsia="Arimo" w:hAnsi="Arimo"/>
      <w:b/>
      <w:color w:val="2F75B5"/>
      <w:sz w:val="22"/>
    </w:rPr>
  </w:style>
  <w:style w:customStyle="1" w:styleId="Heading4" w:type="paragraph">
    <w:name w:val="heading 4"/>
    <w:pPr>
      <w:keepNext/>
      <w:keepLines/>
      <w:widowControl/>
      <w:spacing w:after="100" w:before="180"/>
      <w:outlineLvl w:val="3"/>
    </w:pPr>
    <w:rPr>
      <w:rFonts w:ascii="Arimo" w:eastAsia="Arimo" w:hAnsi="Arimo"/>
      <w:b/>
      <w:color w:val="2F75B5"/>
      <w:sz w:val="21"/>
    </w:rPr>
  </w:style>
  <w:style w:customStyle="1" w:styleId="AFTOC1" w:type="paragraph">
    <w:name w:val="AF TOC 1"/>
    <w:pPr>
      <w:keepLines/>
      <w:tabs>
        <w:tab w:leader="dot" w:pos="9000" w:val="right"/>
      </w:tabs>
      <w:spacing w:after="40" w:line="240" w:lineRule="auto"/>
      <w:ind w:firstLine="0" w:left="0"/>
    </w:pPr>
    <w:rPr>
      <w:rFonts w:ascii="Aptos" w:eastAsia="Arimo" w:hAnsi="Aptos"/>
      <w:b/>
      <w:color w:val="1F2937"/>
      <w:sz w:val="21"/>
    </w:rPr>
  </w:style>
  <w:style w:customStyle="1" w:styleId="AFTOC2" w:type="paragraph">
    <w:name w:val="AF TOC 2"/>
    <w:pPr>
      <w:keepLines/>
      <w:tabs>
        <w:tab w:leader="dot" w:pos="9000" w:val="right"/>
      </w:tabs>
      <w:spacing w:after="40" w:line="240" w:lineRule="auto"/>
      <w:ind w:firstLine="0" w:left="360"/>
    </w:pPr>
    <w:rPr>
      <w:rFonts w:ascii="Aptos" w:eastAsia="Arimo" w:hAnsi="Aptos"/>
      <w:b w:val="0"/>
      <w:color w:val="1F2937"/>
      <w:sz w:val="19"/>
    </w:rPr>
  </w:style>
  <w:style w:customStyle="1" w:styleId="AFListEntry" w:type="paragraph">
    <w:name w:val="AF List Entry"/>
    <w:pPr>
      <w:tabs>
        <w:tab w:leader="dot" w:pos="9000" w:val="right"/>
      </w:tabs>
      <w:spacing w:after="28" w:line="240" w:lineRule="auto"/>
      <w:ind w:left="144"/>
    </w:pPr>
    <w:rPr>
      <w:rFonts w:ascii="Arimo" w:eastAsia="Arimo" w:hAnsi="Arimo"/>
      <w:color w:val="1F2937"/>
      <w:sz w:val="17"/>
    </w:rPr>
  </w:style>
  <w:style w:type="paragraph" w:customStyle="1" w:styleId="AFTOC3">
    <w:name w:val="AF TOC 3"/>
    <w:basedOn w:val="Normal"/>
    <w:pPr>
      <w:keepLines/>
      <w:spacing w:after="40"/>
      <w:ind w:left="720"/>
    </w:pPr>
    <w:rPr>
      <w:rFonts w:ascii="Aptos" w:hAnsi="Aptos"/>
      <w:sz w:val="19"/>
    </w:rPr>
  </w:style>
  <w:style w:type="paragraph" w:customStyle="1" w:styleId="ListHeading">
    <w:name w:val="List Heading"/>
    <w:basedOn w:val="Heading1"/>
    <w:rPr>
      <w:color w:val="17365D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35" Type="http://schemas.openxmlformats.org/officeDocument/2006/relationships/hyperlink" Target="https://arxiv.org/abs/1803.04585" TargetMode="External"/><Relationship Id="rId61" Type="http://schemas.openxmlformats.org/officeDocument/2006/relationships/hyperlink" Target="https://blogs.worldbank.org/en/opendata/march-2026-global-poverty-update-from-the-world-bank--new-data-a" TargetMode="External"/><Relationship Id="rId38" Type="http://schemas.openxmlformats.org/officeDocument/2006/relationships/hyperlink" Target="https://doi.org/10.1007/s43681-023-00289-2" TargetMode="External"/><Relationship Id="rId25" Type="http://schemas.openxmlformats.org/officeDocument/2006/relationships/hyperlink" Target="https://doi.org/10.1016/0149-7189(79)90048-X" TargetMode="External"/><Relationship Id="rId43" Type="http://schemas.openxmlformats.org/officeDocument/2006/relationships/hyperlink" Target="https://doi.org/10.1016/j.ecolind.2011.07.001" TargetMode="External"/><Relationship Id="rId34" Type="http://schemas.openxmlformats.org/officeDocument/2006/relationships/hyperlink" Target="https://doi.org/10.1016/j.jesp.2018.08.009" TargetMode="External"/><Relationship Id="rId26" Type="http://schemas.openxmlformats.org/officeDocument/2006/relationships/hyperlink" Target="https://doi.org/10.1017/S1049096511001429" TargetMode="External"/><Relationship Id="rId36" Type="http://schemas.openxmlformats.org/officeDocument/2006/relationships/hyperlink" Target="https://doi.org/10.1037/0003-066X.50.9.741" TargetMode="External"/><Relationship Id="rId48" Type="http://schemas.openxmlformats.org/officeDocument/2006/relationships/hyperlink" Target="https://doi.org/10.1038/461472a" TargetMode="External"/><Relationship Id="rId47" Type="http://schemas.openxmlformats.org/officeDocument/2006/relationships/hyperlink" Target="https://doi.org/10.1038/s41586-023-06083-8" TargetMode="External"/><Relationship Id="rId57" Type="http://schemas.openxmlformats.org/officeDocument/2006/relationships/hyperlink" Target="https://doi.org/10.1038/s44220-025-00423-5" TargetMode="External"/><Relationship Id="rId53" Type="http://schemas.openxmlformats.org/officeDocument/2006/relationships/hyperlink" Target="https://doi.org/10.1093/icon/mop011" TargetMode="External"/><Relationship Id="rId45" Type="http://schemas.openxmlformats.org/officeDocument/2006/relationships/hyperlink" Target="https://doi.org/10.1126/sciadv.adh2458" TargetMode="External"/><Relationship Id="rId52" Type="http://schemas.openxmlformats.org/officeDocument/2006/relationships/hyperlink" Target="https://doi.org/10.1126/science.1259855" TargetMode="External"/><Relationship Id="rId37" Type="http://schemas.openxmlformats.org/officeDocument/2006/relationships/hyperlink" Target="https://doi.org/10.1145/3287560.3287596" TargetMode="External"/><Relationship Id="rId51" Type="http://schemas.openxmlformats.org/officeDocument/2006/relationships/hyperlink" Target="https://doi.org/10.1145/3287560.3287598" TargetMode="External"/><Relationship Id="rId22" Type="http://schemas.openxmlformats.org/officeDocument/2006/relationships/hyperlink" Target="https://doi.org/10.1145/3322640.3326699" TargetMode="External"/><Relationship Id="rId44" Type="http://schemas.openxmlformats.org/officeDocument/2006/relationships/hyperlink" Target="https://doi.org/10.1145/3351095.3372873" TargetMode="External"/><Relationship Id="rId30" Type="http://schemas.openxmlformats.org/officeDocument/2006/relationships/hyperlink" Target="https://doi.org/10.1145/3458723" TargetMode="External"/><Relationship Id="rId46" Type="http://schemas.openxmlformats.org/officeDocument/2006/relationships/hyperlink" Target="https://doi.org/10.11647/OBP.0130" TargetMode="External"/><Relationship Id="rId23" Type="http://schemas.openxmlformats.org/officeDocument/2006/relationships/hyperlink" Target="https://doi.org/10.15779/Z38BG31" TargetMode="External"/><Relationship Id="rId33" Type="http://schemas.openxmlformats.org/officeDocument/2006/relationships/hyperlink" Target="https://doi.org/10.1596/1813-9450-5430" TargetMode="External"/><Relationship Id="rId50" Type="http://schemas.openxmlformats.org/officeDocument/2006/relationships/hyperlink" Target="https://doi.org/10.48485/pik.2025.017" TargetMode="External"/><Relationship Id="rId39" Type="http://schemas.openxmlformats.org/officeDocument/2006/relationships/hyperlink" Target="https://doi.org/10.6028/NIST.AI.100-1" TargetMode="External"/><Relationship Id="rId40" Type="http://schemas.openxmlformats.org/officeDocument/2006/relationships/hyperlink" Target="https://doi.org/10.6028/NIST.AI.600-1" TargetMode="External"/><Relationship Id="rId24" Type="http://schemas.openxmlformats.org/officeDocument/2006/relationships/hyperlink" Target="https://epi.yale.edu" TargetMode="External"/><Relationship Id="rId28" Type="http://schemas.openxmlformats.org/officeDocument/2006/relationships/hyperlink" Target="https://eur-lex.europa.eu/eli/reg/2024/1689/oj" TargetMode="External"/><Relationship Id="rId29" Type="http://schemas.openxmlformats.org/officeDocument/2006/relationships/hyperlink" Target="https://fra.europa.eu/en/publication/2025/assessing-high-risk-ai" TargetMode="External"/><Relationship Id="rId55" Type="http://schemas.openxmlformats.org/officeDocument/2006/relationships/hyperlink" Target="https://hdr.undp.org/content/2025-global-multidimensional-poverty-index-mpi" TargetMode="External"/><Relationship Id="rId42" Type="http://schemas.openxmlformats.org/officeDocument/2006/relationships/hyperlink" Target="https://legalinstruments.oecd.org/en/instruments/OECD-LEGAL-0449" TargetMode="External"/><Relationship Id="rId41" Type="http://schemas.openxmlformats.org/officeDocument/2006/relationships/hyperlink" Target="https://opensource.org/ai/open-source-ai-definition" TargetMode="External"/><Relationship Id="rId31" Type="http://schemas.openxmlformats.org/officeDocument/2006/relationships/hyperlink" Target="https://rightstracker.org/" TargetMode="External"/><Relationship Id="rId54" Type="http://schemas.openxmlformats.org/officeDocument/2006/relationships/hyperlink" Target="https://unesdoc.unesco.org/ark:/48223/pf0000381137" TargetMode="External"/><Relationship Id="rId56" Type="http://schemas.openxmlformats.org/officeDocument/2006/relationships/hyperlink" Target="https://unstats.un.org/sdgs/report/2025/goal-01/" TargetMode="External"/><Relationship Id="rId62" Type="http://schemas.openxmlformats.org/officeDocument/2006/relationships/hyperlink" Target="https://wmo.int/publication-series/state-of-global-climate/state-of-global-climate-2025" TargetMode="External"/><Relationship Id="rId27" Type="http://schemas.openxmlformats.org/officeDocument/2006/relationships/hyperlink" Target="https://www.coe.int/en/web/artificial-intelligence/the-framework-convention-on-artificial-intelligence" TargetMode="External"/><Relationship Id="rId21" Type="http://schemas.openxmlformats.org/officeDocument/2006/relationships/hyperlink" Target="https://www.opengovpartnership.org/wp-content/uploads/2021/08/algorithmic-accountability-public-sector.pdf" TargetMode="External"/><Relationship Id="rId49" Type="http://schemas.openxmlformats.org/officeDocument/2006/relationships/hyperlink" Target="https://www.prio.org/publications/14802" TargetMode="External"/><Relationship Id="rId58" Type="http://schemas.openxmlformats.org/officeDocument/2006/relationships/hyperlink" Target="https://www.v-dem.net/data/the-v-dem-dataset/" TargetMode="External"/><Relationship Id="rId32" Type="http://schemas.openxmlformats.org/officeDocument/2006/relationships/hyperlink" Target="https://www.visionofhumanity.org/resources/" TargetMode="External"/><Relationship Id="rId59" Type="http://schemas.openxmlformats.org/officeDocument/2006/relationships/hyperlink" Target="https://www.worldbank.org/en/news/factsheet/2025/06/05/june-2025-update-to-global-poverty-lines" TargetMode="External"/><Relationship Id="rId60" Type="http://schemas.openxmlformats.org/officeDocument/2006/relationships/hyperlink" Target="https://www.worldbank.org/en/publication/worldwide-governance-indicator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arxiv.org/abs/1803.04585" TargetMode="External"/><Relationship Id="rId61" Type="http://schemas.openxmlformats.org/officeDocument/2006/relationships/hyperlink" Target="https://blogs.worldbank.org/en/opendata/march-2026-global-poverty-update-from-the-world-bank--new-data-a" TargetMode="External"/><Relationship Id="rId38" Type="http://schemas.openxmlformats.org/officeDocument/2006/relationships/hyperlink" Target="https://doi.org/10.1007/s43681-023-00289-2" TargetMode="External"/><Relationship Id="rId25" Type="http://schemas.openxmlformats.org/officeDocument/2006/relationships/hyperlink" Target="https://doi.org/10.1016/0149-7189(79)90048-X" TargetMode="External"/><Relationship Id="rId43" Type="http://schemas.openxmlformats.org/officeDocument/2006/relationships/hyperlink" Target="https://doi.org/10.1016/j.ecolind.2011.07.001" TargetMode="External"/><Relationship Id="rId34" Type="http://schemas.openxmlformats.org/officeDocument/2006/relationships/hyperlink" Target="https://doi.org/10.1016/j.jesp.2018.08.009" TargetMode="External"/><Relationship Id="rId26" Type="http://schemas.openxmlformats.org/officeDocument/2006/relationships/hyperlink" Target="https://doi.org/10.1017/S1049096511001429" TargetMode="External"/><Relationship Id="rId36" Type="http://schemas.openxmlformats.org/officeDocument/2006/relationships/hyperlink" Target="https://doi.org/10.1037/0003-066X.50.9.741" TargetMode="External"/><Relationship Id="rId48" Type="http://schemas.openxmlformats.org/officeDocument/2006/relationships/hyperlink" Target="https://doi.org/10.1038/461472a" TargetMode="External"/><Relationship Id="rId47" Type="http://schemas.openxmlformats.org/officeDocument/2006/relationships/hyperlink" Target="https://doi.org/10.1038/s41586-023-06083-8" TargetMode="External"/><Relationship Id="rId57" Type="http://schemas.openxmlformats.org/officeDocument/2006/relationships/hyperlink" Target="https://doi.org/10.1038/s44220-025-00423-5" TargetMode="External"/><Relationship Id="rId53" Type="http://schemas.openxmlformats.org/officeDocument/2006/relationships/hyperlink" Target="https://doi.org/10.1093/icon/mop011" TargetMode="External"/><Relationship Id="rId45" Type="http://schemas.openxmlformats.org/officeDocument/2006/relationships/hyperlink" Target="https://doi.org/10.1126/sciadv.adh2458" TargetMode="External"/><Relationship Id="rId52" Type="http://schemas.openxmlformats.org/officeDocument/2006/relationships/hyperlink" Target="https://doi.org/10.1126/science.1259855" TargetMode="External"/><Relationship Id="rId37" Type="http://schemas.openxmlformats.org/officeDocument/2006/relationships/hyperlink" Target="https://doi.org/10.1145/3287560.3287596" TargetMode="External"/><Relationship Id="rId51" Type="http://schemas.openxmlformats.org/officeDocument/2006/relationships/hyperlink" Target="https://doi.org/10.1145/3287560.3287598" TargetMode="External"/><Relationship Id="rId22" Type="http://schemas.openxmlformats.org/officeDocument/2006/relationships/hyperlink" Target="https://doi.org/10.1145/3322640.3326699" TargetMode="External"/><Relationship Id="rId44" Type="http://schemas.openxmlformats.org/officeDocument/2006/relationships/hyperlink" Target="https://doi.org/10.1145/3351095.3372873" TargetMode="External"/><Relationship Id="rId30" Type="http://schemas.openxmlformats.org/officeDocument/2006/relationships/hyperlink" Target="https://doi.org/10.1145/3458723" TargetMode="External"/><Relationship Id="rId46" Type="http://schemas.openxmlformats.org/officeDocument/2006/relationships/hyperlink" Target="https://doi.org/10.11647/OBP.0130" TargetMode="External"/><Relationship Id="rId23" Type="http://schemas.openxmlformats.org/officeDocument/2006/relationships/hyperlink" Target="https://doi.org/10.15779/Z38BG31" TargetMode="External"/><Relationship Id="rId33" Type="http://schemas.openxmlformats.org/officeDocument/2006/relationships/hyperlink" Target="https://doi.org/10.1596/1813-9450-5430" TargetMode="External"/><Relationship Id="rId50" Type="http://schemas.openxmlformats.org/officeDocument/2006/relationships/hyperlink" Target="https://doi.org/10.48485/pik.2025.017" TargetMode="External"/><Relationship Id="rId39" Type="http://schemas.openxmlformats.org/officeDocument/2006/relationships/hyperlink" Target="https://doi.org/10.6028/NIST.AI.100-1" TargetMode="External"/><Relationship Id="rId40" Type="http://schemas.openxmlformats.org/officeDocument/2006/relationships/hyperlink" Target="https://doi.org/10.6028/NIST.AI.600-1" TargetMode="External"/><Relationship Id="rId24" Type="http://schemas.openxmlformats.org/officeDocument/2006/relationships/hyperlink" Target="https://epi.yale.edu" TargetMode="External"/><Relationship Id="rId28" Type="http://schemas.openxmlformats.org/officeDocument/2006/relationships/hyperlink" Target="https://eur-lex.europa.eu/eli/reg/2024/1689/oj" TargetMode="External"/><Relationship Id="rId29" Type="http://schemas.openxmlformats.org/officeDocument/2006/relationships/hyperlink" Target="https://fra.europa.eu/en/publication/2025/assessing-high-risk-ai" TargetMode="External"/><Relationship Id="rId55" Type="http://schemas.openxmlformats.org/officeDocument/2006/relationships/hyperlink" Target="https://hdr.undp.org/content/2025-global-multidimensional-poverty-index-mpi" TargetMode="External"/><Relationship Id="rId42" Type="http://schemas.openxmlformats.org/officeDocument/2006/relationships/hyperlink" Target="https://legalinstruments.oecd.org/en/instruments/OECD-LEGAL-0449" TargetMode="External"/><Relationship Id="rId41" Type="http://schemas.openxmlformats.org/officeDocument/2006/relationships/hyperlink" Target="https://opensource.org/ai/open-source-ai-definition" TargetMode="External"/><Relationship Id="rId31" Type="http://schemas.openxmlformats.org/officeDocument/2006/relationships/hyperlink" Target="https://rightstracker.org/" TargetMode="External"/><Relationship Id="rId54" Type="http://schemas.openxmlformats.org/officeDocument/2006/relationships/hyperlink" Target="https://unesdoc.unesco.org/ark:/48223/pf0000381137" TargetMode="External"/><Relationship Id="rId56" Type="http://schemas.openxmlformats.org/officeDocument/2006/relationships/hyperlink" Target="https://unstats.un.org/sdgs/report/2025/goal-01/" TargetMode="External"/><Relationship Id="rId62" Type="http://schemas.openxmlformats.org/officeDocument/2006/relationships/hyperlink" Target="https://wmo.int/publication-series/state-of-global-climate/state-of-global-climate-2025" TargetMode="External"/><Relationship Id="rId27" Type="http://schemas.openxmlformats.org/officeDocument/2006/relationships/hyperlink" Target="https://www.coe.int/en/web/artificial-intelligence/the-framework-convention-on-artificial-intelligence" TargetMode="External"/><Relationship Id="rId21" Type="http://schemas.openxmlformats.org/officeDocument/2006/relationships/hyperlink" Target="https://www.opengovpartnership.org/wp-content/uploads/2021/08/algorithmic-accountability-public-sector.pdf" TargetMode="External"/><Relationship Id="rId49" Type="http://schemas.openxmlformats.org/officeDocument/2006/relationships/hyperlink" Target="https://www.prio.org/publications/14802" TargetMode="External"/><Relationship Id="rId58" Type="http://schemas.openxmlformats.org/officeDocument/2006/relationships/hyperlink" Target="https://www.v-dem.net/data/the-v-dem-dataset/" TargetMode="External"/><Relationship Id="rId32" Type="http://schemas.openxmlformats.org/officeDocument/2006/relationships/hyperlink" Target="https://www.visionofhumanity.org/resources/" TargetMode="External"/><Relationship Id="rId59" Type="http://schemas.openxmlformats.org/officeDocument/2006/relationships/hyperlink" Target="https://www.worldbank.org/en/news/factsheet/2025/06/05/june-2025-update-to-global-poverty-lines" TargetMode="External"/><Relationship Id="rId60" Type="http://schemas.openxmlformats.org/officeDocument/2006/relationships/hyperlink" Target="https://www.worldbank.org/en/publication/worldwide-governance-indica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Auditable Flourishing v6.2 Master Reference Catalog</dc:title>
  <dc:creator/>
  <cp:keywords>Auditable Flourishing; assurance; rights; non-compensation; partial order; validation</cp:keywords>
  <dcterms:created xsi:type="dcterms:W3CDTF">2026-08-12T09:13:48Z</dcterms:created>
  <dcterms:modified xsi:type="dcterms:W3CDTF">2026-08-14T08:11:07Z</dcterms:modified>
  <dc:subject>Auditable Flourishing v6.1 master and companion specification</dc:subject>
  <cp:version>6.2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