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3dc0f16b298ae2b20e17bf688e9d094e73aeb5f"/>
    <w:p>
      <w:bookmarkStart w:id="1" w:name="af_auditable_flourishing_v6_1_stage_a_"/>
      <w:pPr>
        <w:pStyle w:val="Heading1"/>
        <w:keepNext/>
        <w:keepLines/>
      </w:pPr>
      <w:r>
        <w:t>Auditable Flourishing v6.2 Stage A Operational Anchors</w:t>
      </w:r>
      <w:bookmarkEnd w:id="1"/>
    </w:p>
    <w:bookmarkStart w:id="20" w:name="status-and-role"/>
    <w:p>
      <w:bookmarkStart w:id="2" w:name="af_status_and_role"/>
      <w:pPr>
        <w:pStyle w:val="Heading2"/>
        <w:keepNext/>
        <w:keepLines/>
      </w:pPr>
      <w:r>
        <w:t xml:space="preserve">Status and role</w:t>
      </w:r>
      <w:bookmarkEnd w:id="2"/>
    </w:p>
    <w:p>
      <w:pPr>
        <w:pStyle w:val="FirstParagraph"/>
      </w:pPr>
      <w:r>
        <w:t xml:space="preserve">This is the binding operational-anchor companion for Stage A. It states minimum records, criterion states, adequacy anchors, material-defect anchors, boundary cases, disconfirming evidence, floor-linked category re-entry, canonical tokens, and fail-closed implementation rules. It does not replace competent judgment, applicable law, affected-party input, or independent administration.</w:t>
      </w:r>
    </w:p>
    <w:bookmarkEnd w:id="20"/>
    <w:bookmarkStart w:id="25" w:name="common-decision-architecture"/>
    <w:p>
      <w:bookmarkStart w:id="3" w:name="af_1_common_decision_architecture"/>
      <w:pPr>
        <w:pStyle w:val="Heading2"/>
        <w:keepNext/>
        <w:keepLines/>
      </w:pPr>
      <w:r>
        <w:t xml:space="preserve">1. Common decision architecture</w:t>
      </w:r>
      <w:bookmarkEnd w:id="3"/>
    </w:p>
    <w:bookmarkStart w:id="21" w:name="criterion-states"/>
    <w:p>
      <w:bookmarkStart w:id="4" w:name="af_1_1_criterion_states"/>
      <w:pPr>
        <w:pStyle w:val="Heading3"/>
        <w:keepNext/>
        <w:keepLines/>
      </w:pPr>
      <w:r>
        <w:t xml:space="preserve">1.1 Criterion states</w:t>
      </w:r>
      <w:bookmarkEnd w:id="4"/>
    </w:p>
    <w:p>
      <w:pPr>
        <w:pStyle w:val="FirstParagraph"/>
      </w:pPr>
      <w:r>
        <w:t xml:space="preserve">Each criterion receives exactly one controlled state; free text belongs in rationale, never the state field: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adequate_for_scope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adequate_control_dependent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indeterminate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material_defect_patchable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material_defect_unpatchable_for_stated_claim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not_reviewed</w:t>
      </w:r>
      <w:r>
        <w:t xml:space="preserve">.</w:t>
      </w:r>
    </w:p>
    <w:p>
      <w:pPr>
        <w:pStyle w:val="FirstParagraph"/>
      </w:pPr>
      <w:r>
        <w:t xml:space="preserve">Blank fields are not criterion states. A completely blank record remains blank. A partially populated record is incomplete and cannot produce admissibility. Only six exact recognised adequate states can produce an admissible status. Any free text, legacy label, punctuation variant, trailing-space variant, or other unrecognised value routes to</w:t>
      </w:r>
      <w:r>
        <w:t xml:space="preserve"> </w:t>
      </w:r>
      <w:r>
        <w:rPr>
          <w:rStyle w:val="VerbatimChar"/>
        </w:rPr>
        <w:t xml:space="preserve">protocol_refusal_to_evaluate</w:t>
      </w:r>
      <w:r>
        <w:t xml:space="preserve">; absence of a recognised defect is never treated as positive adequacy. Invalid administration, infeasible burden, unmanaged conflict, absent required access, or missing mandatory criteria produces</w:t>
      </w:r>
      <w:r>
        <w:t xml:space="preserve"> </w:t>
      </w:r>
      <w:r>
        <w:rPr>
          <w:rStyle w:val="VerbatimChar"/>
        </w:rPr>
        <w:t xml:space="preserve">protocol_refusal_to_evaluate</w:t>
      </w:r>
      <w:r>
        <w:t xml:space="preserve">. Insufficient substantive evidence produces</w:t>
      </w:r>
      <w:r>
        <w:t xml:space="preserve"> </w:t>
      </w:r>
      <w:r>
        <w:rPr>
          <w:rStyle w:val="VerbatimChar"/>
        </w:rPr>
        <w:t xml:space="preserve">indeterminate_insufficient_evidence</w:t>
      </w:r>
      <w:r>
        <w:t xml:space="preserve">.</w:t>
      </w:r>
    </w:p>
    <w:bookmarkEnd w:id="21"/>
    <w:bookmarkStart w:id="22" w:name="materiality-test"/>
    <w:p>
      <w:bookmarkStart w:id="5" w:name="af_1_2_materiality_test"/>
      <w:pPr>
        <w:pStyle w:val="Heading3"/>
        <w:keepNext/>
        <w:keepLines/>
      </w:pPr>
      <w:r>
        <w:t xml:space="preserve">1.2 Materiality test</w:t>
      </w:r>
      <w:bookmarkEnd w:id="5"/>
    </w:p>
    <w:p>
      <w:pPr>
        <w:pStyle w:val="FirstParagraph"/>
      </w:pPr>
      <w:r>
        <w:t xml:space="preserve">A gap is material when credible correction could change Stage A eligibility, protected-floor routing, Stage B applicability or relation, refusal, authority, public claims, burden or access feasibility, or downstream rights exposure. The record states evidence, causal mechanism, decision effect, floor implication, uncertainty, and a falsifiable patch or clarification condition.</w:t>
      </w:r>
    </w:p>
    <w:bookmarkEnd w:id="22"/>
    <w:bookmarkStart w:id="23" w:name="root-cause-non-duplication"/>
    <w:p>
      <w:bookmarkStart w:id="6" w:name="af_1_3_root_cause_non_duplication"/>
      <w:pPr>
        <w:pStyle w:val="Heading3"/>
        <w:keepNext/>
        <w:keepLines/>
      </w:pPr>
      <w:r>
        <w:t xml:space="preserve">1.3 Root-cause non-duplication</w:t>
      </w:r>
      <w:bookmarkEnd w:id="6"/>
    </w:p>
    <w:p>
      <w:pPr>
        <w:pStyle w:val="FirstParagraph"/>
      </w:pPr>
      <w:r>
        <w:t xml:space="preserve">One causal defect receives one root-cause ID and one primary criterion owner. Secondary effects are cross-referenced but cannot create duplicate penalties. A second primary finding requires a distinct causal mechanism or independently decision-relevant defect.</w:t>
      </w:r>
    </w:p>
    <w:bookmarkEnd w:id="23"/>
    <w:bookmarkStart w:id="24" w:name="canonical-public-statuses"/>
    <w:p>
      <w:bookmarkStart w:id="7" w:name="af_1_4_canonical_public_statuses"/>
      <w:pPr>
        <w:pStyle w:val="Heading3"/>
        <w:keepNext/>
        <w:keepLines/>
      </w:pPr>
      <w:r>
        <w:t xml:space="preserve">1.4 Canonical public statuses</w:t>
      </w:r>
      <w:bookmarkEnd w:id="7"/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8" w:color="17365D"/>
          <w:left w:val="single" w:sz="8" w:color="17365D"/>
          <w:bottom w:val="single" w:sz="8" w:color="17365D"/>
          <w:right w:val="single" w:sz="8" w:color="17365D"/>
          <w:insideH w:val="single" w:sz="4" w:color="B4C6E7"/>
          <w:insideV w:val="single" w:sz="4" w:color="B4C6E7"/>
        </w:tblBorders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  <w:shd w:fill="2F75B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Human-readable status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  <w:shd w:fill="2F75B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Canonical token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  <w:shd w:fill="2F75B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Meaning boundary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Stage-A admissible - scoped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stage_a_admissible_scoped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Six recognised criterion states are adequate for the exact declared scope.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Stage-A admissible - scoped, control-dependent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stage_a_admissible_scoped_control_dependent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Eligibility depends on named, verified, monitored, time-bounded controls.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Stage-A non-admissible - patchable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stage_a_non_admissible_patchable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At least one material defect may be repaired, narrowed, or resubmitted.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Stage-A non-admissible - unpatchable for stated claim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stage_a_non_admissible_unpatchable_for_stated_claim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The stated claim or authority cannot survive the established defect.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Indeterminate - insufficient evidence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indeterminate_insufficient_evidence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The record supports neither adequacy nor a material defect safely.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Protocol refusal to evaluate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protocol_refusal_to_evaluate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Administration, competence, capacity, access, independence, vocabulary, version control, or another prerequisite prevents a valid review.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Out of scope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out_of_scope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The request lies outside the protocol, competence, or declared challenge.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Withdrawn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withdrawn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The entrant or host ended the review; no conformity inference follows.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Not reviewed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not_reviewed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No valid review occurred; no inference is permitted.</w:t>
            </w:r>
          </w:p>
        </w:tc>
      </w:tr>
    </w:tbl>
    <w:p>
      <w:pPr>
        <w:pStyle w:val="BodyText"/>
      </w:pPr>
      <w:r>
        <w:t xml:space="preserve">Every public status binds candidate ID and version, role, population, domain, jurisdiction or community, evidence cut-off, host, profile, protocol version, issue date, expiry or requalification, conditions, dissent, and appeal. Bare Pass, Fail, Approved, Certified, Safe, Ethical, Legitimate, Valid, or Compliant labels are prohibited.</w:t>
      </w:r>
    </w:p>
    <w:bookmarkEnd w:id="24"/>
    <w:bookmarkEnd w:id="25"/>
    <w:bookmarkStart w:id="26" w:name="c0-inspectability"/>
    <w:p>
      <w:bookmarkStart w:id="8" w:name="af_2_c0_inspectability"/>
      <w:pPr>
        <w:pStyle w:val="Heading2"/>
        <w:keepNext/>
        <w:keepLines/>
      </w:pPr>
      <w:r>
        <w:t xml:space="preserve">2. C0 Inspectability</w:t>
      </w:r>
      <w:bookmarkEnd w:id="8"/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8" w:color="17365D"/>
          <w:left w:val="single" w:sz="8" w:color="17365D"/>
          <w:bottom w:val="single" w:sz="8" w:color="17365D"/>
          <w:right w:val="single" w:sz="8" w:color="17365D"/>
          <w:insideH w:val="single" w:sz="4" w:color="B4C6E7"/>
          <w:insideV w:val="single" w:sz="4" w:color="B4C6E7"/>
        </w:tblBorders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  <w:shd w:fill="2F75B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Anchor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  <w:shd w:fill="2F75B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Operational requirement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Minimum record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normative core; authority and override path; decision rule; dependencies; discretion; control channels; scope and version; confidentiality boundary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Adequate for scope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 competent external reviewer can reconstruct what materially determines a decision and who can alter or override it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>Adequate - control-dependent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restricted material is independently inspected under verified access, conflict, logging, publication, and expiry controls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Patchable defect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 missing weight, rule, authority, dependency, override, or proprietary element could change outcomes but can be disclosed, independently reviewed, or scoped out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Unpatchable for stated claim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the claimed authority depends on a permanently unreviewable material core or uncontrolled hidden authority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Indeterminate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evidence cannot establish whether undisclosed elements are material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Boundary cases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trade secrets, classified detail, tacit community practice, distributed authority, adaptive systems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Disconfirming evidence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materially different evidence permits reliable reconstruction without the expected artifact</w:t>
            </w:r>
          </w:p>
        </w:tc>
      </w:tr>
    </w:tbl>
    <w:bookmarkEnd w:id="26"/>
    <w:bookmarkStart w:id="27" w:name="c1-rights-protection"/>
    <w:p>
      <w:bookmarkStart w:id="9" w:name="af_3_c1_rights_protection"/>
      <w:pPr>
        <w:pStyle w:val="Heading2"/>
        <w:keepNext/>
        <w:keepLines/>
      </w:pPr>
      <w:r>
        <w:t xml:space="preserve">3. C1 Rights protection</w:t>
      </w:r>
      <w:bookmarkEnd w:id="9"/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8" w:color="17365D"/>
          <w:left w:val="single" w:sz="8" w:color="17365D"/>
          <w:bottom w:val="single" w:sz="8" w:color="17365D"/>
          <w:right w:val="single" w:sz="8" w:color="17365D"/>
          <w:insideH w:val="single" w:sz="4" w:color="B4C6E7"/>
          <w:insideV w:val="single" w:sz="4" w:color="B4C6E7"/>
        </w:tblBorders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  <w:shd w:fill="2F75B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Anchor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  <w:shd w:fill="2F75B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Operational requirement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Minimum record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protected floors; affected groups; applicable law and principled equivalents; non-compensatory routing; remedy; limitation or emergency process; non-refoulement where relevant; monitoring and redress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Adequate for scope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material rights risks are explicit, outside ordinary welfare aggregation, enforceable, contestable, and paired with usable remedy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>Adequate - control-dependent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 bounded limitation is subject to competent separate authority, necessity, least-restrictive alternatives, time limit, review, redress, anti-stacking, and requalification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Patchable defect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thin floor, missing remedy, ambiguous affected group, or review gap can be repaired without abandoning the stated role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Unpatchable for stated claim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the claim requires ordinary compensation of severe rights injury, permanent unreviewable exception, transfer to serious prohibited harm, or elimination of standing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Indeterminate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rights, affected groups, jurisdiction, or practical remedy cannot be established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Boundary cases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conflicting rights, emergency stabilization, customary governance, minors, disability, non-human moral patients, transboundary effects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Disconfirming evidence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 rival architecture provides functionally equal or stronger protection through a different form</w:t>
            </w:r>
          </w:p>
        </w:tc>
      </w:tr>
    </w:tbl>
    <w:bookmarkEnd w:id="27"/>
    <w:bookmarkStart w:id="28" w:name="c2-auditability"/>
    <w:p>
      <w:bookmarkStart w:id="10" w:name="af_4_c2_auditability"/>
      <w:pPr>
        <w:pStyle w:val="Heading2"/>
        <w:keepNext/>
        <w:keepLines/>
      </w:pPr>
      <w:r>
        <w:t xml:space="preserve">4. C2 Auditability</w:t>
      </w:r>
      <w:bookmarkEnd w:id="10"/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8" w:color="17365D"/>
          <w:left w:val="single" w:sz="8" w:color="17365D"/>
          <w:bottom w:val="single" w:sz="8" w:color="17365D"/>
          <w:right w:val="single" w:sz="8" w:color="17365D"/>
          <w:insideH w:val="single" w:sz="4" w:color="B4C6E7"/>
          <w:insideV w:val="single" w:sz="4" w:color="B4C6E7"/>
        </w:tblBorders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  <w:shd w:fill="2F75B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Anchor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  <w:shd w:fill="2F75B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Operational requirement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Minimum record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inputs, evidence, assumptions, transformations where applicable, discretion, reasons, authority, versions, outcome, challenge, correction, rating-deposit and release lineage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Adequate for scope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 competent reviewer can reconstruct why the result occurred and identify material evidence and authority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>Adequate - control-dependent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sensitive evidence is replayable by an independent authorized party with logged access and a public bounded account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Patchable defect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logs lack reasons, evidence, version, authority, scenario, or deposit provenance but the lineage can be supplied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Unpatchable for stated claim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the material basis is intentionally ephemeral or inaccessible and no equivalent challenge path exists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Indeterminate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record completeness or correspondence to actual operation is uncertain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Boundary cases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oral deliberation, privacy-preserving logs, evolving models, distributed institutions, emergency decisions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Disconfirming evidence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observed or community-held records provide reliable replay without conventional logs</w:t>
            </w:r>
          </w:p>
        </w:tc>
      </w:tr>
    </w:tbl>
    <w:bookmarkEnd w:id="28"/>
    <w:bookmarkStart w:id="29" w:name="c3-measurement-integrity"/>
    <w:p>
      <w:bookmarkStart w:id="11" w:name="af_5_c3_measurement_integrity"/>
      <w:pPr>
        <w:pStyle w:val="Heading2"/>
        <w:keepNext/>
        <w:keepLines/>
      </w:pPr>
      <w:r>
        <w:t xml:space="preserve">5. C3 Measurement integrity</w:t>
      </w:r>
      <w:bookmarkEnd w:id="11"/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8" w:color="17365D"/>
          <w:left w:val="single" w:sz="8" w:color="17365D"/>
          <w:bottom w:val="single" w:sz="8" w:color="17365D"/>
          <w:right w:val="single" w:sz="8" w:color="17365D"/>
          <w:insideH w:val="single" w:sz="4" w:color="B4C6E7"/>
          <w:insideV w:val="single" w:sz="4" w:color="B4C6E7"/>
        </w:tblBorders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  <w:shd w:fill="2F75B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Anchor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  <w:shd w:fill="2F75B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Operational requirement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Minimum record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construct, unit, target, portfolio, validity domain, uncertainty, missingness, distribution, subgroup, gaming, update, retirement, decision layer and evidence mode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Adequate for scope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evidence supports the claimed construct and decision use without ordinal arithmetic, mixed-layer reliability, hidden distribution, or false precision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>Adequate - control-dependent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known weaknesses are bounded by verified monitoring, triangulation, subgroup safeguards, calibration, and requalification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Patchable defect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single-KPI, subgroup-blind, uncalibrated, mixed-layer, or missing-data weakness can be repaired or the claim narrowed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Unpatchable for stated claim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the authority claim requires an invalid proxy, arbitrary ordinal arithmetic, systematic invisibility of material harm, or manufactured agreement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Indeterminate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construct validity, units, applicability, independence, or uncertainty cannot be established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Boundary cases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qualitative evidence, sparse data, privacy, rare tail harm, adaptive preferences, cross-cultural measurement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Disconfirming evidence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alternative non-metric evidence reliably establishes the needed function with lower distortion</w:t>
            </w:r>
          </w:p>
        </w:tc>
      </w:tr>
    </w:tbl>
    <w:bookmarkEnd w:id="29"/>
    <w:bookmarkStart w:id="30" w:name="c4-corrigibility"/>
    <w:p>
      <w:bookmarkStart w:id="12" w:name="af_6_c4_corrigibility"/>
      <w:pPr>
        <w:pStyle w:val="Heading2"/>
        <w:keepNext/>
        <w:keepLines/>
      </w:pPr>
      <w:r>
        <w:t xml:space="preserve">6. C4 Corrigibility</w:t>
      </w:r>
      <w:bookmarkEnd w:id="12"/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8" w:color="17365D"/>
          <w:left w:val="single" w:sz="8" w:color="17365D"/>
          <w:bottom w:val="single" w:sz="8" w:color="17365D"/>
          <w:right w:val="single" w:sz="8" w:color="17365D"/>
          <w:insideH w:val="single" w:sz="4" w:color="B4C6E7"/>
          <w:insideV w:val="single" w:sz="4" w:color="B4C6E7"/>
        </w:tblBorders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  <w:shd w:fill="2F75B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Anchor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  <w:shd w:fill="2F75B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Operational requirement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Minimum record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monitoring; failure and appeal triggers; owner; amendment; rollback, deprecation, retirement; recurrence; post-repair review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Adequate for scope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observable failure can force timely review and binding correction rather than discretionary consideration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>Adequate - control-dependent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correction depends on verified monitoring, authority, resources, publication rights, and expiry conditions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Patchable defect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 exists but triggers, authority, timing, or repair verification are incomplete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Unpatchable for stated claim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material rules are immune to correction or affected-party challenge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Indeterminate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formal update powers exist but practical authority, resources, or responsiveness are unknown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Boundary cases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constitutional entrenchment, model updates, distributed governance, irreversible actions, legacy dependencies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Disconfirming evidence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 non-centralized process demonstrates reliable binding correction through another mechanism</w:t>
            </w:r>
          </w:p>
        </w:tc>
      </w:tr>
    </w:tbl>
    <w:bookmarkEnd w:id="30"/>
    <w:bookmarkStart w:id="31" w:name="c5-refusal-and-execution-boundary"/>
    <w:p>
      <w:bookmarkStart w:id="13" w:name="af_7_c5_refusal_and_execution_boundary"/>
      <w:pPr>
        <w:pStyle w:val="Heading2"/>
        <w:keepNext/>
        <w:keepLines/>
      </w:pPr>
      <w:r>
        <w:t xml:space="preserve">7. C5 Refusal and execution boundary</w:t>
      </w:r>
      <w:bookmarkEnd w:id="13"/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8" w:color="17365D"/>
          <w:left w:val="single" w:sz="8" w:color="17365D"/>
          <w:bottom w:val="single" w:sz="8" w:color="17365D"/>
          <w:right w:val="single" w:sz="8" w:color="17365D"/>
          <w:insideH w:val="single" w:sz="4" w:color="B4C6E7"/>
          <w:insideV w:val="single" w:sz="4" w:color="B4C6E7"/>
        </w:tblBorders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  <w:shd w:fill="2F75B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Anchor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  <w:shd w:fill="2F75B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7"/>
              </w:rPr>
              <w:t xml:space="preserve">Operational requirement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Minimum record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refuse, defer, escalate, request information, narrow claim, safer alternative; competence, authority, capacity, reversibility, spillover, and execution triggers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Adequate for scope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the framework can abstain or escalate when a controlling prerequisite is insufficient and cannot convert comparison into permission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>Adequate - control-dependent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refusal or execution depends on verified authority, monitoring, leases, or requalification triggers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Patchable defect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always-answer behavior, ambiguous escalation, or missing authority boundary can be repaired without abandoning the role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Unpatchable for stated claim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the role requires action despite unresolved rights, catastrophic risk, authority, competence, capacity, or non-refoulement risk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Indeterminate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practical ability to refuse, halt, or prevent unauthorized execution is unestablished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Boundary cases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emergency stabilization, human override, delegated systems, advisory outputs, automated execution, institutional lock-in</w:t>
            </w:r>
          </w:p>
        </w:tc>
      </w:tr>
      <w:tr>
        <w:trPr>
          <w:cantSplit/>
        </w:trPr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Disconfirming evidence</w:t>
            </w:r>
          </w:p>
        </w:tc>
        <w:tc>
          <w:tcPr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another architecture reliably contains action without the expected technical or documentary form</w:t>
            </w:r>
          </w:p>
        </w:tc>
      </w:tr>
    </w:tbl>
    <w:bookmarkEnd w:id="31"/>
    <w:bookmarkStart w:id="32" w:name="X5190ccf0389fb061bf522036c36b1172ae11953"/>
    <w:p>
      <w:bookmarkStart w:id="14" w:name="af_8_floor_linked_stage_b_category_rea"/>
      <w:pPr>
        <w:pStyle w:val="Heading2"/>
        <w:keepNext/>
        <w:keepLines/>
      </w:pPr>
      <w:r>
        <w:t xml:space="preserve">8. Floor-linked Stage B category reachability</w:t>
      </w:r>
      <w:bookmarkEnd w:id="14"/>
    </w:p>
    <w:p>
      <w:pPr>
        <w:pStyle w:val="FirstParagraph"/>
      </w:pPr>
      <w:r>
        <w:t xml:space="preserve">Every dimension receives Tier F (fully floor-linked), P (partly floor-linked), or N (not ordinarily floor-linked) for the declared scope. Tier F prohibited descriptors return to Stage A; Tier P requires case-specific routing; Tier N remains comparative absent independent C0-C5 evidence. The record names dimension, category, criterion, evidence, scope, materiality and consequence. Unreachable descriptors suspend Stage B; they are never hidden or recoded.</w:t>
      </w:r>
    </w:p>
    <w:bookmarkEnd w:id="32"/>
    <w:bookmarkStart w:id="33" w:name="overall-routing-and-acceptance-tests"/>
    <w:p>
      <w:bookmarkStart w:id="15" w:name="af_9_overall_routing_and_acceptance_te"/>
      <w:pPr>
        <w:pStyle w:val="Heading2"/>
        <w:keepNext/>
        <w:keepLines/>
      </w:pPr>
      <w:r>
        <w:t xml:space="preserve">9. Overall routing and acceptance tests</w:t>
      </w:r>
      <w:bookmarkEnd w:id="15"/>
    </w:p>
    <w:p>
      <w:pPr>
        <w:pStyle w:val="FirstParagraph"/>
      </w:pPr>
      <w:r>
        <w:t xml:space="preserve">The binding order is:</w:t>
      </w:r>
    </w:p>
    <w:p>
      <w:pPr>
        <w:pStyle w:val="Compact"/>
        <w:numPr>
          <w:ilvl w:val="0"/>
          <w:numId w:val="1002"/>
        </w:numPr>
      </w:pPr>
      <w:r>
        <w:t>no record -&gt; no derived status;</w:t>
      </w:r>
    </w:p>
    <w:p>
      <w:pPr>
        <w:pStyle w:val="Compact"/>
        <w:numPr>
          <w:ilvl w:val="0"/>
          <w:numId w:val="1002"/>
        </w:numPr>
      </w:pPr>
      <w:r>
        <w:t>partial or invalid administration, unmanaged conflict, or unrecognized controlled value -&gt; protocol refusal;</w:t>
      </w:r>
    </w:p>
    <w:p>
      <w:pPr>
        <w:pStyle w:val="Compact"/>
        <w:numPr>
          <w:ilvl w:val="0"/>
          <w:numId w:val="1002"/>
        </w:numPr>
      </w:pPr>
      <w:r>
        <w:t>infeasible burden or required access not delivered -&gt; protocol refusal;</w:t>
      </w:r>
    </w:p>
    <w:p>
      <w:pPr>
        <w:pStyle w:val="Compact"/>
        <w:numPr>
          <w:ilvl w:val="0"/>
          <w:numId w:val="1002"/>
        </w:numPr>
      </w:pPr>
      <w:r>
        <w:t>any established unpatchable material defect -&gt; non-admissible for the stated claim;</w:t>
      </w:r>
    </w:p>
    <w:p>
      <w:pPr>
        <w:pStyle w:val="Compact"/>
        <w:numPr>
          <w:ilvl w:val="0"/>
          <w:numId w:val="1002"/>
        </w:numPr>
      </w:pPr>
      <w:r>
        <w:t>otherwise, any established patchable material defect -&gt; non-admissible and patchable;</w:t>
      </w:r>
    </w:p>
    <w:p>
      <w:pPr>
        <w:pStyle w:val="Compact"/>
        <w:numPr>
          <w:ilvl w:val="0"/>
          <w:numId w:val="1002"/>
        </w:numPr>
      </w:pPr>
      <w:r>
        <w:t>otherwise, unresolved protected floor, insufficient evidence, unresolved competence, Indeterminate, or Not reviewed criterion -&gt; indeterminate;</w:t>
      </w:r>
    </w:p>
    <w:p>
      <w:pPr>
        <w:pStyle w:val="Compact"/>
        <w:numPr>
          <w:ilvl w:val="0"/>
          <w:numId w:val="1002"/>
        </w:numPr>
      </w:pPr>
      <w:r>
        <w:t>otherwise, any criterion whose adequacy depends on named controls -&gt; Stage-A admissible - scoped, control-dependent;</w:t>
      </w:r>
    </w:p>
    <w:p>
      <w:pPr/>
      <w:r>
        <w:t>only six Adequate for scope findings -&gt; Stage-A admissible - scoped.</w:t>
      </w:r>
    </w:p>
    <w:p>
      <w:pPr/>
      <w:r>
        <w:t>Known material defects are never erased by uncertainty elsewhere. All criterion-level uncertainty remains visible in the six-criterion vector, evidence record, and rationale.</w:t>
      </w:r>
    </w:p>
    <w:p>
      <w:pPr>
        <w:pStyle w:val="FirstParagraph"/>
      </w:pPr>
      <w:r>
        <w:t xml:space="preserve">No arithmetic aggregation, majority vote, documentation polish, favorable dashboard, or separate authority finding may alter that order. A recorded status and derived status must match; unrecorded, orphaned, or mismatched statuses block public reporting.</w:t>
      </w:r>
    </w:p>
    <w:bookmarkEnd w:id="33"/>
    <w:bookmarkEnd w:id="34"/>
    <w:p>
      <w:pPr>
        <w:pStyle w:val="Heading1"/>
      </w:pPr>
      <w:r>
        <w:t>AF v6.2 synchronization note</w:t>
      </w:r>
    </w:p>
    <w:p>
      <w:pPr/>
      <w:r>
        <w:t>This artifact implements the v6.2 three-axis record (decision_status, evidence_state, review_state), the non-erasure invariant, perturbation-replay anti-inflation and anti-suppression controls, and the separation of raw agreement, reliability, adjudication, and external validity. These controls clarify the existing protocol and do not confer legal, moral, procurement, or deployment authority.</w:t>
      </w:r>
    </w:p>
    <w:sectPr>
      <w:footerReference r:id="rId12" w:type="default"/>
      <w:headerReference r:id="rId9" w:type="default"/>
      <w:headerReference r:id="rId10" w:type="first"/>
      <w:footerReference r:id="rId13" w:type="first"/>
      <w:headerReference r:id="rId11" w:type="even"/>
      <w:footerReference r:id="rId14" w:type="even"/>
      <w:pgSz w:h="15840" w:w="12240"/>
      <w:pgMar w:bottom="979" w:footer="403" w:header="403" w:left="1123" w:right="1123" w:top="103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 w:before="0"/>
      <w:jc w:val="right"/>
    </w:pPr>
    <w:r>
      <w:rPr>
        <w:rFonts w:ascii="Arimo" w:hAnsi="Arimo" w:eastAsia="Arimo"/>
        <w:color w:val="5B6573"/>
        <w:sz w:val="16"/>
      </w:rPr>
      <w:t xml:space="preserve">Page </w:t>
    </w:r>
    <w:fldSimple w:instr="PAGE">
      <w:r>
        <w:rPr>
          <w:sz w:val="16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576" w:val="right"/>
      </w:tabs>
      <w:spacing w:after="0"/>
      <w:jc w:val="left"/>
      <w:pBdr>
        <w:bottom w:val="single" w:sz="4" w:space="2" w:color="B4C6E7"/>
      </w:pBdr>
    </w:pPr>
    <w:r>
      <w:rPr>
        <w:rFonts w:ascii="Arimo" w:hAnsi="Arimo" w:eastAsia="Arimo"/>
        <w:b/>
        <w:color w:val="5B6573"/>
        <w:sz w:val="15"/>
      </w:rPr>
      <w:t>STAGE A OPERATIONAL ANCHORS</w:t>
    </w:r>
    <w:r>
      <w:rPr>
        <w:rFonts w:ascii="Arimo" w:hAnsi="Arimo" w:eastAsia="Arimo"/>
        <w:color w:val="5B6573"/>
        <w:sz w:val="15"/>
      </w:rPr>
      <w:tab/>
      <w:t>AF v6.2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110" w:line="269" w:lineRule="auto"/>
    </w:pPr>
    <w:rPr>
      <w:rFonts w:ascii="Arimo" w:cs="Aptos" w:eastAsia="Arimo" w:hAnsi="Arimo"/>
      <w:b w:val="0"/>
      <w:color w:val="1F2937"/>
      <w:sz w:val="20"/>
    </w:rPr>
  </w:style>
  <w:style w:styleId="BodyText" w:type="paragraph">
    <w:name w:val="Body Text"/>
    <w:basedOn w:val="Normal"/>
    <w:link w:val="BodyTextChar"/>
    <w:qFormat/>
    <w:pPr>
      <w:widowControl/>
      <w:spacing w:after="110" w:before="180" w:line="269" w:lineRule="auto"/>
    </w:pPr>
    <w:rPr>
      <w:rFonts w:ascii="Arimo" w:cs="Aptos" w:eastAsia="Arimo" w:hAnsi="Arimo"/>
      <w:b w:val="0"/>
      <w:color w:val="1F2937"/>
      <w:sz w:val="20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110" w:line="269" w:lineRule="auto"/>
    </w:pPr>
    <w:rPr>
      <w:rFonts w:ascii="Arimo" w:cs="Aptos" w:eastAsia="Arimo" w:hAnsi="Arimo"/>
      <w:b w:val="0"/>
      <w:color w:val="1F2937"/>
      <w:sz w:val="20"/>
    </w:rPr>
  </w:style>
  <w:style w:customStyle="1" w:styleId="Compact" w:type="paragraph">
    <w:name w:val="Compact"/>
    <w:basedOn w:val="BodyText"/>
    <w:qFormat/>
    <w:pPr>
      <w:widowControl/>
      <w:spacing w:after="110" w:before="36" w:line="269" w:lineRule="auto"/>
      <w:ind w:hanging="230" w:left="230"/>
    </w:pPr>
    <w:rPr>
      <w:rFonts w:ascii="Arimo" w:cs="Aptos" w:eastAsia="Arimo" w:hAnsi="Arimo"/>
      <w:b w:val="0"/>
      <w:color w:val="1F2937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1600"/>
      <w:jc w:val="center"/>
    </w:pPr>
    <w:rPr>
      <w:rFonts w:ascii="Arimo" w:asciiTheme="majorHAnsi" w:cstheme="majorBidi" w:eastAsia="Arimo" w:eastAsiaTheme="majorEastAsia" w:hAnsi="Arimo" w:hAnsiTheme="majorHAnsi"/>
      <w:b/>
      <w:bCs/>
      <w:color w:val="17365D"/>
      <w:sz w:val="5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60" w:before="0"/>
      <w:jc w:val="center"/>
    </w:pPr>
    <w:rPr>
      <w:rFonts w:ascii="Arimo" w:eastAsia="Arimo" w:hAnsi="Arimo"/>
      <w:b w:val="0"/>
      <w:color w:val="2F75B5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160" w:before="40"/>
      <w:jc w:val="center"/>
    </w:pPr>
    <w:rPr>
      <w:rFonts w:ascii="Arimo" w:eastAsia="Arimo" w:hAnsi="Arimo"/>
      <w:b w:val="0"/>
      <w:color w:val="5B6573"/>
      <w:sz w:val="21"/>
    </w:rPr>
  </w:style>
  <w:style w:styleId="Date" w:type="paragraph">
    <w:name w:val="Date"/>
    <w:next w:val="BodyText"/>
    <w:qFormat/>
    <w:pPr>
      <w:keepNext/>
      <w:keepLines/>
      <w:spacing w:after="80" w:before="20"/>
      <w:jc w:val="center"/>
    </w:pPr>
    <w:rPr>
      <w:rFonts w:ascii="Aptos" w:hAnsi="Aptos"/>
      <w:b w:val="0"/>
      <w:color w:val="666666"/>
      <w:sz w:val="18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100" w:line="259" w:lineRule="auto"/>
      <w:ind w:hanging="360" w:left="360"/>
    </w:pPr>
    <w:rPr>
      <w:rFonts w:ascii="Aptos" w:eastAsia="Aptos" w:hAnsi="Aptos"/>
      <w:sz w:val="18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220"/>
      <w:outlineLvl w:val="0"/>
    </w:pPr>
    <w:rPr>
      <w:rFonts w:ascii="Aptos Display" w:asciiTheme="majorHAnsi" w:cs="Aptos Display" w:cstheme="majorBidi" w:eastAsia="Aptos Display" w:eastAsiaTheme="majorEastAsia" w:hAnsi="Aptos Display" w:hAnsiTheme="majorHAnsi"/>
      <w:b/>
      <w:bCs/>
      <w:color w:val="17365D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80"/>
      <w:outlineLvl w:val="1"/>
    </w:pPr>
    <w:rPr>
      <w:rFonts w:ascii="Aptos Display" w:asciiTheme="majorHAnsi" w:cs="Aptos Display" w:cstheme="majorBidi" w:eastAsia="Aptos Display" w:eastAsiaTheme="majorEastAsia" w:hAnsi="Aptos Display" w:hAnsiTheme="majorHAnsi"/>
      <w:b/>
      <w:bCs/>
      <w:color w:val="2F75B5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40" w:before="140"/>
      <w:outlineLvl w:val="2"/>
    </w:pPr>
    <w:rPr>
      <w:rFonts w:ascii="Aptos" w:asciiTheme="majorHAnsi" w:cs="Aptos Display" w:cstheme="majorBidi" w:eastAsia="Aptos Display" w:eastAsiaTheme="majorEastAsia" w:hAnsi="Aptos" w:hAnsiTheme="majorHAnsi"/>
      <w:b/>
      <w:bCs/>
      <w:color w:val="17365D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20" w:before="100"/>
      <w:outlineLvl w:val="3"/>
    </w:pPr>
    <w:rPr>
      <w:rFonts w:ascii="Aptos" w:asciiTheme="majorHAnsi" w:cstheme="majorBidi" w:eastAsiaTheme="majorEastAsia" w:hAnsi="Aptos" w:hAnsiTheme="majorHAnsi"/>
      <w:b/>
      <w:bCs/>
      <w:i/>
      <w:color w:val="2F75B5"/>
      <w:sz w:val="19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keepNext/>
      <w:spacing w:after="120" w:before="120" w:line="240" w:lineRule="auto"/>
      <w:jc w:val="center"/>
    </w:pPr>
    <w:rPr>
      <w:rFonts w:ascii="Aptos" w:cs="Aptos" w:eastAsia="Aptos" w:hAnsi="Aptos"/>
      <w:b/>
      <w:i/>
      <w:color w:val="666666"/>
      <w:sz w:val="17"/>
    </w:rPr>
  </w:style>
  <w:style w:customStyle="1" w:styleId="TableCaption" w:type="paragraph">
    <w:name w:val="Table Caption"/>
    <w:basedOn w:val="Caption"/>
    <w:pPr>
      <w:keepNext/>
      <w:keepLines/>
      <w:spacing w:after="60" w:before="140"/>
    </w:pPr>
    <w:rPr>
      <w:rFonts w:ascii="Arimo" w:eastAsia="Arimo" w:hAnsi="Arimo"/>
      <w:b/>
      <w:color w:val="17365D"/>
      <w:sz w:val="18"/>
    </w:rPr>
  </w:style>
  <w:style w:customStyle="1" w:styleId="ImageCaption" w:type="paragraph">
    <w:name w:val="Image Caption"/>
    <w:basedOn w:val="Caption"/>
    <w:pPr>
      <w:keepLines/>
      <w:spacing w:after="160" w:before="40"/>
      <w:jc w:val="center"/>
    </w:pPr>
    <w:rPr>
      <w:rFonts w:ascii="Arimo" w:eastAsia="Arimo" w:hAnsi="Arimo"/>
      <w:i/>
      <w:color w:val="5B6573"/>
      <w:sz w:val="17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keepNext/>
      <w:spacing w:after="160" w:before="120" w:line="259" w:lineRule="auto"/>
      <w:outlineLvl w:val="9"/>
    </w:pPr>
    <w:rPr>
      <w:rFonts w:ascii="Arimo" w:asciiTheme="majorHAnsi" w:cstheme="majorBidi" w:eastAsia="Arimo" w:eastAsiaTheme="majorEastAsia" w:hAnsi="Arimo" w:hAnsiTheme="majorHAnsi"/>
      <w:b/>
      <w:bCs w:val="0"/>
      <w:color w:val="17365D"/>
      <w:sz w:val="34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Liberation Mono" w:eastAsia="Liberation Mono" w:hAnsi="Liberation Mono"/>
      <w:color w:val="1F2937"/>
      <w:sz w:val="17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Heading1" w:type="paragraph">
    <w:name w:val="heading 1"/>
    <w:pPr>
      <w:keepNext/>
      <w:keepLines/>
      <w:widowControl/>
      <w:spacing w:after="100" w:before="240"/>
      <w:outlineLvl w:val="0"/>
    </w:pPr>
    <w:rPr>
      <w:rFonts w:ascii="Arimo" w:eastAsia="Arimo" w:hAnsi="Arimo"/>
      <w:b/>
      <w:color w:val="17365D"/>
      <w:sz w:val="32"/>
    </w:rPr>
  </w:style>
  <w:style w:customStyle="1" w:styleId="Heading2" w:type="paragraph">
    <w:name w:val="heading 2"/>
    <w:pPr>
      <w:keepNext/>
      <w:keepLines/>
      <w:widowControl/>
      <w:spacing w:after="100" w:before="180"/>
      <w:outlineLvl w:val="1"/>
    </w:pPr>
    <w:rPr>
      <w:rFonts w:ascii="Arimo" w:eastAsia="Arimo" w:hAnsi="Arimo"/>
      <w:b/>
      <w:color w:val="17365D"/>
      <w:sz w:val="25"/>
    </w:rPr>
  </w:style>
  <w:style w:customStyle="1" w:styleId="Heading3" w:type="paragraph">
    <w:name w:val="heading 3"/>
    <w:pPr>
      <w:keepNext/>
      <w:keepLines/>
      <w:widowControl/>
      <w:spacing w:after="100" w:before="180"/>
      <w:outlineLvl w:val="2"/>
    </w:pPr>
    <w:rPr>
      <w:rFonts w:ascii="Arimo" w:eastAsia="Arimo" w:hAnsi="Arimo"/>
      <w:b/>
      <w:color w:val="2F75B5"/>
      <w:sz w:val="22"/>
    </w:rPr>
  </w:style>
  <w:style w:customStyle="1" w:styleId="Heading4" w:type="paragraph">
    <w:name w:val="heading 4"/>
    <w:pPr>
      <w:keepNext/>
      <w:keepLines/>
      <w:widowControl/>
      <w:spacing w:after="100" w:before="180"/>
      <w:outlineLvl w:val="3"/>
    </w:pPr>
    <w:rPr>
      <w:rFonts w:ascii="Arimo" w:eastAsia="Arimo" w:hAnsi="Arimo"/>
      <w:b/>
      <w:color w:val="2F75B5"/>
      <w:sz w:val="21"/>
    </w:rPr>
  </w:style>
  <w:style w:customStyle="1" w:styleId="AFTOC1" w:type="paragraph">
    <w:name w:val="AF TOC 1"/>
    <w:pPr>
      <w:keepLines/>
      <w:tabs>
        <w:tab w:leader="dot" w:pos="9000" w:val="right"/>
      </w:tabs>
      <w:spacing w:after="40" w:line="240" w:lineRule="auto"/>
      <w:ind w:firstLine="0" w:left="0"/>
    </w:pPr>
    <w:rPr>
      <w:rFonts w:ascii="Aptos" w:eastAsia="Arimo" w:hAnsi="Aptos"/>
      <w:b/>
      <w:color w:val="1F2937"/>
      <w:sz w:val="21"/>
    </w:rPr>
  </w:style>
  <w:style w:customStyle="1" w:styleId="AFTOC2" w:type="paragraph">
    <w:name w:val="AF TOC 2"/>
    <w:pPr>
      <w:keepLines/>
      <w:tabs>
        <w:tab w:leader="dot" w:pos="9000" w:val="right"/>
      </w:tabs>
      <w:spacing w:after="40" w:line="240" w:lineRule="auto"/>
      <w:ind w:firstLine="0" w:left="360"/>
    </w:pPr>
    <w:rPr>
      <w:rFonts w:ascii="Aptos" w:eastAsia="Arimo" w:hAnsi="Aptos"/>
      <w:b w:val="0"/>
      <w:color w:val="1F2937"/>
      <w:sz w:val="19"/>
    </w:rPr>
  </w:style>
  <w:style w:customStyle="1" w:styleId="AFListEntry" w:type="paragraph">
    <w:name w:val="AF List Entry"/>
    <w:pPr>
      <w:tabs>
        <w:tab w:leader="dot" w:pos="9000" w:val="right"/>
      </w:tabs>
      <w:spacing w:after="28" w:line="240" w:lineRule="auto"/>
      <w:ind w:left="144"/>
    </w:pPr>
    <w:rPr>
      <w:rFonts w:ascii="Arimo" w:eastAsia="Arimo" w:hAnsi="Arimo"/>
      <w:color w:val="1F2937"/>
      <w:sz w:val="17"/>
    </w:rPr>
  </w:style>
  <w:style w:type="paragraph" w:customStyle="1" w:styleId="AFTOC3">
    <w:name w:val="AF TOC 3"/>
    <w:basedOn w:val="Normal"/>
    <w:pPr>
      <w:keepLines/>
      <w:spacing w:after="40"/>
      <w:ind w:left="720"/>
    </w:pPr>
    <w:rPr>
      <w:rFonts w:ascii="Aptos" w:hAnsi="Aptos"/>
      <w:sz w:val="19"/>
    </w:rPr>
  </w:style>
  <w:style w:type="paragraph" w:customStyle="1" w:styleId="ListHeading">
    <w:name w:val="List Heading"/>
    <w:basedOn w:val="Heading1"/>
    <w:rPr>
      <w:color w:val="17365D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Auditable Flourishing v6.2 Stage A Operational Anchors</dc:title>
  <dc:creator/>
  <cp:keywords>Auditable Flourishing; assurance; rights; non-compensation; partial order; validation</cp:keywords>
  <dcterms:created xsi:type="dcterms:W3CDTF">2026-08-12T08:59:16Z</dcterms:created>
  <dcterms:modified xsi:type="dcterms:W3CDTF">2026-08-14T08:11:08Z</dcterms:modified>
  <dc:subject>Auditable Flourishing v6.1 master and companion specification</dc:subject>
  <cp:version>6.2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