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03861f48a7f5cb9c03762a8bf08d7e6da4ae46"/>
    <w:p>
      <w:pPr>
        <w:pStyle w:val="Heading1"/>
      </w:pPr>
      <w:r>
        <w:t>MathGov Core Component Map - v12.6 / SGP v8.5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  <w:tblInd w:type="dxa" w:w="0"/>
        <w:tblBorders>
          <w:top w:val="single" w:sz="8" w:color="AFC4D6"/>
          <w:left w:val="single" w:sz="8" w:color="AFC4D6"/>
          <w:bottom w:val="single" w:sz="8" w:color="AFC4D6"/>
          <w:right w:val="single" w:sz="8" w:color="AFC4D6"/>
          <w:insideH w:val="single" w:sz="4" w:color="AFC4D6"/>
          <w:insideV w:val="single" w:sz="4" w:color="AFC4D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D9EAF7"/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17365D"/>
              </w:rPr>
              <w:t xml:space="preserve">Component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D9EAF7"/>
            <w:vAlign w:val="center"/>
          </w:tcPr>
          <w:p>
            <w:pPr>
              <w:pStyle w:val="Compact"/>
              <w:jc w:val="right"/>
            </w:pPr>
            <w:r>
              <w:rPr>
                <w:b/>
                <w:color w:val="17365D"/>
              </w:rPr>
              <w:t xml:space="preserve">Version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D9EAF7"/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17365D"/>
              </w:rPr>
              <w:t xml:space="preserve">Role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D9EAF7"/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17365D"/>
              </w:rPr>
              <w:t xml:space="preserve">Boundary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RippleLogic Canon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v12.6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Principal governing decision architecture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Sentience Gradient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v8.5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Moral-patienthood, protection, participation, and power interface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Not a consciousness detector; protection does not grant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ripple.md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v5.5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Portable assurance wrapper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RippleLogic Agent System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v12.5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Runtime controls and execution records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CSV Gate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v2.4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Containment and structural viability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RippleLogic Cascade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v2.6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Compact five-stage implementation map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Reproducibility and Use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v1.4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Minimum replayable operating kernel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WDBIP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v1.6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Welfare-dimension boundary and interaction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RLS Validation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v2.6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Validation and falsification design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RLS Validation Workbook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v0.3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Level 1 study instrument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Foundations Primer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v4.4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Informative doorway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Public Introduction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v12.6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Shortest teaching doorway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PC-AEP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v2.3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Physical/causal evidence profile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MFDI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r>
              <w:t>v2.3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Claim typing and falsification discipline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Source-Coupling Integrity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r>
              <w:t>v2.3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Capability-source and source-debt discipline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  <w:vAlign w:val="top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space="0" w:color="1F4E78"/>
            </w:tcBorders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RippleLogic Aligners Sheet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space="0" w:color="1F4E78"/>
            </w:tcBorders>
            <w:shd w:val="clear" w:fill="F7FBFE"/>
            <w:vAlign w:val="top"/>
          </w:tcPr>
          <w:p>
            <w:r>
              <w:t>v5.6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space="0" w:color="1F4E78"/>
            </w:tcBorders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Tier 2 worked-run exemplar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space="0" w:color="1F4E78"/>
            </w:tcBorders>
            <w:shd w:val="clear" w:fill="F7FBFE"/>
            <w:vAlign w:val="top"/>
          </w:tcPr>
          <w:p>
            <w:pPr>
              <w:pStyle w:val="Compact"/>
              <w:jc w:val="left"/>
            </w:pPr>
            <w:r>
              <w:t xml:space="preserve">Worked-run exemplar; not a validator or reference calculator.</w:t>
            </w:r>
          </w:p>
        </w:tc>
      </w:tr>
    </w:tbl>
    <w:bookmarkStart w:id="20" w:name="governing-relationship"/>
    <w:p>
      <w:pPr>
        <w:pStyle w:val="Heading2"/>
      </w:pPr>
      <w:r>
        <w:t xml:space="preserve">Governing relationship</w:t>
      </w:r>
    </w:p>
    <w:p>
      <w:pPr>
        <w:pStyle w:val="FirstParagraph"/>
      </w:pPr>
      <w:r>
        <w:t xml:space="preserve">The Canon and SGP are principal governing sources. Companion standards implement bounded interfaces. The Primer and Public Introduction are informative. The 15-file</w:t>
      </w:r>
      <w:r>
        <w:t xml:space="preserve"> </w:t>
      </w:r>
      <w:r>
        <w:rPr>
          <w:rStyle w:val="VerbatimChar"/>
        </w:rPr>
        <w:t xml:space="preserve">core_15</w:t>
      </w:r>
      <w:r>
        <w:t xml:space="preserve"> </w:t>
      </w:r>
      <w:r>
        <w:t xml:space="preserve">selection contains fourteen DOCX reading mirrors plus the Aligners Sheet workbook; this map is a coordination artifact, not a sixteenth governing component.</w:t>
      </w:r>
    </w:p>
    <w:bookmarkEnd w:id="20"/>
    <w:bookmarkEnd w:id="21"/>
    <w:sectPr>
      <w:headerReference r:id="rId9" w:type="default"/>
      <w:footerReference r:id="rId10" w:type="default"/>
      <w:pgMar w:bottom="936" w:left="979" w:right="979" w:top="93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666666"/>
        <w:sz w:val="16"/>
      </w:rPr>
      <w:t xml:space="preserve">MathGov Core Component Map v12.6 / SGP v8.5 | Page </w:t>
    </w:r>
    <w:fldSimple w:instr="PAGE">
      <w:r>
        <w:rPr>
          <w:rFonts w:ascii="Arial" w:hAnsi="Arial" w:eastAsia="Arial"/>
          <w:color w:val="666666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Arial" w:eastAsia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hAnsi="Arial"/>
      <w:b w:val="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52" w:lineRule="auto"/>
      <w:ind w:firstLine="0" w:left="480" w:right="480"/>
    </w:pPr>
    <w:rPr>
      <w:rFonts w:ascii="Arial" w:eastAsia="Arial" w:hAnsi="Arial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60" w:before="60" w:line="240" w:lineRule="auto"/>
    </w:pPr>
    <w:rPr>
      <w:rFonts w:ascii="Courier New" w:hAnsi="Courier New"/>
      <w:b w:val="0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20" w:before="240" w:line="240" w:lineRule="auto"/>
    </w:pPr>
    <w:rPr>
      <w:rFonts w:ascii="Arial" w:eastAsia="Arial" w:hAnsi="Arial"/>
      <w:b/>
      <w:color w:val="1F4E78"/>
      <w:sz w:val="32"/>
    </w:rPr>
  </w:style>
  <w:style w:customStyle="1" w:styleId="Heading2" w:type="paragraph">
    <w:name w:val="heading 2"/>
    <w:pPr>
      <w:keepNext/>
      <w:spacing w:after="80" w:before="200" w:line="240" w:lineRule="auto"/>
    </w:pPr>
    <w:rPr>
      <w:rFonts w:ascii="Arial" w:eastAsia="Arial" w:hAnsi="Arial"/>
      <w:b/>
      <w:color w:val="1F4E78"/>
      <w:sz w:val="26"/>
    </w:rPr>
  </w:style>
  <w:style w:customStyle="1" w:styleId="Heading3" w:type="paragraph">
    <w:name w:val="heading 3"/>
    <w:pPr>
      <w:keepNext/>
      <w:spacing w:after="60" w:before="160" w:line="240" w:lineRule="auto"/>
    </w:pPr>
    <w:rPr>
      <w:rFonts w:ascii="Arial" w:eastAsia="Arial" w:hAnsi="Arial"/>
      <w:b/>
      <w:color w:val="1F4E78"/>
      <w:sz w:val="23"/>
    </w:rPr>
  </w:style>
  <w:style w:customStyle="1" w:styleId="Heading4" w:type="paragraph">
    <w:name w:val="heading 4"/>
    <w:pPr>
      <w:keepNext/>
      <w:spacing w:after="40" w:before="120" w:line="240" w:lineRule="auto"/>
    </w:pPr>
    <w:rPr>
      <w:rFonts w:ascii="Arial" w:eastAsia="Arial" w:hAnsi="Arial"/>
      <w:b/>
      <w:color w:val="1F4E78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MathGov Core Component Map - v12.5 / SGP v8.4</dc:title>
  <dc:creator>James McGaughran | ORCID 0009-0005-3324-7290</dc:creator>
  <cp:keywords/>
  <dcterms:created xsi:type="dcterms:W3CDTF">2026-07-23T11:28:28Z</dcterms:created>
  <dcterms:modified xsi:type="dcterms:W3CDTF">2026-07-23T11:28:28Z</dcterms:modified>
  <dc:subject>MathGov Core 2026.09 v12.5 / SGP v8.4</dc:subject>
  <dc:description>Open public research source; table-integrity and current-pin hardening.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