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MathGov v12.4 / SGP v8.3</w:t>
        <w:br/>
        <w:t>Fruition Finalization Report</w:t>
      </w:r>
    </w:p>
    <w:p>
      <w:pPr>
        <w:jc w:val="center"/>
      </w:pPr>
      <w:r>
        <w:rPr>
          <w:b/>
          <w:color w:val="1F4E79"/>
        </w:rPr>
        <w:t>MathGov Core Release 2026.09 v12.4 / SGP v8.3 - Calculability, Type-Integrity, Cross-Artifact Synchronization, State-Semantics, and Non-Dilution Public Research Source Release</w:t>
      </w:r>
    </w:p>
    <w:p>
      <w:pPr>
        <w:jc w:val="center"/>
      </w:pPr>
      <w:r>
        <w:t>20 July 2026 | Pre-publication release-integrity record</w:t>
      </w:r>
    </w:p>
    <w:p>
      <w:pPr>
        <w:pStyle w:val="Heading1"/>
      </w:pPr>
      <w:r>
        <w:t>Executive verdict</w:t>
      </w:r>
    </w:p>
    <w:p>
      <w:r>
        <w:t>The feedback was dispositioned against the actual complete release bytes. Only reproducible improvements were adopted. The canonical five-stage architecture remains unchanged, while state semantics, non-dilution, SGP evidence typing, workbook proof pointers, and machine enforcement are now synchronized.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  <w:vAlign w:val="center"/>
          </w:tcPr>
          <w:p>
            <w:r/>
            <w:r>
              <w:rPr>
                <w:b/>
                <w:color w:val="FFFFFF"/>
              </w:rPr>
              <w:t>Finding class</w:t>
            </w:r>
          </w:p>
        </w:tc>
        <w:tc>
          <w:tcPr>
            <w:tcW w:type="dxa" w:w="3360"/>
            <w:shd w:fill="1F4E78"/>
            <w:vAlign w:val="center"/>
          </w:tcPr>
          <w:p>
            <w:r/>
            <w:r>
              <w:rPr>
                <w:b/>
                <w:color w:val="FFFFFF"/>
              </w:rPr>
              <w:t>Disposition</w:t>
            </w:r>
          </w:p>
        </w:tc>
        <w:tc>
          <w:tcPr>
            <w:tcW w:type="dxa" w:w="3360"/>
            <w:shd w:fill="1F4E78"/>
            <w:vAlign w:val="center"/>
          </w:tcPr>
          <w:p>
            <w:r/>
            <w:r>
              <w:rPr>
                <w:b/>
                <w:color w:val="FFFFFF"/>
              </w:rPr>
              <w:t>Reason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  <w:color w:val="1F4E78"/>
              </w:rPr>
              <w:t>State semantics and TRC trigger state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Implemented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Corrects a real contradiction between tier rules and formal qualification.</w:t>
            </w:r>
          </w:p>
        </w:tc>
      </w:tr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color w:val="1F4E78"/>
              </w:rPr>
              <w:t>Catastrophe-cell extension dilution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 w:val="0"/>
              </w:rPr>
              <w:t>Implemented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 w:val="0"/>
              </w:rPr>
              <w:t>Prevents unchanged base catastrophe exposure from falling merely because new cells are added.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  <w:color w:val="1F4E78"/>
              </w:rPr>
              <w:t>SGP Level 0 versus NOT_EVALUABLE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Implemented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Prevents missing evidence from becoming negative evidence.</w:t>
            </w:r>
          </w:p>
        </w:tc>
      </w:tr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color w:val="1F4E78"/>
              </w:rPr>
              <w:t>Agent/workbook interface defects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 w:val="0"/>
              </w:rPr>
              <w:t>Implemented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 w:val="0"/>
              </w:rPr>
              <w:t>Restores floor compliance, non-decisive language, proof-coordinate integrity, and correct Gap terminology.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  <w:color w:val="1F4E78"/>
              </w:rPr>
              <w:t>Missing formats/assets/release support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Rejected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The complete ZIP contains genuine OOXML, schemas, validators, manifests, licence, tests, reports, and hashes.</w:t>
            </w:r>
          </w:p>
        </w:tc>
      </w:tr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color w:val="1F4E78"/>
              </w:rPr>
              <w:t>Public repository/site synchronization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 w:val="0"/>
              </w:rPr>
              <w:t>External publication step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 w:val="0"/>
              </w:rPr>
              <w:t>The local package cannot itself update public channels; atomic publication remains required.</w:t>
            </w:r>
          </w:p>
        </w:tc>
      </w:tr>
    </w:tbl>
    <w:p>
      <w:pPr>
        <w:pStyle w:val="Heading1"/>
      </w:pPr>
      <w:r>
        <w:t>Implemented improvements</w:t>
      </w:r>
    </w:p>
    <w:p>
      <w:pPr>
        <w:pStyle w:val="ListBullet"/>
      </w:pPr>
      <w:r>
        <w:t>Typed RG qualification and claim-refusal states.</w:t>
      </w:r>
    </w:p>
    <w:p>
      <w:pPr>
        <w:pStyle w:val="ListBullet"/>
      </w:pPr>
      <w:r>
        <w:t>Governed TRC_NOT_TRIGGERED state with complete negative assessment and reopen triggers.</w:t>
      </w:r>
    </w:p>
    <w:p>
      <w:pPr>
        <w:pStyle w:val="ListBullet"/>
      </w:pPr>
      <w:r>
        <w:t>Independent pass requirements for base and extension catastrophe profiles.</w:t>
      </w:r>
    </w:p>
    <w:p>
      <w:pPr>
        <w:pStyle w:val="ListBullet"/>
      </w:pPr>
      <w:r>
        <w:t>Floor-preserving uniform residual allocation.</w:t>
      </w:r>
    </w:p>
    <w:p>
      <w:pPr>
        <w:pStyle w:val="ListBullet"/>
      </w:pPr>
      <w:r>
        <w:t>Tier 2 CSV and uncertainty synchronization.</w:t>
      </w:r>
    </w:p>
    <w:p>
      <w:pPr>
        <w:pStyle w:val="ListBullet"/>
      </w:pPr>
      <w:r>
        <w:t>SGP Level 0/NE correction and provisional RMCP-P100 reference-anchor wording.</w:t>
      </w:r>
    </w:p>
    <w:p>
      <w:pPr>
        <w:pStyle w:val="ListBullet"/>
      </w:pPr>
      <w:r>
        <w:t>Agent worked-run and workbook proof-locator corrections.</w:t>
      </w:r>
    </w:p>
    <w:p>
      <w:pPr>
        <w:pStyle w:val="ListBullet"/>
      </w:pPr>
      <w:r>
        <w:t>Executable schema, validator, positive/negative vectors, and master-verifier integration.</w:t>
      </w:r>
    </w:p>
    <w:p>
      <w:pPr>
        <w:pStyle w:val="Heading1"/>
      </w:pPr>
      <w:r>
        <w:t>Final boundaries</w:t>
      </w:r>
    </w:p>
    <w:p>
      <w:r>
        <w:t>Release verification is evidence of internal conformance, not proof of empirical validity, legal authority, physical safety, consciousness, moral truth, democratic legitimacy, superior decisions, ProofPack completion, Tier 4 status, or high-stakes deployment readiness.</w:t>
      </w:r>
    </w:p>
    <w:p>
      <w:pPr>
        <w:pStyle w:val="Heading1"/>
      </w:pPr>
      <w:r>
        <w:t>Final decision</w:t>
      </w:r>
    </w:p>
    <w:p>
      <w:r>
        <w:rPr>
          <w:b/>
          <w:color w:val="1F4E79"/>
        </w:rPr>
        <w:t>FINAL AND READY FOR THE DECLARED PUBLIC RESEARCH-SOURCE, TEACHING, STRUCTURED-RUN, REPLAY, AND VALIDATION-PREPARATION PURPOSES.</w:t>
      </w:r>
    </w:p>
    <w:p>
      <w:r>
        <w:t>Public canonical status begins only when the exact verified package bytes, hashes, tag, citation record, website, and download links are published atomically.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