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RippleLogic v10.6 Methodology Completion and Companion Synchronization Summary</w:t>
      </w:r>
    </w:p>
    <w:p>
      <w:r>
        <w:t>Date: 1 June 2026</w:t>
      </w:r>
    </w:p>
    <w:p>
      <w:r>
        <w:t>Document status: Informative release-summary companion. This document records the current v10.6 / SGP v5.3 core-pair completion and companion synchronization. It is not itself the normative source of truth.</w:t>
      </w:r>
    </w:p>
    <w:p>
      <w:r>
        <w:t>Claim boundary: This summary makes no empirical-validation, ProofPack-completeness, Tier-4, machine-verifiable-ecosystem-completeness, reference-calculator-completeness, legal-compliance, deployment-readiness, completed biological SGP measurement, or current-AI sentience claim.</w:t>
      </w:r>
    </w:p>
    <w:p>
      <w:pPr>
        <w:pStyle w:val="Heading1"/>
      </w:pPr>
      <w:r>
        <w:t>Purpose</w:t>
      </w:r>
    </w:p>
    <w:p>
      <w:r>
        <w:t>This document summarizes the methodology and companion synchronization state for the current RippleLogic release line. RippleLogic Canon v10.6 and SGP v5.3 form the governing core pair. ripple.md v3.4, the RippleLogic Agent System v10.6, the RippleLogic Aligners Sheet v3.4, the Foundations Primer v2.4, and this summary are synchronized to that core pair.</w:t>
      </w:r>
    </w:p>
    <w:p>
      <w:r>
        <w:t>The synchronization preserves the canonical cascade NCRC → TRC → Containment → RLS → UCI/HOI. It updates release identity, companion pins, explanatory surfaces, SGP interface references, and claim-boundary language without changing the core order of decision evaluation.</w:t>
      </w:r>
    </w:p>
    <w:p>
      <w:pPr/>
      <w:r>
        <w:t>Final release-polish note: This edition also incorporates the June 1 companion-pinning cleanup: active Canon references now pin the RippleLogic Agent System to v10.6, Appendix M separates the v10.5 and v10.6 changelog entries, and the release remains a Tier 1-3 core-foundation package without Tier 4, ProofPack, empirical-validation, legal-compliance, or deployment-readiness claims.</w:t>
      </w:r>
    </w:p>
    <w:p>
      <w:pPr>
        <w:pStyle w:val="Heading1"/>
      </w:pPr>
      <w:r>
        <w:t>What Changed From v10.4 to v10.6</w:t>
      </w:r>
    </w:p>
    <w:p>
      <w:pPr>
        <w:pStyle w:val="ListBullet"/>
      </w:pPr>
      <w:r>
        <w:t>Appendix AD: the 49-cell Welfare Dictionary is integrated into the Canon as the canonical interpretive reference for cell meaning, evidence discipline, and reviewer challengeability.</w:t>
      </w:r>
    </w:p>
    <w:p>
      <w:pPr>
        <w:pStyle w:val="ListBullet"/>
      </w:pPr>
      <w:r>
        <w:t>Base/Welfare stream separation is clarified so that raw/base impacts and SGP-informed welfare-stream weighting are not collapsed.</w:t>
      </w:r>
    </w:p>
    <w:p>
      <w:pPr>
        <w:pStyle w:val="ListBullet"/>
      </w:pPr>
      <w:r>
        <w:t>SGP v5.3 Human Plateau / CMIU calibration is integrated into the current core pair.</w:t>
      </w:r>
    </w:p>
    <w:p>
      <w:pPr>
        <w:pStyle w:val="ListBullet"/>
      </w:pPr>
      <w:r>
        <w:t>SG_taxon_norm(T) is clarified within the SGP integration context.</w:t>
      </w:r>
    </w:p>
    <w:p>
      <w:pPr>
        <w:pStyle w:val="ListBullet"/>
      </w:pPr>
      <w:r>
        <w:t>The Canon Quick Reference formula surface is synchronized to the current release line.</w:t>
      </w:r>
    </w:p>
    <w:p>
      <w:pPr>
        <w:pStyle w:val="ListBullet"/>
      </w:pPr>
      <w:r>
        <w:t>References are included in the Canon table of contents and release navigation.</w:t>
      </w:r>
    </w:p>
    <w:p>
      <w:pPr>
        <w:pStyle w:val="ListBullet"/>
      </w:pPr>
      <w:r>
        <w:t>Claim boundaries are preserved and strengthened: no Tier 4, empirical-validation, ProofPack, legal-compliance, deployment-certification, completed biological-measurement, or current-AI-sentience claim is made.</w:t>
      </w:r>
    </w:p>
    <w:p>
      <w:pPr>
        <w:pStyle w:val="ListBullet"/>
      </w:pPr>
      <w:r>
        <w:t>No architecture change is made to the cascade.</w:t>
      </w:r>
    </w:p>
    <w:p>
      <w:pPr>
        <w:pStyle w:val="Heading1"/>
      </w:pPr>
      <w:r>
        <w:t>Version Map</w:t>
      </w:r>
    </w:p>
    <w:tbl>
      <w:tblPr>
        <w:tblStyle w:val="TableGrid"/>
        <w:tblW w:type="auto" w:w="0"/>
        <w:tblLook w:firstColumn="1" w:firstRow="1" w:lastColumn="0" w:lastRow="0" w:noHBand="0" w:noVBand="1" w:val="04A0"/>
      </w:tblPr>
      <w:tblGrid>
        <w:gridCol w:w="4320"/>
        <w:gridCol w:w="4320"/>
      </w:tblGrid>
      <w:tr>
        <w:tc>
          <w:tcPr>
            <w:tcW w:type="dxa" w:w="4320"/>
          </w:tcPr>
          <w:p>
            <w:r>
              <w:t>Artifact</w:t>
            </w:r>
          </w:p>
        </w:tc>
        <w:tc>
          <w:tcPr>
            <w:tcW w:type="dxa" w:w="4320"/>
          </w:tcPr>
          <w:p>
            <w:r>
              <w:t>Synchronized identity / role</w:t>
            </w:r>
          </w:p>
        </w:tc>
      </w:tr>
      <w:tr>
        <w:tc>
          <w:tcPr>
            <w:tcW w:type="dxa" w:w="4320"/>
          </w:tcPr>
          <w:p>
            <w:r>
              <w:t>RippleLogic Canon</w:t>
            </w:r>
          </w:p>
        </w:tc>
        <w:tc>
          <w:tcPr>
            <w:tcW w:type="dxa" w:w="4320"/>
          </w:tcPr>
          <w:p>
            <w:r>
              <w:t>v10.6, governing source</w:t>
            </w:r>
          </w:p>
        </w:tc>
      </w:tr>
      <w:tr>
        <w:tc>
          <w:tcPr>
            <w:tcW w:type="dxa" w:w="4320"/>
          </w:tcPr>
          <w:p>
            <w:r>
              <w:t>SGP</w:t>
            </w:r>
          </w:p>
        </w:tc>
        <w:tc>
          <w:tcPr>
            <w:tcW w:type="dxa" w:w="4320"/>
          </w:tcPr>
          <w:p>
            <w:r>
              <w:t>v5.3, governing moral-status/protection protocol</w:t>
            </w:r>
          </w:p>
        </w:tc>
      </w:tr>
      <w:tr>
        <w:tc>
          <w:tcPr>
            <w:tcW w:type="dxa" w:w="4320"/>
          </w:tcPr>
          <w:p>
            <w:r>
              <w:t>ripple.md Standard</w:t>
            </w:r>
          </w:p>
        </w:tc>
        <w:tc>
          <w:tcPr>
            <w:tcW w:type="dxa" w:w="4320"/>
          </w:tcPr>
          <w:p>
            <w:r>
              <w:t>v3.4, synchronized portable assurance wrapper</w:t>
            </w:r>
          </w:p>
        </w:tc>
      </w:tr>
      <w:tr>
        <w:tc>
          <w:tcPr>
            <w:tcW w:type="dxa" w:w="4320"/>
          </w:tcPr>
          <w:p>
            <w:r>
              <w:t>RippleLogic Agent System</w:t>
            </w:r>
          </w:p>
        </w:tc>
        <w:tc>
          <w:tcPr>
            <w:tcW w:type="dxa" w:w="4320"/>
          </w:tcPr>
          <w:p>
            <w:r>
              <w:t>v10.6, synchronized agent specification</w:t>
            </w:r>
          </w:p>
        </w:tc>
      </w:tr>
      <w:tr>
        <w:tc>
          <w:tcPr>
            <w:tcW w:type="dxa" w:w="4320"/>
          </w:tcPr>
          <w:p>
            <w:r>
              <w:t>RippleLogic Aligners Sheet</w:t>
            </w:r>
          </w:p>
        </w:tc>
        <w:tc>
          <w:tcPr>
            <w:tcW w:type="dxa" w:w="4320"/>
          </w:tcPr>
          <w:p>
            <w:r>
              <w:t>v3.4, synchronized worked-run exemplar</w:t>
            </w:r>
          </w:p>
        </w:tc>
      </w:tr>
      <w:tr>
        <w:tc>
          <w:tcPr>
            <w:tcW w:type="dxa" w:w="4320"/>
          </w:tcPr>
          <w:p>
            <w:r>
              <w:t>Foundations Primer</w:t>
            </w:r>
          </w:p>
        </w:tc>
        <w:tc>
          <w:tcPr>
            <w:tcW w:type="dxa" w:w="4320"/>
          </w:tcPr>
          <w:p>
            <w:r>
              <w:t>v2.4, synchronized informative doorway</w:t>
            </w:r>
          </w:p>
        </w:tc>
      </w:tr>
      <w:tr>
        <w:tc>
          <w:tcPr>
            <w:tcW w:type="dxa" w:w="4320"/>
          </w:tcPr>
          <w:p>
            <w:r>
              <w:t>Methodology Summary</w:t>
            </w:r>
          </w:p>
        </w:tc>
        <w:tc>
          <w:tcPr>
            <w:tcW w:type="dxa" w:w="4320"/>
          </w:tcPr>
          <w:p>
            <w:r>
              <w:t>v10.6, this informative completion summary</w:t>
            </w:r>
          </w:p>
        </w:tc>
      </w:tr>
    </w:tbl>
    <w:p>
      <w:pPr>
        <w:pStyle w:val="Heading1"/>
      </w:pPr>
      <w:r>
        <w:t>What Did Not Change</w:t>
      </w:r>
    </w:p>
    <w:p>
      <w:pPr>
        <w:pStyle w:val="ListBullet"/>
      </w:pPr>
      <w:r>
        <w:t>The canonical cascade remains NCRC → TRC → Containment → RLS → UCI/HOI.</w:t>
      </w:r>
    </w:p>
    <w:p>
      <w:pPr>
        <w:pStyle w:val="ListBullet"/>
      </w:pPr>
      <w:r>
        <w:t>Rights floors and NCRC semantics remain non-compensatory.</w:t>
      </w:r>
    </w:p>
    <w:p>
      <w:pPr>
        <w:pStyle w:val="ListBullet"/>
      </w:pPr>
      <w:r>
        <w:t>TRC / CVaR mechanics remain intact.</w:t>
      </w:r>
    </w:p>
    <w:p>
      <w:pPr>
        <w:pStyle w:val="ListBullet"/>
      </w:pPr>
      <w:r>
        <w:t>Containment semantics remain intact.</w:t>
      </w:r>
    </w:p>
    <w:p>
      <w:pPr>
        <w:pStyle w:val="ListBullet"/>
      </w:pPr>
      <w:r>
        <w:t>RLS computation and 49-cell welfare matrix architecture remain intact.</w:t>
      </w:r>
    </w:p>
    <w:p>
      <w:pPr>
        <w:pStyle w:val="ListBullet"/>
      </w:pPr>
      <w:r>
        <w:t>SGP scalar canon and Human Plateau Rule remain intact.</w:t>
      </w:r>
    </w:p>
    <w:p>
      <w:pPr>
        <w:pStyle w:val="ListBullet"/>
      </w:pPr>
      <w:r>
        <w:t>PLSS remains residual-ranking-only and cannot weaken admissibility.</w:t>
      </w:r>
    </w:p>
    <w:p>
      <w:pPr>
        <w:pStyle w:val="ListBullet"/>
      </w:pPr>
      <w:r>
        <w:t>ripple.md remains a wrapper standard, not a replacement for the Canon.</w:t>
      </w:r>
    </w:p>
    <w:p>
      <w:pPr>
        <w:pStyle w:val="ListBullet"/>
      </w:pPr>
      <w:r>
        <w:t>The Agent System hard invariants, NEI firewall, mode ladder, operator authentication, external hard controls, and audit logging remain intact.</w:t>
      </w:r>
    </w:p>
    <w:p>
      <w:pPr>
        <w:pStyle w:val="ListBullet"/>
      </w:pPr>
      <w:r>
        <w:t>The Aligners Sheet remains a worked-run exemplar, not a validator, ProofPack, empirical-validation package, or deployment certification.</w:t>
      </w:r>
    </w:p>
    <w:p>
      <w:pPr>
        <w:pStyle w:val="Heading1"/>
      </w:pPr>
      <w:r>
        <w:t>Claim-Boundary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Claim type</w:t>
            </w:r>
          </w:p>
        </w:tc>
        <w:tc>
          <w:tcPr>
            <w:tcW w:type="dxa" w:w="2880"/>
          </w:tcPr>
          <w:p>
            <w:r>
              <w:t>v10.6 synchronized status</w:t>
            </w:r>
          </w:p>
        </w:tc>
        <w:tc>
          <w:tcPr>
            <w:tcW w:type="dxa" w:w="2880"/>
          </w:tcPr>
          <w:p>
            <w:r>
              <w:t>Required condition for stronger claim</w:t>
            </w:r>
          </w:p>
        </w:tc>
      </w:tr>
      <w:tr>
        <w:tc>
          <w:tcPr>
            <w:tcW w:type="dxa" w:w="2880"/>
          </w:tcPr>
          <w:p>
            <w:r>
              <w:t>Tier 1-3 conceptual/core foundation</w:t>
            </w:r>
          </w:p>
        </w:tc>
        <w:tc>
          <w:tcPr>
            <w:tcW w:type="dxa" w:w="2880"/>
          </w:tcPr>
          <w:p>
            <w:r>
              <w:t>Claimable within declared scope</w:t>
            </w:r>
          </w:p>
        </w:tc>
        <w:tc>
          <w:tcPr>
            <w:tcW w:type="dxa" w:w="2880"/>
          </w:tcPr>
          <w:p>
            <w:r>
              <w:t>Correctly pin and cite the v10.6 Canon, SGP v5.3, and synchronized companion line.</w:t>
            </w:r>
          </w:p>
        </w:tc>
      </w:tr>
      <w:tr>
        <w:tc>
          <w:tcPr>
            <w:tcW w:type="dxa" w:w="2880"/>
          </w:tcPr>
          <w:p>
            <w:r>
              <w:t>Tier 4 compliance</w:t>
            </w:r>
          </w:p>
        </w:tc>
        <w:tc>
          <w:tcPr>
            <w:tcW w:type="dxa" w:w="2880"/>
          </w:tcPr>
          <w:p>
            <w:r>
              <w:t>Not claimable</w:t>
            </w:r>
          </w:p>
        </w:tc>
        <w:tc>
          <w:tcPr>
            <w:tcW w:type="dxa" w:w="2880"/>
          </w:tcPr>
          <w:p>
            <w:r>
              <w:t>Requires public, independently replayable ProofPack and independent verification.</w:t>
            </w:r>
          </w:p>
        </w:tc>
      </w:tr>
      <w:tr>
        <w:tc>
          <w:tcPr>
            <w:tcW w:type="dxa" w:w="2880"/>
          </w:tcPr>
          <w:p>
            <w:r>
              <w:t>Empirical validation</w:t>
            </w:r>
          </w:p>
        </w:tc>
        <w:tc>
          <w:tcPr>
            <w:tcW w:type="dxa" w:w="2880"/>
          </w:tcPr>
          <w:p>
            <w:r>
              <w:t>Not claimable from this release</w:t>
            </w:r>
          </w:p>
        </w:tc>
        <w:tc>
          <w:tcPr>
            <w:tcW w:type="dxa" w:w="2880"/>
          </w:tcPr>
          <w:p>
            <w:r>
              <w:t>Requires completed pilots, validation data, methods disclosure, and external review.</w:t>
            </w:r>
          </w:p>
        </w:tc>
      </w:tr>
      <w:tr>
        <w:tc>
          <w:tcPr>
            <w:tcW w:type="dxa" w:w="2880"/>
          </w:tcPr>
          <w:p>
            <w:r>
              <w:t>Machine-verifiable ecosystem completeness</w:t>
            </w:r>
          </w:p>
        </w:tc>
        <w:tc>
          <w:tcPr>
            <w:tcW w:type="dxa" w:w="2880"/>
          </w:tcPr>
          <w:p>
            <w:r>
              <w:t>Not claimable from this release</w:t>
            </w:r>
          </w:p>
        </w:tc>
        <w:tc>
          <w:tcPr>
            <w:tcW w:type="dxa" w:w="2880"/>
          </w:tcPr>
          <w:p>
            <w:r>
              <w:t>Requires schemas, validators, reference calculator, machine-readable vectors, and replay assets.</w:t>
            </w:r>
          </w:p>
        </w:tc>
      </w:tr>
      <w:tr>
        <w:tc>
          <w:tcPr>
            <w:tcW w:type="dxa" w:w="2880"/>
          </w:tcPr>
          <w:p>
            <w:r>
              <w:t>Reference-calculator completeness</w:t>
            </w:r>
          </w:p>
        </w:tc>
        <w:tc>
          <w:tcPr>
            <w:tcW w:type="dxa" w:w="2880"/>
          </w:tcPr>
          <w:p>
            <w:r>
              <w:t>Not claimable unless separately bundled</w:t>
            </w:r>
          </w:p>
        </w:tc>
        <w:tc>
          <w:tcPr>
            <w:tcW w:type="dxa" w:w="2880"/>
          </w:tcPr>
          <w:p>
            <w:r>
              <w:t>Requires manifest-listed calculator assets and verification instructions.</w:t>
            </w:r>
          </w:p>
        </w:tc>
      </w:tr>
      <w:tr>
        <w:tc>
          <w:tcPr>
            <w:tcW w:type="dxa" w:w="2880"/>
          </w:tcPr>
          <w:p>
            <w:r>
              <w:t>Deployment readiness</w:t>
            </w:r>
          </w:p>
        </w:tc>
        <w:tc>
          <w:tcPr>
            <w:tcW w:type="dxa" w:w="2880"/>
          </w:tcPr>
          <w:p>
            <w:r>
              <w:t>Not certified</w:t>
            </w:r>
          </w:p>
        </w:tc>
        <w:tc>
          <w:tcPr>
            <w:tcW w:type="dxa" w:w="2880"/>
          </w:tcPr>
          <w:p>
            <w:r>
              <w:t>Requires context-specific controls, evidence packs, operator authorization, audit windows, rollback proof, and lawful authority.</w:t>
            </w:r>
          </w:p>
        </w:tc>
      </w:tr>
      <w:tr>
        <w:tc>
          <w:tcPr>
            <w:tcW w:type="dxa" w:w="2880"/>
          </w:tcPr>
          <w:p>
            <w:r>
              <w:t>Legal compliance</w:t>
            </w:r>
          </w:p>
        </w:tc>
        <w:tc>
          <w:tcPr>
            <w:tcW w:type="dxa" w:w="2880"/>
          </w:tcPr>
          <w:p>
            <w:r>
              <w:t>Not certified</w:t>
            </w:r>
          </w:p>
        </w:tc>
        <w:tc>
          <w:tcPr>
            <w:tcW w:type="dxa" w:w="2880"/>
          </w:tcPr>
          <w:p>
            <w:r>
              <w:t>Requires jurisdiction-specific legal analysis and authorized review.</w:t>
            </w:r>
          </w:p>
        </w:tc>
      </w:tr>
      <w:tr>
        <w:tc>
          <w:tcPr>
            <w:tcW w:type="dxa" w:w="2880"/>
          </w:tcPr>
          <w:p>
            <w:r>
              <w:t>Completed biological SGP measurement</w:t>
            </w:r>
          </w:p>
        </w:tc>
        <w:tc>
          <w:tcPr>
            <w:tcW w:type="dxa" w:w="2880"/>
          </w:tcPr>
          <w:p>
            <w:r>
              <w:t>Not claimable</w:t>
            </w:r>
          </w:p>
        </w:tc>
        <w:tc>
          <w:tcPr>
            <w:tcW w:type="dxa" w:w="2880"/>
          </w:tcPr>
          <w:p>
            <w:r>
              <w:t>Requires species-appropriate validated batteries, ethological translation, and companion biological annexes developed with relevant experts.</w:t>
            </w:r>
          </w:p>
        </w:tc>
      </w:tr>
      <w:tr>
        <w:tc>
          <w:tcPr>
            <w:tcW w:type="dxa" w:w="2880"/>
          </w:tcPr>
          <w:p>
            <w:r>
              <w:t>Current-AI sentience</w:t>
            </w:r>
          </w:p>
        </w:tc>
        <w:tc>
          <w:tcPr>
            <w:tcW w:type="dxa" w:w="2880"/>
          </w:tcPr>
          <w:p>
            <w:r>
              <w:t>Not claimed</w:t>
            </w:r>
          </w:p>
        </w:tc>
        <w:tc>
          <w:tcPr>
            <w:tcW w:type="dxa" w:w="2880"/>
          </w:tcPr>
          <w:p>
            <w:r>
              <w:t>Requires evidence meeting the declared SGP standard and governed review.</w:t>
            </w:r>
          </w:p>
        </w:tc>
      </w:tr>
    </w:tbl>
    <w:p>
      <w:pPr>
        <w:pStyle w:val="Heading1"/>
      </w:pPr>
      <w:r>
        <w:t>Release-Integrity Instructions</w:t>
      </w:r>
    </w:p>
    <w:p>
      <w:pPr>
        <w:pStyle w:val="ListBullet"/>
      </w:pPr>
      <w:r>
        <w:t>Regenerate SHA-256 hashes after every byte-stream change to any release artifact.</w:t>
      </w:r>
    </w:p>
    <w:p>
      <w:pPr>
        <w:pStyle w:val="ListBullet"/>
      </w:pPr>
      <w:r>
        <w:t>Build the final ZIP, extract it into a clean directory, and verify the manifest against extracted files before public release.</w:t>
      </w:r>
    </w:p>
    <w:p>
      <w:pPr>
        <w:pStyle w:val="ListBullet"/>
      </w:pPr>
      <w:r>
        <w:t>Do not treat any file labeled final, clean, patched, regen, or draft as canonical unless it is byte-identical to the manifest-pinned artifact.</w:t>
      </w:r>
    </w:p>
    <w:p>
      <w:pPr>
        <w:pStyle w:val="ListBullet"/>
      </w:pPr>
      <w:r>
        <w:t>Update README and final verification language whenever package contents change.</w:t>
      </w:r>
    </w:p>
    <w:p>
      <w:pPr>
        <w:pStyle w:val="Heading1"/>
      </w:pPr>
      <w:r>
        <w:t>Future Release Path</w:t>
      </w:r>
    </w:p>
    <w:p>
      <w:r>
        <w:t>v10.6 is the complete current core pair plus companion synchronization line. v10.7 or v11 should be reserved for tooling, biological annexes, validation results, pilot evidence, or larger architecture-level revisions depending on scope. The ProofPack line remains a separate replayability package requiring schemas, validators, vectors, a reference calculator, replay instructions, and independent replay evidence.</w:t>
      </w:r>
    </w:p>
    <w:p>
      <w:pPr>
        <w:pStyle w:val="Heading1"/>
      </w:pPr>
      <w:r>
        <w:t>Boundary Note</w:t>
      </w:r>
    </w:p>
    <w:p>
      <w:r>
        <w:t>This summary is informative. It records what changed and what was synchronized in the v10.6 / SGP v5.3 release line. It does not create normative force, does not replace the Canon or SGP, and does not convert the package into a ProofPack, Tier-4 claim, empirical validation claim, legal compliance certification, or deployment-readiness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v10.6 Methodology Completion and Companion Synchronization Summary</dc:title>
  <dc:subject>Informative release-summary companion for the RippleLogic Canon v10.6 / SGP v5.3 synchronized release line.</dc:subject>
  <dc:creator>James McGaughran / MathGov Institute for Ethical Systems Design</dc:creator>
  <cp:keywords>RippleLogic v10.6, SGP v5.3, Methodology Summary, companion synchronization, release boundaries, ProofPack boundary</cp:keywords>
  <dc:description>Release-ready June 1 2026 summary; informative only, not a normative source of truth.</dc:description>
  <cp:lastModifiedBy>OpenAI GPT-5.5 Thinking</cp:lastModifiedBy>
  <cp:revision>1</cp:revision>
  <dcterms:created xsi:type="dcterms:W3CDTF">2013-12-23T23:15:00Z</dcterms:created>
  <dcterms:modified xsi:type="dcterms:W3CDTF">2013-12-23T23:15:00Z</dcterms:modified>
  <cp:category>MathGov / RippleLogic Core Release</cp:category>
</cp:coreProperties>
</file>