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RippleLogic RLS Validation Protocol v1.0</w:t>
      </w:r>
    </w:p>
    <w:p>
      <w:pPr>
        <w:jc w:val="center"/>
      </w:pPr>
      <w:r>
        <w:rPr>
          <w:i/>
        </w:rPr>
        <w:t>Companion validation protocol for MathGov Core Release 2026.09 v11.4</w:t>
      </w:r>
    </w:p>
    <w:p>
      <w:r>
        <w:t>Status: protocol design, rater-study template, and validation sprint package. This document is not a governing core document, not empirical validation, not legal certification, and not deployment authorization.</w:t>
      </w:r>
    </w:p>
    <w:p>
      <w:r>
        <w:t>Source binding: MathGov is the umbrella framework. RippleLogic is the decision architecture inside MathGov. The public cascade is RG -&gt; RF -&gt; TRC -&gt; CSV -&gt; RLS. The formal shorthand is RG/RSG -&gt; RF/NCRC -&gt; TRC -&gt; CSV -&gt; RLS. RLS ranks only selectable options after Reality Grounding, the Rights Floor, the Tail-Risk Constraint, and Containment and Structural Viability have been satisfied.</w:t>
      </w:r>
    </w:p>
    <w:p>
      <w:pPr>
        <w:pStyle w:val="Heading1"/>
      </w:pPr>
      <w:r>
        <w:t>1. Executive purpose</w:t>
      </w:r>
    </w:p>
    <w:p>
      <w:r>
        <w:t>This protocol converts the next scientific need for RLS into a concrete study package. The goal is to test whether the 49-cell RLS welfare field is more than detailed. It must become defensible as structured, non-redundant, teachable, repeatable, and useful for better-justified decisions.</w:t>
      </w:r>
    </w:p>
    <w:p>
      <w:pPr>
        <w:pStyle w:val="ListBullet"/>
      </w:pPr>
      <w:r>
        <w:t>Dimensional non-overlap: test whether the 49 Scope x Dimension cells capture distinct decision-relevant information or collapse into redundant clusters.</w:t>
      </w:r>
    </w:p>
    <w:p>
      <w:pPr>
        <w:pStyle w:val="ListBullet"/>
      </w:pPr>
      <w:r>
        <w:t>Inter-rater reliability: test whether trained analysts can independently score the same cases with acceptable agreement.</w:t>
      </w:r>
    </w:p>
    <w:p>
      <w:pPr>
        <w:pStyle w:val="ListBullet"/>
      </w:pPr>
      <w:r>
        <w:t>Decision value: test whether RLS reveals material harms, benefits, near-misses, or trade-patterns that a simpler single metric would hide.</w:t>
      </w:r>
    </w:p>
    <w:p>
      <w:pPr>
        <w:pStyle w:val="ListBullet"/>
      </w:pPr>
      <w:r>
        <w:t>Revision value: identify which cells, anchors, instructions, or workbook fields need refinement before stronger operational-readiness claims are made.</w:t>
      </w:r>
    </w:p>
    <w:p>
      <w:pPr>
        <w:pStyle w:val="Heading1"/>
      </w:pPr>
      <w:r>
        <w:t>2. Claim boundary</w:t>
      </w:r>
    </w:p>
    <w:p>
      <w:r>
        <w:t>A successful validation sprint does not prove universal superiority. It can support narrower claims such as: trained raters can apply the RLS scoring manual with measurable agreement on a representative case set; some cells provide distinct information not captured by a scalar score; and identified scoring ambiguities have been logged for Canon or companion refinement.</w:t>
      </w:r>
    </w:p>
    <w:p>
      <w:r>
        <w:t>Until evidence is published or registered, the correct status is: RLS is architecturally specified and audit-ready as a structured residual welfare-ranking layer, but empirical validation of dimensional independence and rater reliability remains in progress.</w:t>
      </w:r>
    </w:p>
    <w:p>
      <w:pPr>
        <w:pStyle w:val="Heading1"/>
      </w:pPr>
      <w:r>
        <w:t>3. Canonical architecture under test</w:t>
      </w:r>
    </w:p>
    <w:tbl>
      <w:tblPr>
        <w:tblStyle w:val="TableGrid"/>
        <w:tblW w:type="pct" w:w="500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9DB9D2"/>
          <w:left w:val="single" w:sz="6" w:space="0" w:color="9DB9D2"/>
          <w:bottom w:val="single" w:sz="6" w:space="0" w:color="9DB9D2"/>
          <w:right w:val="single" w:sz="6" w:space="0" w:color="9DB9D2"/>
          <w:insideH w:val="single" w:sz="6" w:space="0" w:color="9DB9D2"/>
          <w:insideV w:val="single" w:sz="6" w:space="0" w:color="9DB9D2"/>
        </w:tblBorders>
      </w:tblPr>
      <w:tblGrid>
        <w:gridCol w:w="4609"/>
        <w:gridCol w:w="4609"/>
      </w:tblGrid>
      <w:tr>
        <w:trPr>
          <w:tblHeader w:val="true"/>
          <w:cantSplit/>
        </w:trPr>
        <w:tc>
          <w:tcPr>
            <w:tcW w:type="dxa" w:w="4609"/>
            <w:vAlign w:val="top"/>
            <w:shd w:fill="D9EAF7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/>
                <w:sz w:val="19"/>
                <w:color w:val="1F4E79"/>
              </w:rPr>
            </w:r>
            <w:r>
              <w:rPr>
                <w:rFonts w:ascii="Aptos" w:hAnsi="Aptos" w:eastAsia="Aptos"/>
                <w:b/>
                <w:sz w:val="19"/>
                <w:color w:val="1F4E79"/>
              </w:rPr>
              <w:t>Layer</w:t>
            </w:r>
          </w:p>
        </w:tc>
        <w:tc>
          <w:tcPr>
            <w:tcW w:type="dxa" w:w="4609"/>
            <w:vAlign w:val="top"/>
            <w:shd w:fill="D9EAF7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/>
                <w:sz w:val="19"/>
                <w:color w:val="1F4E79"/>
              </w:rPr>
            </w:r>
            <w:r>
              <w:rPr>
                <w:rFonts w:ascii="Aptos" w:hAnsi="Aptos" w:eastAsia="Aptos"/>
                <w:b/>
                <w:sz w:val="19"/>
                <w:color w:val="1F4E79"/>
              </w:rPr>
              <w:t>Role in validation</w:t>
            </w:r>
          </w:p>
        </w:tc>
      </w:tr>
      <w:tr>
        <w:trPr>
          <w:cantSplit/>
        </w:trPr>
        <w:tc>
          <w:tcPr>
            <w:tcW w:type="dxa" w:w="460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</w:r>
            <w:r>
              <w:rPr>
                <w:rFonts w:ascii="Aptos" w:hAnsi="Aptos" w:eastAsia="Aptos"/>
                <w:b w:val="0"/>
                <w:color w:val="000000"/>
                <w:sz w:val="19"/>
              </w:rPr>
              <w:t>RG - Reality Grounding</w:t>
            </w:r>
          </w:p>
        </w:tc>
        <w:tc>
          <w:tcPr>
            <w:tcW w:type="dxa" w:w="460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</w:r>
            <w:r>
              <w:rPr>
                <w:rFonts w:ascii="Aptos" w:hAnsi="Aptos" w:eastAsia="Aptos"/>
                <w:b w:val="0"/>
                <w:color w:val="000000"/>
                <w:sz w:val="19"/>
              </w:rPr>
              <w:t>Claim-authority precondition. Raters must not score claims stronger than the evidence surface permits.</w:t>
            </w:r>
          </w:p>
        </w:tc>
      </w:tr>
      <w:tr>
        <w:trPr>
          <w:cantSplit/>
        </w:trPr>
        <w:tc>
          <w:tcPr>
            <w:tcW w:type="dxa" w:w="460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</w:r>
            <w:r>
              <w:rPr>
                <w:rFonts w:ascii="Aptos" w:hAnsi="Aptos" w:eastAsia="Aptos"/>
                <w:b w:val="0"/>
                <w:color w:val="000000"/>
                <w:sz w:val="19"/>
              </w:rPr>
              <w:t>RF - Rights Floor / NCRC</w:t>
            </w:r>
          </w:p>
        </w:tc>
        <w:tc>
          <w:tcPr>
            <w:tcW w:type="dxa" w:w="460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</w:r>
            <w:r>
              <w:rPr>
                <w:rFonts w:ascii="Aptos" w:hAnsi="Aptos" w:eastAsia="Aptos"/>
                <w:b w:val="0"/>
                <w:color w:val="000000"/>
                <w:sz w:val="19"/>
              </w:rPr>
              <w:t>Non-compensatory gate. RLS cannot rescue rights-floor failure.</w:t>
            </w:r>
          </w:p>
        </w:tc>
      </w:tr>
      <w:tr>
        <w:trPr>
          <w:cantSplit/>
        </w:trPr>
        <w:tc>
          <w:tcPr>
            <w:tcW w:type="dxa" w:w="460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</w:r>
            <w:r>
              <w:rPr>
                <w:rFonts w:ascii="Aptos" w:hAnsi="Aptos" w:eastAsia="Aptos"/>
                <w:b w:val="0"/>
                <w:color w:val="000000"/>
                <w:sz w:val="19"/>
              </w:rPr>
              <w:t>TRC - Tail-Risk Constraint</w:t>
            </w:r>
          </w:p>
        </w:tc>
        <w:tc>
          <w:tcPr>
            <w:tcW w:type="dxa" w:w="460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</w:r>
            <w:r>
              <w:rPr>
                <w:rFonts w:ascii="Aptos" w:hAnsi="Aptos" w:eastAsia="Aptos"/>
                <w:b w:val="0"/>
                <w:color w:val="000000"/>
                <w:sz w:val="19"/>
              </w:rPr>
              <w:t>Non-compensatory catastrophic-risk gate. RLS cannot average ruin into ordinary benefit.</w:t>
            </w:r>
          </w:p>
        </w:tc>
      </w:tr>
      <w:tr>
        <w:trPr>
          <w:cantSplit/>
        </w:trPr>
        <w:tc>
          <w:tcPr>
            <w:tcW w:type="dxa" w:w="460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</w:r>
            <w:r>
              <w:rPr>
                <w:rFonts w:ascii="Aptos" w:hAnsi="Aptos" w:eastAsia="Aptos"/>
                <w:b w:val="0"/>
                <w:color w:val="000000"/>
                <w:sz w:val="19"/>
              </w:rPr>
              <w:t>CSV - Containment and Structural Viability</w:t>
            </w:r>
          </w:p>
        </w:tc>
        <w:tc>
          <w:tcPr>
            <w:tcW w:type="dxa" w:w="460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</w:r>
            <w:r>
              <w:rPr>
                <w:rFonts w:ascii="Aptos" w:hAnsi="Aptos" w:eastAsia="Aptos"/>
                <w:b w:val="0"/>
                <w:color w:val="000000"/>
                <w:sz w:val="19"/>
              </w:rPr>
              <w:t>Selectability gate for containing-system integrity and execution viability.</w:t>
            </w:r>
          </w:p>
        </w:tc>
      </w:tr>
      <w:tr>
        <w:trPr>
          <w:cantSplit/>
        </w:trPr>
        <w:tc>
          <w:tcPr>
            <w:tcW w:type="dxa" w:w="460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</w:r>
            <w:r>
              <w:rPr>
                <w:rFonts w:ascii="Aptos" w:hAnsi="Aptos" w:eastAsia="Aptos"/>
                <w:b w:val="0"/>
                <w:color w:val="000000"/>
                <w:sz w:val="19"/>
              </w:rPr>
              <w:t>RLS - RippleLogic Score</w:t>
            </w:r>
          </w:p>
        </w:tc>
        <w:tc>
          <w:tcPr>
            <w:tcW w:type="dxa" w:w="460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</w:r>
            <w:r>
              <w:rPr>
                <w:rFonts w:ascii="Aptos" w:hAnsi="Aptos" w:eastAsia="Aptos"/>
                <w:b w:val="0"/>
                <w:color w:val="000000"/>
                <w:sz w:val="19"/>
              </w:rPr>
              <w:t>Residual welfare-ranking layer over selectable options only.</w:t>
            </w:r>
          </w:p>
        </w:tc>
      </w:tr>
    </w:tbl>
    <w:p/>
    <w:p>
      <w:r>
        <w:t>Core RLS formula: RLS(a) = sum_u sum_d w_u * v_d * m(u,d) * kappa(u,d) * I_prop_welfare(u,d,a).</w:t>
      </w:r>
    </w:p>
    <w:p>
      <w:r>
        <w:t>Canonical welfare impact scale: I(u,d,a) in [-1,+1], where 0 means no material change from the declared baseline, not unknown. Unknown active cells must be marked and handled under the missing-data and gate-critical unknown rules.</w:t>
      </w:r>
    </w:p>
    <w:p>
      <w:pPr>
        <w:pStyle w:val="Heading1"/>
      </w:pPr>
      <w:r>
        <w:t>4. RLS objects to validate</w:t>
      </w:r>
    </w:p>
    <w:tbl>
      <w:tblPr>
        <w:tblStyle w:val="TableGrid"/>
        <w:tblW w:type="pct" w:w="500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9DB9D2"/>
          <w:left w:val="single" w:sz="6" w:space="0" w:color="9DB9D2"/>
          <w:bottom w:val="single" w:sz="6" w:space="0" w:color="9DB9D2"/>
          <w:right w:val="single" w:sz="6" w:space="0" w:color="9DB9D2"/>
          <w:insideH w:val="single" w:sz="6" w:space="0" w:color="9DB9D2"/>
          <w:insideV w:val="single" w:sz="6" w:space="0" w:color="9DB9D2"/>
        </w:tblBorders>
      </w:tblPr>
      <w:tblGrid>
        <w:gridCol w:w="3073"/>
        <w:gridCol w:w="3073"/>
        <w:gridCol w:w="3073"/>
      </w:tblGrid>
      <w:tr>
        <w:trPr>
          <w:tblHeader w:val="true"/>
          <w:cantSplit/>
        </w:trPr>
        <w:tc>
          <w:tcPr>
            <w:tcW w:type="dxa" w:w="3073"/>
            <w:vAlign w:val="top"/>
            <w:shd w:fill="D9EAF7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/>
                <w:sz w:val="18"/>
                <w:color w:val="1F4E79"/>
              </w:rPr>
            </w:r>
            <w:r>
              <w:rPr>
                <w:rFonts w:ascii="Aptos" w:hAnsi="Aptos" w:eastAsia="Aptos"/>
                <w:b/>
                <w:sz w:val="18"/>
                <w:color w:val="1F4E79"/>
              </w:rPr>
              <w:t>Object</w:t>
            </w:r>
          </w:p>
        </w:tc>
        <w:tc>
          <w:tcPr>
            <w:tcW w:type="dxa" w:w="3073"/>
            <w:vAlign w:val="top"/>
            <w:shd w:fill="D9EAF7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/>
                <w:sz w:val="18"/>
                <w:color w:val="1F4E79"/>
              </w:rPr>
            </w:r>
            <w:r>
              <w:rPr>
                <w:rFonts w:ascii="Aptos" w:hAnsi="Aptos" w:eastAsia="Aptos"/>
                <w:b/>
                <w:sz w:val="18"/>
                <w:color w:val="1F4E79"/>
              </w:rPr>
              <w:t>Validation concern</w:t>
            </w:r>
          </w:p>
        </w:tc>
        <w:tc>
          <w:tcPr>
            <w:tcW w:type="dxa" w:w="3073"/>
            <w:vAlign w:val="top"/>
            <w:shd w:fill="D9EAF7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/>
                <w:sz w:val="18"/>
                <w:color w:val="1F4E79"/>
              </w:rPr>
            </w:r>
            <w:r>
              <w:rPr>
                <w:rFonts w:ascii="Aptos" w:hAnsi="Aptos" w:eastAsia="Aptos"/>
                <w:b/>
                <w:sz w:val="18"/>
                <w:color w:val="1F4E79"/>
              </w:rPr>
              <w:t>Minimum evidence to collect</w:t>
            </w:r>
          </w:p>
        </w:tc>
      </w:tr>
      <w:tr>
        <w:trPr>
          <w:cantSplit/>
        </w:trPr>
        <w:tc>
          <w:tcPr>
            <w:tcW w:type="dxa" w:w="307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Cell score I(u,d,a)</w:t>
            </w:r>
          </w:p>
        </w:tc>
        <w:tc>
          <w:tcPr>
            <w:tcW w:type="dxa" w:w="307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Can raters interpret the same cell consistently?</w:t>
            </w:r>
          </w:p>
        </w:tc>
        <w:tc>
          <w:tcPr>
            <w:tcW w:type="dxa" w:w="307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Score, confidence, rationale, evidence basis, uncertainty flag.</w:t>
            </w:r>
          </w:p>
        </w:tc>
      </w:tr>
      <w:tr>
        <w:trPr>
          <w:cantSplit/>
        </w:trPr>
        <w:tc>
          <w:tcPr>
            <w:tcW w:type="dxa" w:w="307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Impact magnitude</w:t>
            </w:r>
          </w:p>
        </w:tc>
        <w:tc>
          <w:tcPr>
            <w:tcW w:type="dxa" w:w="307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Can raters build similar magnitude judgments from anchors?</w:t>
            </w:r>
          </w:p>
        </w:tc>
        <w:tc>
          <w:tcPr>
            <w:tcW w:type="dxa" w:w="307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Anchor method, raw indicator, baseline, predicted option value where available.</w:t>
            </w:r>
          </w:p>
        </w:tc>
      </w:tr>
      <w:tr>
        <w:trPr>
          <w:cantSplit/>
        </w:trPr>
        <w:tc>
          <w:tcPr>
            <w:tcW w:type="dxa" w:w="307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Union Scope mapping</w:t>
            </w:r>
          </w:p>
        </w:tc>
        <w:tc>
          <w:tcPr>
            <w:tcW w:type="dxa" w:w="307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Do raters map stakeholders to the same scope rows?</w:t>
            </w:r>
          </w:p>
        </w:tc>
        <w:tc>
          <w:tcPr>
            <w:tcW w:type="dxa" w:w="307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Stakeholder-instance map and scope rationale.</w:t>
            </w:r>
          </w:p>
        </w:tc>
      </w:tr>
      <w:tr>
        <w:trPr>
          <w:cantSplit/>
        </w:trPr>
        <w:tc>
          <w:tcPr>
            <w:tcW w:type="dxa" w:w="307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Dimension mapping</w:t>
            </w:r>
          </w:p>
        </w:tc>
        <w:tc>
          <w:tcPr>
            <w:tcW w:type="dxa" w:w="307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Do raters distinguish Material, Health, Social, Knowledge, Agency, Meaning, Environment?</w:t>
            </w:r>
          </w:p>
        </w:tc>
        <w:tc>
          <w:tcPr>
            <w:tcW w:type="dxa" w:w="307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Dimension rationale and boundary notes.</w:t>
            </w:r>
          </w:p>
        </w:tc>
      </w:tr>
      <w:tr>
        <w:trPr>
          <w:cantSplit/>
        </w:trPr>
        <w:tc>
          <w:tcPr>
            <w:tcW w:type="dxa" w:w="307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RLS ranking</w:t>
            </w:r>
          </w:p>
        </w:tc>
        <w:tc>
          <w:tcPr>
            <w:tcW w:type="dxa" w:w="307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Do raters produce comparable option orderings?</w:t>
            </w:r>
          </w:p>
        </w:tc>
        <w:tc>
          <w:tcPr>
            <w:tcW w:type="dxa" w:w="307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RLS or simplified ranking by case, plus decisiveness notes.</w:t>
            </w:r>
          </w:p>
        </w:tc>
      </w:tr>
      <w:tr>
        <w:trPr>
          <w:cantSplit/>
        </w:trPr>
        <w:tc>
          <w:tcPr>
            <w:tcW w:type="dxa" w:w="307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Gate relevance flags</w:t>
            </w:r>
          </w:p>
        </w:tc>
        <w:tc>
          <w:tcPr>
            <w:tcW w:type="dxa" w:w="307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Do raters identify RF, TRC, or CSV relevance consistently?</w:t>
            </w:r>
          </w:p>
        </w:tc>
        <w:tc>
          <w:tcPr>
            <w:tcW w:type="dxa" w:w="307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Flag and explanation; not an automated gate verdict.</w:t>
            </w:r>
          </w:p>
        </w:tc>
      </w:tr>
    </w:tbl>
    <w:p/>
    <w:p>
      <w:pPr>
        <w:pStyle w:val="Heading1"/>
      </w:pPr>
      <w:r>
        <w:t>5. Study ladder</w:t>
      </w:r>
    </w:p>
    <w:tbl>
      <w:tblPr>
        <w:tblStyle w:val="TableGrid"/>
        <w:tblW w:type="pct" w:w="500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9DB9D2"/>
          <w:left w:val="single" w:sz="6" w:space="0" w:color="9DB9D2"/>
          <w:bottom w:val="single" w:sz="6" w:space="0" w:color="9DB9D2"/>
          <w:right w:val="single" w:sz="6" w:space="0" w:color="9DB9D2"/>
          <w:insideH w:val="single" w:sz="6" w:space="0" w:color="9DB9D2"/>
          <w:insideV w:val="single" w:sz="6" w:space="0" w:color="9DB9D2"/>
        </w:tblBorders>
      </w:tblPr>
      <w:tblGrid>
        <w:gridCol w:w="1840"/>
        <w:gridCol w:w="2459"/>
        <w:gridCol w:w="2459"/>
        <w:gridCol w:w="2459"/>
      </w:tblGrid>
      <w:tr>
        <w:trPr>
          <w:tblHeader w:val="true"/>
          <w:cantSplit/>
        </w:trPr>
        <w:tc>
          <w:tcPr>
            <w:tcW w:type="dxa" w:w="1840"/>
            <w:vAlign w:val="top"/>
            <w:shd w:fill="D9EAF7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/>
                <w:sz w:val="17"/>
                <w:color w:val="1F4E79"/>
              </w:rPr>
            </w:r>
            <w:r>
              <w:rPr>
                <w:rFonts w:ascii="Aptos" w:hAnsi="Aptos" w:eastAsia="Aptos"/>
                <w:b/>
                <w:sz w:val="17"/>
                <w:color w:val="1F4E79"/>
              </w:rPr>
              <w:t>Level</w:t>
            </w:r>
          </w:p>
        </w:tc>
        <w:tc>
          <w:tcPr>
            <w:tcW w:type="dxa" w:w="2459"/>
            <w:vAlign w:val="top"/>
            <w:shd w:fill="D9EAF7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/>
                <w:sz w:val="17"/>
                <w:color w:val="1F4E79"/>
              </w:rPr>
            </w:r>
            <w:r>
              <w:rPr>
                <w:rFonts w:ascii="Aptos" w:hAnsi="Aptos" w:eastAsia="Aptos"/>
                <w:b/>
                <w:sz w:val="17"/>
                <w:color w:val="1F4E79"/>
              </w:rPr>
              <w:t>Name</w:t>
            </w:r>
          </w:p>
        </w:tc>
        <w:tc>
          <w:tcPr>
            <w:tcW w:type="dxa" w:w="2459"/>
            <w:vAlign w:val="top"/>
            <w:shd w:fill="D9EAF7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/>
                <w:sz w:val="17"/>
                <w:color w:val="1F4E79"/>
              </w:rPr>
            </w:r>
            <w:r>
              <w:rPr>
                <w:rFonts w:ascii="Aptos" w:hAnsi="Aptos" w:eastAsia="Aptos"/>
                <w:b/>
                <w:sz w:val="17"/>
                <w:color w:val="1F4E79"/>
              </w:rPr>
              <w:t>Minimum design</w:t>
            </w:r>
          </w:p>
        </w:tc>
        <w:tc>
          <w:tcPr>
            <w:tcW w:type="dxa" w:w="2459"/>
            <w:vAlign w:val="top"/>
            <w:shd w:fill="D9EAF7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/>
                <w:sz w:val="17"/>
                <w:color w:val="1F4E79"/>
              </w:rPr>
            </w:r>
            <w:r>
              <w:rPr>
                <w:rFonts w:ascii="Aptos" w:hAnsi="Aptos" w:eastAsia="Aptos"/>
                <w:b/>
                <w:sz w:val="17"/>
                <w:color w:val="1F4E79"/>
              </w:rPr>
              <w:t>Permitted claim</w:t>
            </w:r>
          </w:p>
        </w:tc>
      </w:tr>
      <w:tr>
        <w:trPr>
          <w:cantSplit/>
        </w:trPr>
        <w:tc>
          <w:tcPr>
            <w:tcW w:type="dxa" w:w="18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L0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Internal debug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2-3 cases, 1-2 raters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Only detects obvious rubric or workbook defects.</w:t>
            </w:r>
          </w:p>
        </w:tc>
      </w:tr>
      <w:tr>
        <w:trPr>
          <w:cantSplit/>
        </w:trPr>
        <w:tc>
          <w:tcPr>
            <w:tcW w:type="dxa" w:w="18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L1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Validation sprint v0.1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10 synthetic cases, 3 options each, 3-5 raters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Exploratory evidence on clarity, disagreement, and redundancy.</w:t>
            </w:r>
          </w:p>
        </w:tc>
      </w:tr>
      <w:tr>
        <w:trPr>
          <w:cantSplit/>
        </w:trPr>
        <w:tc>
          <w:tcPr>
            <w:tcW w:type="dxa" w:w="18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L2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Calibration study v1.0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20-30 cases, 3-5 options each, 5-9 raters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Preliminary IRR and dimensional-overlap evidence.</w:t>
            </w:r>
          </w:p>
        </w:tc>
      </w:tr>
      <w:tr>
        <w:trPr>
          <w:cantSplit/>
        </w:trPr>
        <w:tc>
          <w:tcPr>
            <w:tcW w:type="dxa" w:w="18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L3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External shadow-mode study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Real or historical cases, independent raters, preregistered analysis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Domain-specific evidence for operational readiness in shadow mode.</w:t>
            </w:r>
          </w:p>
        </w:tc>
      </w:tr>
      <w:tr>
        <w:trPr>
          <w:cantSplit/>
        </w:trPr>
        <w:tc>
          <w:tcPr>
            <w:tcW w:type="dxa" w:w="18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L4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Controlled pilot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Authorized institution, comparator process, outcome follow-up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Limited performance claims relative to a declared comparator.</w:t>
            </w:r>
          </w:p>
        </w:tc>
      </w:tr>
    </w:tbl>
    <w:p/>
    <w:p>
      <w:pPr>
        <w:pStyle w:val="Heading1"/>
      </w:pPr>
      <w:r>
        <w:t>6. Validation sprint v0.1</w:t>
      </w:r>
    </w:p>
    <w:p>
      <w:pPr>
        <w:pStyle w:val="ListBullet"/>
      </w:pPr>
      <w:r>
        <w:t>Case set: 10 realistic synthetic cases across AI governance, education, health, environment, public policy, and local infrastructure.</w:t>
      </w:r>
    </w:p>
    <w:p>
      <w:pPr>
        <w:pStyle w:val="ListBullet"/>
      </w:pPr>
      <w:r>
        <w:t>Options: 3 candidate options per case.</w:t>
      </w:r>
    </w:p>
    <w:p>
      <w:pPr>
        <w:pStyle w:val="ListBullet"/>
      </w:pPr>
      <w:r>
        <w:t>Raters: minimum 3, preferred 5. Include at least one non-authorial reviewer when possible.</w:t>
      </w:r>
    </w:p>
    <w:p>
      <w:pPr>
        <w:pStyle w:val="ListBullet"/>
      </w:pPr>
      <w:r>
        <w:t>Scoring surface: 49 RLS cells per option, with score, confidence, rationale, anchor method, evidence basis, and uncertainty flag.</w:t>
      </w:r>
    </w:p>
    <w:p>
      <w:pPr>
        <w:pStyle w:val="ListBullet"/>
      </w:pPr>
      <w:r>
        <w:t>Blind posture: raters should score independently before discussion.</w:t>
      </w:r>
    </w:p>
    <w:p>
      <w:pPr>
        <w:pStyle w:val="ListBullet"/>
      </w:pPr>
      <w:r>
        <w:t>Adjudication: after independent scoring, record disagreements and produce an adjudicated reference score only after preserving raw rater scores.</w:t>
      </w:r>
    </w:p>
    <w:p>
      <w:pPr>
        <w:pStyle w:val="ListBullet"/>
      </w:pPr>
      <w:r>
        <w:t>Analysis: compute IRR, disagreement heatmaps, cell correlations, factor/PCA structure, missingness patterns, and comparison to a simpler scalar or 7-dimension summary.</w:t>
      </w:r>
    </w:p>
    <w:p>
      <w:pPr>
        <w:pStyle w:val="Heading1"/>
      </w:pPr>
      <w:r>
        <w:t>7. Rater instructions</w:t>
      </w:r>
    </w:p>
    <w:p>
      <w:pPr>
        <w:pStyle w:val="ListBullet"/>
      </w:pPr>
      <w:r>
        <w:t>Score the change from the declared baseline, not the absolute goodness of the option.</w:t>
      </w:r>
    </w:p>
    <w:p>
      <w:pPr>
        <w:pStyle w:val="ListBullet"/>
      </w:pPr>
      <w:r>
        <w:t>Do not treat 0 as unknown. Use 0 only for no material baseline-relative change.</w:t>
      </w:r>
    </w:p>
    <w:p>
      <w:pPr>
        <w:pStyle w:val="ListBullet"/>
      </w:pPr>
      <w:r>
        <w:t>If evidence is insufficient for an active cell, mark UNKNOWN_IMPACT and explain what evidence is missing.</w:t>
      </w:r>
    </w:p>
    <w:p>
      <w:pPr>
        <w:pStyle w:val="ListBullet"/>
      </w:pPr>
      <w:r>
        <w:t>Do not average away subgroup harms in rights-relevant cells. Flag rights concerns separately from residual welfare scoring.</w:t>
      </w:r>
    </w:p>
    <w:p>
      <w:pPr>
        <w:pStyle w:val="ListBullet"/>
      </w:pPr>
      <w:r>
        <w:t>Do not let RLS repair an option that fails RF/NCRC, TRC, or CSV.</w:t>
      </w:r>
    </w:p>
    <w:p>
      <w:pPr>
        <w:pStyle w:val="ListBullet"/>
      </w:pPr>
      <w:r>
        <w:t>Record confidence independently from magnitude. A large impact with weak evidence is not the same as a small impact with strong evidence.</w:t>
      </w:r>
    </w:p>
    <w:p>
      <w:pPr>
        <w:pStyle w:val="ListBullet"/>
      </w:pPr>
      <w:r>
        <w:t>Use the cell dictionary. When two cells seem similar, explain why the impact belongs in one cell, the other, or both with redundancy handling.</w:t>
      </w:r>
    </w:p>
    <w:p>
      <w:pPr>
        <w:pStyle w:val="ListBullet"/>
      </w:pPr>
      <w:r>
        <w:t>When unsure, score conservatively, mark the uncertainty, and write the reviewer challenge question.</w:t>
      </w:r>
    </w:p>
    <w:p>
      <w:pPr>
        <w:pStyle w:val="Heading1"/>
      </w:pPr>
      <w:r>
        <w:t>8. Scoring anchors</w:t>
      </w:r>
    </w:p>
    <w:tbl>
      <w:tblPr>
        <w:tblStyle w:val="TableGrid"/>
        <w:tblW w:type="pct" w:w="500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9DB9D2"/>
          <w:left w:val="single" w:sz="6" w:space="0" w:color="9DB9D2"/>
          <w:bottom w:val="single" w:sz="6" w:space="0" w:color="9DB9D2"/>
          <w:right w:val="single" w:sz="6" w:space="0" w:color="9DB9D2"/>
          <w:insideH w:val="single" w:sz="6" w:space="0" w:color="9DB9D2"/>
          <w:insideV w:val="single" w:sz="6" w:space="0" w:color="9DB9D2"/>
        </w:tblBorders>
      </w:tblPr>
      <w:tblGrid>
        <w:gridCol w:w="2510"/>
        <w:gridCol w:w="3354"/>
        <w:gridCol w:w="3354"/>
      </w:tblGrid>
      <w:tr>
        <w:trPr>
          <w:tblHeader w:val="true"/>
          <w:cantSplit/>
        </w:trPr>
        <w:tc>
          <w:tcPr>
            <w:tcW w:type="dxa" w:w="2510"/>
            <w:vAlign w:val="top"/>
            <w:shd w:fill="D9EAF7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/>
                <w:sz w:val="18"/>
                <w:color w:val="1F4E79"/>
              </w:rPr>
            </w:r>
            <w:r>
              <w:rPr>
                <w:rFonts w:ascii="Aptos" w:hAnsi="Aptos" w:eastAsia="Aptos"/>
                <w:b/>
                <w:sz w:val="18"/>
                <w:color w:val="1F4E79"/>
              </w:rPr>
              <w:t>Score</w:t>
            </w:r>
          </w:p>
        </w:tc>
        <w:tc>
          <w:tcPr>
            <w:tcW w:type="dxa" w:w="3354"/>
            <w:vAlign w:val="top"/>
            <w:shd w:fill="D9EAF7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/>
                <w:sz w:val="18"/>
                <w:color w:val="1F4E79"/>
              </w:rPr>
            </w:r>
            <w:r>
              <w:rPr>
                <w:rFonts w:ascii="Aptos" w:hAnsi="Aptos" w:eastAsia="Aptos"/>
                <w:b/>
                <w:sz w:val="18"/>
                <w:color w:val="1F4E79"/>
              </w:rPr>
              <w:t>Meaning</w:t>
            </w:r>
          </w:p>
        </w:tc>
        <w:tc>
          <w:tcPr>
            <w:tcW w:type="dxa" w:w="3354"/>
            <w:vAlign w:val="top"/>
            <w:shd w:fill="D9EAF7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/>
                <w:sz w:val="18"/>
                <w:color w:val="1F4E79"/>
              </w:rPr>
            </w:r>
            <w:r>
              <w:rPr>
                <w:rFonts w:ascii="Aptos" w:hAnsi="Aptos" w:eastAsia="Aptos"/>
                <w:b/>
                <w:sz w:val="18"/>
                <w:color w:val="1F4E79"/>
              </w:rPr>
              <w:t>Use discipline</w:t>
            </w:r>
          </w:p>
        </w:tc>
      </w:tr>
      <w:tr>
        <w:trPr>
          <w:cantSplit/>
        </w:trPr>
        <w:tc>
          <w:tcPr>
            <w:tcW w:type="dxa" w:w="251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+1.00</w:t>
            </w:r>
          </w:p>
        </w:tc>
        <w:tc>
          <w:tcPr>
            <w:tcW w:type="dxa" w:w="33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Severe or maximum plausible baseline-relative benefit</w:t>
            </w:r>
          </w:p>
        </w:tc>
        <w:tc>
          <w:tcPr>
            <w:tcW w:type="dxa" w:w="33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Use rarely; requires strong evidence and scope-appropriate denominator.</w:t>
            </w:r>
          </w:p>
        </w:tc>
      </w:tr>
      <w:tr>
        <w:trPr>
          <w:cantSplit/>
        </w:trPr>
        <w:tc>
          <w:tcPr>
            <w:tcW w:type="dxa" w:w="251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+0.75</w:t>
            </w:r>
          </w:p>
        </w:tc>
        <w:tc>
          <w:tcPr>
            <w:tcW w:type="dxa" w:w="33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Major durable benefit</w:t>
            </w:r>
          </w:p>
        </w:tc>
        <w:tc>
          <w:tcPr>
            <w:tcW w:type="dxa" w:w="33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Large improvement with clear reach, duration, likelihood, and confidence.</w:t>
            </w:r>
          </w:p>
        </w:tc>
      </w:tr>
      <w:tr>
        <w:trPr>
          <w:cantSplit/>
        </w:trPr>
        <w:tc>
          <w:tcPr>
            <w:tcW w:type="dxa" w:w="251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+0.50</w:t>
            </w:r>
          </w:p>
        </w:tc>
        <w:tc>
          <w:tcPr>
            <w:tcW w:type="dxa" w:w="33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Moderate benefit</w:t>
            </w:r>
          </w:p>
        </w:tc>
        <w:tc>
          <w:tcPr>
            <w:tcW w:type="dxa" w:w="33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Meaningful improvement in the cell, not merely cosmetic.</w:t>
            </w:r>
          </w:p>
        </w:tc>
      </w:tr>
      <w:tr>
        <w:trPr>
          <w:cantSplit/>
        </w:trPr>
        <w:tc>
          <w:tcPr>
            <w:tcW w:type="dxa" w:w="251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+0.25</w:t>
            </w:r>
          </w:p>
        </w:tc>
        <w:tc>
          <w:tcPr>
            <w:tcW w:type="dxa" w:w="33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Minor benefit</w:t>
            </w:r>
          </w:p>
        </w:tc>
        <w:tc>
          <w:tcPr>
            <w:tcW w:type="dxa" w:w="33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Small but material benefit.</w:t>
            </w:r>
          </w:p>
        </w:tc>
      </w:tr>
      <w:tr>
        <w:trPr>
          <w:cantSplit/>
        </w:trPr>
        <w:tc>
          <w:tcPr>
            <w:tcW w:type="dxa" w:w="251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0.00</w:t>
            </w:r>
          </w:p>
        </w:tc>
        <w:tc>
          <w:tcPr>
            <w:tcW w:type="dxa" w:w="33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No material change from baseline</w:t>
            </w:r>
          </w:p>
        </w:tc>
        <w:tc>
          <w:tcPr>
            <w:tcW w:type="dxa" w:w="33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Never use as a substitute for unknown.</w:t>
            </w:r>
          </w:p>
        </w:tc>
      </w:tr>
      <w:tr>
        <w:trPr>
          <w:cantSplit/>
        </w:trPr>
        <w:tc>
          <w:tcPr>
            <w:tcW w:type="dxa" w:w="251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-0.25</w:t>
            </w:r>
          </w:p>
        </w:tc>
        <w:tc>
          <w:tcPr>
            <w:tcW w:type="dxa" w:w="33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Minor harm</w:t>
            </w:r>
          </w:p>
        </w:tc>
        <w:tc>
          <w:tcPr>
            <w:tcW w:type="dxa" w:w="33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Small but material harm.</w:t>
            </w:r>
          </w:p>
        </w:tc>
      </w:tr>
      <w:tr>
        <w:trPr>
          <w:cantSplit/>
        </w:trPr>
        <w:tc>
          <w:tcPr>
            <w:tcW w:type="dxa" w:w="251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-0.50</w:t>
            </w:r>
          </w:p>
        </w:tc>
        <w:tc>
          <w:tcPr>
            <w:tcW w:type="dxa" w:w="33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Moderate harm</w:t>
            </w:r>
          </w:p>
        </w:tc>
        <w:tc>
          <w:tcPr>
            <w:tcW w:type="dxa" w:w="33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Meaningful degradation in the cell.</w:t>
            </w:r>
          </w:p>
        </w:tc>
      </w:tr>
      <w:tr>
        <w:trPr>
          <w:cantSplit/>
        </w:trPr>
        <w:tc>
          <w:tcPr>
            <w:tcW w:type="dxa" w:w="251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-0.75</w:t>
            </w:r>
          </w:p>
        </w:tc>
        <w:tc>
          <w:tcPr>
            <w:tcW w:type="dxa" w:w="33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Major durable harm</w:t>
            </w:r>
          </w:p>
        </w:tc>
        <w:tc>
          <w:tcPr>
            <w:tcW w:type="dxa" w:w="33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Large harmful degradation, even if not gate-failing.</w:t>
            </w:r>
          </w:p>
        </w:tc>
      </w:tr>
      <w:tr>
        <w:trPr>
          <w:cantSplit/>
        </w:trPr>
        <w:tc>
          <w:tcPr>
            <w:tcW w:type="dxa" w:w="251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-1.00</w:t>
            </w:r>
          </w:p>
        </w:tc>
        <w:tc>
          <w:tcPr>
            <w:tcW w:type="dxa" w:w="33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Severe harm</w:t>
            </w:r>
          </w:p>
        </w:tc>
        <w:tc>
          <w:tcPr>
            <w:tcW w:type="dxa" w:w="33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Use rarely; often gate-relevant or escalation-worthy.</w:t>
            </w:r>
          </w:p>
        </w:tc>
      </w:tr>
    </w:tbl>
    <w:p/>
    <w:p>
      <w:pPr>
        <w:pStyle w:val="Heading1"/>
      </w:pPr>
      <w:r>
        <w:t>9. Study hypotheses and failure conditions</w:t>
      </w:r>
    </w:p>
    <w:tbl>
      <w:tblPr>
        <w:tblStyle w:val="TableGrid"/>
        <w:tblW w:type="pct" w:w="500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9DB9D2"/>
          <w:left w:val="single" w:sz="6" w:space="0" w:color="9DB9D2"/>
          <w:bottom w:val="single" w:sz="6" w:space="0" w:color="9DB9D2"/>
          <w:right w:val="single" w:sz="6" w:space="0" w:color="9DB9D2"/>
          <w:insideH w:val="single" w:sz="6" w:space="0" w:color="9DB9D2"/>
          <w:insideV w:val="single" w:sz="6" w:space="0" w:color="9DB9D2"/>
        </w:tblBorders>
      </w:tblPr>
      <w:tblGrid>
        <w:gridCol w:w="1840"/>
        <w:gridCol w:w="2459"/>
        <w:gridCol w:w="2459"/>
        <w:gridCol w:w="2459"/>
      </w:tblGrid>
      <w:tr>
        <w:trPr>
          <w:tblHeader w:val="true"/>
          <w:cantSplit/>
        </w:trPr>
        <w:tc>
          <w:tcPr>
            <w:tcW w:type="dxa" w:w="1840"/>
            <w:vAlign w:val="top"/>
            <w:shd w:fill="D9EAF7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/>
                <w:sz w:val="17"/>
                <w:color w:val="1F4E79"/>
              </w:rPr>
            </w:r>
            <w:r>
              <w:rPr>
                <w:rFonts w:ascii="Aptos" w:hAnsi="Aptos" w:eastAsia="Aptos"/>
                <w:b/>
                <w:sz w:val="17"/>
                <w:color w:val="1F4E79"/>
              </w:rPr>
              <w:t>ID</w:t>
            </w:r>
          </w:p>
        </w:tc>
        <w:tc>
          <w:tcPr>
            <w:tcW w:type="dxa" w:w="2459"/>
            <w:vAlign w:val="top"/>
            <w:shd w:fill="D9EAF7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/>
                <w:sz w:val="17"/>
                <w:color w:val="1F4E79"/>
              </w:rPr>
            </w:r>
            <w:r>
              <w:rPr>
                <w:rFonts w:ascii="Aptos" w:hAnsi="Aptos" w:eastAsia="Aptos"/>
                <w:b/>
                <w:sz w:val="17"/>
                <w:color w:val="1F4E79"/>
              </w:rPr>
              <w:t>Hypothesis</w:t>
            </w:r>
          </w:p>
        </w:tc>
        <w:tc>
          <w:tcPr>
            <w:tcW w:type="dxa" w:w="2459"/>
            <w:vAlign w:val="top"/>
            <w:shd w:fill="D9EAF7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/>
                <w:sz w:val="17"/>
                <w:color w:val="1F4E79"/>
              </w:rPr>
            </w:r>
            <w:r>
              <w:rPr>
                <w:rFonts w:ascii="Aptos" w:hAnsi="Aptos" w:eastAsia="Aptos"/>
                <w:b/>
                <w:sz w:val="17"/>
                <w:color w:val="1F4E79"/>
              </w:rPr>
              <w:t>Evidence that supports it</w:t>
            </w:r>
          </w:p>
        </w:tc>
        <w:tc>
          <w:tcPr>
            <w:tcW w:type="dxa" w:w="2459"/>
            <w:vAlign w:val="top"/>
            <w:shd w:fill="D9EAF7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/>
                <w:sz w:val="17"/>
                <w:color w:val="1F4E79"/>
              </w:rPr>
            </w:r>
            <w:r>
              <w:rPr>
                <w:rFonts w:ascii="Aptos" w:hAnsi="Aptos" w:eastAsia="Aptos"/>
                <w:b/>
                <w:sz w:val="17"/>
                <w:color w:val="1F4E79"/>
              </w:rPr>
              <w:t>Failure or revision signal</w:t>
            </w:r>
          </w:p>
        </w:tc>
      </w:tr>
      <w:tr>
        <w:trPr>
          <w:cantSplit/>
        </w:trPr>
        <w:tc>
          <w:tcPr>
            <w:tcW w:type="dxa" w:w="18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H1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RLS cells preserve non-redundant information.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Cell correlations show related but non-identical patterns; factor structure reveals interpretable clusters without total collapse.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Multiple dimensions correlate above 0.85 across most cases without unique decision contribution.</w:t>
            </w:r>
          </w:p>
        </w:tc>
      </w:tr>
      <w:tr>
        <w:trPr>
          <w:cantSplit/>
        </w:trPr>
        <w:tc>
          <w:tcPr>
            <w:tcW w:type="dxa" w:w="18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H2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Trained raters can score cells reliably.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Cell or component ICC meets target or minimum after training; disagreement is explainable and reducible.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Sustained ICC below minimum after rubric training.</w:t>
            </w:r>
          </w:p>
        </w:tc>
      </w:tr>
      <w:tr>
        <w:trPr>
          <w:cantSplit/>
        </w:trPr>
        <w:tc>
          <w:tcPr>
            <w:tcW w:type="dxa" w:w="18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H3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RLS improves legibility over scalar scoring.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RLS identifies localized harms, rights-adjacent near-misses, ecological burdens, or scope-level reversals missed by scalar summary.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Scalar model produces same decision and same explanation with no material loss of information.</w:t>
            </w:r>
          </w:p>
        </w:tc>
      </w:tr>
      <w:tr>
        <w:trPr>
          <w:cantSplit/>
        </w:trPr>
        <w:tc>
          <w:tcPr>
            <w:tcW w:type="dxa" w:w="18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H4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The manual is teachable.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Raters improve after calibration and can explain cell placement consistently.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Confusion clusters persist in the same cells or dimensions.</w:t>
            </w:r>
          </w:p>
        </w:tc>
      </w:tr>
    </w:tbl>
    <w:p/>
    <w:p>
      <w:pPr>
        <w:pStyle w:val="Heading1"/>
      </w:pPr>
      <w:r>
        <w:t>10. Statistics plan</w:t>
      </w:r>
    </w:p>
    <w:p>
      <w:pPr>
        <w:pStyle w:val="ListBullet"/>
      </w:pPr>
      <w:r>
        <w:t>Inter-rater reliability: use ICC(2,1) for single-rater cell scores and ICC(2,k) for averaged panel scores when the same raters score the same case-option-cell units. Use Krippendorff alpha when missingness or mixed measurement levels make ICC fragile.</w:t>
      </w:r>
    </w:p>
    <w:p>
      <w:pPr>
        <w:pStyle w:val="ListBullet"/>
      </w:pPr>
      <w:r>
        <w:t>Gate and classification reliability: use percent agreement, Cohen or Fleiss kappa, or weighted kappa for binary or ordinal fields such as pass/fail, Prominent versus Guardrail, and uncertainty class.</w:t>
      </w:r>
    </w:p>
    <w:p>
      <w:pPr>
        <w:pStyle w:val="ListBullet"/>
      </w:pPr>
      <w:r>
        <w:t>Ranking reliability: use Kendall W or Spearman correlation over option rankings within each case.</w:t>
      </w:r>
    </w:p>
    <w:p>
      <w:pPr>
        <w:pStyle w:val="ListBullet"/>
      </w:pPr>
      <w:r>
        <w:t>Correlation analysis: build a case-option by 49-cell matrix using adjudicated or mean rater scores. Report Pearson and Spearman correlations, clustered heatmaps, and high-correlation pairs.</w:t>
      </w:r>
    </w:p>
    <w:p>
      <w:pPr>
        <w:pStyle w:val="ListBullet"/>
      </w:pPr>
      <w:r>
        <w:t>Factor/PCA analysis: run only as exploratory unless the sample is large enough. Use it to identify collapse, clusters, cross-loading, and dimensions needing clearer anchors.</w:t>
      </w:r>
    </w:p>
    <w:p>
      <w:pPr>
        <w:pStyle w:val="ListBullet"/>
      </w:pPr>
      <w:r>
        <w:t>Decision-value analysis: compare final RLS ranking and narrative justification against a simpler scalar score, a 7-dimension-only score, and a 7-scope-only score.</w:t>
      </w:r>
    </w:p>
    <w:p>
      <w:pPr>
        <w:pStyle w:val="Heading1"/>
      </w:pPr>
      <w:r>
        <w:t>11. Canonical reliability targets</w:t>
      </w:r>
    </w:p>
    <w:tbl>
      <w:tblPr>
        <w:tblStyle w:val="TableGrid"/>
        <w:tblW w:type="pct" w:w="500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9DB9D2"/>
          <w:left w:val="single" w:sz="6" w:space="0" w:color="9DB9D2"/>
          <w:bottom w:val="single" w:sz="6" w:space="0" w:color="9DB9D2"/>
          <w:right w:val="single" w:sz="6" w:space="0" w:color="9DB9D2"/>
          <w:insideH w:val="single" w:sz="6" w:space="0" w:color="9DB9D2"/>
          <w:insideV w:val="single" w:sz="6" w:space="0" w:color="9DB9D2"/>
        </w:tblBorders>
      </w:tblPr>
      <w:tblGrid>
        <w:gridCol w:w="2304"/>
        <w:gridCol w:w="2304"/>
        <w:gridCol w:w="2304"/>
        <w:gridCol w:w="2304"/>
      </w:tblGrid>
      <w:tr>
        <w:trPr>
          <w:tblHeader w:val="true"/>
          <w:cantSplit/>
        </w:trPr>
        <w:tc>
          <w:tcPr>
            <w:tcW w:type="dxa" w:w="2304"/>
            <w:vAlign w:val="top"/>
            <w:shd w:fill="D9EAF7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/>
                <w:sz w:val="17"/>
                <w:color w:val="1F4E79"/>
              </w:rPr>
            </w:r>
            <w:r>
              <w:rPr>
                <w:rFonts w:ascii="Aptos" w:hAnsi="Aptos" w:eastAsia="Aptos"/>
                <w:b/>
                <w:sz w:val="17"/>
                <w:color w:val="1F4E79"/>
              </w:rPr>
              <w:t>Component</w:t>
            </w:r>
          </w:p>
        </w:tc>
        <w:tc>
          <w:tcPr>
            <w:tcW w:type="dxa" w:w="2304"/>
            <w:vAlign w:val="top"/>
            <w:shd w:fill="D9EAF7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/>
                <w:sz w:val="17"/>
                <w:color w:val="1F4E79"/>
              </w:rPr>
            </w:r>
            <w:r>
              <w:rPr>
                <w:rFonts w:ascii="Aptos" w:hAnsi="Aptos" w:eastAsia="Aptos"/>
                <w:b/>
                <w:sz w:val="17"/>
                <w:color w:val="1F4E79"/>
              </w:rPr>
              <w:t>Target</w:t>
            </w:r>
          </w:p>
        </w:tc>
        <w:tc>
          <w:tcPr>
            <w:tcW w:type="dxa" w:w="2304"/>
            <w:vAlign w:val="top"/>
            <w:shd w:fill="D9EAF7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/>
                <w:sz w:val="17"/>
                <w:color w:val="1F4E79"/>
              </w:rPr>
            </w:r>
            <w:r>
              <w:rPr>
                <w:rFonts w:ascii="Aptos" w:hAnsi="Aptos" w:eastAsia="Aptos"/>
                <w:b/>
                <w:sz w:val="17"/>
                <w:color w:val="1F4E79"/>
              </w:rPr>
              <w:t>Minimum acceptable</w:t>
            </w:r>
          </w:p>
        </w:tc>
        <w:tc>
          <w:tcPr>
            <w:tcW w:type="dxa" w:w="2304"/>
            <w:vAlign w:val="top"/>
            <w:shd w:fill="D9EAF7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/>
                <w:sz w:val="17"/>
                <w:color w:val="1F4E79"/>
              </w:rPr>
            </w:r>
            <w:r>
              <w:rPr>
                <w:rFonts w:ascii="Aptos" w:hAnsi="Aptos" w:eastAsia="Aptos"/>
                <w:b/>
                <w:sz w:val="17"/>
                <w:color w:val="1F4E79"/>
              </w:rPr>
              <w:t>Protocol handling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Magnitude construction mu_k</w:t>
            </w:r>
          </w:p>
        </w:tc>
        <w:tc>
          <w:tcPr>
            <w:tcW w:type="dxa" w:w="2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ICC &gt;= 0.70</w:t>
            </w:r>
          </w:p>
        </w:tc>
        <w:tc>
          <w:tcPr>
            <w:tcW w:type="dxa" w:w="2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ICC &gt;= 0.60</w:t>
            </w:r>
          </w:p>
        </w:tc>
        <w:tc>
          <w:tcPr>
            <w:tcW w:type="dxa" w:w="2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Below minimum requires anchor/rubric redesign.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Rights-floor pass/fail</w:t>
            </w:r>
          </w:p>
        </w:tc>
        <w:tc>
          <w:tcPr>
            <w:tcW w:type="dxa" w:w="2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Agreement &gt;= 0.80</w:t>
            </w:r>
          </w:p>
        </w:tc>
        <w:tc>
          <w:tcPr>
            <w:tcW w:type="dxa" w:w="2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Agreement &gt;= 0.70</w:t>
            </w:r>
          </w:p>
        </w:tc>
        <w:tc>
          <w:tcPr>
            <w:tcW w:type="dxa" w:w="2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Below minimum requires rights mapping and subgroup guidance refinement.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TRC pass/fail</w:t>
            </w:r>
          </w:p>
        </w:tc>
        <w:tc>
          <w:tcPr>
            <w:tcW w:type="dxa" w:w="2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Agreement &gt;= 0.80</w:t>
            </w:r>
          </w:p>
        </w:tc>
        <w:tc>
          <w:tcPr>
            <w:tcW w:type="dxa" w:w="2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Agreement &gt;= 0.70</w:t>
            </w:r>
          </w:p>
        </w:tc>
        <w:tc>
          <w:tcPr>
            <w:tcW w:type="dxa" w:w="2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Below minimum requires scenario and probability guidance refinement.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RLS ranking order</w:t>
            </w:r>
          </w:p>
        </w:tc>
        <w:tc>
          <w:tcPr>
            <w:tcW w:type="dxa" w:w="2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Agreement &gt;= 0.70</w:t>
            </w:r>
          </w:p>
        </w:tc>
        <w:tc>
          <w:tcPr>
            <w:tcW w:type="dxa" w:w="2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Agreement &gt;= 0.60</w:t>
            </w:r>
          </w:p>
        </w:tc>
        <w:tc>
          <w:tcPr>
            <w:tcW w:type="dxa" w:w="2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Below minimum requires score, uncertainty, or tie-break review.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PLSS prominence classification</w:t>
            </w:r>
          </w:p>
        </w:tc>
        <w:tc>
          <w:tcPr>
            <w:tcW w:type="dxa" w:w="2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Agreement &gt;= 0.70</w:t>
            </w:r>
          </w:p>
        </w:tc>
        <w:tc>
          <w:tcPr>
            <w:tcW w:type="dxa" w:w="2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Agreement &gt;= 0.60</w:t>
            </w:r>
          </w:p>
        </w:tc>
        <w:tc>
          <w:tcPr>
            <w:tcW w:type="dxa" w:w="2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Below minimum requires prominence-signal guidance refinement.</w:t>
            </w:r>
          </w:p>
        </w:tc>
      </w:tr>
    </w:tbl>
    <w:p/>
    <w:p>
      <w:pPr>
        <w:pStyle w:val="Heading1"/>
      </w:pPr>
      <w:r>
        <w:t>12. Correlation and factor-analysis revision rules</w:t>
      </w:r>
    </w:p>
    <w:p>
      <w:pPr>
        <w:pStyle w:val="ListBullet"/>
      </w:pPr>
      <w:r>
        <w:t>If two cells correlate above 0.85 across most domains and raters cannot explain distinct causal meanings, mark the pair for overlap review.</w:t>
      </w:r>
    </w:p>
    <w:p>
      <w:pPr>
        <w:pStyle w:val="ListBullet"/>
      </w:pPr>
      <w:r>
        <w:t>If a cell has persistently low variance across diverse cases, check whether it is genuinely rare, poorly defined, over-masked, or under-evidenced.</w:t>
      </w:r>
    </w:p>
    <w:p>
      <w:pPr>
        <w:pStyle w:val="ListBullet"/>
      </w:pPr>
      <w:r>
        <w:t>If a dimension shows repeated cross-loading with another dimension, add boundary examples to the scoring manual before considering structural revision.</w:t>
      </w:r>
    </w:p>
    <w:p>
      <w:pPr>
        <w:pStyle w:val="ListBullet"/>
      </w:pPr>
      <w:r>
        <w:t>If a cell has low reliability but high decision relevance, do not remove it prematurely. Strengthen anchors, examples, evidence requirements, and reviewer checks first.</w:t>
      </w:r>
    </w:p>
    <w:p>
      <w:pPr>
        <w:pStyle w:val="ListBullet"/>
      </w:pPr>
      <w:r>
        <w:t>If simplified models produce the same winner but lose key localized risk signals, preserve RLS and report the extra legibility as decision-relevant detail.</w:t>
      </w:r>
    </w:p>
    <w:p>
      <w:pPr>
        <w:pStyle w:val="ListBullet"/>
      </w:pPr>
      <w:r>
        <w:t>If simplified models produce the same winner and same explanation with no material information loss across a larger case set, consider a reduced mode or domain-specific profile.</w:t>
      </w:r>
    </w:p>
    <w:p>
      <w:pPr>
        <w:pStyle w:val="Heading1"/>
      </w:pPr>
      <w:r>
        <w:t>13. Disagreement taxonomy</w:t>
      </w:r>
    </w:p>
    <w:tbl>
      <w:tblPr>
        <w:tblStyle w:val="TableGrid"/>
        <w:tblW w:type="pct" w:w="500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9DB9D2"/>
          <w:left w:val="single" w:sz="6" w:space="0" w:color="9DB9D2"/>
          <w:bottom w:val="single" w:sz="6" w:space="0" w:color="9DB9D2"/>
          <w:right w:val="single" w:sz="6" w:space="0" w:color="9DB9D2"/>
          <w:insideH w:val="single" w:sz="6" w:space="0" w:color="9DB9D2"/>
          <w:insideV w:val="single" w:sz="6" w:space="0" w:color="9DB9D2"/>
        </w:tblBorders>
      </w:tblPr>
      <w:tblGrid>
        <w:gridCol w:w="3020"/>
        <w:gridCol w:w="3099"/>
        <w:gridCol w:w="3099"/>
      </w:tblGrid>
      <w:tr>
        <w:trPr>
          <w:tblHeader w:val="true"/>
          <w:cantSplit/>
        </w:trPr>
        <w:tc>
          <w:tcPr>
            <w:tcW w:type="dxa" w:w="3020"/>
            <w:vAlign w:val="top"/>
            <w:shd w:fill="D9EAF7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/>
                <w:sz w:val="18"/>
                <w:color w:val="1F4E79"/>
              </w:rPr>
            </w:r>
            <w:r>
              <w:rPr>
                <w:rFonts w:ascii="Aptos" w:hAnsi="Aptos" w:eastAsia="Aptos"/>
                <w:b/>
                <w:sz w:val="18"/>
                <w:color w:val="1F4E79"/>
              </w:rPr>
              <w:t>Code</w:t>
            </w:r>
          </w:p>
        </w:tc>
        <w:tc>
          <w:tcPr>
            <w:tcW w:type="dxa" w:w="3099"/>
            <w:vAlign w:val="top"/>
            <w:shd w:fill="D9EAF7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/>
                <w:sz w:val="18"/>
                <w:color w:val="1F4E79"/>
              </w:rPr>
            </w:r>
            <w:r>
              <w:rPr>
                <w:rFonts w:ascii="Aptos" w:hAnsi="Aptos" w:eastAsia="Aptos"/>
                <w:b/>
                <w:sz w:val="18"/>
                <w:color w:val="1F4E79"/>
              </w:rPr>
              <w:t>Meaning</w:t>
            </w:r>
          </w:p>
        </w:tc>
        <w:tc>
          <w:tcPr>
            <w:tcW w:type="dxa" w:w="3099"/>
            <w:vAlign w:val="top"/>
            <w:shd w:fill="D9EAF7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/>
                <w:sz w:val="18"/>
                <w:color w:val="1F4E79"/>
              </w:rPr>
            </w:r>
            <w:r>
              <w:rPr>
                <w:rFonts w:ascii="Aptos" w:hAnsi="Aptos" w:eastAsia="Aptos"/>
                <w:b/>
                <w:sz w:val="18"/>
                <w:color w:val="1F4E79"/>
              </w:rPr>
              <w:t>Likely fix</w:t>
            </w:r>
          </w:p>
        </w:tc>
      </w:tr>
      <w:tr>
        <w:trPr>
          <w:cantSplit/>
        </w:trPr>
        <w:tc>
          <w:tcPr>
            <w:tcW w:type="dxa" w:w="30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DGT_SCOPE</w:t>
            </w:r>
          </w:p>
        </w:tc>
        <w:tc>
          <w:tcPr>
            <w:tcW w:type="dxa" w:w="309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Raters disagree on Union Scope mapping.</w:t>
            </w:r>
          </w:p>
        </w:tc>
        <w:tc>
          <w:tcPr>
            <w:tcW w:type="dxa" w:w="309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Improve stakeholder-instance and scope mapping examples.</w:t>
            </w:r>
          </w:p>
        </w:tc>
      </w:tr>
      <w:tr>
        <w:trPr>
          <w:cantSplit/>
        </w:trPr>
        <w:tc>
          <w:tcPr>
            <w:tcW w:type="dxa" w:w="30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DGT_DIMENSION</w:t>
            </w:r>
          </w:p>
        </w:tc>
        <w:tc>
          <w:tcPr>
            <w:tcW w:type="dxa" w:w="309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Raters disagree on welfare dimension.</w:t>
            </w:r>
          </w:p>
        </w:tc>
        <w:tc>
          <w:tcPr>
            <w:tcW w:type="dxa" w:w="309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Add boundary examples between dimensions.</w:t>
            </w:r>
          </w:p>
        </w:tc>
      </w:tr>
      <w:tr>
        <w:trPr>
          <w:cantSplit/>
        </w:trPr>
        <w:tc>
          <w:tcPr>
            <w:tcW w:type="dxa" w:w="30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DGT_MAGNITUDE</w:t>
            </w:r>
          </w:p>
        </w:tc>
        <w:tc>
          <w:tcPr>
            <w:tcW w:type="dxa" w:w="309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Raters agree direction but not size.</w:t>
            </w:r>
          </w:p>
        </w:tc>
        <w:tc>
          <w:tcPr>
            <w:tcW w:type="dxa" w:w="309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Improve score anchors and indicator scaling.</w:t>
            </w:r>
          </w:p>
        </w:tc>
      </w:tr>
      <w:tr>
        <w:trPr>
          <w:cantSplit/>
        </w:trPr>
        <w:tc>
          <w:tcPr>
            <w:tcW w:type="dxa" w:w="30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DGT_SIGN</w:t>
            </w:r>
          </w:p>
        </w:tc>
        <w:tc>
          <w:tcPr>
            <w:tcW w:type="dxa" w:w="309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Raters disagree benefit versus harm.</w:t>
            </w:r>
          </w:p>
        </w:tc>
        <w:tc>
          <w:tcPr>
            <w:tcW w:type="dxa" w:w="309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Clarify baseline, causal pathway, or evidence surface.</w:t>
            </w:r>
          </w:p>
        </w:tc>
      </w:tr>
      <w:tr>
        <w:trPr>
          <w:cantSplit/>
        </w:trPr>
        <w:tc>
          <w:tcPr>
            <w:tcW w:type="dxa" w:w="30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DGT_CONFIDENCE</w:t>
            </w:r>
          </w:p>
        </w:tc>
        <w:tc>
          <w:tcPr>
            <w:tcW w:type="dxa" w:w="309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Raters agree magnitude but not confidence.</w:t>
            </w:r>
          </w:p>
        </w:tc>
        <w:tc>
          <w:tcPr>
            <w:tcW w:type="dxa" w:w="309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Improve evidence-quality mapping.</w:t>
            </w:r>
          </w:p>
        </w:tc>
      </w:tr>
      <w:tr>
        <w:trPr>
          <w:cantSplit/>
        </w:trPr>
        <w:tc>
          <w:tcPr>
            <w:tcW w:type="dxa" w:w="30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DGT_GATE</w:t>
            </w:r>
          </w:p>
        </w:tc>
        <w:tc>
          <w:tcPr>
            <w:tcW w:type="dxa" w:w="309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Raters disagree on rights, TRC, or CSV relevance.</w:t>
            </w:r>
          </w:p>
        </w:tc>
        <w:tc>
          <w:tcPr>
            <w:tcW w:type="dxa" w:w="309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Strengthen gate trigger guidance.</w:t>
            </w:r>
          </w:p>
        </w:tc>
      </w:tr>
      <w:tr>
        <w:trPr>
          <w:cantSplit/>
        </w:trPr>
        <w:tc>
          <w:tcPr>
            <w:tcW w:type="dxa" w:w="30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DGT_UNKNOWN</w:t>
            </w:r>
          </w:p>
        </w:tc>
        <w:tc>
          <w:tcPr>
            <w:tcW w:type="dxa" w:w="309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Raters disagree whether evidence is sufficient.</w:t>
            </w:r>
          </w:p>
        </w:tc>
        <w:tc>
          <w:tcPr>
            <w:tcW w:type="dxa" w:w="309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Clarify unknown and phantom-instance handling.</w:t>
            </w:r>
          </w:p>
        </w:tc>
      </w:tr>
      <w:tr>
        <w:trPr>
          <w:cantSplit/>
        </w:trPr>
        <w:tc>
          <w:tcPr>
            <w:tcW w:type="dxa" w:w="30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DGT_DOUBLECOUNT</w:t>
            </w:r>
          </w:p>
        </w:tc>
        <w:tc>
          <w:tcPr>
            <w:tcW w:type="dxa" w:w="309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Raters place same effect in multiple cells inconsistently.</w:t>
            </w:r>
          </w:p>
        </w:tc>
        <w:tc>
          <w:tcPr>
            <w:tcW w:type="dxa" w:w="309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Add redundancy-handling examples.</w:t>
            </w:r>
          </w:p>
        </w:tc>
      </w:tr>
    </w:tbl>
    <w:p/>
    <w:p>
      <w:pPr>
        <w:pStyle w:val="Heading1"/>
      </w:pPr>
      <w:r>
        <w:t>14. Case packet standard</w:t>
      </w:r>
    </w:p>
    <w:p>
      <w:pPr>
        <w:pStyle w:val="ListBullet"/>
      </w:pPr>
      <w:r>
        <w:t>Decision boundary and baseline.</w:t>
      </w:r>
    </w:p>
    <w:p>
      <w:pPr>
        <w:pStyle w:val="ListBullet"/>
      </w:pPr>
      <w:r>
        <w:t>Option set with 2-5 options.</w:t>
      </w:r>
    </w:p>
    <w:p>
      <w:pPr>
        <w:pStyle w:val="ListBullet"/>
      </w:pPr>
      <w:r>
        <w:t>Stakeholder-instance map and active Union Scopes.</w:t>
      </w:r>
    </w:p>
    <w:p>
      <w:pPr>
        <w:pStyle w:val="ListBullet"/>
      </w:pPr>
      <w:r>
        <w:t>Evidence packet, including what is known, unknown, contested, and assumed.</w:t>
      </w:r>
    </w:p>
    <w:p>
      <w:pPr>
        <w:pStyle w:val="ListBullet"/>
      </w:pPr>
      <w:r>
        <w:t>Rights Floor, TRC, and CSV pre-screen notes.</w:t>
      </w:r>
    </w:p>
    <w:p>
      <w:pPr>
        <w:pStyle w:val="ListBullet"/>
      </w:pPr>
      <w:r>
        <w:t>RLS scoring sheet for every option.</w:t>
      </w:r>
    </w:p>
    <w:p>
      <w:pPr>
        <w:pStyle w:val="ListBullet"/>
      </w:pPr>
      <w:r>
        <w:t>Rater confidence and rationale fields.</w:t>
      </w:r>
    </w:p>
    <w:p>
      <w:pPr>
        <w:pStyle w:val="ListBullet"/>
      </w:pPr>
      <w:r>
        <w:t>Adjudication sheet that preserves raw scores before consensus.</w:t>
      </w:r>
    </w:p>
    <w:p>
      <w:pPr>
        <w:pStyle w:val="ListBullet"/>
      </w:pPr>
      <w:r>
        <w:t>Post-analysis revision notes.</w:t>
      </w:r>
    </w:p>
    <w:p>
      <w:pPr>
        <w:pStyle w:val="Heading1"/>
      </w:pPr>
      <w:r>
        <w:t>15. Synthetic case roster</w:t>
      </w:r>
    </w:p>
    <w:tbl>
      <w:tblPr>
        <w:tblStyle w:val="TableGrid"/>
        <w:tblW w:type="pct" w:w="500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9DB9D2"/>
          <w:left w:val="single" w:sz="6" w:space="0" w:color="9DB9D2"/>
          <w:bottom w:val="single" w:sz="6" w:space="0" w:color="9DB9D2"/>
          <w:right w:val="single" w:sz="6" w:space="0" w:color="9DB9D2"/>
          <w:insideH w:val="single" w:sz="6" w:space="0" w:color="9DB9D2"/>
          <w:insideV w:val="single" w:sz="6" w:space="0" w:color="9DB9D2"/>
        </w:tblBorders>
      </w:tblPr>
      <w:tblGrid>
        <w:gridCol w:w="2510"/>
        <w:gridCol w:w="3354"/>
        <w:gridCol w:w="3354"/>
      </w:tblGrid>
      <w:tr>
        <w:trPr>
          <w:tblHeader w:val="true"/>
          <w:cantSplit/>
        </w:trPr>
        <w:tc>
          <w:tcPr>
            <w:tcW w:type="dxa" w:w="2510"/>
            <w:vAlign w:val="top"/>
            <w:shd w:fill="D9EAF7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/>
                <w:sz w:val="18"/>
                <w:color w:val="1F4E79"/>
              </w:rPr>
            </w:r>
            <w:r>
              <w:rPr>
                <w:rFonts w:ascii="Aptos" w:hAnsi="Aptos" w:eastAsia="Aptos"/>
                <w:b/>
                <w:sz w:val="18"/>
                <w:color w:val="1F4E79"/>
              </w:rPr>
              <w:t>Case</w:t>
            </w:r>
          </w:p>
        </w:tc>
        <w:tc>
          <w:tcPr>
            <w:tcW w:type="dxa" w:w="3354"/>
            <w:vAlign w:val="top"/>
            <w:shd w:fill="D9EAF7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/>
                <w:sz w:val="18"/>
                <w:color w:val="1F4E79"/>
              </w:rPr>
            </w:r>
            <w:r>
              <w:rPr>
                <w:rFonts w:ascii="Aptos" w:hAnsi="Aptos" w:eastAsia="Aptos"/>
                <w:b/>
                <w:sz w:val="18"/>
                <w:color w:val="1F4E79"/>
              </w:rPr>
              <w:t>Title</w:t>
            </w:r>
          </w:p>
        </w:tc>
        <w:tc>
          <w:tcPr>
            <w:tcW w:type="dxa" w:w="3354"/>
            <w:vAlign w:val="top"/>
            <w:shd w:fill="D9EAF7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/>
                <w:sz w:val="18"/>
                <w:color w:val="1F4E79"/>
              </w:rPr>
            </w:r>
            <w:r>
              <w:rPr>
                <w:rFonts w:ascii="Aptos" w:hAnsi="Aptos" w:eastAsia="Aptos"/>
                <w:b/>
                <w:sz w:val="18"/>
                <w:color w:val="1F4E79"/>
              </w:rPr>
              <w:t>Purpose</w:t>
            </w:r>
          </w:p>
        </w:tc>
      </w:tr>
      <w:tr>
        <w:trPr>
          <w:cantSplit/>
        </w:trPr>
        <w:tc>
          <w:tcPr>
            <w:tcW w:type="dxa" w:w="251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C01</w:t>
            </w:r>
          </w:p>
        </w:tc>
        <w:tc>
          <w:tcPr>
            <w:tcW w:type="dxa" w:w="33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AI tutor in public schools</w:t>
            </w:r>
          </w:p>
        </w:tc>
        <w:tc>
          <w:tcPr>
            <w:tcW w:type="dxa" w:w="33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Compare mandatory deployment, opt-in teacher-supervised deployment, and no deployment for a public-school AI tutor.</w:t>
            </w:r>
          </w:p>
        </w:tc>
      </w:tr>
      <w:tr>
        <w:trPr>
          <w:cantSplit/>
        </w:trPr>
        <w:tc>
          <w:tcPr>
            <w:tcW w:type="dxa" w:w="251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C02</w:t>
            </w:r>
          </w:p>
        </w:tc>
        <w:tc>
          <w:tcPr>
            <w:tcW w:type="dxa" w:w="33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Flood relocation policy</w:t>
            </w:r>
          </w:p>
        </w:tc>
        <w:tc>
          <w:tcPr>
            <w:tcW w:type="dxa" w:w="33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Compare voluntary relocation support, mandatory relocation, and infrastructure-only flood protection for a high-risk community.</w:t>
            </w:r>
          </w:p>
        </w:tc>
      </w:tr>
      <w:tr>
        <w:trPr>
          <w:cantSplit/>
        </w:trPr>
        <w:tc>
          <w:tcPr>
            <w:tcW w:type="dxa" w:w="251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C03</w:t>
            </w:r>
          </w:p>
        </w:tc>
        <w:tc>
          <w:tcPr>
            <w:tcW w:type="dxa" w:w="33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Agricultural pesticide decision</w:t>
            </w:r>
          </w:p>
        </w:tc>
        <w:tc>
          <w:tcPr>
            <w:tcW w:type="dxa" w:w="33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Compare current pesticide use, restricted integrated pest management, and rapid ban with transition subsidy.</w:t>
            </w:r>
          </w:p>
        </w:tc>
      </w:tr>
      <w:tr>
        <w:trPr>
          <w:cantSplit/>
        </w:trPr>
        <w:tc>
          <w:tcPr>
            <w:tcW w:type="dxa" w:w="251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C04</w:t>
            </w:r>
          </w:p>
        </w:tc>
        <w:tc>
          <w:tcPr>
            <w:tcW w:type="dxa" w:w="33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Hospital triage support system</w:t>
            </w:r>
          </w:p>
        </w:tc>
        <w:tc>
          <w:tcPr>
            <w:tcW w:type="dxa" w:w="33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Compare clinician-only triage, advisory AI triage, and automated triage for non-emergency scheduling.</w:t>
            </w:r>
          </w:p>
        </w:tc>
      </w:tr>
      <w:tr>
        <w:trPr>
          <w:cantSplit/>
        </w:trPr>
        <w:tc>
          <w:tcPr>
            <w:tcW w:type="dxa" w:w="251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C05</w:t>
            </w:r>
          </w:p>
        </w:tc>
        <w:tc>
          <w:tcPr>
            <w:tcW w:type="dxa" w:w="33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Social-media moderation rule</w:t>
            </w:r>
          </w:p>
        </w:tc>
        <w:tc>
          <w:tcPr>
            <w:tcW w:type="dxa" w:w="33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Compare minimal moderation, rights-protecting graduated moderation, and aggressive automated removal.</w:t>
            </w:r>
          </w:p>
        </w:tc>
      </w:tr>
      <w:tr>
        <w:trPr>
          <w:cantSplit/>
        </w:trPr>
        <w:tc>
          <w:tcPr>
            <w:tcW w:type="dxa" w:w="251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C06</w:t>
            </w:r>
          </w:p>
        </w:tc>
        <w:tc>
          <w:tcPr>
            <w:tcW w:type="dxa" w:w="33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Welfare fraud detection model</w:t>
            </w:r>
          </w:p>
        </w:tc>
        <w:tc>
          <w:tcPr>
            <w:tcW w:type="dxa" w:w="33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Compare manual review, AI risk flagging with human appeal, and automated benefit suspension.</w:t>
            </w:r>
          </w:p>
        </w:tc>
      </w:tr>
      <w:tr>
        <w:trPr>
          <w:cantSplit/>
        </w:trPr>
        <w:tc>
          <w:tcPr>
            <w:tcW w:type="dxa" w:w="251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C07</w:t>
            </w:r>
          </w:p>
        </w:tc>
        <w:tc>
          <w:tcPr>
            <w:tcW w:type="dxa" w:w="33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Urban traffic redesign</w:t>
            </w:r>
          </w:p>
        </w:tc>
        <w:tc>
          <w:tcPr>
            <w:tcW w:type="dxa" w:w="33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Compare car-priority road widening, bus/bike corridor redesign, and congestion pricing with equity rebates.</w:t>
            </w:r>
          </w:p>
        </w:tc>
      </w:tr>
      <w:tr>
        <w:trPr>
          <w:cantSplit/>
        </w:trPr>
        <w:tc>
          <w:tcPr>
            <w:tcW w:type="dxa" w:w="251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C08</w:t>
            </w:r>
          </w:p>
        </w:tc>
        <w:tc>
          <w:tcPr>
            <w:tcW w:type="dxa" w:w="33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Renewable microgrid project</w:t>
            </w:r>
          </w:p>
        </w:tc>
        <w:tc>
          <w:tcPr>
            <w:tcW w:type="dxa" w:w="33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Compare no project, community-owned solar microgrid, and vendor-owned microgrid with long lock-in contract.</w:t>
            </w:r>
          </w:p>
        </w:tc>
      </w:tr>
      <w:tr>
        <w:trPr>
          <w:cantSplit/>
        </w:trPr>
        <w:tc>
          <w:tcPr>
            <w:tcW w:type="dxa" w:w="251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C09</w:t>
            </w:r>
          </w:p>
        </w:tc>
        <w:tc>
          <w:tcPr>
            <w:tcW w:type="dxa" w:w="33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School phone policy</w:t>
            </w:r>
          </w:p>
        </w:tc>
        <w:tc>
          <w:tcPr>
            <w:tcW w:type="dxa" w:w="33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Compare unrestricted use, blanket ban, and structured phone zones with exceptions and student voice.</w:t>
            </w:r>
          </w:p>
        </w:tc>
      </w:tr>
      <w:tr>
        <w:trPr>
          <w:cantSplit/>
        </w:trPr>
        <w:tc>
          <w:tcPr>
            <w:tcW w:type="dxa" w:w="251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C10</w:t>
            </w:r>
          </w:p>
        </w:tc>
        <w:tc>
          <w:tcPr>
            <w:tcW w:type="dxa" w:w="33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Local data center proposal</w:t>
            </w:r>
          </w:p>
        </w:tc>
        <w:tc>
          <w:tcPr>
            <w:tcW w:type="dxa" w:w="33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Compare approval as proposed, approval with water/energy/community safeguards, and rejection pending regional capacity review.</w:t>
            </w:r>
          </w:p>
        </w:tc>
      </w:tr>
    </w:tbl>
    <w:p/>
    <w:p>
      <w:pPr>
        <w:pStyle w:val="Heading1"/>
      </w:pPr>
      <w:r>
        <w:t>16. 49-cell welfare dictionary - compact validation version</w:t>
      </w:r>
    </w:p>
    <w:p>
      <w:r>
        <w:t>This compact dictionary is extracted against the Canon Appendix AD role: it supports scoring interpretation and reviewer literacy. It does not modify gates, thresholds, equations, or claim boundaries.</w:t>
      </w:r>
    </w:p>
    <w:tbl>
      <w:tblPr>
        <w:tblStyle w:val="TableGrid"/>
        <w:tblW w:type="pct" w:w="500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9DB9D2"/>
          <w:left w:val="single" w:sz="6" w:space="0" w:color="9DB9D2"/>
          <w:bottom w:val="single" w:sz="6" w:space="0" w:color="9DB9D2"/>
          <w:right w:val="single" w:sz="6" w:space="0" w:color="9DB9D2"/>
          <w:insideH w:val="single" w:sz="6" w:space="0" w:color="9DB9D2"/>
          <w:insideV w:val="single" w:sz="6" w:space="0" w:color="9DB9D2"/>
        </w:tblBorders>
      </w:tblPr>
      <w:tblGrid>
        <w:gridCol w:w="1840"/>
        <w:gridCol w:w="2459"/>
        <w:gridCol w:w="2459"/>
        <w:gridCol w:w="2459"/>
      </w:tblGrid>
      <w:tr>
        <w:trPr>
          <w:tblHeader w:val="true"/>
          <w:cantSplit/>
        </w:trPr>
        <w:tc>
          <w:tcPr>
            <w:tcW w:type="dxa" w:w="1840"/>
            <w:vAlign w:val="top"/>
            <w:shd w:fill="D9EAF7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/>
                <w:sz w:val="17"/>
                <w:color w:val="1F4E79"/>
              </w:rPr>
            </w:r>
            <w:r>
              <w:rPr>
                <w:rFonts w:ascii="Aptos" w:hAnsi="Aptos" w:eastAsia="Aptos"/>
                <w:b/>
                <w:sz w:val="17"/>
                <w:color w:val="1F4E79"/>
              </w:rPr>
              <w:t>Cell</w:t>
            </w:r>
          </w:p>
        </w:tc>
        <w:tc>
          <w:tcPr>
            <w:tcW w:type="dxa" w:w="2459"/>
            <w:vAlign w:val="top"/>
            <w:shd w:fill="D9EAF7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/>
                <w:sz w:val="17"/>
                <w:color w:val="1F4E79"/>
              </w:rPr>
            </w:r>
            <w:r>
              <w:rPr>
                <w:rFonts w:ascii="Aptos" w:hAnsi="Aptos" w:eastAsia="Aptos"/>
                <w:b/>
                <w:sz w:val="17"/>
                <w:color w:val="1F4E79"/>
              </w:rPr>
              <w:t>Label</w:t>
            </w:r>
          </w:p>
        </w:tc>
        <w:tc>
          <w:tcPr>
            <w:tcW w:type="dxa" w:w="2459"/>
            <w:vAlign w:val="top"/>
            <w:shd w:fill="D9EAF7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/>
                <w:sz w:val="17"/>
                <w:color w:val="1F4E79"/>
              </w:rPr>
            </w:r>
            <w:r>
              <w:rPr>
                <w:rFonts w:ascii="Aptos" w:hAnsi="Aptos" w:eastAsia="Aptos"/>
                <w:b/>
                <w:sz w:val="17"/>
                <w:color w:val="1F4E79"/>
              </w:rPr>
              <w:t>Plain meaning</w:t>
            </w:r>
          </w:p>
        </w:tc>
        <w:tc>
          <w:tcPr>
            <w:tcW w:type="dxa" w:w="2459"/>
            <w:vAlign w:val="top"/>
            <w:shd w:fill="D9EAF7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/>
                <w:sz w:val="17"/>
                <w:color w:val="1F4E79"/>
              </w:rPr>
            </w:r>
            <w:r>
              <w:rPr>
                <w:rFonts w:ascii="Aptos" w:hAnsi="Aptos" w:eastAsia="Aptos"/>
                <w:b/>
                <w:sz w:val="17"/>
                <w:color w:val="1F4E79"/>
              </w:rPr>
              <w:t>Reviewer check</w:t>
            </w:r>
          </w:p>
        </w:tc>
      </w:tr>
      <w:tr>
        <w:trPr>
          <w:cantSplit/>
        </w:trPr>
        <w:tc>
          <w:tcPr>
            <w:tcW w:type="dxa" w:w="18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U1/D1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Personal Resources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An individual's economic security: income, savings, housing stability, and access to the material means of a decent life.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A reviewer checks whether the income/housing change is measured against a declared baseline cohort, not anecdote.</w:t>
            </w:r>
          </w:p>
        </w:tc>
      </w:tr>
      <w:tr>
        <w:trPr>
          <w:cantSplit/>
        </w:trPr>
        <w:tc>
          <w:tcPr>
            <w:tcW w:type="dxa" w:w="18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U1/D2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Personal Health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The individual's physical and mental health, safety, and bodily integrity.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A reviewer asks whether a claimed health gain rests on outcome data or only on inputs (e.g. clinics built ≠ health improved).</w:t>
            </w:r>
          </w:p>
        </w:tc>
      </w:tr>
      <w:tr>
        <w:trPr>
          <w:cantSplit/>
        </w:trPr>
        <w:tc>
          <w:tcPr>
            <w:tcW w:type="dxa" w:w="18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U1/D3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Relationships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The quality and stability of a person's close personal relationships and social connection.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A reviewer challenges whether a relationship claim is evidenced or inferred from a proxy like attendance.</w:t>
            </w:r>
          </w:p>
        </w:tc>
      </w:tr>
      <w:tr>
        <w:trPr>
          <w:cantSplit/>
        </w:trPr>
        <w:tc>
          <w:tcPr>
            <w:tcW w:type="dxa" w:w="18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U1/D4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Learning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The individual's access to education, skills, and the capacity to learn and develop.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A reviewer asks whether learning outcomes are demonstrated or only opportunity offered.</w:t>
            </w:r>
          </w:p>
        </w:tc>
      </w:tr>
      <w:tr>
        <w:trPr>
          <w:cantSplit/>
        </w:trPr>
        <w:tc>
          <w:tcPr>
            <w:tcW w:type="dxa" w:w="18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U1/D5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Personal Agency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The person's real ability to choose, refuse, consent, act, and shape their own life path.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A reviewer tests whether consent was genuine and revocable, or merely formal.</w:t>
            </w:r>
          </w:p>
        </w:tc>
      </w:tr>
      <w:tr>
        <w:trPr>
          <w:cantSplit/>
        </w:trPr>
        <w:tc>
          <w:tcPr>
            <w:tcW w:type="dxa" w:w="18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U1/D6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Purpose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The individual's sense of meaning, dignity, and worth in their life and work.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A reviewer distinguishes a genuine dignity effect from sentiment unsupported by experience data.</w:t>
            </w:r>
          </w:p>
        </w:tc>
      </w:tr>
      <w:tr>
        <w:trPr>
          <w:cantSplit/>
        </w:trPr>
        <w:tc>
          <w:tcPr>
            <w:tcW w:type="dxa" w:w="18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U1/D7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Local Conditions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The immediate physical environment a person lives in: air, noise, water, hazards, and surroundings.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A reviewer checks measured exposure change against the affected location, not a city-wide average.</w:t>
            </w:r>
          </w:p>
        </w:tc>
      </w:tr>
      <w:tr>
        <w:trPr>
          <w:cantSplit/>
        </w:trPr>
        <w:tc>
          <w:tcPr>
            <w:tcW w:type="dxa" w:w="18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U2/D1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Household Resources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The economic security of the household unit: shared income, assets, housing, and ability to meet needs.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A reviewer asks whether the household, not just the earner, is the measured unit.</w:t>
            </w:r>
          </w:p>
        </w:tc>
      </w:tr>
      <w:tr>
        <w:trPr>
          <w:cantSplit/>
        </w:trPr>
        <w:tc>
          <w:tcPr>
            <w:tcW w:type="dxa" w:w="18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U2/D2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Household Health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The collective physical and mental health and safety of household members, including dependents.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A reviewer checks that dependents and caregivers are scored separately, not blended into one household figure.</w:t>
            </w:r>
          </w:p>
        </w:tc>
      </w:tr>
      <w:tr>
        <w:trPr>
          <w:cantSplit/>
        </w:trPr>
        <w:tc>
          <w:tcPr>
            <w:tcW w:type="dxa" w:w="18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U2/D3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Family Cohesion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The strength, stability, and supportive quality of relationships within the household.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A reviewer asks whether a cohesion claim rests on outcomes or on assumed effects of a program.</w:t>
            </w:r>
          </w:p>
        </w:tc>
      </w:tr>
      <w:tr>
        <w:trPr>
          <w:cantSplit/>
        </w:trPr>
        <w:tc>
          <w:tcPr>
            <w:tcW w:type="dxa" w:w="18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U2/D4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Shared Learning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The household's collective access to information, education, and learning capacity.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A reviewer checks access actually reaches the household, not just the area.</w:t>
            </w:r>
          </w:p>
        </w:tc>
      </w:tr>
      <w:tr>
        <w:trPr>
          <w:cantSplit/>
        </w:trPr>
        <w:tc>
          <w:tcPr>
            <w:tcW w:type="dxa" w:w="18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U2/D5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Household Agency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The household's collective ability to make decisions, plan, and control its own circumstances.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A reviewer tests whether household choice is real or constrained by conditions.</w:t>
            </w:r>
          </w:p>
        </w:tc>
      </w:tr>
      <w:tr>
        <w:trPr>
          <w:cantSplit/>
        </w:trPr>
        <w:tc>
          <w:tcPr>
            <w:tcW w:type="dxa" w:w="18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U2/D6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Family Meaning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The household's shared sense of identity, belonging, dignity, and purpose.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A reviewer separates a real meaning effect from program rhetoric.</w:t>
            </w:r>
          </w:p>
        </w:tc>
      </w:tr>
      <w:tr>
        <w:trPr>
          <w:cantSplit/>
        </w:trPr>
        <w:tc>
          <w:tcPr>
            <w:tcW w:type="dxa" w:w="18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U2/D7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Home Environment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The physical environmental quality of the home and its immediate setting.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A reviewer checks measured home conditions, not self-report alone.</w:t>
            </w:r>
          </w:p>
        </w:tc>
      </w:tr>
      <w:tr>
        <w:trPr>
          <w:cantSplit/>
        </w:trPr>
        <w:tc>
          <w:tcPr>
            <w:tcW w:type="dxa" w:w="18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U3/D1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Local Resources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The shared economic resources, infrastructure, and services available to a local community.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A reviewer asks whether the benefit is genuinely shared or captured by a subgroup.</w:t>
            </w:r>
          </w:p>
        </w:tc>
      </w:tr>
      <w:tr>
        <w:trPr>
          <w:cantSplit/>
        </w:trPr>
        <w:tc>
          <w:tcPr>
            <w:tcW w:type="dxa" w:w="18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U3/D2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Community Health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The collective physical and mental health and safety of the local population.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A reviewer checks whether subgroup harms are masked by a favourable community average.</w:t>
            </w:r>
          </w:p>
        </w:tc>
      </w:tr>
      <w:tr>
        <w:trPr>
          <w:cantSplit/>
        </w:trPr>
        <w:tc>
          <w:tcPr>
            <w:tcW w:type="dxa" w:w="18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U3/D3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Community Cohesion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The quality of trust, cooperation, belonging, safety, and relational fabric within a community.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A reviewer asks whether cohesion gains for some came via exclusion of others.</w:t>
            </w:r>
          </w:p>
        </w:tc>
      </w:tr>
      <w:tr>
        <w:trPr>
          <w:cantSplit/>
        </w:trPr>
        <w:tc>
          <w:tcPr>
            <w:tcW w:type="dxa" w:w="18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U3/D4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Local Knowledge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The community's shared knowledge, information access, and local expertise.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A reviewer checks consent and ownership of the knowledge claimed as preserved.</w:t>
            </w:r>
          </w:p>
        </w:tc>
      </w:tr>
      <w:tr>
        <w:trPr>
          <w:cantSplit/>
        </w:trPr>
        <w:tc>
          <w:tcPr>
            <w:tcW w:type="dxa" w:w="18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U3/D5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Community Agency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The community's collective capacity to organise, participate, and influence decisions affecting it.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A reviewer tests whether participation was substantive or a procedural formality.</w:t>
            </w:r>
          </w:p>
        </w:tc>
      </w:tr>
      <w:tr>
        <w:trPr>
          <w:cantSplit/>
        </w:trPr>
        <w:tc>
          <w:tcPr>
            <w:tcW w:type="dxa" w:w="18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U3/D6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Shared Meaning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The community's shared identity, culture, dignity, and sense of collective purpose.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A reviewer separates a genuine cultural effect from a symbolic gesture.</w:t>
            </w:r>
          </w:p>
        </w:tc>
      </w:tr>
      <w:tr>
        <w:trPr>
          <w:cantSplit/>
        </w:trPr>
        <w:tc>
          <w:tcPr>
            <w:tcW w:type="dxa" w:w="18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U3/D7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Local Ecology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The ecological condition of the community's local environment: green space, biodiversity, water, land.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A reviewer asks whether 'no local effect' was measured or merely assumed.</w:t>
            </w:r>
          </w:p>
        </w:tc>
      </w:tr>
      <w:tr>
        <w:trPr>
          <w:cantSplit/>
        </w:trPr>
        <w:tc>
          <w:tcPr>
            <w:tcW w:type="dxa" w:w="18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U4/D1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Organizational Resources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An organization's operating means: finances, capital, staffing, and capacity to function and deliver.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A reviewer checks whether the organizational gain creates uncosted externalities in other cells (the classic 'operating resources up, U7 down' trap).</w:t>
            </w:r>
          </w:p>
        </w:tc>
      </w:tr>
      <w:tr>
        <w:trPr>
          <w:cantSplit/>
        </w:trPr>
        <w:tc>
          <w:tcPr>
            <w:tcW w:type="dxa" w:w="18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U4/D2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Organizational Safety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The safety of people within and affected by the organization: workers, users, and the public.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A reviewer checks whether reported safety reflects outcomes or only paperwork compliance.</w:t>
            </w:r>
          </w:p>
        </w:tc>
      </w:tr>
      <w:tr>
        <w:trPr>
          <w:cantSplit/>
        </w:trPr>
        <w:tc>
          <w:tcPr>
            <w:tcW w:type="dxa" w:w="18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U4/D3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Organizational Culture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The internal relational health of the organization: trust, fairness, inclusion, and cooperation.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A reviewer asks whether culture data is independent or self-reported by leadership.</w:t>
            </w:r>
          </w:p>
        </w:tc>
      </w:tr>
      <w:tr>
        <w:trPr>
          <w:cantSplit/>
        </w:trPr>
        <w:tc>
          <w:tcPr>
            <w:tcW w:type="dxa" w:w="18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U4/D4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Knowledge Systems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The organization's knowledge, data integrity, institutional memory, and learning systems.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A reviewer tests whether claimed integrity is verifiable or asserted.</w:t>
            </w:r>
          </w:p>
        </w:tc>
      </w:tr>
      <w:tr>
        <w:trPr>
          <w:cantSplit/>
        </w:trPr>
        <w:tc>
          <w:tcPr>
            <w:tcW w:type="dxa" w:w="18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U4/D5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Role Agency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The meaningful autonomy, voice, and fair treatment of individuals in their organizational roles.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A reviewer checks whether voice mechanisms produce outcomes or are decorative.</w:t>
            </w:r>
          </w:p>
        </w:tc>
      </w:tr>
      <w:tr>
        <w:trPr>
          <w:cantSplit/>
        </w:trPr>
        <w:tc>
          <w:tcPr>
            <w:tcW w:type="dxa" w:w="18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U4/D6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Mission Coherence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The alignment between the organization's stated purpose and its actual conduct and effects.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A reviewer asks whether coherence is evidenced by conduct or only by restated values.</w:t>
            </w:r>
          </w:p>
        </w:tc>
      </w:tr>
      <w:tr>
        <w:trPr>
          <w:cantSplit/>
        </w:trPr>
        <w:tc>
          <w:tcPr>
            <w:tcW w:type="dxa" w:w="18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U4/D7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Operational Footprint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The environmental impact of the organization's operations: emissions, waste, resource use, land.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A reviewer checks footprint against measured externalities, not offset claims alone.</w:t>
            </w:r>
          </w:p>
        </w:tc>
      </w:tr>
      <w:tr>
        <w:trPr>
          <w:cantSplit/>
        </w:trPr>
        <w:tc>
          <w:tcPr>
            <w:tcW w:type="dxa" w:w="18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U5/D1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Public Resources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The polity's fiscal and material capacity: public finances, infrastructure, and provisioning.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A reviewer checks whether gains are sustainable or borrowed from the future.</w:t>
            </w:r>
          </w:p>
        </w:tc>
      </w:tr>
      <w:tr>
        <w:trPr>
          <w:cantSplit/>
        </w:trPr>
        <w:tc>
          <w:tcPr>
            <w:tcW w:type="dxa" w:w="18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U5/D2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Population Health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The health, safety, and mortality outcomes of the whole population within a polity.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A reviewer checks whether worst-case scenarios were bounded with a tail measure, not averaged away.</w:t>
            </w:r>
          </w:p>
        </w:tc>
      </w:tr>
      <w:tr>
        <w:trPr>
          <w:cantSplit/>
        </w:trPr>
        <w:tc>
          <w:tcPr>
            <w:tcW w:type="dxa" w:w="18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U5/D3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Legitimacy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The rule of law, due process, accountability, and perceived legitimacy of public institutions.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A reviewer tests whether legitimacy is measured independently or claimed by the institution being assessed.</w:t>
            </w:r>
          </w:p>
        </w:tc>
      </w:tr>
      <w:tr>
        <w:trPr>
          <w:cantSplit/>
        </w:trPr>
        <w:tc>
          <w:tcPr>
            <w:tcW w:type="dxa" w:w="18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U5/D4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Information Access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The polity's information environment: access, transparency, free expression, and epistemic integrity.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A reviewer checks whether transparency is real and usable or nominal.</w:t>
            </w:r>
          </w:p>
        </w:tc>
      </w:tr>
      <w:tr>
        <w:trPr>
          <w:cantSplit/>
        </w:trPr>
        <w:tc>
          <w:tcPr>
            <w:tcW w:type="dxa" w:w="18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U5/D5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Civil Agency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People's ability to participate in public life, exercise rights, contest authority, and influence governance.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A reviewer tests whether civic participation is enforceable or merely nominal, and whether any group is selectively excluded.</w:t>
            </w:r>
          </w:p>
        </w:tc>
      </w:tr>
      <w:tr>
        <w:trPr>
          <w:cantSplit/>
        </w:trPr>
        <w:tc>
          <w:tcPr>
            <w:tcW w:type="dxa" w:w="18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U5/D6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Public Meaning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Shared civic identity, dignity, social contract, and non-domination across the polity.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A reviewer separates symbolic recognition from changes people actually experience.</w:t>
            </w:r>
          </w:p>
        </w:tc>
      </w:tr>
      <w:tr>
        <w:trPr>
          <w:cantSplit/>
        </w:trPr>
        <w:tc>
          <w:tcPr>
            <w:tcW w:type="dxa" w:w="18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U5/D7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Public Environment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The environmental quality and ecological sustainability managed at the polity scale.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A reviewer checks whether environmental-justice distribution was assessed, not just regional totals.</w:t>
            </w:r>
          </w:p>
        </w:tc>
      </w:tr>
      <w:tr>
        <w:trPr>
          <w:cantSplit/>
        </w:trPr>
        <w:tc>
          <w:tcPr>
            <w:tcW w:type="dxa" w:w="18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U6/D1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Global Resources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Humanity's shared material base: global resource stocks, critical supply chains, and common infrastructure.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A reviewer checks whether 'global' claims rest on global data or extrapolated local figures.</w:t>
            </w:r>
          </w:p>
        </w:tc>
      </w:tr>
      <w:tr>
        <w:trPr>
          <w:cantSplit/>
        </w:trPr>
        <w:tc>
          <w:tcPr>
            <w:tcW w:type="dxa" w:w="18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U6/D2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Human Safety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The safety and survival of humanity at large, including existential and catastrophic risk.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A reviewer checks that tail risk was bounded with a worst-case measure and not diluted by expected-value framing.</w:t>
            </w:r>
          </w:p>
        </w:tc>
      </w:tr>
      <w:tr>
        <w:trPr>
          <w:cantSplit/>
        </w:trPr>
        <w:tc>
          <w:tcPr>
            <w:tcW w:type="dxa" w:w="18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U6/D3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Cooperation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The capacity of humanity to coordinate, cooperate, and maintain peaceful, stable relations at scale.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A reviewer asks whether cooperation is durable or a fragile short-term arrangement.</w:t>
            </w:r>
          </w:p>
        </w:tc>
      </w:tr>
      <w:tr>
        <w:trPr>
          <w:cantSplit/>
        </w:trPr>
        <w:tc>
          <w:tcPr>
            <w:tcW w:type="dxa" w:w="18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U6/D4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Civilizational Knowledge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Humanity's accumulated knowledge, science, and the integrity and safety of its knowledge systems.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A reviewer checks whether knowledge benefits were weighed against misuse and proliferation pathways.</w:t>
            </w:r>
          </w:p>
        </w:tc>
      </w:tr>
      <w:tr>
        <w:trPr>
          <w:cantSplit/>
        </w:trPr>
        <w:tc>
          <w:tcPr>
            <w:tcW w:type="dxa" w:w="18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U6/D5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Collective Agency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Humanity's capacity for self-determination and legitimate collective decision-making at the species scale.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A reviewer tests whether 'collective' agency includes the marginalised or only powerful actors.</w:t>
            </w:r>
          </w:p>
        </w:tc>
      </w:tr>
      <w:tr>
        <w:trPr>
          <w:cantSplit/>
        </w:trPr>
        <w:tc>
          <w:tcPr>
            <w:tcW w:type="dxa" w:w="18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U6/D6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Shared Purpose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Humanity's shared sense of meaning, moral direction, and long-term orientation toward flourishing.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A reviewer flags this cell as especially prone to rhetoric and demands concrete mechanisms.</w:t>
            </w:r>
          </w:p>
        </w:tc>
      </w:tr>
      <w:tr>
        <w:trPr>
          <w:cantSplit/>
        </w:trPr>
        <w:tc>
          <w:tcPr>
            <w:tcW w:type="dxa" w:w="18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U6/D7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Planetary Conditions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The condition of planetary systems that support human civilisation and coordinated managing intelligence.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A reviewer checks whether irreversibility and worst-case bounds were modelled, not just expected outcomes.</w:t>
            </w:r>
          </w:p>
        </w:tc>
      </w:tr>
      <w:tr>
        <w:trPr>
          <w:cantSplit/>
        </w:trPr>
        <w:tc>
          <w:tcPr>
            <w:tcW w:type="dxa" w:w="18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U7/D1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Life-Support Resources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The biosphere's foundational resources that sustain life: soil, fresh water, clean air, fertility.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A reviewer checks whether renewal rates, not just current stocks, were assessed.</w:t>
            </w:r>
          </w:p>
        </w:tc>
      </w:tr>
      <w:tr>
        <w:trPr>
          <w:cantSplit/>
        </w:trPr>
        <w:tc>
          <w:tcPr>
            <w:tcW w:type="dxa" w:w="18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U7/D2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Ecosystem Health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The health, function, and viability of ecosystems and the species within them.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A reviewer checks whether ecosystem-function evidence exists or only a single charismatic indicator.</w:t>
            </w:r>
          </w:p>
        </w:tc>
      </w:tr>
      <w:tr>
        <w:trPr>
          <w:cantSplit/>
        </w:trPr>
        <w:tc>
          <w:tcPr>
            <w:tcW w:type="dxa" w:w="18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U7/D3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Biotic Relations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The integrity of relationships and interdependencies among living systems and between humans and nature.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A reviewer asks whether relational/cascade effects were modelled or ignored as 'no direct effect'.</w:t>
            </w:r>
          </w:p>
        </w:tc>
      </w:tr>
      <w:tr>
        <w:trPr>
          <w:cantSplit/>
        </w:trPr>
        <w:tc>
          <w:tcPr>
            <w:tcW w:type="dxa" w:w="18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U7/D4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Ecological Knowledge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Humanity's understanding and monitoring of ecological systems, including baseline and early-warning data.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A reviewer checks that absent ecological data is marked unknown, not scored as 0 ('no effect').</w:t>
            </w:r>
          </w:p>
        </w:tc>
      </w:tr>
      <w:tr>
        <w:trPr>
          <w:cantSplit/>
        </w:trPr>
        <w:tc>
          <w:tcPr>
            <w:tcW w:type="dxa" w:w="18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U7/D5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Resilience Capacity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The biosphere's capacity to absorb shocks, adapt, and recover from disturbance.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A reviewer asks whether proximity to thresholds was assessed, not just current condition.</w:t>
            </w:r>
          </w:p>
        </w:tc>
      </w:tr>
      <w:tr>
        <w:trPr>
          <w:cantSplit/>
        </w:trPr>
        <w:tc>
          <w:tcPr>
            <w:tcW w:type="dxa" w:w="18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U7/D6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Life Continuity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The continuity and persistence of life and biodiversity over time, including irreversibility of loss.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A reviewer checks whether irreversibility was treated as a tail constraint, not a discountable cost.</w:t>
            </w:r>
          </w:p>
        </w:tc>
      </w:tr>
      <w:tr>
        <w:trPr>
          <w:cantSplit/>
        </w:trPr>
        <w:tc>
          <w:tcPr>
            <w:tcW w:type="dxa" w:w="18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U7/D7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Ecological Integrity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The overall health, resilience, diversity, and continuity of ecosystems as living support systems.</w:t>
            </w:r>
          </w:p>
        </w:tc>
        <w:tc>
          <w:tcPr>
            <w:tcW w:type="dxa" w:w="24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7"/>
              </w:rPr>
            </w:r>
            <w:r>
              <w:rPr>
                <w:rFonts w:ascii="Aptos" w:hAnsi="Aptos" w:eastAsia="Aptos"/>
                <w:b w:val="0"/>
                <w:color w:val="000000"/>
                <w:sz w:val="17"/>
              </w:rPr>
              <w:t>A reviewer checks whether integrity is evidenced by ecosystem-level data or inferred from a single metric.</w:t>
            </w:r>
          </w:p>
        </w:tc>
      </w:tr>
    </w:tbl>
    <w:p/>
    <w:p>
      <w:pPr>
        <w:pStyle w:val="Heading1"/>
      </w:pPr>
      <w:r>
        <w:t>17. Recommended release ecosystem additions</w:t>
      </w:r>
    </w:p>
    <w:tbl>
      <w:tblPr>
        <w:tblStyle w:val="TableGrid"/>
        <w:tblW w:type="pct" w:w="500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9DB9D2"/>
          <w:left w:val="single" w:sz="6" w:space="0" w:color="9DB9D2"/>
          <w:bottom w:val="single" w:sz="6" w:space="0" w:color="9DB9D2"/>
          <w:right w:val="single" w:sz="6" w:space="0" w:color="9DB9D2"/>
          <w:insideH w:val="single" w:sz="6" w:space="0" w:color="9DB9D2"/>
          <w:insideV w:val="single" w:sz="6" w:space="0" w:color="9DB9D2"/>
        </w:tblBorders>
      </w:tblPr>
      <w:tblGrid>
        <w:gridCol w:w="4609"/>
        <w:gridCol w:w="4609"/>
      </w:tblGrid>
      <w:tr>
        <w:trPr>
          <w:tblHeader w:val="true"/>
          <w:cantSplit/>
        </w:trPr>
        <w:tc>
          <w:tcPr>
            <w:tcW w:type="dxa" w:w="4609"/>
            <w:vAlign w:val="top"/>
            <w:shd w:fill="D9EAF7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/>
                <w:sz w:val="19"/>
                <w:color w:val="1F4E79"/>
              </w:rPr>
            </w:r>
            <w:r>
              <w:rPr>
                <w:rFonts w:ascii="Aptos" w:hAnsi="Aptos" w:eastAsia="Aptos"/>
                <w:b/>
                <w:sz w:val="19"/>
                <w:color w:val="1F4E79"/>
              </w:rPr>
              <w:t>Artifact</w:t>
            </w:r>
          </w:p>
        </w:tc>
        <w:tc>
          <w:tcPr>
            <w:tcW w:type="dxa" w:w="4609"/>
            <w:vAlign w:val="top"/>
            <w:shd w:fill="D9EAF7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/>
                <w:sz w:val="19"/>
                <w:color w:val="1F4E79"/>
              </w:rPr>
            </w:r>
            <w:r>
              <w:rPr>
                <w:rFonts w:ascii="Aptos" w:hAnsi="Aptos" w:eastAsia="Aptos"/>
                <w:b/>
                <w:sz w:val="19"/>
                <w:color w:val="1F4E79"/>
              </w:rPr>
              <w:t>Role</w:t>
            </w:r>
          </w:p>
        </w:tc>
      </w:tr>
      <w:tr>
        <w:trPr>
          <w:cantSplit/>
        </w:trPr>
        <w:tc>
          <w:tcPr>
            <w:tcW w:type="dxa" w:w="460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</w:r>
            <w:r>
              <w:rPr>
                <w:rFonts w:ascii="Aptos" w:hAnsi="Aptos" w:eastAsia="Aptos"/>
                <w:b w:val="0"/>
                <w:color w:val="000000"/>
                <w:sz w:val="19"/>
              </w:rPr>
              <w:t>RippleLogic_RLS_Validation_Protocol_v1.0</w:t>
            </w:r>
          </w:p>
        </w:tc>
        <w:tc>
          <w:tcPr>
            <w:tcW w:type="dxa" w:w="460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</w:r>
            <w:r>
              <w:rPr>
                <w:rFonts w:ascii="Aptos" w:hAnsi="Aptos" w:eastAsia="Aptos"/>
                <w:b w:val="0"/>
                <w:color w:val="000000"/>
                <w:sz w:val="19"/>
              </w:rPr>
              <w:t>Study protocol, rater instructions, hypotheses, analysis plan, and revision rules.</w:t>
            </w:r>
          </w:p>
        </w:tc>
      </w:tr>
      <w:tr>
        <w:trPr>
          <w:cantSplit/>
        </w:trPr>
        <w:tc>
          <w:tcPr>
            <w:tcW w:type="dxa" w:w="460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</w:r>
            <w:r>
              <w:rPr>
                <w:rFonts w:ascii="Aptos" w:hAnsi="Aptos" w:eastAsia="Aptos"/>
                <w:b w:val="0"/>
                <w:color w:val="000000"/>
                <w:sz w:val="19"/>
              </w:rPr>
              <w:t>RLS_Validation_Workbook_v0.1</w:t>
            </w:r>
          </w:p>
        </w:tc>
        <w:tc>
          <w:tcPr>
            <w:tcW w:type="dxa" w:w="460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</w:r>
            <w:r>
              <w:rPr>
                <w:rFonts w:ascii="Aptos" w:hAnsi="Aptos" w:eastAsia="Aptos"/>
                <w:b w:val="0"/>
                <w:color w:val="000000"/>
                <w:sz w:val="19"/>
              </w:rPr>
              <w:t>Rater-entry and analysis-prep workbook.</w:t>
            </w:r>
          </w:p>
        </w:tc>
      </w:tr>
      <w:tr>
        <w:trPr>
          <w:cantSplit/>
        </w:trPr>
        <w:tc>
          <w:tcPr>
            <w:tcW w:type="dxa" w:w="460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</w:r>
            <w:r>
              <w:rPr>
                <w:rFonts w:ascii="Aptos" w:hAnsi="Aptos" w:eastAsia="Aptos"/>
                <w:b w:val="0"/>
                <w:color w:val="000000"/>
                <w:sz w:val="19"/>
              </w:rPr>
              <w:t>RLS_Calibration_Note_v1.0</w:t>
            </w:r>
          </w:p>
        </w:tc>
        <w:tc>
          <w:tcPr>
            <w:tcW w:type="dxa" w:w="460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</w:r>
            <w:r>
              <w:rPr>
                <w:rFonts w:ascii="Aptos" w:hAnsi="Aptos" w:eastAsia="Aptos"/>
                <w:b w:val="0"/>
                <w:color w:val="000000"/>
                <w:sz w:val="19"/>
              </w:rPr>
              <w:t>Future results document after the first scoring sprint.</w:t>
            </w:r>
          </w:p>
        </w:tc>
      </w:tr>
      <w:tr>
        <w:trPr>
          <w:cantSplit/>
        </w:trPr>
        <w:tc>
          <w:tcPr>
            <w:tcW w:type="dxa" w:w="460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</w:r>
            <w:r>
              <w:rPr>
                <w:rFonts w:ascii="Aptos" w:hAnsi="Aptos" w:eastAsia="Aptos"/>
                <w:b w:val="0"/>
                <w:color w:val="000000"/>
                <w:sz w:val="19"/>
              </w:rPr>
              <w:t>Case_Packets/</w:t>
            </w:r>
          </w:p>
        </w:tc>
        <w:tc>
          <w:tcPr>
            <w:tcW w:type="dxa" w:w="460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7FB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</w:r>
            <w:r>
              <w:rPr>
                <w:rFonts w:ascii="Aptos" w:hAnsi="Aptos" w:eastAsia="Aptos"/>
                <w:b w:val="0"/>
                <w:color w:val="000000"/>
                <w:sz w:val="19"/>
              </w:rPr>
              <w:t>Folder for frozen synthetic and real shadow-mode case packets.</w:t>
            </w:r>
          </w:p>
        </w:tc>
      </w:tr>
    </w:tbl>
    <w:p/>
    <w:p>
      <w:pPr>
        <w:pStyle w:val="Heading1"/>
      </w:pPr>
      <w:r>
        <w:t>18. Proposed README wording</w:t>
      </w:r>
    </w:p>
    <w:p>
      <w:r>
        <w:t>Current status: RLS is release-ready as a structured residual welfare-ranking specification and audit method. Empirical validation of dimensional independence, inter-rater reliability, and decision-performance advantage is a next-stage research priority. The RLS Validation Protocol provides the study design for testing these claims through scored cases, independent raters, reliability statistics, and correlation/factor analysis of the 49-cell welfare field.</w:t>
      </w:r>
    </w:p>
    <w:p>
      <w:pPr>
        <w:pStyle w:val="Heading1"/>
      </w:pPr>
      <w:r>
        <w:t>19. Completion definition for the first sprint</w:t>
      </w:r>
    </w:p>
    <w:p>
      <w:pPr>
        <w:pStyle w:val="ListBullet"/>
      </w:pPr>
      <w:r>
        <w:t>At least 10 cases scored independently by at least 3 raters.</w:t>
      </w:r>
    </w:p>
    <w:p>
      <w:pPr>
        <w:pStyle w:val="ListBullet"/>
      </w:pPr>
      <w:r>
        <w:t>All raw rater scores preserved.</w:t>
      </w:r>
    </w:p>
    <w:p>
      <w:pPr>
        <w:pStyle w:val="ListBullet"/>
      </w:pPr>
      <w:r>
        <w:t>Completion, missingness, and disagreement statistics produced.</w:t>
      </w:r>
    </w:p>
    <w:p>
      <w:pPr>
        <w:pStyle w:val="ListBullet"/>
      </w:pPr>
      <w:r>
        <w:t>IRR reported for score, ranking, and key classifications where applicable.</w:t>
      </w:r>
    </w:p>
    <w:p>
      <w:pPr>
        <w:pStyle w:val="ListBullet"/>
      </w:pPr>
      <w:r>
        <w:t>Correlation or redundancy heatmap produced over the 49 cells.</w:t>
      </w:r>
    </w:p>
    <w:p>
      <w:pPr>
        <w:pStyle w:val="ListBullet"/>
      </w:pPr>
      <w:r>
        <w:t>At least one scalar or reduced-matrix comparator run.</w:t>
      </w:r>
    </w:p>
    <w:p>
      <w:pPr>
        <w:pStyle w:val="ListBullet"/>
      </w:pPr>
      <w:r>
        <w:t>Revision log produced with exact cells, anchors, or instructions needing repair.</w:t>
      </w:r>
    </w:p>
    <w:p>
      <w:pPr>
        <w:pStyle w:val="ListBullet"/>
      </w:pPr>
      <w:r>
        <w:t>Public claim boundary updated: exploratory, preliminary, validated for limited domain, or not validated.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RippleLogic RLS Validation Protocol v1.0 - companion validation artifact - not governing core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0F4E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3415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0F172A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