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0a625ec6cc6d2843c3c851cd701bce58ab4ab3"/>
    <w:p>
      <w:pPr>
        <w:pStyle w:val="Heading1"/>
      </w:pPr>
      <w:r>
        <w:t xml:space="preserve">MathGov Core v12.6 and MHIOS v0.7 Independent Release Report</w:t>
      </w:r>
    </w:p>
    <w:p>
      <w:pPr>
        <w:pStyle w:val="FirstParagraph"/>
      </w:pPr>
      <w:r>
        <w:rPr>
          <w:b/>
          <w:bCs/>
        </w:rPr>
        <w:t xml:space="preserve">Core release:</w:t>
      </w:r>
      <w:r>
        <w:t xml:space="preserve"> </w:t>
      </w:r>
      <w:r>
        <w:rPr>
          <w:rStyle w:val="VerbatimChar"/>
        </w:rPr>
        <w:t xml:space="preserve">MathGov_Core_2026_09_v12.6_SGP_v8.5+2026.08.10.2</w:t>
      </w:r>
      <w:r>
        <w:br/>
      </w:r>
      <w:r>
        <w:rPr>
          <w:b/>
          <w:bCs/>
        </w:rPr>
        <w:t xml:space="preserve">MHIOS release:</w:t>
      </w:r>
      <w:r>
        <w:t xml:space="preserve"> </w:t>
      </w:r>
      <w:r>
        <w:rPr>
          <w:rStyle w:val="VerbatimChar"/>
        </w:rPr>
        <w:t xml:space="preserve">MHIOS_v0_7+2026.08.10.2</w:t>
      </w:r>
      <w:r>
        <w:br/>
      </w:r>
      <w:r>
        <w:rPr>
          <w:b/>
          <w:bCs/>
        </w:rPr>
        <w:t xml:space="preserve">Publication date:</w:t>
      </w:r>
      <w:r>
        <w:t xml:space="preserve"> </w:t>
      </w:r>
      <w:r>
        <w:t xml:space="preserve">10 August 2026</w:t>
      </w:r>
      <w:r>
        <w:br/>
      </w:r>
      <w:r>
        <w:rPr>
          <w:b/>
          <w:bCs/>
        </w:rPr>
        <w:t xml:space="preserve">Review disposition:</w:t>
      </w:r>
      <w:r>
        <w:t xml:space="preserve"> </w:t>
      </w:r>
      <w:r>
        <w:rPr>
          <w:rStyle w:val="VerbatimChar"/>
        </w:rPr>
        <w:t xml:space="preserve">READY WITH BOUNDED OPEN WORK — CONCEPTUAL FREEZE RECOMMENDED</w:t>
      </w:r>
      <w:r>
        <w:br/>
      </w:r>
      <w:r>
        <w:rPr>
          <w:b/>
          <w:bCs/>
        </w:rPr>
        <w:t xml:space="preserve">Construct validity:</w:t>
      </w:r>
      <w:r>
        <w:t xml:space="preserve"> </w:t>
      </w:r>
      <w:r>
        <w:rPr>
          <w:rStyle w:val="VerbatimChar"/>
        </w:rPr>
        <w:t xml:space="preserve">UNTESTED</w:t>
      </w:r>
    </w:p>
    <w:bookmarkStart w:id="23" w:name="executive-finding"/>
    <w:p>
      <w:pPr>
        <w:pStyle w:val="Heading2"/>
      </w:pPr>
      <w:r>
        <w:t xml:space="preserve">Executive finding</w:t>
      </w:r>
    </w:p>
    <w:p>
      <w:pPr>
        <w:pStyle w:val="FirstParagraph"/>
      </w:pPr>
      <w:r>
        <w:t xml:space="preserve">The five-stage MathGov architecture is coherent, necessary in its present separation, and sufficiently specified to freeze conceptually. The audit did not find a justified case for a sixth gate, an eighth scope or dimension, a TRC/CSV merger, weakened rights noncompensation, or a new authority layer.</w:t>
      </w:r>
    </w:p>
    <w:p>
      <w:pPr>
        <w:pStyle w:val="BodyText"/>
      </w:pPr>
      <w:r>
        <w:t xml:space="preserve">The original attached builds were not yet freeze-ready because current release surfaces disagreed on citation metadata, build identity, and companion pins; the Canon overstated the meaning of a zero cell; a lock file and malformed text fragment were packaged; MHIOS had two live WDBIP v1.5 crosswalk references; and all governing tables had lost their professional style. These were bounded but genuine defects.</w:t>
      </w:r>
    </w:p>
    <w:p>
      <w:pPr>
        <w:pStyle w:val="BodyText"/>
      </w:pPr>
      <w:r>
        <w:t xml:space="preserve">Builds</w:t>
      </w:r>
      <w:r>
        <w:t xml:space="preserve"> </w:t>
      </w:r>
      <w:r>
        <w:rPr>
          <w:rStyle w:val="VerbatimChar"/>
        </w:rPr>
        <w:t xml:space="preserve">MathGov_Core_2026_09_v12.6_SGP_v8.5+2026.08.10.2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MHIOS_v0_7+2026.08.10.2</w:t>
      </w:r>
      <w:r>
        <w:t xml:space="preserve"> </w:t>
      </w:r>
      <w:r>
        <w:t xml:space="preserve">preserve those repairs and complete a further reality-grounding crosscheck without changing the governing cascade, formulas, thresholds, rights protections, SGP floors, or semantic versions. The newly supplied external engineering materials did not reveal a missing canonical layer. They did justify one informative consolidation: evidence at derivation, computation, implementation, projection, empirical test, operational qualification, and observed-outcome stages must not be promoted into a stronger later-stage claim. Core is ready for open research release; MHIOS is ready as a candidate implementation companion. Neither is empirically validated or deployment-authorizing.</w:t>
      </w:r>
    </w:p>
    <w:p>
      <w:pPr>
        <w:pStyle w:val="BodyText"/>
      </w:pPr>
      <w:r>
        <w:drawing>
          <wp:inline>
            <wp:extent cx="5334000" cy="1658210"/>
            <wp:effectExtent b="0" l="0" r="0" t="0"/>
            <wp:docPr descr="MathGov qualification lifecycle" title="" id="21" name="Picture"/>
            <a:graphic>
              <a:graphicData uri="http://schemas.openxmlformats.org/drawingml/2006/picture">
                <pic:pic>
                  <pic:nvPicPr>
                    <pic:cNvPr descr="assets/qualification_lifecycl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4bb4b56ba959b086149690011d18409b8090459"/>
    <w:p>
      <w:pPr>
        <w:pStyle w:val="Heading2"/>
      </w:pPr>
      <w:r>
        <w:t xml:space="preserve">1. Reconstructed architecture</w:t>
      </w:r>
    </w:p>
    <w:p>
      <w:pPr>
        <w:pStyle w:val="FirstParagraph"/>
      </w:pPr>
      <w:r>
        <w:rPr>
          <w:rStyle w:val="VerbatimChar"/>
        </w:rPr>
        <w:t xml:space="preserve">RG/RSG -&gt; RF/NCRC -&gt; TRC -&gt; CSV -&gt; RLS</w:t>
      </w:r>
    </w:p>
    <w:p>
      <w:pPr>
        <w:pStyle w:val="BodyText"/>
      </w:pPr>
      <w:r>
        <w:t xml:space="preserve">RG is a claim-authority and reality-grounding precondition. RF/NCRC, TRC, and CSV are noncompensatory rejecting gates. RLS is a ranking layer operating only on the selectable set. This is one epistemic precondition, three qualification gates, and one post-qualification ranking stage, not five interchangeable scores.</w:t>
      </w:r>
    </w:p>
    <w:tbl>
      <w:tblPr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8" w:space="0" w:color="AFC4D6"/>
          <w:left w:val="single" w:sz="8" w:space="0" w:color="AFC4D6"/>
          <w:bottom w:val="single" w:sz="8" w:space="0" w:color="AFC4D6"/>
          <w:right w:val="single" w:sz="8" w:space="0" w:color="AFC4D6"/>
          <w:insideH w:val="single" w:sz="4" w:space="0" w:color="AFC4D6"/>
          <w:insideV w:val="single" w:sz="4" w:space="0" w:color="AFC4D6"/>
        </w:tblBorders>
        <w:tblCellMar>
          <w:top w:w="36" w:type="dxa"/>
          <w:left w:w="72" w:type="dxa"/>
          <w:bottom w:w="36" w:type="dxa"/>
          <w:right w:w="72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037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8"/>
              </w:rPr>
              <w:t xml:space="preserve">Stage</w:t>
            </w:r>
          </w:p>
        </w:tc>
        <w:tc>
          <w:tcPr>
            <w:tcW w:type="dxa" w:w="3917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8"/>
              </w:rPr>
              <w:t xml:space="preserve">Controlling question</w:t>
            </w:r>
          </w:p>
        </w:tc>
        <w:tc>
          <w:tcPr>
            <w:tcW w:type="dxa" w:w="5213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8"/>
              </w:rPr>
              <w:t xml:space="preserve">Output boundary</w:t>
            </w:r>
          </w:p>
        </w:tc>
      </w:tr>
      <w:tr>
        <w:tc>
          <w:tcPr>
            <w:tcW w:type="dxa" w:w="103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RG/RSG</w:t>
            </w:r>
          </w:p>
        </w:tc>
        <w:tc>
          <w:tcPr>
            <w:tcW w:type="dxa" w:w="391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Are the material claims adequately grounded for this decision and domain?</w:t>
            </w:r>
          </w:p>
        </w:tc>
        <w:tc>
          <w:tcPr>
            <w:tcW w:type="dxa" w:w="521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Supported, bounded, underdetermined, refused, or learning-action state.</w:t>
            </w:r>
          </w:p>
        </w:tc>
      </w:tr>
      <w:tr>
        <w:tc>
          <w:tcPr>
            <w:tcW w:type="dxa" w:w="103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RF/NCRC</w:t>
            </w:r>
          </w:p>
        </w:tc>
        <w:tc>
          <w:tcPr>
            <w:tcW w:type="dxa" w:w="391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Does the option preserve the noncompensable rights floor?</w:t>
            </w:r>
          </w:p>
        </w:tc>
        <w:tc>
          <w:tcPr>
            <w:tcW w:type="dxa" w:w="521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Rights-qualified or rejected/redesign/escalation.</w:t>
            </w:r>
          </w:p>
        </w:tc>
      </w:tr>
      <w:tr>
        <w:tc>
          <w:tcPr>
            <w:tcW w:type="dxa" w:w="103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TRC</w:t>
            </w:r>
          </w:p>
        </w:tc>
        <w:tc>
          <w:tcPr>
            <w:tcW w:type="dxa" w:w="391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Is catastrophic, ruinous, transformative, or irreversible tail exposure acceptable under the declared profile?</w:t>
            </w:r>
          </w:p>
        </w:tc>
        <w:tc>
          <w:tcPr>
            <w:tcW w:type="dxa" w:w="521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Tail-qualified, emergency-provisional, rejected, or refusal under deep uncertainty.</w:t>
            </w:r>
          </w:p>
        </w:tc>
      </w:tr>
      <w:tr>
        <w:tc>
          <w:tcPr>
            <w:tcW w:type="dxa" w:w="103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CSV</w:t>
            </w:r>
          </w:p>
        </w:tc>
        <w:tc>
          <w:tcPr>
            <w:tcW w:type="dxa" w:w="391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Can the option remain structurally viable under real dependencies, controls, authority, monitoring, and carried obligations?</w:t>
            </w:r>
          </w:p>
        </w:tc>
        <w:tc>
          <w:tcPr>
            <w:tcW w:type="dxa" w:w="521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Selectable, selectable with controls, not material, redesign, escalation, or failure.</w:t>
            </w:r>
          </w:p>
        </w:tc>
      </w:tr>
      <w:tr>
        <w:tc>
          <w:tcPr>
            <w:tcW w:type="dxa" w:w="103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RLS</w:t>
            </w:r>
          </w:p>
        </w:tc>
        <w:tc>
          <w:tcPr>
            <w:tcW w:type="dxa" w:w="391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Among only selectable options, which has the strongest disclosed 7 × 7 welfare profile?</w:t>
            </w:r>
          </w:p>
        </w:tc>
        <w:tc>
          <w:tcPr>
            <w:tcW w:type="dxa" w:w="521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Ordinal/comparative ranking with uncertainty, distributional, sensitivity, and decisiveness diagnostics.</w:t>
            </w:r>
          </w:p>
        </w:tc>
      </w:tr>
    </w:tbl>
    <w:p>
      <w:pPr>
        <w:pStyle w:val="BodyText"/>
      </w:pPr>
      <w:r>
        <w:t xml:space="preserve">The lifecycle continues beyond ranking: selection -&gt; authorization -&gt; exact action binding -&gt; execution readiness -&gt; monitored execution -&gt; outcome observation -&gt; requalification when material conditions change. Qualification is not authority, capability is not authority, authentication is not correctness, and a prior qualification is not a transferable permit.</w:t>
      </w:r>
    </w:p>
    <w:bookmarkEnd w:id="24"/>
    <w:bookmarkStart w:id="25" w:name="X8f77fd19688671067f780e1fe004d5c01b48d54"/>
    <w:p>
      <w:pPr>
        <w:pStyle w:val="Heading2"/>
      </w:pPr>
      <w:r>
        <w:t xml:space="preserve">2. Strongest verified features</w:t>
      </w:r>
    </w:p>
    <w:p>
      <w:pPr>
        <w:pStyle w:val="Compact"/>
        <w:numPr>
          <w:ilvl w:val="0"/>
          <w:numId w:val="1001"/>
        </w:numPr>
      </w:pPr>
      <w:r>
        <w:t xml:space="preserve">Rights and catastrophe protections are structurally non-dilutable by RLS benefit.</w:t>
      </w:r>
    </w:p>
    <w:p>
      <w:pPr>
        <w:pStyle w:val="Compact"/>
        <w:numPr>
          <w:ilvl w:val="0"/>
          <w:numId w:val="1001"/>
        </w:numPr>
      </w:pPr>
      <w:r>
        <w:t xml:space="preserve">RG exposes evidence domains, warrant domains, uncertainty, unknowns, boundary conditions, and refusal instead of laundering uncertainty through a score.</w:t>
      </w:r>
    </w:p>
    <w:p>
      <w:pPr>
        <w:pStyle w:val="Compact"/>
        <w:numPr>
          <w:ilvl w:val="0"/>
          <w:numId w:val="1001"/>
        </w:numPr>
      </w:pPr>
      <w:r>
        <w:t xml:space="preserve">TRC and CSV remain distinct: tail exposure is not the same question as structural governability and lifecycle viability.</w:t>
      </w:r>
    </w:p>
    <w:p>
      <w:pPr>
        <w:pStyle w:val="Compact"/>
        <w:numPr>
          <w:ilvl w:val="0"/>
          <w:numId w:val="1001"/>
        </w:numPr>
      </w:pPr>
      <w:r>
        <w:t xml:space="preserve">RLS cannot run before qualification or resurrect a rejected option.</w:t>
      </w:r>
    </w:p>
    <w:p>
      <w:pPr>
        <w:pStyle w:val="Compact"/>
        <w:numPr>
          <w:ilvl w:val="0"/>
          <w:numId w:val="1001"/>
        </w:numPr>
      </w:pPr>
      <w:r>
        <w:t xml:space="preserve">SGP separates moral-patienthood/protection, participation, capability, and authority and explicitly rejects consciousness-detector use.</w:t>
      </w:r>
    </w:p>
    <w:p>
      <w:pPr>
        <w:pStyle w:val="Compact"/>
        <w:numPr>
          <w:ilvl w:val="0"/>
          <w:numId w:val="1001"/>
        </w:numPr>
      </w:pPr>
      <w:r>
        <w:t xml:space="preserve">Exact action/snapshot/configuration binding closes the gap between an abstractly qualified option and the real action executed.</w:t>
      </w:r>
    </w:p>
    <w:p>
      <w:pPr>
        <w:pStyle w:val="Compact"/>
        <w:numPr>
          <w:ilvl w:val="0"/>
          <w:numId w:val="1001"/>
        </w:numPr>
      </w:pPr>
      <w:r>
        <w:t xml:space="preserve">Machine schemas, negative vectors, workbook surfaces, state registries, and hashes make a substantial portion of the architecture inspectable and replayable.</w:t>
      </w:r>
    </w:p>
    <w:bookmarkEnd w:id="25"/>
    <w:bookmarkStart w:id="26" w:name="X5b555b23c877d61bee7b6192208794c202ad044"/>
    <w:p>
      <w:pPr>
        <w:pStyle w:val="Heading2"/>
      </w:pPr>
      <w:r>
        <w:t xml:space="preserve">3. Genuine defects repaired</w:t>
      </w:r>
    </w:p>
    <w:tbl>
      <w:tblPr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8" w:space="0" w:color="AFC4D6"/>
          <w:left w:val="single" w:sz="8" w:space="0" w:color="AFC4D6"/>
          <w:bottom w:val="single" w:sz="8" w:space="0" w:color="AFC4D6"/>
          <w:right w:val="single" w:sz="8" w:space="0" w:color="AFC4D6"/>
          <w:insideH w:val="single" w:sz="4" w:space="0" w:color="AFC4D6"/>
          <w:insideV w:val="single" w:sz="4" w:space="0" w:color="AFC4D6"/>
        </w:tblBorders>
        <w:tblCellMar>
          <w:top w:w="36" w:type="dxa"/>
          <w:left w:w="72" w:type="dxa"/>
          <w:bottom w:w="36" w:type="dxa"/>
          <w:right w:w="72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W w:type="dxa" w:w="2952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 xml:space="preserve">Defect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 xml:space="preserve">Severity</w:t>
            </w:r>
          </w:p>
        </w:tc>
        <w:tc>
          <w:tcPr>
            <w:tcW w:type="dxa" w:w="2520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 xml:space="preserve">Consequence</w:t>
            </w:r>
          </w:p>
        </w:tc>
        <w:tc>
          <w:tcPr>
            <w:tcW w:type="dxa" w:w="3787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 xml:space="preserve">Repair</w:t>
            </w:r>
          </w:p>
        </w:tc>
      </w:tr>
      <w:tr>
        <w:tc>
          <w:tcPr>
            <w:tcW w:type="dxa" w:w="295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Stale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CITATION.cff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and mixed earlier build metadata</w:t>
            </w:r>
          </w:p>
        </w:tc>
        <w:tc>
          <w:tcPr>
            <w:tcW w:type="dxa" w:w="907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High</w:t>
            </w:r>
          </w:p>
        </w:tc>
        <w:tc>
          <w:tcPr>
            <w:tcW w:type="dxa" w:w="2520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Non-reproducible citation and dependency identity</w:t>
            </w:r>
          </w:p>
        </w:tc>
        <w:tc>
          <w:tcPr>
            <w:tcW w:type="dxa" w:w="378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Exact v12.6 / 10 August metadata, a distinct build 2026.08.10.2 identity, and hard verifier checks.</w:t>
            </w:r>
          </w:p>
        </w:tc>
      </w:tr>
      <w:tr>
        <w:tc>
          <w:tcPr>
            <w:tcW w:type="dxa" w:w="295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Active component maps and current-line prose contained old companion pins</w:t>
            </w:r>
          </w:p>
        </w:tc>
        <w:tc>
          <w:tcPr>
            <w:tcW w:type="dxa" w:w="907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High</w:t>
            </w:r>
          </w:p>
        </w:tc>
        <w:tc>
          <w:tcPr>
            <w:tcW w:type="dxa" w:w="2520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Two valid implementers could choose different governing versions</w:t>
            </w:r>
          </w:p>
        </w:tc>
        <w:tc>
          <w:tcPr>
            <w:tcW w:type="dxa" w:w="378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Synchronized all active source and reading mirrors; added exact mirror checks.</w:t>
            </w:r>
          </w:p>
        </w:tc>
      </w:tr>
      <w:tr>
        <w:tc>
          <w:tcPr>
            <w:tcW w:type="dxa" w:w="295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MHIOS crosswalks still named WDBIP v1.5 and old MFDI/Source pins</w:t>
            </w:r>
          </w:p>
        </w:tc>
        <w:tc>
          <w:tcPr>
            <w:tcW w:type="dxa" w:w="907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High</w:t>
            </w:r>
          </w:p>
        </w:tc>
        <w:tc>
          <w:tcPr>
            <w:tcW w:type="dxa" w:w="2520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False exact-compatibility claim</w:t>
            </w:r>
          </w:p>
        </w:tc>
        <w:tc>
          <w:tcPr>
            <w:tcW w:type="dxa" w:w="378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Corrected to WDBIP v1.6, MFDI v2.3, Source Coupling v2.3 and exact Core build.</w:t>
            </w:r>
          </w:p>
        </w:tc>
      </w:tr>
      <w:tr>
        <w:tc>
          <w:tcPr>
            <w:tcW w:type="dxa" w:w="295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Zero-cell biconditional was too strong</w:t>
            </w:r>
          </w:p>
        </w:tc>
        <w:tc>
          <w:tcPr>
            <w:tcW w:type="dxa" w:w="907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Medium</w:t>
            </w:r>
          </w:p>
        </w:tc>
        <w:tc>
          <w:tcPr>
            <w:tcW w:type="dxa" w:w="2520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Offsetting subgroup/pathway harms could be misread as absence of change</w:t>
            </w:r>
          </w:p>
        </w:tc>
        <w:tc>
          <w:tcPr>
            <w:tcW w:type="dxa" w:w="378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Defined zero as net represented cell change and required non-masking disclosures.</w:t>
            </w:r>
          </w:p>
        </w:tc>
      </w:tr>
      <w:tr>
        <w:tc>
          <w:tcPr>
            <w:tcW w:type="dxa" w:w="295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Normative coverage counted lines rather than modal clauses</w:t>
            </w:r>
          </w:p>
        </w:tc>
        <w:tc>
          <w:tcPr>
            <w:tcW w:type="dxa" w:w="907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Medium</w:t>
            </w:r>
          </w:p>
        </w:tc>
        <w:tc>
          <w:tcPr>
            <w:tcW w:type="dxa" w:w="2520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Misleading coverage denominator and hidden obligations</w:t>
            </w:r>
          </w:p>
        </w:tc>
        <w:tc>
          <w:tcPr>
            <w:tcW w:type="dxa" w:w="378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154-clause census plus executable-check registry and explicit nonclaims.</w:t>
            </w:r>
          </w:p>
        </w:tc>
      </w:tr>
      <w:tr>
        <w:tc>
          <w:tcPr>
            <w:tcW w:type="dxa" w:w="295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Generic unstyled tables across governing DOCX files</w:t>
            </w:r>
          </w:p>
        </w:tc>
        <w:tc>
          <w:tcPr>
            <w:tcW w:type="dxa" w:w="907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Medium</w:t>
            </w:r>
          </w:p>
        </w:tc>
        <w:tc>
          <w:tcPr>
            <w:tcW w:type="dxa" w:w="2520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Reduced scanability and professional usability</w:t>
            </w:r>
          </w:p>
        </w:tc>
        <w:tc>
          <w:tcPr>
            <w:tcW w:type="dxa" w:w="378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Restored restrained light-blue table system and verified 304 tables across Core and MHIOS.</w:t>
            </w:r>
          </w:p>
        </w:tc>
      </w:tr>
      <w:tr>
        <w:tc>
          <w:tcPr>
            <w:tcW w:type="dxa" w:w="295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Shipped office lock file</w:t>
            </w:r>
          </w:p>
        </w:tc>
        <w:tc>
          <w:tcPr>
            <w:tcW w:type="dxa" w:w="907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Medium</w:t>
            </w:r>
          </w:p>
        </w:tc>
        <w:tc>
          <w:tcPr>
            <w:tcW w:type="dxa" w:w="2520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Dirty-source and tool-conflict risk</w:t>
            </w:r>
          </w:p>
        </w:tc>
        <w:tc>
          <w:tcPr>
            <w:tcW w:type="dxa" w:w="378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Removed and prohibited by verifier.</w:t>
            </w:r>
          </w:p>
        </w:tc>
      </w:tr>
      <w:tr>
        <w:tc>
          <w:tcPr>
            <w:tcW w:type="dxa" w:w="295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Accidental Canon table fragment</w:t>
            </w:r>
          </w:p>
        </w:tc>
        <w:tc>
          <w:tcPr>
            <w:tcW w:type="dxa" w:w="907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Low</w:t>
            </w:r>
          </w:p>
        </w:tc>
        <w:tc>
          <w:tcPr>
            <w:tcW w:type="dxa" w:w="2520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Reader/converter confusion</w:t>
            </w:r>
          </w:p>
        </w:tc>
        <w:tc>
          <w:tcPr>
            <w:tcW w:type="dxa" w:w="3787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Removed and synchronized mirrors.</w:t>
            </w:r>
          </w:p>
        </w:tc>
      </w:tr>
    </w:tbl>
    <w:bookmarkEnd w:id="26"/>
    <w:bookmarkStart w:id="27" w:name="X1f6e7705f11997a5487e963ebdc8024f4cb3aec"/>
    <w:p>
      <w:pPr>
        <w:pStyle w:val="Heading2"/>
      </w:pPr>
      <w:r>
        <w:t xml:space="preserve">4. Verification outcome</w:t>
      </w:r>
    </w:p>
    <w:tbl>
      <w:tblPr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8" w:space="0" w:color="AFC4D6"/>
          <w:left w:val="single" w:sz="8" w:space="0" w:color="AFC4D6"/>
          <w:bottom w:val="single" w:sz="8" w:space="0" w:color="AFC4D6"/>
          <w:right w:val="single" w:sz="8" w:space="0" w:color="AFC4D6"/>
          <w:insideH w:val="single" w:sz="4" w:space="0" w:color="AFC4D6"/>
          <w:insideV w:val="single" w:sz="4" w:space="0" w:color="AFC4D6"/>
        </w:tblBorders>
        <w:tblCellMar>
          <w:top w:w="36" w:type="dxa"/>
          <w:left w:w="72" w:type="dxa"/>
          <w:bottom w:w="36" w:type="dxa"/>
          <w:right w:w="72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tcW w:type="dxa" w:w="6523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8"/>
              </w:rPr>
              <w:t xml:space="preserve">Surface</w:t>
            </w:r>
          </w:p>
        </w:tc>
        <w:tc>
          <w:tcPr>
            <w:tcW w:type="dxa" w:w="3643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 xml:space="preserve">Final result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Core current pins, citation, and source hygiene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PASS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Core subordinate verification surfaces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9 / 9 PASS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Core run vectors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6 positive / 29 intended failures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SGP RMCP vectors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1 positive / 1 intended failure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WDBIP vectors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1 positive / 17 intended failures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Workbook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87 sheets / 1,643 formulas / 0 errors after live recalculation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Core reading surfaces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15 triples / 287 tables / 596 pages / 0 confirmed layout defects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MHIOS conformance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4 positive / 52 intended failures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MHIOS mutations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40 / 40 killed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MHIOS normative census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154 clauses; 65 any linkage; 55 direct; 89 unlinked</w:t>
            </w:r>
          </w:p>
        </w:tc>
      </w:tr>
      <w:tr>
        <w:tc>
          <w:tcPr>
            <w:tcW w:type="dxa" w:w="6523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8"/>
              </w:rPr>
              <w:t xml:space="preserve">MHIOS document</w:t>
            </w:r>
          </w:p>
        </w:tc>
        <w:tc>
          <w:tcPr>
            <w:tcW w:type="dxa" w:w="364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 xml:space="preserve">17 tables / 66 pages / 0 confirmed layout defects</w:t>
            </w:r>
          </w:p>
        </w:tc>
      </w:tr>
    </w:tbl>
    <w:bookmarkEnd w:id="27"/>
    <w:bookmarkStart w:id="28" w:name="X816b8d8a9c5b87d576239154256e43df6e8a8e8"/>
    <w:p>
      <w:pPr>
        <w:pStyle w:val="Heading2"/>
      </w:pPr>
      <w:r>
        <w:t xml:space="preserve">5. Reality-grounding and evidence-boundary crosscheck</w:t>
      </w:r>
    </w:p>
    <w:p>
      <w:pPr>
        <w:pStyle w:val="FirstParagraph"/>
      </w:pPr>
      <w:r>
        <w:t xml:space="preserve">The crosscheck was conducted as an independent requirements audit, not as a derivative design exercise. No external formula, primitive, ontology, taxonomy, verdict system, hardware stack, implementation logic, or proprietary term was imported.</w:t>
      </w:r>
    </w:p>
    <w:tbl>
      <w:tblPr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8" w:space="0" w:color="AFC4D6"/>
          <w:left w:val="single" w:sz="8" w:space="0" w:color="AFC4D6"/>
          <w:bottom w:val="single" w:sz="8" w:space="0" w:color="AFC4D6"/>
          <w:right w:val="single" w:sz="8" w:space="0" w:color="AFC4D6"/>
          <w:insideH w:val="single" w:sz="4" w:space="0" w:color="AFC4D6"/>
          <w:insideV w:val="single" w:sz="4" w:space="0" w:color="AFC4D6"/>
        </w:tblBorders>
        <w:tblCellMar>
          <w:top w:w="36" w:type="dxa"/>
          <w:left w:w="72" w:type="dxa"/>
          <w:bottom w:w="36" w:type="dxa"/>
          <w:right w:w="72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779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 xml:space="preserve">Methodological challenge tested</w:t>
            </w:r>
          </w:p>
        </w:tc>
        <w:tc>
          <w:tcPr>
            <w:tcW w:type="dxa" w:w="4392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 xml:space="preserve">Existing MathGov coverage</w:t>
            </w:r>
          </w:p>
        </w:tc>
        <w:tc>
          <w:tcPr>
            <w:tcW w:type="dxa" w:w="2995"/>
            <w:vAlign w:val="center"/>
            <w:shd w:val="clear" w:color="auto" w:fill="D9EAF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 xml:space="preserve">Build 2026.08.10.2 disposition</w:t>
            </w:r>
          </w:p>
        </w:tc>
      </w:tr>
      <w:tr>
        <w:tc>
          <w:tcPr>
            <w:tcW w:type="dxa" w:w="2779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Separate derivation, computation, implementation, projection, measurement, and physical evidence.</w:t>
            </w:r>
          </w:p>
        </w:tc>
        <w:tc>
          <w:tcPr>
            <w:tcW w:type="dxa" w:w="439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MFDI v2.3 milestone claim discipline; PC-AEP v2.3 formal-conformance and specification-to-reality boundary; Scientific Maturity Ladder.</w:t>
            </w:r>
          </w:p>
        </w:tc>
        <w:tc>
          <w:tcPr>
            <w:tcW w:type="dxa" w:w="2995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Retained the architecture and added one informative evidence-stage non-substitution matrix.</w:t>
            </w:r>
          </w:p>
        </w:tc>
      </w:tr>
      <w:tr>
        <w:tc>
          <w:tcPr>
            <w:tcW w:type="dxa" w:w="2779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Freeze the evaluation projection before outcome-sensitive observation.</w:t>
            </w:r>
          </w:p>
        </w:tc>
        <w:tc>
          <w:tcPr>
            <w:tcW w:type="dxa" w:w="439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Canon projection pre-registration, parameter/configuration locking, MHIOS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>projection pre-registration record</w:t>
            </w:r>
            <w:r>
              <w:rPr>
                <w:rFonts w:ascii="Arial" w:hAnsi="Arial"/>
                <w:sz w:val="17"/>
              </w:rPr>
              <w:t xml:space="preserve">, independent replay packet.</w:t>
            </w:r>
          </w:p>
        </w:tc>
        <w:tc>
          <w:tcPr>
            <w:tcW w:type="dxa" w:w="2995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Already covered; no new field or state added.</w:t>
            </w:r>
          </w:p>
        </w:tc>
      </w:tr>
      <w:tr>
        <w:tc>
          <w:tcPr>
            <w:tcW w:type="dxa" w:w="2779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Allow a failed implementation, prediction, or physical test to propagate upstream.</w:t>
            </w:r>
          </w:p>
        </w:tc>
        <w:tc>
          <w:tcPr>
            <w:tcW w:type="dxa" w:w="439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MFDI dependency-localized failure propagation, non-retrofitting, re-derivation scope, distribution-shift and requalification protocol.</w:t>
            </w:r>
          </w:p>
        </w:tc>
        <w:tc>
          <w:tcPr>
            <w:tcW w:type="dxa" w:w="2995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Already covered; verifier now protects the consolidated reporting surface.</w:t>
            </w:r>
          </w:p>
        </w:tc>
      </w:tr>
      <w:tr>
        <w:tc>
          <w:tcPr>
            <w:tcW w:type="dxa" w:w="2779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Distinguish a functioning implementation from domain validity, physical safety, or deployment readiness.</w:t>
            </w:r>
          </w:p>
        </w:tc>
        <w:tc>
          <w:tcPr>
            <w:tcW w:type="dxa" w:w="439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PC-AEP, MFDI, release claim boundaries, scientific maturity levels L0-L6.</w:t>
            </w:r>
          </w:p>
        </w:tc>
        <w:tc>
          <w:tcPr>
            <w:tcW w:type="dxa" w:w="2995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Already normative/informative across current sources; made easier to inspect in one matrix.</w:t>
            </w:r>
          </w:p>
        </w:tc>
      </w:tr>
      <w:tr>
        <w:tc>
          <w:tcPr>
            <w:tcW w:type="dxa" w:w="2779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Preserve monitoring, exact action binding, controls, preconditions, outcomes, and requalification at the execution boundary.</w:t>
            </w:r>
          </w:p>
        </w:tc>
        <w:tc>
          <w:tcPr>
            <w:tcW w:type="dxa" w:w="439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MHIOS action/specification/snapshot hashes, execution mandate and authority, readiness conjunction, outcome observation, and requalification.</w:t>
            </w:r>
          </w:p>
        </w:tc>
        <w:tc>
          <w:tcPr>
            <w:tcW w:type="dxa" w:w="2995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Already covered; MHIOS report metrics and release verification were synchronized.</w:t>
            </w:r>
          </w:p>
        </w:tc>
      </w:tr>
      <w:tr>
        <w:tc>
          <w:tcPr>
            <w:tcW w:type="dxa" w:w="2779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Keep reality external to the framework and refuse unsupported stronger claims.</w:t>
            </w:r>
          </w:p>
        </w:tc>
        <w:tc>
          <w:tcPr>
            <w:tcW w:type="dxa" w:w="4392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RG/RSG, MFDI revision triggers, PC-AEP external evidence, Refusal, and release nonclaims.</w:t>
            </w:r>
          </w:p>
        </w:tc>
        <w:tc>
          <w:tcPr>
            <w:tcW w:type="dxa" w:w="2995"/>
            <w:vAlign w:val="top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sz w:val="17"/>
              </w:rPr>
              <w:t xml:space="preserve">Confirmed. Conceptual freeze remains recommended.</w:t>
            </w:r>
          </w:p>
        </w:tc>
      </w:tr>
    </w:tbl>
    <w:bookmarkEnd w:id="28"/>
    <w:bookmarkStart w:id="29" w:name="Xa84c7bb069e1d6f9791217b95150ab97adb9d9e"/>
    <w:p>
      <w:pPr>
        <w:pStyle w:val="Heading2"/>
      </w:pPr>
      <w:r>
        <w:t xml:space="preserve">6. Changes deliberately rejected</w:t>
      </w:r>
    </w:p>
    <w:p>
      <w:pPr>
        <w:pStyle w:val="Compact"/>
        <w:numPr>
          <w:ilvl w:val="0"/>
          <w:numId w:val="1002"/>
        </w:numPr>
      </w:pPr>
      <w:r>
        <w:t xml:space="preserve">No sixth gate: no demonstrated failure remained that could not be resolved within RG, RF/NCRC, TRC, CSV, RLS, or the qualification-to-execution lifecycle.</w:t>
      </w:r>
    </w:p>
    <w:p>
      <w:pPr>
        <w:pStyle w:val="Compact"/>
        <w:numPr>
          <w:ilvl w:val="0"/>
          <w:numId w:val="1002"/>
        </w:numPr>
      </w:pPr>
      <w:r>
        <w:t xml:space="preserve">No TRC/CSV merger: merging would blur non-dilutable catastrophe exposure with control/governability and post-state viability.</w:t>
      </w:r>
    </w:p>
    <w:p>
      <w:pPr>
        <w:pStyle w:val="Compact"/>
        <w:numPr>
          <w:ilvl w:val="0"/>
          <w:numId w:val="1002"/>
        </w:numPr>
      </w:pPr>
      <w:r>
        <w:t xml:space="preserve">No cardinal moral-utility claim for RLS: the scoring system remains a governed comparative representation, not a measurement of intrinsic worth.</w:t>
      </w:r>
    </w:p>
    <w:p>
      <w:pPr>
        <w:pStyle w:val="Compact"/>
        <w:numPr>
          <w:ilvl w:val="0"/>
          <w:numId w:val="1002"/>
        </w:numPr>
      </w:pPr>
      <w:r>
        <w:t xml:space="preserve">No weakening of the rights floor or emergency benefit override.</w:t>
      </w:r>
    </w:p>
    <w:p>
      <w:pPr>
        <w:pStyle w:val="Compact"/>
        <w:numPr>
          <w:ilvl w:val="0"/>
          <w:numId w:val="1002"/>
        </w:numPr>
      </w:pPr>
      <w:r>
        <w:t xml:space="preserve">No universalization of configurable defaults as scientific constants.</w:t>
      </w:r>
    </w:p>
    <w:p>
      <w:pPr>
        <w:pStyle w:val="Compact"/>
        <w:numPr>
          <w:ilvl w:val="0"/>
          <w:numId w:val="1002"/>
        </w:numPr>
      </w:pPr>
      <w:r>
        <w:t xml:space="preserve">No SGP consciousness detector or capability-to-rights/authority shortcut.</w:t>
      </w:r>
    </w:p>
    <w:p>
      <w:pPr>
        <w:pStyle w:val="Compact"/>
        <w:numPr>
          <w:ilvl w:val="0"/>
          <w:numId w:val="1002"/>
        </w:numPr>
      </w:pPr>
      <w:r>
        <w:t xml:space="preserve">No AI normative judgment or execution authority.</w:t>
      </w:r>
    </w:p>
    <w:p>
      <w:pPr>
        <w:pStyle w:val="Compact"/>
        <w:numPr>
          <w:ilvl w:val="0"/>
          <w:numId w:val="1002"/>
        </w:numPr>
      </w:pPr>
      <w:r>
        <w:t xml:space="preserve">No semantic-version bump for corrections that preserve the external contract.</w:t>
      </w:r>
    </w:p>
    <w:bookmarkEnd w:id="29"/>
    <w:bookmarkStart w:id="30" w:name="Xa731180f1c58d18d6db688ac25939a7b2ab58bc"/>
    <w:p>
      <w:pPr>
        <w:pStyle w:val="Heading2"/>
      </w:pPr>
      <w:r>
        <w:t xml:space="preserve">7. Remaining bounded open work</w:t>
      </w:r>
    </w:p>
    <w:p>
      <w:pPr>
        <w:pStyle w:val="FirstParagraph"/>
      </w:pPr>
      <w:r>
        <w:t xml:space="preserve">Internal coherence is not construct validity. The next program must test inter-rater reliability, parameter calibration, domain transfer, usability and burden, false confidence, institutional capture, legal validity, outcome quality, distribution shift, control effectiveness, and comparative performance against simpler baselines. High-consequence pilots should begin only after low-stakes retrospective replay and a no-AI MHIOS Minimal Vertical Slice establish that the workflow itself adds value.</w:t>
      </w:r>
    </w:p>
    <w:bookmarkEnd w:id="30"/>
    <w:bookmarkStart w:id="31" w:name="Xa421e96288456a9ba46df002c7da5212cc1ebec"/>
    <w:p>
      <w:pPr>
        <w:pStyle w:val="Heading2"/>
      </w:pPr>
      <w:r>
        <w:t xml:space="preserve">8. Final disposition</w:t>
      </w:r>
    </w:p>
    <w:p>
      <w:pPr>
        <w:pStyle w:val="FirstParagraph"/>
      </w:pPr>
      <w:r>
        <w:rPr>
          <w:b/>
          <w:bCs/>
        </w:rPr>
        <w:t xml:space="preserve">READY WITH BOUNDED OPEN WORK — CONCEPTUAL FREEZE RECOMMENDED.</w:t>
      </w:r>
    </w:p>
    <w:p>
      <w:pPr>
        <w:pStyle w:val="BodyText"/>
      </w:pPr>
      <w:r>
        <w:t xml:space="preserve">The corrected Core should now be frozen at the architectural level. Future changes should require new evidence, a demonstrated failure, or a genuinely new requirement. MHIOS should remain a versioned candidate companion under empirical development rather than being absorbed into Core authority.</w:t>
      </w:r>
    </w:p>
    <w:bookmarkEnd w:id="31"/>
    <w:bookmarkEnd w:id="32"/>
    <w:sectPr>
      <w:headerReference r:id="rId9" w:type="default"/>
      <w:footerReference r:id="rId12" w:type="default"/>
      <w:headerReference r:id="rId10" w:type="first"/>
      <w:footerReference r:id="rId13" w:type="first"/>
      <w:headerReference r:id="rId11" w:type="even"/>
      <w:footerReference r:id="rId14" w:type="even"/>
      <w:pgMar w:bottom="936" w:left="1037" w:right="1037" w:top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Aptos" w:hAnsi="Aptos"/>
        <w:color w:val="5A6E82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jc w:val="right"/>
    </w:pPr>
    <w:r>
      <w:rPr>
        <w:rFonts w:ascii="Aptos" w:hAnsi="Aptos"/>
        <w:color w:val="5A6E82"/>
        <w:sz w:val="17"/>
      </w:rPr>
      <w:t>MathGov Core v12.6 + MHIOS v0.7 | Independent Release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59" w:lineRule="auto"/>
    </w:pPr>
    <w:rPr>
      <w:rFonts w:ascii="Aptos" w:eastAsia="Arial" w:hAnsi="Aptos"/>
      <w:b w:val="0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Compact" w:type="paragraph">
    <w:name w:val="Compact"/>
    <w:basedOn w:val="BodyText"/>
    <w:qFormat/>
    <w:pPr>
      <w:spacing w:after="60" w:before="0" w:line="240" w:lineRule="auto"/>
    </w:pPr>
    <w:rPr>
      <w:rFonts w:ascii="Arial" w:eastAsia="Arial" w:hAnsi="Arial"/>
      <w:b w:val="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ptos Display" w:asciiTheme="majorHAnsi" w:cstheme="majorBidi" w:eastAsia="Arial" w:eastAsiaTheme="majorEastAsia" w:hAnsi="Aptos Display" w:hAnsiTheme="majorHAnsi"/>
      <w:b/>
      <w:bCs/>
      <w:color w:val="2F75B5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ptos Display" w:hAnsi="Aptos Display"/>
      <w:b w:val="0"/>
      <w:color w:val="2F75B5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80" w:line="252" w:lineRule="auto"/>
      <w:ind w:firstLine="0" w:left="480" w:right="480"/>
    </w:pPr>
    <w:rPr>
      <w:rFonts w:ascii="Arial" w:eastAsia="Arial" w:hAnsi="Arial"/>
      <w:b w:val="0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60" w:before="60" w:line="240" w:lineRule="auto"/>
    </w:pPr>
    <w:rPr>
      <w:rFonts w:ascii="Courier New" w:hAnsi="Courier New"/>
      <w:b w:val="0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20" w:before="240" w:line="240" w:lineRule="auto"/>
    </w:pPr>
    <w:rPr>
      <w:rFonts w:ascii="Aptos Display" w:eastAsia="Arial" w:hAnsi="Aptos Display"/>
      <w:b/>
      <w:color w:val="2F75B5"/>
      <w:sz w:val="32"/>
    </w:rPr>
  </w:style>
  <w:style w:customStyle="1" w:styleId="Heading2" w:type="paragraph">
    <w:name w:val="heading 2"/>
    <w:pPr>
      <w:keepNext/>
      <w:spacing w:after="80" w:before="200" w:line="240" w:lineRule="auto"/>
    </w:pPr>
    <w:rPr>
      <w:rFonts w:ascii="Aptos Display" w:eastAsia="Arial" w:hAnsi="Aptos Display"/>
      <w:b/>
      <w:color w:val="2F75B5"/>
      <w:sz w:val="26"/>
    </w:rPr>
  </w:style>
  <w:style w:customStyle="1" w:styleId="Heading3" w:type="paragraph">
    <w:name w:val="heading 3"/>
    <w:pPr>
      <w:keepNext/>
      <w:spacing w:after="60" w:before="160" w:line="240" w:lineRule="auto"/>
    </w:pPr>
    <w:rPr>
      <w:rFonts w:ascii="Aptos Display" w:eastAsia="Arial" w:hAnsi="Aptos Display"/>
      <w:b/>
      <w:color w:val="2F75B5"/>
      <w:sz w:val="23"/>
    </w:rPr>
  </w:style>
  <w:style w:customStyle="1" w:styleId="Heading4" w:type="paragraph">
    <w:name w:val="heading 4"/>
    <w:pPr>
      <w:keepNext/>
      <w:spacing w:after="40" w:before="120" w:line="240" w:lineRule="auto"/>
    </w:pPr>
    <w:rPr>
      <w:rFonts w:ascii="Arial" w:eastAsia="Arial" w:hAnsi="Arial"/>
      <w:b/>
      <w:color w:val="1F4E78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MathGov Core v12.6 and MHIOS v0.7 Independent Release Report</dc:title>
  <dc:creator/>
  <cp:keywords>MathGov, RippleLogic, reality grounding, evidence stages, MHIOS, release verification</cp:keywords>
  <dcterms:created xsi:type="dcterms:W3CDTF">2026-08-10T12:33:23Z</dcterms:created>
  <dcterms:modified xsi:type="dcterms:W3CDTF">2026-08-10T12:33:23Z</dcterms:modified>
  <dc:subject>Canonical audit, reality-grounding crosscheck, and release verification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