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MathGov v12.6 / SGP v8.5 and MHIOS v0.7</w:t>
      </w:r>
    </w:p>
    <w:p>
      <w:pPr>
        <w:pStyle w:val="Subtitle"/>
        <w:jc w:val="center"/>
      </w:pPr>
      <w:r>
        <w:t>Capability Claim Integrity and Publication-Readiness Audit</w:t>
      </w:r>
    </w:p>
    <w:p>
      <w:pPr>
        <w:jc w:val="center"/>
      </w:pPr>
      <w:r>
        <w:rPr>
          <w:b/>
        </w:rPr>
        <w:t>11 August 2026</w:t>
        <w:br/>
      </w:r>
      <w:r>
        <w:t>Core: MathGov_Core_2026_09_v12.6_SGP_v8.5+2026.08.11.1</w:t>
        <w:br/>
        <w:t>MHIOS: MHIOS_v0_7+2026.08.11.1</w:t>
        <w:br/>
      </w:r>
      <w:r>
        <w:t>Same semantic versions | Correction build only | Artifact verification PASS</w:t>
      </w:r>
    </w:p>
    <w:p>
      <w:pPr>
        <w:spacing w:after="200"/>
        <w:pBdr>
          <w:bottom w:val="single" w:sz="12" w:space="1" w:color="1F4E79"/>
        </w:pBdr>
      </w:pPr>
      <w:r/>
    </w:p>
    <w:p>
      <w:pPr>
        <w:pStyle w:val="Heading1"/>
        <w:keepNext/>
      </w:pPr>
      <w:r>
        <w:t>Executive verdict</w:t>
      </w:r>
    </w:p>
    <w:p>
      <w:pPr>
        <w:spacing w:after="100"/>
      </w:pPr>
      <w:r>
        <w:t>The requested improvements were implemented without changing the MathGov cascade, formulas, thresholds, rights protections, Union Scopes, Welfare Dimensions, SGP floors, or component semantic versions. The substantive clarification is a MathGov-native Capability Claim Integrity discipline inside Reality Grounding and MFDI. Publication defects were corrected across the primary DOCX/PDF surfaces, especially the Canon and SGP contents pages.</w:t>
      </w:r>
    </w:p>
    <w:p>
      <w:pPr>
        <w:pStyle w:val="AuditCallout"/>
        <w:spacing w:after="100"/>
      </w:pPr>
      <w:r>
        <w:t>FINAL VERIFICATION: PASS. Construct validity remains UNTESTED.</w:t>
      </w:r>
    </w:p>
    <w:p>
      <w:pPr>
        <w:pStyle w:val="Heading1"/>
        <w:keepNext/>
      </w:pPr>
      <w:r>
        <w:t>Capability Claim Integrity implementation</w:t>
      </w:r>
    </w:p>
    <w:p>
      <w:pPr>
        <w:spacing w:after="100"/>
      </w:pPr>
      <w:r>
        <w:t>A material capability claim must now be operationalized before it may acquire gate, authority, deployment, conformance, or public-communication weight.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9FBAD0"/>
          <w:left w:val="single" w:sz="4" w:color="9FBAD0"/>
          <w:bottom w:val="single" w:sz="4" w:color="9FBAD0"/>
          <w:right w:val="single" w:sz="4" w:color="9FBAD0"/>
          <w:insideH w:val="single" w:sz="4" w:color="9FBAD0"/>
          <w:insideV w:val="single" w:sz="4" w:color="9FBAD0"/>
        </w:tblBorders>
      </w:tblPr>
      <w:tblGrid>
        <w:gridCol w:w="4968"/>
        <w:gridCol w:w="4968"/>
      </w:tblGrid>
      <w:tr>
        <w:trPr>
          <w:tblHeader/>
        </w:trPr>
        <w:tc>
          <w:tcPr>
            <w:tcW w:type="dxa" w:w="4968"/>
            <w:shd w:fill="D9EAF7"/>
            <w:vAlign w:val="center"/>
          </w:tcPr>
          <w:p>
            <w:r>
              <w:rPr>
                <w:b/>
                <w:color w:val="1F4E79"/>
                <w:sz w:val="18"/>
              </w:rPr>
              <w:t>Required field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rPr>
                <w:b/>
                <w:color w:val="1F4E79"/>
                <w:sz w:val="18"/>
              </w:rPr>
              <w:t>Function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rFonts w:ascii="Aptos" w:hAnsi="Aptos"/>
                <w:sz w:val="17"/>
              </w:rPr>
              <w:t>Operational definition</w:t>
            </w:r>
          </w:p>
        </w:tc>
        <w:tc>
          <w:tcPr>
            <w:tcW w:type="dxa" w:w="4968"/>
            <w:vAlign w:val="top"/>
          </w:tcPr>
          <w:p>
            <w:r>
              <w:rPr>
                <w:rFonts w:ascii="Aptos" w:hAnsi="Aptos"/>
                <w:sz w:val="17"/>
              </w:rPr>
              <w:t>Measurable functional meaning for the pinned configuration and domain.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rFonts w:ascii="Aptos" w:hAnsi="Aptos"/>
                <w:sz w:val="17"/>
              </w:rPr>
              <w:t>Observable criteria</w:t>
            </w:r>
          </w:p>
        </w:tc>
        <w:tc>
          <w:tcPr>
            <w:tcW w:type="dxa" w:w="4968"/>
            <w:vAlign w:val="top"/>
          </w:tcPr>
          <w:p>
            <w:r>
              <w:rPr>
                <w:rFonts w:ascii="Aptos" w:hAnsi="Aptos"/>
                <w:sz w:val="17"/>
              </w:rPr>
              <w:t>Observations that support or fail the claim.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rFonts w:ascii="Aptos" w:hAnsi="Aptos"/>
                <w:sz w:val="17"/>
              </w:rPr>
              <w:t>Mechanism or system composition</w:t>
            </w:r>
          </w:p>
        </w:tc>
        <w:tc>
          <w:tcPr>
            <w:tcW w:type="dxa" w:w="4968"/>
            <w:vAlign w:val="top"/>
          </w:tcPr>
          <w:p>
            <w:r>
              <w:rPr>
                <w:rFonts w:ascii="Aptos" w:hAnsi="Aptos"/>
                <w:sz w:val="17"/>
              </w:rPr>
              <w:t>Components and interactions instantiating the capability.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rFonts w:ascii="Aptos" w:hAnsi="Aptos"/>
                <w:sz w:val="17"/>
              </w:rPr>
              <w:t>Evidence surface</w:t>
            </w:r>
          </w:p>
        </w:tc>
        <w:tc>
          <w:tcPr>
            <w:tcW w:type="dxa" w:w="4968"/>
            <w:vAlign w:val="top"/>
          </w:tcPr>
          <w:p>
            <w:r>
              <w:rPr>
                <w:rFonts w:ascii="Aptos" w:hAnsi="Aptos"/>
                <w:sz w:val="17"/>
              </w:rPr>
              <w:t>Traces, trials, records, or measurements supporting the claim.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rFonts w:ascii="Aptos" w:hAnsi="Aptos"/>
                <w:sz w:val="17"/>
              </w:rPr>
              <w:t>Validity conditions</w:t>
            </w:r>
          </w:p>
        </w:tc>
        <w:tc>
          <w:tcPr>
            <w:tcW w:type="dxa" w:w="4968"/>
            <w:vAlign w:val="top"/>
          </w:tcPr>
          <w:p>
            <w:r>
              <w:rPr>
                <w:rFonts w:ascii="Aptos" w:hAnsi="Aptos"/>
                <w:sz w:val="17"/>
              </w:rPr>
              <w:t>Configurations, domains, contexts, and controls under which the claim holds.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rFonts w:ascii="Aptos" w:hAnsi="Aptos"/>
                <w:sz w:val="17"/>
              </w:rPr>
              <w:t>Alternative explanations</w:t>
            </w:r>
          </w:p>
        </w:tc>
        <w:tc>
          <w:tcPr>
            <w:tcW w:type="dxa" w:w="4968"/>
            <w:vAlign w:val="top"/>
          </w:tcPr>
          <w:p>
            <w:r>
              <w:rPr>
                <w:rFonts w:ascii="Aptos" w:hAnsi="Aptos"/>
                <w:sz w:val="17"/>
              </w:rPr>
              <w:t>Scripting, intervention, memorization, benchmark fit, proxies, or other material alternatives.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rFonts w:ascii="Aptos" w:hAnsi="Aptos"/>
                <w:sz w:val="17"/>
              </w:rPr>
              <w:t>Falsification or revision trigger</w:t>
            </w:r>
          </w:p>
        </w:tc>
        <w:tc>
          <w:tcPr>
            <w:tcW w:type="dxa" w:w="4968"/>
            <w:vAlign w:val="top"/>
          </w:tcPr>
          <w:p>
            <w:r>
              <w:rPr>
                <w:rFonts w:ascii="Aptos" w:hAnsi="Aptos"/>
                <w:sz w:val="17"/>
              </w:rPr>
              <w:t>Evidence that forces narrowing, reopening, or refusal.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rFonts w:ascii="Aptos" w:hAnsi="Aptos"/>
                <w:sz w:val="17"/>
              </w:rPr>
              <w:t>Evidence maturity stage</w:t>
            </w:r>
          </w:p>
        </w:tc>
        <w:tc>
          <w:tcPr>
            <w:tcW w:type="dxa" w:w="4968"/>
            <w:vAlign w:val="top"/>
          </w:tcPr>
          <w:p>
            <w:r>
              <w:rPr>
                <w:rFonts w:ascii="Aptos" w:hAnsi="Aptos"/>
                <w:sz w:val="17"/>
              </w:rPr>
              <w:t>Boundary between definition, computation, implementation, empirical contact, qualification, and outcomes.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rFonts w:ascii="Aptos" w:hAnsi="Aptos"/>
                <w:sz w:val="17"/>
              </w:rPr>
              <w:t>Permitted claim</w:t>
            </w:r>
          </w:p>
        </w:tc>
        <w:tc>
          <w:tcPr>
            <w:tcW w:type="dxa" w:w="4968"/>
            <w:vAlign w:val="top"/>
          </w:tcPr>
          <w:p>
            <w:r>
              <w:rPr>
                <w:rFonts w:ascii="Aptos" w:hAnsi="Aptos"/>
                <w:sz w:val="17"/>
              </w:rPr>
              <w:t>Strongest wording supported by the evidence.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rFonts w:ascii="Aptos" w:hAnsi="Aptos"/>
                <w:sz w:val="17"/>
              </w:rPr>
              <w:t>Explicit nonclaims</w:t>
            </w:r>
          </w:p>
        </w:tc>
        <w:tc>
          <w:tcPr>
            <w:tcW w:type="dxa" w:w="4968"/>
            <w:vAlign w:val="top"/>
          </w:tcPr>
          <w:p>
            <w:r>
              <w:rPr>
                <w:rFonts w:ascii="Aptos" w:hAnsi="Aptos"/>
                <w:sz w:val="17"/>
              </w:rPr>
              <w:t>Unsupported inferences that are expressly prohibited.</w:t>
            </w:r>
          </w:p>
        </w:tc>
      </w:tr>
    </w:tbl>
    <w:p>
      <w:pPr>
        <w:spacing w:after="20"/>
      </w:pPr>
    </w:p>
    <w:p>
      <w:pPr>
        <w:spacing w:after="100"/>
      </w:pPr>
      <w:r>
        <w:t>The rule blocks both anthropomorphic overclaim and composition reductionism. A configured system may possess a bounded operational capability through coordinated inference, memory, planning, feedback, tools, deterministic constraints, and human controls. That capability does not establish consciousness, moral agency, generality, safety, legality, legitimacy, or authority.</w:t>
      </w:r>
    </w:p>
    <w:p>
      <w:pPr>
        <w:pStyle w:val="Heading1"/>
        <w:keepNext/>
      </w:pPr>
      <w:r>
        <w:t>Exact substantive changes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9FBAD0"/>
          <w:left w:val="single" w:sz="4" w:color="9FBAD0"/>
          <w:bottom w:val="single" w:sz="4" w:color="9FBAD0"/>
          <w:right w:val="single" w:sz="4" w:color="9FBAD0"/>
          <w:insideH w:val="single" w:sz="4" w:color="9FBAD0"/>
          <w:insideV w:val="single" w:sz="4" w:color="9FBAD0"/>
        </w:tblBorders>
      </w:tblPr>
      <w:tblGrid>
        <w:gridCol w:w="3312"/>
        <w:gridCol w:w="3312"/>
        <w:gridCol w:w="3312"/>
      </w:tblGrid>
      <w:tr>
        <w:trPr>
          <w:tblHeader/>
        </w:trPr>
        <w:tc>
          <w:tcPr>
            <w:tcW w:type="dxa" w:w="3312"/>
            <w:shd w:fill="D9EAF7"/>
            <w:vAlign w:val="center"/>
          </w:tcPr>
          <w:p>
            <w:r>
              <w:rPr>
                <w:b/>
                <w:color w:val="1F4E79"/>
                <w:sz w:val="18"/>
              </w:rPr>
              <w:t>Surface</w:t>
            </w:r>
          </w:p>
        </w:tc>
        <w:tc>
          <w:tcPr>
            <w:tcW w:type="dxa" w:w="3312"/>
            <w:shd w:fill="D9EAF7"/>
            <w:vAlign w:val="center"/>
          </w:tcPr>
          <w:p>
            <w:r>
              <w:rPr>
                <w:b/>
                <w:color w:val="1F4E79"/>
                <w:sz w:val="18"/>
              </w:rPr>
              <w:t>Improvement</w:t>
            </w:r>
          </w:p>
        </w:tc>
        <w:tc>
          <w:tcPr>
            <w:tcW w:type="dxa" w:w="3312"/>
            <w:shd w:fill="D9EAF7"/>
            <w:vAlign w:val="center"/>
          </w:tcPr>
          <w:p>
            <w:r>
              <w:rPr>
                <w:b/>
                <w:color w:val="1F4E79"/>
                <w:sz w:val="18"/>
              </w:rPr>
              <w:t>Status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rFonts w:ascii="Aptos" w:hAnsi="Aptos"/>
                <w:sz w:val="17"/>
              </w:rPr>
              <w:t>Canon v12.6</w:t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Aptos" w:hAnsi="Aptos"/>
                <w:sz w:val="17"/>
              </w:rPr>
              <w:t>Capability Claim Integrity, operational-label rule, decomposition rule, and Appendix AI clarification.</w:t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Aptos" w:hAnsi="Aptos"/>
                <w:sz w:val="17"/>
              </w:rPr>
              <w:t>Implemented; version unchanged.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rFonts w:ascii="Aptos" w:hAnsi="Aptos"/>
                <w:sz w:val="17"/>
              </w:rPr>
              <w:t>MFDI v2.3</w:t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Aptos" w:hAnsi="Aptos"/>
                <w:sz w:val="17"/>
              </w:rPr>
              <w:t>Capability profile, bounded nonclaim, required fields, and claim-strength examples.</w:t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Aptos" w:hAnsi="Aptos"/>
                <w:sz w:val="17"/>
              </w:rPr>
              <w:t>Implemented; version unchanged.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rFonts w:ascii="Aptos" w:hAnsi="Aptos"/>
                <w:sz w:val="17"/>
              </w:rPr>
              <w:t>Agent System v12.4</w:t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Aptos" w:hAnsi="Aptos"/>
                <w:sz w:val="17"/>
              </w:rPr>
              <w:t>Requires the split record and blocks unsupported stronger claims.</w:t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Aptos" w:hAnsi="Aptos"/>
                <w:sz w:val="17"/>
              </w:rPr>
              <w:t>Implemented; version unchanged.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rFonts w:ascii="Aptos" w:hAnsi="Aptos"/>
                <w:sz w:val="17"/>
              </w:rPr>
              <w:t>ripple.md v5.5</w:t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Aptos" w:hAnsi="Aptos"/>
                <w:sz w:val="17"/>
              </w:rPr>
              <w:t>Carries the decomposition into assurance and public-claim records.</w:t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Aptos" w:hAnsi="Aptos"/>
                <w:sz w:val="17"/>
              </w:rPr>
              <w:t>Implemented; version unchanged.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rFonts w:ascii="Aptos" w:hAnsi="Aptos"/>
                <w:sz w:val="17"/>
              </w:rPr>
              <w:t>Cascade v2.6</w:t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Aptos" w:hAnsi="Aptos"/>
                <w:sz w:val="17"/>
              </w:rPr>
              <w:t>Preserves capability, warrant, objective, authority, and control as separate positions.</w:t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Aptos" w:hAnsi="Aptos"/>
                <w:sz w:val="17"/>
              </w:rPr>
              <w:t>Implemented; version unchanged.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rFonts w:ascii="Aptos" w:hAnsi="Aptos"/>
                <w:sz w:val="17"/>
              </w:rPr>
              <w:t>Primer v4.4</w:t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Aptos" w:hAnsi="Aptos"/>
                <w:sz w:val="17"/>
              </w:rPr>
              <w:t>Reader guidance against scalar autonomy ladders and composition reductionism.</w:t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Aptos" w:hAnsi="Aptos"/>
                <w:sz w:val="17"/>
              </w:rPr>
              <w:t>Implemented; version unchanged.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rFonts w:ascii="Aptos" w:hAnsi="Aptos"/>
                <w:sz w:val="17"/>
              </w:rPr>
              <w:t>SGP v8.5</w:t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Aptos" w:hAnsi="Aptos"/>
                <w:sz w:val="17"/>
              </w:rPr>
              <w:t>Bounded capability neither proves nor disproves sentience or moral status.</w:t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Aptos" w:hAnsi="Aptos"/>
                <w:sz w:val="17"/>
              </w:rPr>
              <w:t>Implemented; version unchanged.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rFonts w:ascii="Aptos" w:hAnsi="Aptos"/>
                <w:sz w:val="17"/>
              </w:rPr>
              <w:t>Run-record v4</w:t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Aptos" w:hAnsi="Aptos"/>
                <w:sz w:val="17"/>
              </w:rPr>
              <w:t>Schema fields, positive vector, and adversarial vectors.</w:t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Aptos" w:hAnsi="Aptos"/>
                <w:sz w:val="17"/>
              </w:rPr>
              <w:t>Build contract updated only.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rFonts w:ascii="Aptos" w:hAnsi="Aptos"/>
                <w:sz w:val="17"/>
              </w:rPr>
              <w:t>MHIOS v0.7</w:t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Aptos" w:hAnsi="Aptos"/>
                <w:sz w:val="17"/>
              </w:rPr>
              <w:t>Object record, Rule 8.0G, anti-theater pattern, schema validation, and coverage.</w:t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Aptos" w:hAnsi="Aptos"/>
                <w:sz w:val="17"/>
              </w:rPr>
              <w:t>Implemented; version unchanged.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Publication-format audit</w:t>
      </w:r>
    </w:p>
    <w:p>
      <w:pPr>
        <w:pStyle w:val="Heading2"/>
        <w:keepNext/>
      </w:pPr>
      <w:r>
        <w:t>TOC disposition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9FBAD0"/>
          <w:left w:val="single" w:sz="4" w:color="9FBAD0"/>
          <w:bottom w:val="single" w:sz="4" w:color="9FBAD0"/>
          <w:right w:val="single" w:sz="4" w:color="9FBAD0"/>
          <w:insideH w:val="single" w:sz="4" w:color="9FBAD0"/>
          <w:insideV w:val="single" w:sz="4" w:color="9FBAD0"/>
        </w:tblBorders>
      </w:tblPr>
      <w:tblGrid>
        <w:gridCol w:w="2484"/>
        <w:gridCol w:w="2484"/>
        <w:gridCol w:w="2484"/>
        <w:gridCol w:w="2484"/>
      </w:tblGrid>
      <w:tr>
        <w:trPr>
          <w:tblHeader/>
        </w:trPr>
        <w:tc>
          <w:tcPr>
            <w:tcW w:type="dxa" w:w="2484"/>
            <w:shd w:fill="D9EAF7"/>
            <w:vAlign w:val="center"/>
          </w:tcPr>
          <w:p>
            <w:r>
              <w:rPr>
                <w:b/>
                <w:color w:val="1F4E79"/>
                <w:sz w:val="18"/>
              </w:rPr>
              <w:t>Document</w:t>
            </w:r>
          </w:p>
        </w:tc>
        <w:tc>
          <w:tcPr>
            <w:tcW w:type="dxa" w:w="2484"/>
            <w:shd w:fill="D9EAF7"/>
            <w:vAlign w:val="center"/>
          </w:tcPr>
          <w:p>
            <w:r>
              <w:rPr>
                <w:b/>
                <w:color w:val="1F4E79"/>
                <w:sz w:val="18"/>
              </w:rPr>
              <w:t>Final disposition</w:t>
            </w:r>
          </w:p>
        </w:tc>
        <w:tc>
          <w:tcPr>
            <w:tcW w:type="dxa" w:w="2484"/>
            <w:shd w:fill="D9EAF7"/>
            <w:vAlign w:val="center"/>
          </w:tcPr>
          <w:p>
            <w:r>
              <w:rPr>
                <w:b/>
                <w:color w:val="1F4E79"/>
                <w:sz w:val="18"/>
              </w:rPr>
              <w:t>Entries</w:t>
            </w:r>
          </w:p>
        </w:tc>
        <w:tc>
          <w:tcPr>
            <w:tcW w:type="dxa" w:w="2484"/>
            <w:shd w:fill="D9EAF7"/>
            <w:vAlign w:val="center"/>
          </w:tcPr>
          <w:p>
            <w:r>
              <w:rPr>
                <w:b/>
                <w:color w:val="1F4E79"/>
                <w:sz w:val="18"/>
              </w:rPr>
              <w:t>PDF location</w:t>
            </w:r>
          </w:p>
        </w:tc>
      </w:tr>
      <w:tr>
        <w:tc>
          <w:tcPr>
            <w:tcW w:type="dxa" w:w="2484"/>
            <w:vAlign w:val="top"/>
          </w:tcPr>
          <w:p>
            <w:r>
              <w:rPr>
                <w:rFonts w:ascii="Aptos" w:hAnsi="Aptos"/>
                <w:sz w:val="17"/>
              </w:rPr>
              <w:t>Canon v12.6</w:t>
            </w:r>
          </w:p>
        </w:tc>
        <w:tc>
          <w:tcPr>
            <w:tcW w:type="dxa" w:w="2484"/>
            <w:vAlign w:val="top"/>
          </w:tcPr>
          <w:p>
            <w:r>
              <w:rPr>
                <w:rFonts w:ascii="Aptos" w:hAnsi="Aptos"/>
                <w:sz w:val="17"/>
              </w:rPr>
              <w:t>Complete static linked TOC with dot leaders and physical page numbers.</w:t>
            </w:r>
          </w:p>
        </w:tc>
        <w:tc>
          <w:tcPr>
            <w:tcW w:type="dxa" w:w="2484"/>
            <w:vAlign w:val="top"/>
          </w:tcPr>
          <w:p>
            <w:r>
              <w:rPr>
                <w:rFonts w:ascii="Aptos" w:hAnsi="Aptos"/>
                <w:sz w:val="17"/>
              </w:rPr>
              <w:t>70</w:t>
            </w:r>
          </w:p>
        </w:tc>
        <w:tc>
          <w:tcPr>
            <w:tcW w:type="dxa" w:w="2484"/>
            <w:vAlign w:val="top"/>
          </w:tcPr>
          <w:p>
            <w:r>
              <w:rPr>
                <w:rFonts w:ascii="Aptos" w:hAnsi="Aptos"/>
                <w:sz w:val="17"/>
              </w:rPr>
              <w:t>Pages 2-3</w:t>
            </w:r>
          </w:p>
        </w:tc>
      </w:tr>
      <w:tr>
        <w:tc>
          <w:tcPr>
            <w:tcW w:type="dxa" w:w="2484"/>
            <w:vAlign w:val="top"/>
          </w:tcPr>
          <w:p>
            <w:r>
              <w:rPr>
                <w:rFonts w:ascii="Aptos" w:hAnsi="Aptos"/>
                <w:sz w:val="17"/>
              </w:rPr>
              <w:t>SGP v8.5</w:t>
            </w:r>
          </w:p>
        </w:tc>
        <w:tc>
          <w:tcPr>
            <w:tcW w:type="dxa" w:w="2484"/>
            <w:vAlign w:val="top"/>
          </w:tcPr>
          <w:p>
            <w:r>
              <w:rPr>
                <w:rFonts w:ascii="Aptos" w:hAnsi="Aptos"/>
                <w:sz w:val="17"/>
              </w:rPr>
              <w:t>Complete static linked TOC after the reader-facing output map.</w:t>
            </w:r>
          </w:p>
        </w:tc>
        <w:tc>
          <w:tcPr>
            <w:tcW w:type="dxa" w:w="2484"/>
            <w:vAlign w:val="top"/>
          </w:tcPr>
          <w:p>
            <w:r>
              <w:rPr>
                <w:rFonts w:ascii="Aptos" w:hAnsi="Aptos"/>
                <w:sz w:val="17"/>
              </w:rPr>
              <w:t>28</w:t>
            </w:r>
          </w:p>
        </w:tc>
        <w:tc>
          <w:tcPr>
            <w:tcW w:type="dxa" w:w="2484"/>
            <w:vAlign w:val="top"/>
          </w:tcPr>
          <w:p>
            <w:r>
              <w:rPr>
                <w:rFonts w:ascii="Aptos" w:hAnsi="Aptos"/>
                <w:sz w:val="17"/>
              </w:rPr>
              <w:t>Page 3</w:t>
            </w:r>
          </w:p>
        </w:tc>
      </w:tr>
      <w:tr>
        <w:tc>
          <w:tcPr>
            <w:tcW w:type="dxa" w:w="2484"/>
            <w:vAlign w:val="top"/>
          </w:tcPr>
          <w:p>
            <w:r>
              <w:rPr>
                <w:rFonts w:ascii="Aptos" w:hAnsi="Aptos"/>
                <w:sz w:val="17"/>
              </w:rPr>
              <w:t>WDBIP v1.6</w:t>
            </w:r>
          </w:p>
        </w:tc>
        <w:tc>
          <w:tcPr>
            <w:tcW w:type="dxa" w:w="2484"/>
            <w:vAlign w:val="top"/>
          </w:tcPr>
          <w:p>
            <w:r>
              <w:rPr>
                <w:rFonts w:ascii="Aptos" w:hAnsi="Aptos"/>
                <w:sz w:val="17"/>
              </w:rPr>
              <w:t>Complete static linked TOC; front matter repaired.</w:t>
            </w:r>
          </w:p>
        </w:tc>
        <w:tc>
          <w:tcPr>
            <w:tcW w:type="dxa" w:w="2484"/>
            <w:vAlign w:val="top"/>
          </w:tcPr>
          <w:p>
            <w:r>
              <w:rPr>
                <w:rFonts w:ascii="Aptos" w:hAnsi="Aptos"/>
                <w:sz w:val="17"/>
              </w:rPr>
              <w:t>27</w:t>
            </w:r>
          </w:p>
        </w:tc>
        <w:tc>
          <w:tcPr>
            <w:tcW w:type="dxa" w:w="2484"/>
            <w:vAlign w:val="top"/>
          </w:tcPr>
          <w:p>
            <w:r>
              <w:rPr>
                <w:rFonts w:ascii="Aptos" w:hAnsi="Aptos"/>
                <w:sz w:val="17"/>
              </w:rPr>
              <w:t>Page 2</w:t>
            </w:r>
          </w:p>
        </w:tc>
      </w:tr>
      <w:tr>
        <w:tc>
          <w:tcPr>
            <w:tcW w:type="dxa" w:w="2484"/>
            <w:vAlign w:val="top"/>
          </w:tcPr>
          <w:p>
            <w:r>
              <w:rPr>
                <w:rFonts w:ascii="Aptos" w:hAnsi="Aptos"/>
                <w:sz w:val="17"/>
              </w:rPr>
              <w:t>MHIOS v0.7</w:t>
            </w:r>
          </w:p>
        </w:tc>
        <w:tc>
          <w:tcPr>
            <w:tcW w:type="dxa" w:w="2484"/>
            <w:vAlign w:val="top"/>
          </w:tcPr>
          <w:p>
            <w:r>
              <w:rPr>
                <w:rFonts w:ascii="Aptos" w:hAnsi="Aptos"/>
                <w:sz w:val="17"/>
              </w:rPr>
              <w:t>Complete static linked TOC for standard and appendices.</w:t>
            </w:r>
          </w:p>
        </w:tc>
        <w:tc>
          <w:tcPr>
            <w:tcW w:type="dxa" w:w="2484"/>
            <w:vAlign w:val="top"/>
          </w:tcPr>
          <w:p>
            <w:r>
              <w:rPr>
                <w:rFonts w:ascii="Aptos" w:hAnsi="Aptos"/>
                <w:sz w:val="17"/>
              </w:rPr>
              <w:t>33</w:t>
            </w:r>
          </w:p>
        </w:tc>
        <w:tc>
          <w:tcPr>
            <w:tcW w:type="dxa" w:w="2484"/>
            <w:vAlign w:val="top"/>
          </w:tcPr>
          <w:p>
            <w:r>
              <w:rPr>
                <w:rFonts w:ascii="Aptos" w:hAnsi="Aptos"/>
                <w:sz w:val="17"/>
              </w:rPr>
              <w:t>Page 2</w:t>
            </w:r>
          </w:p>
        </w:tc>
      </w:tr>
      <w:tr>
        <w:tc>
          <w:tcPr>
            <w:tcW w:type="dxa" w:w="2484"/>
            <w:vAlign w:val="top"/>
          </w:tcPr>
          <w:p>
            <w:r>
              <w:rPr>
                <w:rFonts w:ascii="Aptos" w:hAnsi="Aptos"/>
                <w:sz w:val="17"/>
              </w:rPr>
              <w:t>Other primary documents</w:t>
            </w:r>
          </w:p>
        </w:tc>
        <w:tc>
          <w:tcPr>
            <w:tcW w:type="dxa" w:w="2484"/>
            <w:vAlign w:val="top"/>
          </w:tcPr>
          <w:p>
            <w:r>
              <w:rPr>
                <w:rFonts w:ascii="Aptos" w:hAnsi="Aptos"/>
                <w:sz w:val="17"/>
              </w:rPr>
              <w:t>Incomplete automatic TOC shells and content controls removed.</w:t>
            </w:r>
          </w:p>
        </w:tc>
        <w:tc>
          <w:tcPr>
            <w:tcW w:type="dxa" w:w="2484"/>
            <w:vAlign w:val="top"/>
          </w:tcPr>
          <w:p>
            <w:r>
              <w:rPr>
                <w:rFonts w:ascii="Aptos" w:hAnsi="Aptos"/>
                <w:sz w:val="17"/>
              </w:rPr>
              <w:t>0</w:t>
            </w:r>
          </w:p>
        </w:tc>
        <w:tc>
          <w:tcPr>
            <w:tcW w:type="dxa" w:w="2484"/>
            <w:vAlign w:val="top"/>
          </w:tcPr>
          <w:p>
            <w:r>
              <w:rPr>
                <w:rFonts w:ascii="Aptos" w:hAnsi="Aptos"/>
                <w:sz w:val="17"/>
              </w:rPr>
              <w:t>Not applicable</w:t>
            </w:r>
          </w:p>
        </w:tc>
      </w:tr>
    </w:tbl>
    <w:p>
      <w:pPr>
        <w:spacing w:after="20"/>
      </w:pPr>
    </w:p>
    <w:p>
      <w:pPr>
        <w:spacing w:after="100"/>
      </w:pPr>
      <w:r>
        <w:t>The Canon and SGP TOCs are now useful, complete, and aligned to rendered PDF pages. No document retains an empty or misleading Word TOC control.</w:t>
      </w:r>
    </w:p>
    <w:p>
      <w:pPr>
        <w:pStyle w:val="Heading2"/>
        <w:keepNext/>
      </w:pPr>
      <w:r>
        <w:t>Front matter and placement</w:t>
      </w:r>
    </w:p>
    <w:p>
      <w:pPr>
        <w:pStyle w:val="ListBullet"/>
        <w:spacing w:after="40"/>
      </w:pPr>
      <w:r>
        <w:t>WDBIP no longer shows a YAML-like block, visible page-break marker, or duplicate title.</w:t>
      </w:r>
    </w:p>
    <w:p>
      <w:pPr>
        <w:pStyle w:val="ListBullet"/>
        <w:spacing w:after="40"/>
      </w:pPr>
      <w:r>
        <w:t>The Agent System self-audit comparison boundary is in its substantive section rather than the contents area.</w:t>
      </w:r>
    </w:p>
    <w:p>
      <w:pPr>
        <w:pStyle w:val="ListBullet"/>
        <w:spacing w:after="40"/>
      </w:pPr>
      <w:r>
        <w:t>ripple.md appendix blocks are in their correct appendices.</w:t>
      </w:r>
    </w:p>
    <w:p>
      <w:pPr>
        <w:pStyle w:val="ListBullet"/>
        <w:spacing w:after="40"/>
      </w:pPr>
      <w:r>
        <w:t>All primary DOCXs use versioned footers with dynamic page fields.</w:t>
      </w:r>
    </w:p>
    <w:p>
      <w:pPr>
        <w:pStyle w:val="ListBullet"/>
        <w:spacing w:after="40"/>
      </w:pPr>
      <w:r>
        <w:t>MHIOS date is synchronized to 11 August 2026 across Markdown, DOCX, PDF, VERSION.yaml, and release evidence.</w:t>
      </w:r>
    </w:p>
    <w:p>
      <w:pPr>
        <w:pStyle w:val="Heading1"/>
        <w:keepNext/>
      </w:pPr>
      <w:r>
        <w:t>Tables, graphics, and legibility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9FBAD0"/>
          <w:left w:val="single" w:sz="4" w:color="9FBAD0"/>
          <w:bottom w:val="single" w:sz="4" w:color="9FBAD0"/>
          <w:right w:val="single" w:sz="4" w:color="9FBAD0"/>
          <w:insideH w:val="single" w:sz="4" w:color="9FBAD0"/>
          <w:insideV w:val="single" w:sz="4" w:color="9FBAD0"/>
        </w:tblBorders>
      </w:tblPr>
      <w:tblGrid>
        <w:gridCol w:w="2484"/>
        <w:gridCol w:w="2484"/>
        <w:gridCol w:w="2484"/>
        <w:gridCol w:w="2484"/>
      </w:tblGrid>
      <w:tr>
        <w:trPr>
          <w:tblHeader/>
        </w:trPr>
        <w:tc>
          <w:tcPr>
            <w:tcW w:type="dxa" w:w="2484"/>
            <w:shd w:fill="D9EAF7"/>
            <w:vAlign w:val="center"/>
          </w:tcPr>
          <w:p>
            <w:r>
              <w:rPr>
                <w:b/>
                <w:color w:val="1F4E79"/>
                <w:sz w:val="18"/>
              </w:rPr>
              <w:t>Metric</w:t>
            </w:r>
          </w:p>
        </w:tc>
        <w:tc>
          <w:tcPr>
            <w:tcW w:type="dxa" w:w="2484"/>
            <w:shd w:fill="D9EAF7"/>
            <w:vAlign w:val="center"/>
          </w:tcPr>
          <w:p>
            <w:r>
              <w:rPr>
                <w:b/>
                <w:color w:val="1F4E79"/>
                <w:sz w:val="18"/>
              </w:rPr>
              <w:t>Core</w:t>
            </w:r>
          </w:p>
        </w:tc>
        <w:tc>
          <w:tcPr>
            <w:tcW w:type="dxa" w:w="2484"/>
            <w:shd w:fill="D9EAF7"/>
            <w:vAlign w:val="center"/>
          </w:tcPr>
          <w:p>
            <w:r>
              <w:rPr>
                <w:b/>
                <w:color w:val="1F4E79"/>
                <w:sz w:val="18"/>
              </w:rPr>
              <w:t>MHIOS</w:t>
            </w:r>
          </w:p>
        </w:tc>
        <w:tc>
          <w:tcPr>
            <w:tcW w:type="dxa" w:w="2484"/>
            <w:shd w:fill="D9EAF7"/>
            <w:vAlign w:val="center"/>
          </w:tcPr>
          <w:p>
            <w:r>
              <w:rPr>
                <w:b/>
                <w:color w:val="1F4E79"/>
                <w:sz w:val="18"/>
              </w:rPr>
              <w:t>Combined</w:t>
            </w:r>
          </w:p>
        </w:tc>
      </w:tr>
      <w:tr>
        <w:tc>
          <w:tcPr>
            <w:tcW w:type="dxa" w:w="2484"/>
            <w:vAlign w:val="top"/>
          </w:tcPr>
          <w:p>
            <w:r>
              <w:rPr>
                <w:rFonts w:ascii="Aptos" w:hAnsi="Aptos"/>
                <w:sz w:val="17"/>
              </w:rPr>
              <w:t>Primary documents</w:t>
            </w:r>
          </w:p>
        </w:tc>
        <w:tc>
          <w:tcPr>
            <w:tcW w:type="dxa" w:w="2484"/>
            <w:vAlign w:val="top"/>
          </w:tcPr>
          <w:p>
            <w:r>
              <w:rPr>
                <w:rFonts w:ascii="Aptos" w:hAnsi="Aptos"/>
                <w:sz w:val="17"/>
              </w:rPr>
              <w:t>15</w:t>
            </w:r>
          </w:p>
        </w:tc>
        <w:tc>
          <w:tcPr>
            <w:tcW w:type="dxa" w:w="2484"/>
            <w:vAlign w:val="top"/>
          </w:tcPr>
          <w:p>
            <w:r>
              <w:rPr>
                <w:rFonts w:ascii="Aptos" w:hAnsi="Aptos"/>
                <w:sz w:val="17"/>
              </w:rPr>
              <w:t>1</w:t>
            </w:r>
          </w:p>
        </w:tc>
        <w:tc>
          <w:tcPr>
            <w:tcW w:type="dxa" w:w="2484"/>
            <w:vAlign w:val="top"/>
          </w:tcPr>
          <w:p>
            <w:r>
              <w:rPr>
                <w:rFonts w:ascii="Aptos" w:hAnsi="Aptos"/>
                <w:sz w:val="17"/>
              </w:rPr>
              <w:t>16</w:t>
            </w:r>
          </w:p>
        </w:tc>
      </w:tr>
      <w:tr>
        <w:tc>
          <w:tcPr>
            <w:tcW w:type="dxa" w:w="2484"/>
            <w:vAlign w:val="top"/>
          </w:tcPr>
          <w:p>
            <w:r>
              <w:rPr>
                <w:rFonts w:ascii="Aptos" w:hAnsi="Aptos"/>
                <w:sz w:val="17"/>
              </w:rPr>
              <w:t>PDF pages</w:t>
            </w:r>
          </w:p>
        </w:tc>
        <w:tc>
          <w:tcPr>
            <w:tcW w:type="dxa" w:w="2484"/>
            <w:vAlign w:val="top"/>
          </w:tcPr>
          <w:p>
            <w:r>
              <w:rPr>
                <w:rFonts w:ascii="Aptos" w:hAnsi="Aptos"/>
                <w:sz w:val="17"/>
              </w:rPr>
              <w:t>596</w:t>
            </w:r>
          </w:p>
        </w:tc>
        <w:tc>
          <w:tcPr>
            <w:tcW w:type="dxa" w:w="2484"/>
            <w:vAlign w:val="top"/>
          </w:tcPr>
          <w:p>
            <w:r>
              <w:rPr>
                <w:rFonts w:ascii="Aptos" w:hAnsi="Aptos"/>
                <w:sz w:val="17"/>
              </w:rPr>
              <w:t>68</w:t>
            </w:r>
          </w:p>
        </w:tc>
        <w:tc>
          <w:tcPr>
            <w:tcW w:type="dxa" w:w="2484"/>
            <w:vAlign w:val="top"/>
          </w:tcPr>
          <w:p>
            <w:r>
              <w:rPr>
                <w:rFonts w:ascii="Aptos" w:hAnsi="Aptos"/>
                <w:sz w:val="17"/>
              </w:rPr>
              <w:t>664</w:t>
            </w:r>
          </w:p>
        </w:tc>
      </w:tr>
      <w:tr>
        <w:tc>
          <w:tcPr>
            <w:tcW w:type="dxa" w:w="2484"/>
            <w:vAlign w:val="top"/>
          </w:tcPr>
          <w:p>
            <w:r>
              <w:rPr>
                <w:rFonts w:ascii="Aptos" w:hAnsi="Aptos"/>
                <w:sz w:val="17"/>
              </w:rPr>
              <w:t>Tables</w:t>
            </w:r>
          </w:p>
        </w:tc>
        <w:tc>
          <w:tcPr>
            <w:tcW w:type="dxa" w:w="2484"/>
            <w:vAlign w:val="top"/>
          </w:tcPr>
          <w:p>
            <w:r>
              <w:rPr>
                <w:rFonts w:ascii="Aptos" w:hAnsi="Aptos"/>
                <w:sz w:val="17"/>
              </w:rPr>
              <w:t>287</w:t>
            </w:r>
          </w:p>
        </w:tc>
        <w:tc>
          <w:tcPr>
            <w:tcW w:type="dxa" w:w="2484"/>
            <w:vAlign w:val="top"/>
          </w:tcPr>
          <w:p>
            <w:r>
              <w:rPr>
                <w:rFonts w:ascii="Aptos" w:hAnsi="Aptos"/>
                <w:sz w:val="17"/>
              </w:rPr>
              <w:t>17</w:t>
            </w:r>
          </w:p>
        </w:tc>
        <w:tc>
          <w:tcPr>
            <w:tcW w:type="dxa" w:w="2484"/>
            <w:vAlign w:val="top"/>
          </w:tcPr>
          <w:p>
            <w:r>
              <w:rPr>
                <w:rFonts w:ascii="Aptos" w:hAnsi="Aptos"/>
                <w:sz w:val="17"/>
              </w:rPr>
              <w:t>304</w:t>
            </w:r>
          </w:p>
        </w:tc>
      </w:tr>
      <w:tr>
        <w:tc>
          <w:tcPr>
            <w:tcW w:type="dxa" w:w="2484"/>
            <w:vAlign w:val="top"/>
          </w:tcPr>
          <w:p>
            <w:r>
              <w:rPr>
                <w:rFonts w:ascii="Aptos" w:hAnsi="Aptos"/>
                <w:sz w:val="17"/>
              </w:rPr>
              <w:t>Table rows</w:t>
            </w:r>
          </w:p>
        </w:tc>
        <w:tc>
          <w:tcPr>
            <w:tcW w:type="dxa" w:w="2484"/>
            <w:vAlign w:val="top"/>
          </w:tcPr>
          <w:p>
            <w:r>
              <w:rPr>
                <w:rFonts w:ascii="Aptos" w:hAnsi="Aptos"/>
                <w:sz w:val="17"/>
              </w:rPr>
              <w:t>2,439</w:t>
            </w:r>
          </w:p>
        </w:tc>
        <w:tc>
          <w:tcPr>
            <w:tcW w:type="dxa" w:w="2484"/>
            <w:vAlign w:val="top"/>
          </w:tcPr>
          <w:p>
            <w:r>
              <w:rPr>
                <w:rFonts w:ascii="Aptos" w:hAnsi="Aptos"/>
                <w:sz w:val="17"/>
              </w:rPr>
              <w:t>198</w:t>
            </w:r>
          </w:p>
        </w:tc>
        <w:tc>
          <w:tcPr>
            <w:tcW w:type="dxa" w:w="2484"/>
            <w:vAlign w:val="top"/>
          </w:tcPr>
          <w:p>
            <w:r>
              <w:rPr>
                <w:rFonts w:ascii="Aptos" w:hAnsi="Aptos"/>
                <w:sz w:val="17"/>
              </w:rPr>
              <w:t>2,637</w:t>
            </w:r>
          </w:p>
        </w:tc>
      </w:tr>
      <w:tr>
        <w:tc>
          <w:tcPr>
            <w:tcW w:type="dxa" w:w="2484"/>
            <w:vAlign w:val="top"/>
          </w:tcPr>
          <w:p>
            <w:r>
              <w:rPr>
                <w:rFonts w:ascii="Aptos" w:hAnsi="Aptos"/>
                <w:sz w:val="17"/>
              </w:rPr>
              <w:t>Headings</w:t>
            </w:r>
          </w:p>
        </w:tc>
        <w:tc>
          <w:tcPr>
            <w:tcW w:type="dxa" w:w="2484"/>
            <w:vAlign w:val="top"/>
          </w:tcPr>
          <w:p>
            <w:r>
              <w:rPr>
                <w:rFonts w:ascii="Aptos" w:hAnsi="Aptos"/>
                <w:sz w:val="17"/>
              </w:rPr>
              <w:t>1,634</w:t>
            </w:r>
          </w:p>
        </w:tc>
        <w:tc>
          <w:tcPr>
            <w:tcW w:type="dxa" w:w="2484"/>
            <w:vAlign w:val="top"/>
          </w:tcPr>
          <w:p>
            <w:r>
              <w:rPr>
                <w:rFonts w:ascii="Aptos" w:hAnsi="Aptos"/>
                <w:sz w:val="17"/>
              </w:rPr>
              <w:t>246</w:t>
            </w:r>
          </w:p>
        </w:tc>
        <w:tc>
          <w:tcPr>
            <w:tcW w:type="dxa" w:w="2484"/>
            <w:vAlign w:val="top"/>
          </w:tcPr>
          <w:p>
            <w:r>
              <w:rPr>
                <w:rFonts w:ascii="Aptos" w:hAnsi="Aptos"/>
                <w:sz w:val="17"/>
              </w:rPr>
              <w:t>1,880</w:t>
            </w:r>
          </w:p>
        </w:tc>
      </w:tr>
      <w:tr>
        <w:tc>
          <w:tcPr>
            <w:tcW w:type="dxa" w:w="2484"/>
            <w:vAlign w:val="top"/>
          </w:tcPr>
          <w:p>
            <w:r>
              <w:rPr>
                <w:rFonts w:ascii="Aptos" w:hAnsi="Aptos"/>
                <w:sz w:val="17"/>
              </w:rPr>
              <w:t>Linked TOC entries</w:t>
            </w:r>
          </w:p>
        </w:tc>
        <w:tc>
          <w:tcPr>
            <w:tcW w:type="dxa" w:w="2484"/>
            <w:vAlign w:val="top"/>
          </w:tcPr>
          <w:p>
            <w:r>
              <w:rPr>
                <w:rFonts w:ascii="Aptos" w:hAnsi="Aptos"/>
                <w:sz w:val="17"/>
              </w:rPr>
              <w:t>125</w:t>
            </w:r>
          </w:p>
        </w:tc>
        <w:tc>
          <w:tcPr>
            <w:tcW w:type="dxa" w:w="2484"/>
            <w:vAlign w:val="top"/>
          </w:tcPr>
          <w:p>
            <w:r>
              <w:rPr>
                <w:rFonts w:ascii="Aptos" w:hAnsi="Aptos"/>
                <w:sz w:val="17"/>
              </w:rPr>
              <w:t>33</w:t>
            </w:r>
          </w:p>
        </w:tc>
        <w:tc>
          <w:tcPr>
            <w:tcW w:type="dxa" w:w="2484"/>
            <w:vAlign w:val="top"/>
          </w:tcPr>
          <w:p>
            <w:r>
              <w:rPr>
                <w:rFonts w:ascii="Aptos" w:hAnsi="Aptos"/>
                <w:sz w:val="17"/>
              </w:rPr>
              <w:t>158</w:t>
            </w:r>
          </w:p>
        </w:tc>
      </w:tr>
      <w:tr>
        <w:tc>
          <w:tcPr>
            <w:tcW w:type="dxa" w:w="2484"/>
            <w:vAlign w:val="top"/>
          </w:tcPr>
          <w:p>
            <w:r>
              <w:rPr>
                <w:rFonts w:ascii="Aptos" w:hAnsi="Aptos"/>
                <w:sz w:val="17"/>
              </w:rPr>
              <w:t>Comments</w:t>
            </w:r>
          </w:p>
        </w:tc>
        <w:tc>
          <w:tcPr>
            <w:tcW w:type="dxa" w:w="2484"/>
            <w:vAlign w:val="top"/>
          </w:tcPr>
          <w:p>
            <w:r>
              <w:rPr>
                <w:rFonts w:ascii="Aptos" w:hAnsi="Aptos"/>
                <w:sz w:val="17"/>
              </w:rPr>
              <w:t>0</w:t>
            </w:r>
          </w:p>
        </w:tc>
        <w:tc>
          <w:tcPr>
            <w:tcW w:type="dxa" w:w="2484"/>
            <w:vAlign w:val="top"/>
          </w:tcPr>
          <w:p>
            <w:r>
              <w:rPr>
                <w:rFonts w:ascii="Aptos" w:hAnsi="Aptos"/>
                <w:sz w:val="17"/>
              </w:rPr>
              <w:t>0</w:t>
            </w:r>
          </w:p>
        </w:tc>
        <w:tc>
          <w:tcPr>
            <w:tcW w:type="dxa" w:w="2484"/>
            <w:vAlign w:val="top"/>
          </w:tcPr>
          <w:p>
            <w:r>
              <w:rPr>
                <w:rFonts w:ascii="Aptos" w:hAnsi="Aptos"/>
                <w:sz w:val="17"/>
              </w:rPr>
              <w:t>0</w:t>
            </w:r>
          </w:p>
        </w:tc>
      </w:tr>
      <w:tr>
        <w:tc>
          <w:tcPr>
            <w:tcW w:type="dxa" w:w="2484"/>
            <w:vAlign w:val="top"/>
          </w:tcPr>
          <w:p>
            <w:r>
              <w:rPr>
                <w:rFonts w:ascii="Aptos" w:hAnsi="Aptos"/>
                <w:sz w:val="17"/>
              </w:rPr>
              <w:t>Tracked changes</w:t>
            </w:r>
          </w:p>
        </w:tc>
        <w:tc>
          <w:tcPr>
            <w:tcW w:type="dxa" w:w="2484"/>
            <w:vAlign w:val="top"/>
          </w:tcPr>
          <w:p>
            <w:r>
              <w:rPr>
                <w:rFonts w:ascii="Aptos" w:hAnsi="Aptos"/>
                <w:sz w:val="17"/>
              </w:rPr>
              <w:t>0</w:t>
            </w:r>
          </w:p>
        </w:tc>
        <w:tc>
          <w:tcPr>
            <w:tcW w:type="dxa" w:w="2484"/>
            <w:vAlign w:val="top"/>
          </w:tcPr>
          <w:p>
            <w:r>
              <w:rPr>
                <w:rFonts w:ascii="Aptos" w:hAnsi="Aptos"/>
                <w:sz w:val="17"/>
              </w:rPr>
              <w:t>0</w:t>
            </w:r>
          </w:p>
        </w:tc>
        <w:tc>
          <w:tcPr>
            <w:tcW w:type="dxa" w:w="2484"/>
            <w:vAlign w:val="top"/>
          </w:tcPr>
          <w:p>
            <w:r>
              <w:rPr>
                <w:rFonts w:ascii="Aptos" w:hAnsi="Aptos"/>
                <w:sz w:val="17"/>
              </w:rPr>
              <w:t>0</w:t>
            </w:r>
          </w:p>
        </w:tc>
      </w:tr>
      <w:tr>
        <w:tc>
          <w:tcPr>
            <w:tcW w:type="dxa" w:w="2484"/>
            <w:vAlign w:val="top"/>
          </w:tcPr>
          <w:p>
            <w:r>
              <w:rPr>
                <w:rFonts w:ascii="Aptos" w:hAnsi="Aptos"/>
                <w:sz w:val="17"/>
              </w:rPr>
              <w:t>Content controls</w:t>
            </w:r>
          </w:p>
        </w:tc>
        <w:tc>
          <w:tcPr>
            <w:tcW w:type="dxa" w:w="2484"/>
            <w:vAlign w:val="top"/>
          </w:tcPr>
          <w:p>
            <w:r>
              <w:rPr>
                <w:rFonts w:ascii="Aptos" w:hAnsi="Aptos"/>
                <w:sz w:val="17"/>
              </w:rPr>
              <w:t>0</w:t>
            </w:r>
          </w:p>
        </w:tc>
        <w:tc>
          <w:tcPr>
            <w:tcW w:type="dxa" w:w="2484"/>
            <w:vAlign w:val="top"/>
          </w:tcPr>
          <w:p>
            <w:r>
              <w:rPr>
                <w:rFonts w:ascii="Aptos" w:hAnsi="Aptos"/>
                <w:sz w:val="17"/>
              </w:rPr>
              <w:t>0</w:t>
            </w:r>
          </w:p>
        </w:tc>
        <w:tc>
          <w:tcPr>
            <w:tcW w:type="dxa" w:w="2484"/>
            <w:vAlign w:val="top"/>
          </w:tcPr>
          <w:p>
            <w:r>
              <w:rPr>
                <w:rFonts w:ascii="Aptos" w:hAnsi="Aptos"/>
                <w:sz w:val="17"/>
              </w:rPr>
              <w:t>0</w:t>
            </w:r>
          </w:p>
        </w:tc>
      </w:tr>
      <w:tr>
        <w:tc>
          <w:tcPr>
            <w:tcW w:type="dxa" w:w="2484"/>
            <w:vAlign w:val="top"/>
          </w:tcPr>
          <w:p>
            <w:r>
              <w:rPr>
                <w:rFonts w:ascii="Aptos" w:hAnsi="Aptos"/>
                <w:sz w:val="17"/>
              </w:rPr>
              <w:t>Clipped/out-of-page text</w:t>
            </w:r>
          </w:p>
        </w:tc>
        <w:tc>
          <w:tcPr>
            <w:tcW w:type="dxa" w:w="2484"/>
            <w:vAlign w:val="top"/>
          </w:tcPr>
          <w:p>
            <w:r>
              <w:rPr>
                <w:rFonts w:ascii="Aptos" w:hAnsi="Aptos"/>
                <w:sz w:val="17"/>
              </w:rPr>
              <w:t>0</w:t>
            </w:r>
          </w:p>
        </w:tc>
        <w:tc>
          <w:tcPr>
            <w:tcW w:type="dxa" w:w="2484"/>
            <w:vAlign w:val="top"/>
          </w:tcPr>
          <w:p>
            <w:r>
              <w:rPr>
                <w:rFonts w:ascii="Aptos" w:hAnsi="Aptos"/>
                <w:sz w:val="17"/>
              </w:rPr>
              <w:t>0</w:t>
            </w:r>
          </w:p>
        </w:tc>
        <w:tc>
          <w:tcPr>
            <w:tcW w:type="dxa" w:w="2484"/>
            <w:vAlign w:val="top"/>
          </w:tcPr>
          <w:p>
            <w:r>
              <w:rPr>
                <w:rFonts w:ascii="Aptos" w:hAnsi="Aptos"/>
                <w:sz w:val="17"/>
              </w:rPr>
              <w:t>0</w:t>
            </w:r>
          </w:p>
        </w:tc>
      </w:tr>
      <w:tr>
        <w:tc>
          <w:tcPr>
            <w:tcW w:type="dxa" w:w="2484"/>
            <w:vAlign w:val="top"/>
          </w:tcPr>
          <w:p>
            <w:r>
              <w:rPr>
                <w:rFonts w:ascii="Aptos" w:hAnsi="Aptos"/>
                <w:sz w:val="17"/>
              </w:rPr>
              <w:t>Blank PDF pages</w:t>
            </w:r>
          </w:p>
        </w:tc>
        <w:tc>
          <w:tcPr>
            <w:tcW w:type="dxa" w:w="2484"/>
            <w:vAlign w:val="top"/>
          </w:tcPr>
          <w:p>
            <w:r>
              <w:rPr>
                <w:rFonts w:ascii="Aptos" w:hAnsi="Aptos"/>
                <w:sz w:val="17"/>
              </w:rPr>
              <w:t>0</w:t>
            </w:r>
          </w:p>
        </w:tc>
        <w:tc>
          <w:tcPr>
            <w:tcW w:type="dxa" w:w="2484"/>
            <w:vAlign w:val="top"/>
          </w:tcPr>
          <w:p>
            <w:r>
              <w:rPr>
                <w:rFonts w:ascii="Aptos" w:hAnsi="Aptos"/>
                <w:sz w:val="17"/>
              </w:rPr>
              <w:t>0</w:t>
            </w:r>
          </w:p>
        </w:tc>
        <w:tc>
          <w:tcPr>
            <w:tcW w:type="dxa" w:w="2484"/>
            <w:vAlign w:val="top"/>
          </w:tcPr>
          <w:p>
            <w:r>
              <w:rPr>
                <w:rFonts w:ascii="Aptos" w:hAnsi="Aptos"/>
                <w:sz w:val="17"/>
              </w:rPr>
              <w:t>0</w:t>
            </w:r>
          </w:p>
        </w:tc>
      </w:tr>
      <w:tr>
        <w:tc>
          <w:tcPr>
            <w:tcW w:type="dxa" w:w="2484"/>
            <w:vAlign w:val="top"/>
          </w:tcPr>
          <w:p>
            <w:r>
              <w:rPr>
                <w:rFonts w:ascii="Aptos" w:hAnsi="Aptos"/>
                <w:sz w:val="17"/>
              </w:rPr>
              <w:t>Tiny-font spans below 6 pt</w:t>
            </w:r>
          </w:p>
        </w:tc>
        <w:tc>
          <w:tcPr>
            <w:tcW w:type="dxa" w:w="2484"/>
            <w:vAlign w:val="top"/>
          </w:tcPr>
          <w:p>
            <w:r>
              <w:rPr>
                <w:rFonts w:ascii="Aptos" w:hAnsi="Aptos"/>
                <w:sz w:val="17"/>
              </w:rPr>
              <w:t>0</w:t>
            </w:r>
          </w:p>
        </w:tc>
        <w:tc>
          <w:tcPr>
            <w:tcW w:type="dxa" w:w="2484"/>
            <w:vAlign w:val="top"/>
          </w:tcPr>
          <w:p>
            <w:r>
              <w:rPr>
                <w:rFonts w:ascii="Aptos" w:hAnsi="Aptos"/>
                <w:sz w:val="17"/>
              </w:rPr>
              <w:t>0</w:t>
            </w:r>
          </w:p>
        </w:tc>
        <w:tc>
          <w:tcPr>
            <w:tcW w:type="dxa" w:w="2484"/>
            <w:vAlign w:val="top"/>
          </w:tcPr>
          <w:p>
            <w:r>
              <w:rPr>
                <w:rFonts w:ascii="Aptos" w:hAnsi="Aptos"/>
                <w:sz w:val="17"/>
              </w:rPr>
              <w:t>0</w:t>
            </w:r>
          </w:p>
        </w:tc>
      </w:tr>
      <w:tr>
        <w:tc>
          <w:tcPr>
            <w:tcW w:type="dxa" w:w="2484"/>
            <w:vAlign w:val="top"/>
          </w:tcPr>
          <w:p>
            <w:r>
              <w:rPr>
                <w:rFonts w:ascii="Aptos" w:hAnsi="Aptos"/>
                <w:sz w:val="17"/>
              </w:rPr>
              <w:t>Drawings/charts/image blocks</w:t>
            </w:r>
          </w:p>
        </w:tc>
        <w:tc>
          <w:tcPr>
            <w:tcW w:type="dxa" w:w="2484"/>
            <w:vAlign w:val="top"/>
          </w:tcPr>
          <w:p>
            <w:r>
              <w:rPr>
                <w:rFonts w:ascii="Aptos" w:hAnsi="Aptos"/>
                <w:sz w:val="17"/>
              </w:rPr>
              <w:t>0</w:t>
            </w:r>
          </w:p>
        </w:tc>
        <w:tc>
          <w:tcPr>
            <w:tcW w:type="dxa" w:w="2484"/>
            <w:vAlign w:val="top"/>
          </w:tcPr>
          <w:p>
            <w:r>
              <w:rPr>
                <w:rFonts w:ascii="Aptos" w:hAnsi="Aptos"/>
                <w:sz w:val="17"/>
              </w:rPr>
              <w:t>0</w:t>
            </w:r>
          </w:p>
        </w:tc>
        <w:tc>
          <w:tcPr>
            <w:tcW w:type="dxa" w:w="2484"/>
            <w:vAlign w:val="top"/>
          </w:tcPr>
          <w:p>
            <w:r>
              <w:rPr>
                <w:rFonts w:ascii="Aptos" w:hAnsi="Aptos"/>
                <w:sz w:val="17"/>
              </w:rPr>
              <w:t>0</w:t>
            </w:r>
          </w:p>
        </w:tc>
      </w:tr>
    </w:tbl>
    <w:p>
      <w:pPr>
        <w:spacing w:after="20"/>
      </w:pPr>
    </w:p>
    <w:p>
      <w:pPr>
        <w:spacing w:after="100"/>
      </w:pPr>
      <w:r>
        <w:t>All 304 tables have explicit borders and repeating first-row header properties. Multirow tables use the restrained light-blue header hierarchy. Six one-row WDBIP record tables intentionally remain unshaded because they do not contain a separate header/body matrix.</w:t>
      </w:r>
    </w:p>
    <w:p>
      <w:pPr>
        <w:spacing w:after="100"/>
      </w:pPr>
      <w:r>
        <w:t>No decorative graphic was added. This is deliberate: the governing specifications are definition-, rule-, record-, and table-intensive. A new diagram would not add semantic precision and would create an additional accessibility and synchronization surface.</w:t>
      </w:r>
    </w:p>
    <w:p>
      <w:pPr>
        <w:pStyle w:val="Heading1"/>
        <w:keepNext/>
      </w:pPr>
      <w:r>
        <w:t>Accessibility and PDF preflight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9FBAD0"/>
          <w:left w:val="single" w:sz="4" w:color="9FBAD0"/>
          <w:bottom w:val="single" w:sz="4" w:color="9FBAD0"/>
          <w:right w:val="single" w:sz="4" w:color="9FBAD0"/>
          <w:insideH w:val="single" w:sz="4" w:color="9FBAD0"/>
          <w:insideV w:val="single" w:sz="4" w:color="9FBAD0"/>
        </w:tblBorders>
      </w:tblPr>
      <w:tblGrid>
        <w:gridCol w:w="2484"/>
        <w:gridCol w:w="2484"/>
        <w:gridCol w:w="2484"/>
        <w:gridCol w:w="2484"/>
      </w:tblGrid>
      <w:tr>
        <w:trPr>
          <w:tblHeader/>
        </w:trPr>
        <w:tc>
          <w:tcPr>
            <w:tcW w:type="dxa" w:w="2484"/>
            <w:shd w:fill="D9EAF7"/>
            <w:vAlign w:val="center"/>
          </w:tcPr>
          <w:p>
            <w:r>
              <w:rPr>
                <w:b/>
                <w:color w:val="1F4E79"/>
                <w:sz w:val="18"/>
              </w:rPr>
              <w:t>Audit</w:t>
            </w:r>
          </w:p>
        </w:tc>
        <w:tc>
          <w:tcPr>
            <w:tcW w:type="dxa" w:w="2484"/>
            <w:shd w:fill="D9EAF7"/>
            <w:vAlign w:val="center"/>
          </w:tcPr>
          <w:p>
            <w:r>
              <w:rPr>
                <w:b/>
                <w:color w:val="1F4E79"/>
                <w:sz w:val="18"/>
              </w:rPr>
              <w:t>Core</w:t>
            </w:r>
          </w:p>
        </w:tc>
        <w:tc>
          <w:tcPr>
            <w:tcW w:type="dxa" w:w="2484"/>
            <w:shd w:fill="D9EAF7"/>
            <w:vAlign w:val="center"/>
          </w:tcPr>
          <w:p>
            <w:r>
              <w:rPr>
                <w:b/>
                <w:color w:val="1F4E79"/>
                <w:sz w:val="18"/>
              </w:rPr>
              <w:t>MHIOS</w:t>
            </w:r>
          </w:p>
        </w:tc>
        <w:tc>
          <w:tcPr>
            <w:tcW w:type="dxa" w:w="2484"/>
            <w:shd w:fill="D9EAF7"/>
            <w:vAlign w:val="center"/>
          </w:tcPr>
          <w:p>
            <w:r>
              <w:rPr>
                <w:b/>
                <w:color w:val="1F4E79"/>
                <w:sz w:val="18"/>
              </w:rPr>
              <w:t>Result</w:t>
            </w:r>
          </w:p>
        </w:tc>
      </w:tr>
      <w:tr>
        <w:tc>
          <w:tcPr>
            <w:tcW w:type="dxa" w:w="2484"/>
            <w:vAlign w:val="top"/>
          </w:tcPr>
          <w:p>
            <w:r>
              <w:rPr>
                <w:rFonts w:ascii="Aptos" w:hAnsi="Aptos"/>
                <w:sz w:val="17"/>
              </w:rPr>
              <w:t>High-severity accessibility findings</w:t>
            </w:r>
          </w:p>
        </w:tc>
        <w:tc>
          <w:tcPr>
            <w:tcW w:type="dxa" w:w="2484"/>
            <w:vAlign w:val="top"/>
          </w:tcPr>
          <w:p>
            <w:r>
              <w:rPr>
                <w:rFonts w:ascii="Aptos" w:hAnsi="Aptos"/>
                <w:sz w:val="17"/>
              </w:rPr>
              <w:t>0</w:t>
            </w:r>
          </w:p>
        </w:tc>
        <w:tc>
          <w:tcPr>
            <w:tcW w:type="dxa" w:w="2484"/>
            <w:vAlign w:val="top"/>
          </w:tcPr>
          <w:p>
            <w:r>
              <w:rPr>
                <w:rFonts w:ascii="Aptos" w:hAnsi="Aptos"/>
                <w:sz w:val="17"/>
              </w:rPr>
              <w:t>0</w:t>
            </w:r>
          </w:p>
        </w:tc>
        <w:tc>
          <w:tcPr>
            <w:tcW w:type="dxa" w:w="2484"/>
            <w:vAlign w:val="top"/>
          </w:tcPr>
          <w:p>
            <w:r>
              <w:rPr>
                <w:rFonts w:ascii="Aptos" w:hAnsi="Aptos"/>
                <w:sz w:val="17"/>
              </w:rPr>
              <w:t>PASS</w:t>
            </w:r>
          </w:p>
        </w:tc>
      </w:tr>
      <w:tr>
        <w:tc>
          <w:tcPr>
            <w:tcW w:type="dxa" w:w="2484"/>
            <w:vAlign w:val="top"/>
          </w:tcPr>
          <w:p>
            <w:r>
              <w:rPr>
                <w:rFonts w:ascii="Aptos" w:hAnsi="Aptos"/>
                <w:sz w:val="17"/>
              </w:rPr>
              <w:t>Medium-severity accessibility findings</w:t>
            </w:r>
          </w:p>
        </w:tc>
        <w:tc>
          <w:tcPr>
            <w:tcW w:type="dxa" w:w="2484"/>
            <w:vAlign w:val="top"/>
          </w:tcPr>
          <w:p>
            <w:r>
              <w:rPr>
                <w:rFonts w:ascii="Aptos" w:hAnsi="Aptos"/>
                <w:sz w:val="17"/>
              </w:rPr>
              <w:t>0</w:t>
            </w:r>
          </w:p>
        </w:tc>
        <w:tc>
          <w:tcPr>
            <w:tcW w:type="dxa" w:w="2484"/>
            <w:vAlign w:val="top"/>
          </w:tcPr>
          <w:p>
            <w:r>
              <w:rPr>
                <w:rFonts w:ascii="Aptos" w:hAnsi="Aptos"/>
                <w:sz w:val="17"/>
              </w:rPr>
              <w:t>0</w:t>
            </w:r>
          </w:p>
        </w:tc>
        <w:tc>
          <w:tcPr>
            <w:tcW w:type="dxa" w:w="2484"/>
            <w:vAlign w:val="top"/>
          </w:tcPr>
          <w:p>
            <w:r>
              <w:rPr>
                <w:rFonts w:ascii="Aptos" w:hAnsi="Aptos"/>
                <w:sz w:val="17"/>
              </w:rPr>
              <w:t>PASS</w:t>
            </w:r>
          </w:p>
        </w:tc>
      </w:tr>
      <w:tr>
        <w:tc>
          <w:tcPr>
            <w:tcW w:type="dxa" w:w="2484"/>
            <w:vAlign w:val="top"/>
          </w:tcPr>
          <w:p>
            <w:r>
              <w:rPr>
                <w:rFonts w:ascii="Aptos" w:hAnsi="Aptos"/>
                <w:sz w:val="17"/>
              </w:rPr>
              <w:t>Low-severity findings</w:t>
            </w:r>
          </w:p>
        </w:tc>
        <w:tc>
          <w:tcPr>
            <w:tcW w:type="dxa" w:w="2484"/>
            <w:vAlign w:val="top"/>
          </w:tcPr>
          <w:p>
            <w:r>
              <w:rPr>
                <w:rFonts w:ascii="Aptos" w:hAnsi="Aptos"/>
                <w:sz w:val="17"/>
              </w:rPr>
              <w:t>76</w:t>
            </w:r>
          </w:p>
        </w:tc>
        <w:tc>
          <w:tcPr>
            <w:tcW w:type="dxa" w:w="2484"/>
            <w:vAlign w:val="top"/>
          </w:tcPr>
          <w:p>
            <w:r>
              <w:rPr>
                <w:rFonts w:ascii="Aptos" w:hAnsi="Aptos"/>
                <w:sz w:val="17"/>
              </w:rPr>
              <w:t>0</w:t>
            </w:r>
          </w:p>
        </w:tc>
        <w:tc>
          <w:tcPr>
            <w:tcW w:type="dxa" w:w="2484"/>
            <w:vAlign w:val="top"/>
          </w:tcPr>
          <w:p>
            <w:r>
              <w:rPr>
                <w:rFonts w:ascii="Aptos" w:hAnsi="Aptos"/>
                <w:sz w:val="17"/>
              </w:rPr>
              <w:t>Bounded</w:t>
            </w:r>
          </w:p>
        </w:tc>
      </w:tr>
      <w:tr>
        <w:tc>
          <w:tcPr>
            <w:tcW w:type="dxa" w:w="2484"/>
            <w:vAlign w:val="top"/>
          </w:tcPr>
          <w:p>
            <w:r>
              <w:rPr>
                <w:rFonts w:ascii="Aptos" w:hAnsi="Aptos"/>
                <w:sz w:val="17"/>
              </w:rPr>
              <w:t>PDF preflight warnings</w:t>
            </w:r>
          </w:p>
        </w:tc>
        <w:tc>
          <w:tcPr>
            <w:tcW w:type="dxa" w:w="2484"/>
            <w:vAlign w:val="top"/>
          </w:tcPr>
          <w:p>
            <w:r>
              <w:rPr>
                <w:rFonts w:ascii="Aptos" w:hAnsi="Aptos"/>
                <w:sz w:val="17"/>
              </w:rPr>
              <w:t>0</w:t>
            </w:r>
          </w:p>
        </w:tc>
        <w:tc>
          <w:tcPr>
            <w:tcW w:type="dxa" w:w="2484"/>
            <w:vAlign w:val="top"/>
          </w:tcPr>
          <w:p>
            <w:r>
              <w:rPr>
                <w:rFonts w:ascii="Aptos" w:hAnsi="Aptos"/>
                <w:sz w:val="17"/>
              </w:rPr>
              <w:t>0</w:t>
            </w:r>
          </w:p>
        </w:tc>
        <w:tc>
          <w:tcPr>
            <w:tcW w:type="dxa" w:w="2484"/>
            <w:vAlign w:val="top"/>
          </w:tcPr>
          <w:p>
            <w:r>
              <w:rPr>
                <w:rFonts w:ascii="Aptos" w:hAnsi="Aptos"/>
                <w:sz w:val="17"/>
              </w:rPr>
              <w:t>PASS</w:t>
            </w:r>
          </w:p>
        </w:tc>
      </w:tr>
    </w:tbl>
    <w:p>
      <w:pPr>
        <w:spacing w:after="20"/>
      </w:pPr>
    </w:p>
    <w:p>
      <w:pPr>
        <w:spacing w:after="100"/>
      </w:pPr>
      <w:r>
        <w:t>The 76 Core low-severity findings are raw URL display text in scholarly reference lists. They were retained because explicit DOI and institutional URLs are useful citation information. There are no heading-order, table-header, missing-alt-text, or broken-navigation findings. MHIOS has zero accessibility findings.</w:t>
      </w:r>
    </w:p>
    <w:p>
      <w:pPr>
        <w:pStyle w:val="Heading1"/>
        <w:keepNext/>
      </w:pPr>
      <w:r>
        <w:t>Verification results</w:t>
      </w:r>
    </w:p>
    <w:p>
      <w:pPr>
        <w:pStyle w:val="Heading2"/>
        <w:keepNext/>
      </w:pPr>
      <w:r>
        <w:t>MathGov Core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9FBAD0"/>
          <w:left w:val="single" w:sz="4" w:color="9FBAD0"/>
          <w:bottom w:val="single" w:sz="4" w:color="9FBAD0"/>
          <w:right w:val="single" w:sz="4" w:color="9FBAD0"/>
          <w:insideH w:val="single" w:sz="4" w:color="9FBAD0"/>
          <w:insideV w:val="single" w:sz="4" w:color="9FBAD0"/>
        </w:tblBorders>
      </w:tblPr>
      <w:tblGrid>
        <w:gridCol w:w="4968"/>
        <w:gridCol w:w="4968"/>
      </w:tblGrid>
      <w:tr>
        <w:trPr>
          <w:tblHeader/>
        </w:trPr>
        <w:tc>
          <w:tcPr>
            <w:tcW w:type="dxa" w:w="4968"/>
            <w:shd w:fill="D9EAF7"/>
            <w:vAlign w:val="center"/>
          </w:tcPr>
          <w:p>
            <w:r>
              <w:rPr>
                <w:b/>
                <w:color w:val="1F4E79"/>
                <w:sz w:val="18"/>
              </w:rPr>
              <w:t>Surface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rPr>
                <w:b/>
                <w:color w:val="1F4E79"/>
                <w:sz w:val="18"/>
              </w:rPr>
              <w:t>Result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rFonts w:ascii="Aptos" w:hAnsi="Aptos"/>
                <w:sz w:val="17"/>
              </w:rPr>
              <w:t>Master verifier</w:t>
            </w:r>
          </w:p>
        </w:tc>
        <w:tc>
          <w:tcPr>
            <w:tcW w:type="dxa" w:w="4968"/>
            <w:vAlign w:val="top"/>
          </w:tcPr>
          <w:p>
            <w:r>
              <w:rPr>
                <w:rFonts w:ascii="Aptos" w:hAnsi="Aptos"/>
                <w:sz w:val="17"/>
              </w:rPr>
              <w:t>PASS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rFonts w:ascii="Aptos" w:hAnsi="Aptos"/>
                <w:sz w:val="17"/>
              </w:rPr>
              <w:t>Subordinate verification surfaces</w:t>
            </w:r>
          </w:p>
        </w:tc>
        <w:tc>
          <w:tcPr>
            <w:tcW w:type="dxa" w:w="4968"/>
            <w:vAlign w:val="top"/>
          </w:tcPr>
          <w:p>
            <w:r>
              <w:rPr>
                <w:rFonts w:ascii="Aptos" w:hAnsi="Aptos"/>
                <w:sz w:val="17"/>
              </w:rPr>
              <w:t>9/9 PASS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rFonts w:ascii="Aptos" w:hAnsi="Aptos"/>
                <w:sz w:val="17"/>
              </w:rPr>
              <w:t>Core run-record vectors</w:t>
            </w:r>
          </w:p>
        </w:tc>
        <w:tc>
          <w:tcPr>
            <w:tcW w:type="dxa" w:w="4968"/>
            <w:vAlign w:val="top"/>
          </w:tcPr>
          <w:p>
            <w:r>
              <w:rPr>
                <w:rFonts w:ascii="Aptos" w:hAnsi="Aptos"/>
                <w:sz w:val="17"/>
              </w:rPr>
              <w:t>6 positive / 29 expected failures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rFonts w:ascii="Aptos" w:hAnsi="Aptos"/>
                <w:sz w:val="17"/>
              </w:rPr>
              <w:t>SGP RMCP vectors</w:t>
            </w:r>
          </w:p>
        </w:tc>
        <w:tc>
          <w:tcPr>
            <w:tcW w:type="dxa" w:w="4968"/>
            <w:vAlign w:val="top"/>
          </w:tcPr>
          <w:p>
            <w:r>
              <w:rPr>
                <w:rFonts w:ascii="Aptos" w:hAnsi="Aptos"/>
                <w:sz w:val="17"/>
              </w:rPr>
              <w:t>1 positive / 1 expected failure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rFonts w:ascii="Aptos" w:hAnsi="Aptos"/>
                <w:sz w:val="17"/>
              </w:rPr>
              <w:t>WDBIP vectors</w:t>
            </w:r>
          </w:p>
        </w:tc>
        <w:tc>
          <w:tcPr>
            <w:tcW w:type="dxa" w:w="4968"/>
            <w:vAlign w:val="top"/>
          </w:tcPr>
          <w:p>
            <w:r>
              <w:rPr>
                <w:rFonts w:ascii="Aptos" w:hAnsi="Aptos"/>
                <w:sz w:val="17"/>
              </w:rPr>
              <w:t>1 positive / 17 expected failures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rFonts w:ascii="Aptos" w:hAnsi="Aptos"/>
                <w:sz w:val="17"/>
              </w:rPr>
              <w:t>Aligners Sheet</w:t>
            </w:r>
          </w:p>
        </w:tc>
        <w:tc>
          <w:tcPr>
            <w:tcW w:type="dxa" w:w="4968"/>
            <w:vAlign w:val="top"/>
          </w:tcPr>
          <w:p>
            <w:r>
              <w:rPr>
                <w:rFonts w:ascii="Aptos" w:hAnsi="Aptos"/>
                <w:sz w:val="17"/>
              </w:rPr>
              <w:t>87 worksheets / 1,643 formulas / 0 errors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rFonts w:ascii="Aptos" w:hAnsi="Aptos"/>
                <w:sz w:val="17"/>
              </w:rPr>
              <w:t>Core 15 mirrors</w:t>
            </w:r>
          </w:p>
        </w:tc>
        <w:tc>
          <w:tcPr>
            <w:tcW w:type="dxa" w:w="4968"/>
            <w:vAlign w:val="top"/>
          </w:tcPr>
          <w:p>
            <w:r>
              <w:rPr>
                <w:rFonts w:ascii="Aptos" w:hAnsi="Aptos"/>
                <w:sz w:val="17"/>
              </w:rPr>
              <w:t>Exact byte-identity PASS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rFonts w:ascii="Aptos" w:hAnsi="Aptos"/>
                <w:sz w:val="17"/>
              </w:rPr>
              <w:t>Full render and visual QA</w:t>
            </w:r>
          </w:p>
        </w:tc>
        <w:tc>
          <w:tcPr>
            <w:tcW w:type="dxa" w:w="4968"/>
            <w:vAlign w:val="top"/>
          </w:tcPr>
          <w:p>
            <w:r>
              <w:rPr>
                <w:rFonts w:ascii="Aptos" w:hAnsi="Aptos"/>
                <w:sz w:val="17"/>
              </w:rPr>
              <w:t>596/596 pages reviewed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MHIOS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9FBAD0"/>
          <w:left w:val="single" w:sz="4" w:color="9FBAD0"/>
          <w:bottom w:val="single" w:sz="4" w:color="9FBAD0"/>
          <w:right w:val="single" w:sz="4" w:color="9FBAD0"/>
          <w:insideH w:val="single" w:sz="4" w:color="9FBAD0"/>
          <w:insideV w:val="single" w:sz="4" w:color="9FBAD0"/>
        </w:tblBorders>
      </w:tblPr>
      <w:tblGrid>
        <w:gridCol w:w="4968"/>
        <w:gridCol w:w="4968"/>
      </w:tblGrid>
      <w:tr>
        <w:trPr>
          <w:tblHeader/>
        </w:trPr>
        <w:tc>
          <w:tcPr>
            <w:tcW w:type="dxa" w:w="4968"/>
            <w:shd w:fill="D9EAF7"/>
            <w:vAlign w:val="center"/>
          </w:tcPr>
          <w:p>
            <w:r>
              <w:rPr>
                <w:b/>
                <w:color w:val="1F4E79"/>
                <w:sz w:val="18"/>
              </w:rPr>
              <w:t>Surface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rPr>
                <w:b/>
                <w:color w:val="1F4E79"/>
                <w:sz w:val="18"/>
              </w:rPr>
              <w:t>Result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rFonts w:ascii="Aptos" w:hAnsi="Aptos"/>
                <w:sz w:val="17"/>
              </w:rPr>
              <w:t>Package verifier</w:t>
            </w:r>
          </w:p>
        </w:tc>
        <w:tc>
          <w:tcPr>
            <w:tcW w:type="dxa" w:w="4968"/>
            <w:vAlign w:val="top"/>
          </w:tcPr>
          <w:p>
            <w:r>
              <w:rPr>
                <w:rFonts w:ascii="Aptos" w:hAnsi="Aptos"/>
                <w:sz w:val="17"/>
              </w:rPr>
              <w:t>PASS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rFonts w:ascii="Aptos" w:hAnsi="Aptos"/>
                <w:sz w:val="17"/>
              </w:rPr>
              <w:t>Objects / roles / screens</w:t>
            </w:r>
          </w:p>
        </w:tc>
        <w:tc>
          <w:tcPr>
            <w:tcW w:type="dxa" w:w="4968"/>
            <w:vAlign w:val="top"/>
          </w:tcPr>
          <w:p>
            <w:r>
              <w:rPr>
                <w:rFonts w:ascii="Aptos" w:hAnsi="Aptos"/>
                <w:sz w:val="17"/>
              </w:rPr>
              <w:t>46 / 15 / 20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rFonts w:ascii="Aptos" w:hAnsi="Aptos"/>
                <w:sz w:val="17"/>
              </w:rPr>
              <w:t>Minimal Vertical Slice screens</w:t>
            </w:r>
          </w:p>
        </w:tc>
        <w:tc>
          <w:tcPr>
            <w:tcW w:type="dxa" w:w="4968"/>
            <w:vAlign w:val="top"/>
          </w:tcPr>
          <w:p>
            <w:r>
              <w:rPr>
                <w:rFonts w:ascii="Aptos" w:hAnsi="Aptos"/>
                <w:sz w:val="17"/>
              </w:rPr>
              <w:t>5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rFonts w:ascii="Aptos" w:hAnsi="Aptos"/>
                <w:sz w:val="17"/>
              </w:rPr>
              <w:t>Conformance vectors</w:t>
            </w:r>
          </w:p>
        </w:tc>
        <w:tc>
          <w:tcPr>
            <w:tcW w:type="dxa" w:w="4968"/>
            <w:vAlign w:val="top"/>
          </w:tcPr>
          <w:p>
            <w:r>
              <w:rPr>
                <w:rFonts w:ascii="Aptos" w:hAnsi="Aptos"/>
                <w:sz w:val="17"/>
              </w:rPr>
              <w:t>4 positive / 52 expected failures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rFonts w:ascii="Aptos" w:hAnsi="Aptos"/>
                <w:sz w:val="17"/>
              </w:rPr>
              <w:t>Seeded mutation suite</w:t>
            </w:r>
          </w:p>
        </w:tc>
        <w:tc>
          <w:tcPr>
            <w:tcW w:type="dxa" w:w="4968"/>
            <w:vAlign w:val="top"/>
          </w:tcPr>
          <w:p>
            <w:r>
              <w:rPr>
                <w:rFonts w:ascii="Aptos" w:hAnsi="Aptos"/>
                <w:sz w:val="17"/>
              </w:rPr>
              <w:t>40/40 killed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rFonts w:ascii="Aptos" w:hAnsi="Aptos"/>
                <w:sz w:val="17"/>
              </w:rPr>
              <w:t>Atomic modal clauses</w:t>
            </w:r>
          </w:p>
        </w:tc>
        <w:tc>
          <w:tcPr>
            <w:tcW w:type="dxa" w:w="4968"/>
            <w:vAlign w:val="top"/>
          </w:tcPr>
          <w:p>
            <w:r>
              <w:rPr>
                <w:rFonts w:ascii="Aptos" w:hAnsi="Aptos"/>
                <w:sz w:val="17"/>
              </w:rPr>
              <w:t>158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rFonts w:ascii="Aptos" w:hAnsi="Aptos"/>
                <w:sz w:val="17"/>
              </w:rPr>
              <w:t>Any executable linkage</w:t>
            </w:r>
          </w:p>
        </w:tc>
        <w:tc>
          <w:tcPr>
            <w:tcW w:type="dxa" w:w="4968"/>
            <w:vAlign w:val="top"/>
          </w:tcPr>
          <w:p>
            <w:r>
              <w:rPr>
                <w:rFonts w:ascii="Aptos" w:hAnsi="Aptos"/>
                <w:sz w:val="17"/>
              </w:rPr>
              <w:t>67 / 158 (42.41%)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rFonts w:ascii="Aptos" w:hAnsi="Aptos"/>
                <w:sz w:val="17"/>
              </w:rPr>
              <w:t>Direct behavioral linkage</w:t>
            </w:r>
          </w:p>
        </w:tc>
        <w:tc>
          <w:tcPr>
            <w:tcW w:type="dxa" w:w="4968"/>
            <w:vAlign w:val="top"/>
          </w:tcPr>
          <w:p>
            <w:r>
              <w:rPr>
                <w:rFonts w:ascii="Aptos" w:hAnsi="Aptos"/>
                <w:sz w:val="17"/>
              </w:rPr>
              <w:t>57 / 158 (36.08%)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rFonts w:ascii="Aptos" w:hAnsi="Aptos"/>
                <w:sz w:val="17"/>
              </w:rPr>
              <w:t>Explicitly unlinked clauses</w:t>
            </w:r>
          </w:p>
        </w:tc>
        <w:tc>
          <w:tcPr>
            <w:tcW w:type="dxa" w:w="4968"/>
            <w:vAlign w:val="top"/>
          </w:tcPr>
          <w:p>
            <w:r>
              <w:rPr>
                <w:rFonts w:ascii="Aptos" w:hAnsi="Aptos"/>
                <w:sz w:val="17"/>
              </w:rPr>
              <w:t>91 / 158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rFonts w:ascii="Aptos" w:hAnsi="Aptos"/>
                <w:sz w:val="17"/>
              </w:rPr>
              <w:t>Main standard</w:t>
            </w:r>
          </w:p>
        </w:tc>
        <w:tc>
          <w:tcPr>
            <w:tcW w:type="dxa" w:w="4968"/>
            <w:vAlign w:val="top"/>
          </w:tcPr>
          <w:p>
            <w:r>
              <w:rPr>
                <w:rFonts w:ascii="Aptos" w:hAnsi="Aptos"/>
                <w:sz w:val="17"/>
              </w:rPr>
              <w:t>68 pages / 17 tables / 33 TOC entries</w:t>
            </w:r>
          </w:p>
        </w:tc>
      </w:tr>
    </w:tbl>
    <w:p>
      <w:pPr>
        <w:spacing w:after="20"/>
      </w:pPr>
    </w:p>
    <w:p>
      <w:pPr>
        <w:spacing w:after="100"/>
      </w:pPr>
      <w:r>
        <w:t>The increase from 154 to 158 modal clauses is expected: Capability Claim Integrity adds four genuine normative requirements. The increase from 65 to 67 any-executable and 55 to 57 direct-behavioral links reflects added schema and validator coverage. The 91 unlinked clauses remain visible bounded open work.</w:t>
      </w:r>
    </w:p>
    <w:p>
      <w:pPr>
        <w:pStyle w:val="Heading1"/>
        <w:keepNext/>
      </w:pPr>
      <w:r>
        <w:t>Version and build disposition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9FBAD0"/>
          <w:left w:val="single" w:sz="4" w:color="9FBAD0"/>
          <w:bottom w:val="single" w:sz="4" w:color="9FBAD0"/>
          <w:right w:val="single" w:sz="4" w:color="9FBAD0"/>
          <w:insideH w:val="single" w:sz="4" w:color="9FBAD0"/>
          <w:insideV w:val="single" w:sz="4" w:color="9FBAD0"/>
        </w:tblBorders>
      </w:tblPr>
      <w:tblGrid>
        <w:gridCol w:w="3312"/>
        <w:gridCol w:w="3312"/>
        <w:gridCol w:w="3312"/>
      </w:tblGrid>
      <w:tr>
        <w:trPr>
          <w:tblHeader/>
        </w:trPr>
        <w:tc>
          <w:tcPr>
            <w:tcW w:type="dxa" w:w="3312"/>
            <w:shd w:fill="D9EAF7"/>
            <w:vAlign w:val="center"/>
          </w:tcPr>
          <w:p>
            <w:r>
              <w:rPr>
                <w:b/>
                <w:color w:val="1F4E79"/>
                <w:sz w:val="18"/>
              </w:rPr>
              <w:t>Artifact</w:t>
            </w:r>
          </w:p>
        </w:tc>
        <w:tc>
          <w:tcPr>
            <w:tcW w:type="dxa" w:w="3312"/>
            <w:shd w:fill="D9EAF7"/>
            <w:vAlign w:val="center"/>
          </w:tcPr>
          <w:p>
            <w:r>
              <w:rPr>
                <w:b/>
                <w:color w:val="1F4E79"/>
                <w:sz w:val="18"/>
              </w:rPr>
              <w:t>Semantic version</w:t>
            </w:r>
          </w:p>
        </w:tc>
        <w:tc>
          <w:tcPr>
            <w:tcW w:type="dxa" w:w="3312"/>
            <w:shd w:fill="D9EAF7"/>
            <w:vAlign w:val="center"/>
          </w:tcPr>
          <w:p>
            <w:r>
              <w:rPr>
                <w:b/>
                <w:color w:val="1F4E79"/>
                <w:sz w:val="18"/>
              </w:rPr>
              <w:t>Final build identity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rFonts w:ascii="Aptos" w:hAnsi="Aptos"/>
                <w:sz w:val="17"/>
              </w:rPr>
              <w:t>MathGov Core</w:t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Aptos" w:hAnsi="Aptos"/>
                <w:sz w:val="17"/>
              </w:rPr>
              <w:t>v12.6</w:t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Aptos" w:hAnsi="Aptos"/>
                <w:sz w:val="17"/>
              </w:rPr>
              <w:t>MathGov_Core_2026_09_v12.6_SGP_v8.5+2026.08.11.1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rFonts w:ascii="Aptos" w:hAnsi="Aptos"/>
                <w:sz w:val="17"/>
              </w:rPr>
              <w:t>SGP</w:t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Aptos" w:hAnsi="Aptos"/>
                <w:sz w:val="17"/>
              </w:rPr>
              <w:t>v8.5</w:t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Aptos" w:hAnsi="Aptos"/>
                <w:sz w:val="17"/>
              </w:rPr>
              <w:t>Included in the Core build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rFonts w:ascii="Aptos" w:hAnsi="Aptos"/>
                <w:sz w:val="17"/>
              </w:rPr>
              <w:t>MHIOS</w:t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Aptos" w:hAnsi="Aptos"/>
                <w:sz w:val="17"/>
              </w:rPr>
              <w:t>v0.7</w:t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Aptos" w:hAnsi="Aptos"/>
                <w:sz w:val="17"/>
              </w:rPr>
              <w:t>MHIOS_v0_7+2026.08.11.1</w:t>
            </w:r>
          </w:p>
        </w:tc>
      </w:tr>
    </w:tbl>
    <w:p>
      <w:pPr>
        <w:spacing w:after="20"/>
      </w:pPr>
    </w:p>
    <w:p>
      <w:pPr>
        <w:spacing w:after="100"/>
      </w:pPr>
      <w:r>
        <w:t>No component semantic version was incremented. The new build identity is required because package bytes, navigation, schemas, tests, reports, and hashes changed.</w:t>
      </w:r>
    </w:p>
    <w:p>
      <w:pPr>
        <w:pStyle w:val="Heading1"/>
        <w:keepNext/>
      </w:pPr>
      <w:r>
        <w:t>Explicit nonchanges</w:t>
      </w:r>
    </w:p>
    <w:p>
      <w:pPr>
        <w:pStyle w:val="ListBullet"/>
        <w:spacing w:after="40"/>
      </w:pPr>
      <w:r>
        <w:t>No sixth gate.</w:t>
      </w:r>
    </w:p>
    <w:p>
      <w:pPr>
        <w:pStyle w:val="ListBullet"/>
        <w:spacing w:after="40"/>
      </w:pPr>
      <w:r>
        <w:t>No change to RG -&gt; RF/NCRC -&gt; TRC -&gt; CSV -&gt; RLS.</w:t>
      </w:r>
    </w:p>
    <w:p>
      <w:pPr>
        <w:pStyle w:val="ListBullet"/>
        <w:spacing w:after="40"/>
      </w:pPr>
      <w:r>
        <w:t>No change to seven Union Scopes or seven Welfare Dimensions.</w:t>
      </w:r>
    </w:p>
    <w:p>
      <w:pPr>
        <w:pStyle w:val="ListBullet"/>
        <w:spacing w:after="40"/>
      </w:pPr>
      <w:r>
        <w:t>No change to numerical defaults, rights non-compensation, TRC/CSV separation, or SGP protection floors.</w:t>
      </w:r>
    </w:p>
    <w:p>
      <w:pPr>
        <w:pStyle w:val="ListBullet"/>
        <w:spacing w:after="40"/>
      </w:pPr>
      <w:r>
        <w:t>No imported external ontology, formula, taxonomy, verdict system, hardware architecture, implementation logic, or proprietary term.</w:t>
      </w:r>
    </w:p>
    <w:p>
      <w:pPr>
        <w:pStyle w:val="ListBullet"/>
        <w:spacing w:after="40"/>
      </w:pPr>
      <w:r>
        <w:t>No claim that determinism establishes truth or that probabilistic methods are intrinsically invalid.</w:t>
      </w:r>
    </w:p>
    <w:p>
      <w:pPr>
        <w:pStyle w:val="ListBullet"/>
        <w:spacing w:after="40"/>
      </w:pPr>
      <w:r>
        <w:t>No claim of empirical superiority, legal approval, physical-safety certification, consciousness detection, construct validity, or deployment readiness.</w:t>
      </w:r>
    </w:p>
    <w:p>
      <w:pPr>
        <w:pStyle w:val="Heading1"/>
        <w:keepNext/>
      </w:pPr>
      <w:r>
        <w:t>Final readiness disposition</w:t>
      </w:r>
    </w:p>
    <w:p>
      <w:pPr>
        <w:spacing w:after="100"/>
      </w:pPr>
      <w:r>
        <w:t>MathGov Core v12.6 / SGP v8.5 is complete and publication-ready as an open research-source governance specification. MHIOS v0.7 is complete and publication-ready as a candidate implementation companion for controlled development and pilot research. The documents are legible, navigable, internally consistent, reproducibly identified, and fully verified at the artifact and tested-interface levels.</w:t>
      </w:r>
    </w:p>
    <w:p>
      <w:pPr>
        <w:spacing w:after="100"/>
      </w:pPr>
      <w:r>
        <w:t>The next legitimate work is empirical: independent implementation, domain calibration, inter-rater reliability, adversarial testing, burden and usability measurement, institutional validation, and outcome-based requalification.</w:t>
      </w:r>
    </w:p>
    <w:sectPr w:rsidR="00FC693F" w:rsidRPr="0006063C" w:rsidSect="00034616">
      <w:footerReference w:type="default" r:id="rId9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6464"/>
        <w:sz w:val="16"/>
      </w:rPr>
      <w:t xml:space="preserve">MathGov Capability Claim and Publication Audit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/>
      <w:b/>
      <w:i/>
      <w:iCs/>
      <w:color w:val="4472C4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uditCallout">
    <w:name w:val="Audit Callout"/>
    <w:pPr>
      <w:spacing w:before="120" w:after="120"/>
    </w:pPr>
    <w:rPr>
      <w:rFonts w:ascii="Aptos" w:hAnsi="Aptos"/>
      <w:b/>
      <w:color w:val="1F4E79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MathGov v12.6 / SGP v8.5 and MHIOS v0.7 Capability Claim Integrity and Publication-Readiness Audit</dc:title>
  <dc:subject>Final implementation, formatting, accessibility, and verification audit</dc:subject>
  <dc:creator>MathGov Institute for Ethical Systems Design</dc:creator>
  <cp:keywords>MathGov, RippleLogic, SGP, MHIOS, Capability Claim Integrity, publication audit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