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3" w:name="ripplelogic-canon-v123"/>
    <w:p>
      <w:pPr>
        <w:pStyle w:val="Heading1"/>
      </w:pPr>
      <w:r>
        <w:t>RippleLogic Canon v12.3.1</w:t>
      </w:r>
    </w:p>
    <w:p>
      <w:pPr>
        <w:pStyle w:val="FirstParagraph"/>
      </w:pPr>
      <w:r>
        <w:t>RippleLogic: The Ethical Decision Operating System of the MathGov Framework</w:t>
      </w:r>
      <w:r>
        <w:br/>
      </w:r>
      <w:r>
        <w:t>A General-Purpose, Multi-Scale Decision Architecture for Rights-Floor Norms, Tail-Risk Control, and Auditable Decision-Making</w:t>
      </w:r>
    </w:p>
    <w:p>
      <w:pPr>
        <w:pStyle w:val="BodyText"/>
      </w:pPr>
      <w:r>
        <w:t>Tier 1-3: Source-Ready Specification | Tier 4: Design Target (Tier-4 claims prohibited until a ProofPack is independently replayable)</w:t>
      </w:r>
    </w:p>
    <w:p>
      <w:pPr>
        <w:pStyle w:val="BodyText"/>
      </w:pPr>
      <w:r>
        <w:t>Author: James McGaughran (ORCID: 0009-0005-3324-7290)</w:t>
        <w:br/>
        <w:t>Affiliation: British University Vietnam (BUV); MathGov Institute for Ethical Systems Design</w:t>
        <w:br/>
        <w:t>Canonical Sites: ripplelogic.org, mathgov.org</w:t>
        <w:br/>
        <w:t>Repository: github.com/MathGov/ripple-logic</w:t>
        <w:br/>
        <w:t>Date: 19 July 2026</w:t>
        <w:br/>
        <w:t>Version: 12.3.1</w:t>
        <w:br/>
        <w:t>Package line: MathGov Core Release 2026.09 v12.3.1 / SGP v8.2.1 - Release and Workbook Integrity Patched Public Research Source Release</w:t>
        <w:br/>
        <w:t>Package-note: v12.3.1 preserves the five-stage cascade, the seven Union Scopes, the seven Welfare Dimensions, all rights floors, and all SGP v8.2.1 protection semantics. It integrates WDBIP v1.3.1 beneath RLS; ripple.md v5.2.1 consequence-tempo and responsibility-continuity assurance; Agent System v12.1.1 runtime timing and handoff controls; run-record v2 schema enforcement; a canonical state registry and transition matrix; typed maturity disclosure; Aligners Sheet v5.3.1; and RLS Validation Protocol v2.3.1 / Workbook v0.2. None of these additions establishes empirical validity, legal authority, physical safety, consciousness, moral truth, ProofPack readiness, or Tier 4 conformance.</w:t>
      </w:r>
    </w:p>
    <w:p>
      <w:pPr>
        <w:pStyle w:val="BodyText"/>
      </w:pPr>
      <w:r>
        <w:rPr>
          <w:b/>
          <w:bCs/>
        </w:rPr>
        <w:t>Specification-contract front-door note. Current release interpretation follows the Source Hierarchy and Section 0 Specification Contract: MathGov is the umbrella ethical governance framework; RippleLogic is the decision architecture and operating methodology inside MathGov; the Markdown Canon source is the governing semantic source if derived DOCX/PDF renderings diverge. The full precedence and conflict-resolution contract appears in Appendix AC / Section 0.</w:t>
      </w:r>
    </w:p>
    <w:p>
      <w:pPr>
        <w:pStyle w:val="BodyText"/>
      </w:pPr>
      <w:r>
        <w:rPr>
          <w:b/>
          <w:bCs/>
        </w:rPr>
        <w:t>Publication-state boundary.</w:t>
      </w:r>
      <w:r>
        <w:t xml:space="preserve"> </w:t>
      </w:r>
      <w:r>
        <w:t>A source package may be internally release-ready before repository tags, public websites, or mirrors are synchronized. Public statements that this is the currently published canonical release MUST be checked against the accessible release tag, manifest, and SHA-256 set. Site publication is an external release action, not evidence created by this document.</w:t>
      </w:r>
    </w:p>
    <w:bookmarkStart w:id="20" w:name="X1192b50d7727c56b3610040eea610ac035a814f"/>
    <w:p>
      <w:pPr>
        <w:pStyle w:val="Heading2"/>
      </w:pPr>
      <w:r>
        <w:t>v12.3.1 Release and Workbook Integrity Patch</w:t>
      </w:r>
    </w:p>
    <w:p>
      <w:pPr/>
      <w:r>
        <w:t>v12.3.1 is a bounded synchronization and release-engineering patch. It repairs exact companion pins, current-package filenames, public release labels, workbook formula and named-range integrity, CVaR provenance, sanity-check completeness, and the 15-file review bundle. It does not change the cascade, rights floors, TRC mathematics, CSV semantics, RLS equation, scopes, dimensions, or SGP protection architecture.</w:t>
      </w:r>
    </w:p>
    <w:p>
      <w:pPr>
        <w:pStyle w:val="Heading2"/>
      </w:pPr>
      <w:r>
        <w:t>v12.3 Integration and Executable-Integrity Note</w:t>
      </w:r>
    </w:p>
    <w:p>
      <w:pPr>
        <w:pStyle w:val="FirstParagraph"/>
      </w:pPr>
      <w:r>
        <w:t>v12.3 preserves the governing cascade</w:t>
      </w:r>
      <w:r>
        <w:t xml:space="preserve"> </w:t>
      </w:r>
      <w:r>
        <w:rPr>
          <w:rStyle w:val="VerbatimChar"/>
        </w:rPr>
        <w:t>RG -&gt; RF/NCRC -&gt; TRC -&gt; CSV -&gt; RLS</w:t>
      </w:r>
      <w:r>
        <w:t>, the seven Union Scopes, the seven Welfare Dimensions, the Rights Floor, TRC, CSV, RLS equations, and all SGP protection floors. It integrates four bounded improvements: (1) WDBIP v1.3 as a Canon-subordinate welfare-measurement companion beneath RLS; (2) consequence-tempo and responsibility-continuity assurance through ripple.md v5.2, CSV v2.1, and Agent System v12.1; (3) a single versioned state registry and deterministic stage-transition algebra; and (4) typed measurement and parameter maturity disclosure. These additions do not prove empirical validity, legal authority, physical safety, or moral truth.</w:t>
      </w:r>
    </w:p>
    <w:bookmarkEnd w:id="20"/>
    <w:bookmarkStart w:id="21" w:name="X6aae7355d4fbd20cd12f7ef2a5d0305f8f3a136"/>
    <w:p>
      <w:pPr>
        <w:pStyle w:val="Heading2"/>
      </w:pPr>
      <w:r>
        <w:t>Compact implementation and reproducibility contract</w:t>
      </w:r>
    </w:p>
    <w:p>
      <w:pPr>
        <w:pStyle w:val="FirstParagraph"/>
      </w:pPr>
      <w:r>
        <w:t>The full Canon remains the governing source, but a conforming run MUST be traceable to the compact operating kernel in</w:t>
      </w:r>
      <w:r>
        <w:t xml:space="preserve"> </w:t>
      </w:r>
      <w:r>
        <w:rPr>
          <w:rStyle w:val="VerbatimChar"/>
        </w:rPr>
        <w:t>docs/implementation/MATHGOV_REPRODUCIBILITY_AND_USE_STANDARD_v1.1.md</w:t>
      </w:r>
      <w:r>
        <w:t>: identify the run and authority boundary; lock decision-material evidence and parameters; complete RG, RF/NCRC, TRC, and CSV in order; form the selectable set; apply RLS only to survivors; distinguish decisive selection, authority selection, refusal, redesign, delay, and emergency-provisional action; separate selection from execution authority; record controls and monitoring; and reopen affected stages after material change.</w:t>
      </w:r>
    </w:p>
    <w:p>
      <w:pPr>
        <w:pStyle w:val="BodyText"/>
      </w:pPr>
      <w:r>
        <w:t>The companion</w:t>
      </w:r>
      <w:r>
        <w:t xml:space="preserve"> </w:t>
      </w:r>
      <w:r>
        <w:rPr>
          <w:rStyle w:val="VerbatimChar"/>
        </w:rPr>
        <w:t>docs/implementation/NORMATIVE_KERNEL_INDEX_v1.0.yaml</w:t>
      </w:r>
      <w:r>
        <w:t xml:space="preserve"> </w:t>
      </w:r>
      <w:r>
        <w:t>maps each compact rule to the controlling Canon source.</w:t>
      </w:r>
      <w:r>
        <w:t xml:space="preserve"> </w:t>
      </w:r>
      <w:r>
        <w:rPr>
          <w:rStyle w:val="VerbatimChar"/>
        </w:rPr>
        <w:t>schemas/mathgov_run_record_v2.schema.json</w:t>
      </w:r>
      <w:r>
        <w:t xml:space="preserve"> </w:t>
      </w:r>
      <w:r>
        <w:t>and</w:t>
      </w:r>
      <w:r>
        <w:t xml:space="preserve"> </w:t>
      </w:r>
      <w:r>
        <w:rPr>
          <w:rStyle w:val="VerbatimChar"/>
        </w:rPr>
        <w:t>release/VALIDATE_MATHGOV_RUN.py</w:t>
      </w:r>
      <w:r>
        <w:t xml:space="preserve"> </w:t>
      </w:r>
      <w:r>
        <w:t>mechanically check record completeness and cascade contradictions. Passing those checks establishes only record/cascade conformance for the supplied inputs. It does not verify evidence truth, measurement validity, legal authority, physical safety, deployment readiness, or moral truth.</w:t>
      </w:r>
    </w:p>
    <w:bookmarkEnd w:id="21"/>
    <w:bookmarkStart w:id="22" w:name="Xb072e4f0f71366c6a059098a2b8ae501e87a0a4"/>
    <w:p>
      <w:pPr>
        <w:pStyle w:val="Heading2"/>
      </w:pPr>
      <w:r>
        <w:t>v12.2.1 Retained Patch Integrity Note (Lineage)</w:t>
      </w:r>
    </w:p>
    <w:p>
      <w:pPr>
        <w:pStyle w:val="FirstParagraph"/>
      </w:pPr>
      <w:r>
        <w:t>This patch does not change the five-stage architecture. It repairs formula and interface integrity: stream notation now uses</w:t>
      </w:r>
      <w:r>
        <w:t xml:space="preserve"> </w:t>
      </w:r>
      <w:r>
        <w:rPr>
          <w:rStyle w:val="VerbatimChar"/>
        </w:rPr>
        <w:t>h_{k,x}</w:t>
      </w:r>
      <w:r>
        <w:t xml:space="preserve"> </w:t>
      </w:r>
      <w:r>
        <w:t>consistently; MPS intervals route to governed inclusion hypotheses rather than numeric endpoint multipliers; U7 Equity distinguishes</w:t>
      </w:r>
      <w:r>
        <w:t xml:space="preserve"> </w:t>
      </w:r>
      <w:r>
        <w:rPr>
          <w:rStyle w:val="VerbatimChar"/>
        </w:rPr>
        <w:t>NA</w:t>
      </w:r>
      <w:r>
        <w:t xml:space="preserve"> </w:t>
      </w:r>
      <w:r>
        <w:t>from</w:t>
      </w:r>
      <w:r>
        <w:t xml:space="preserve"> </w:t>
      </w:r>
      <w:r>
        <w:rPr>
          <w:rStyle w:val="VerbatimChar"/>
        </w:rPr>
        <w:t>UNKNOWN</w:t>
      </w:r>
      <w:r>
        <w:t>; RLS companion formulas retain normalization by</w:t>
      </w:r>
      <w:r>
        <w:t xml:space="preserve"> </w:t>
      </w:r>
      <w:r>
        <w:rPr>
          <w:rStyle w:val="VerbatimChar"/>
        </w:rPr>
        <w:t>Q</w:t>
      </w:r>
      <w:r>
        <w:t>; CSV tier obligations and status tokens are synchronized; current worked examples disclose all three NCRC channels; and workbook sanity, publishability, and PLSS-limit records are mechanically reconciled.</w:t>
      </w:r>
    </w:p>
    <w:p>
      <w:pPr>
        <w:pStyle w:val="BodyText"/>
      </w:pPr>
      <w:r>
        <w:t>ABSTRACT</w:t>
      </w:r>
    </w:p>
    <w:p>
      <w:pPr>
        <w:pStyle w:val="BodyText"/>
      </w:pPr>
      <w:r>
        <w:t>Governance systems, institutional decision-making processes, and AI alignment approaches face a common structural challenge: high-consequence decisions often collapse plural values into single metrics, underweight catastrophic tail risks, lose contact with reality surfaces, and become vulnerable to specification gaming, where optimized proxies degrade the outcomes they were meant to protect. As a proposed Tier 1-3 design architecture rather than an empirically validated governance instrument, RippleLogic addresses this problem by operationalizing Union-Based Ethics as a general-purpose ethical operating system for auditable decision-making across layered scales of life and governance. The Category Grounding Patch clarifies that, when material categories affect rights, tail risk, containment, SGP interpretation, authority, conformance, or public claims, Category Grounding and Primitive Audit belong inside Reality Grounding as required subdisciplines, not as additional cascade stages. The v12.3 / SGP v8.2.1 integration preserves proportional CSV qualification and the existing rights, ruin, and score hardening while replacing the legacy SGP protection surface interface with separate MPS, FPP, GPR, SPR, and ICP surfaces. It makes the protection-versus-authority separation computational rather than merely interpretive, requires interval sensitivity for SGP-aware residual welfare ranking, and prevents full protection from being misread as CMIU membership or consequential authority. It carries forward the v11.0 Term Discrimination and Semantic Stability Patch and makes the discriminator, dependency position, non-collapse risks, and refusal condition explicit for material terms so that governance does not proceed through collapsed language. The v12.3 integration preserves a claim-falsification and dependency-integrity discipline inside Reality Grounding and downstream validation: material claims must declare claim type, dependency position, assumptions, alternative explanations, evidence/test surface, falsification or revision trigger, and re-derivation scope when foundations change. The framework evaluates candidate actions through a five-level admissibility-and-ranking method: Reality Grounding (RG), Rights Floor (RF), Tail-Risk Constraint (TRC), Containment and Structural Viability (CSV), and RippleLogic Score (RLS). Rights Floor is the public-facing name for the Non-Compensatory Rights Constraint (NCRC): rights-floor violations cannot be compensated by welfare gains elsewhere.</w:t>
      </w:r>
    </w:p>
    <w:bookmarkEnd w:id="22"/>
    <w:bookmarkEnd w:id="23"/>
    <w:bookmarkStart w:id="28" w:name="Xdf7a226cd3955945a698a9f328950e86bbfddf7"/>
    <w:p>
      <w:pPr>
        <w:pStyle w:val="Heading1"/>
      </w:pPr>
      <w:r>
        <w:t>SECTION 1: INTRODUCTION: THE NEED FOR A GENERAL-PURPOSE ETHICAL OPERATING SYSTEM</w:t>
      </w:r>
    </w:p>
    <w:bookmarkStart w:id="24" w:name="X76a6881de1c44099d93978401886149c76de9c4"/>
    <w:p>
      <w:pPr>
        <w:pStyle w:val="Heading2"/>
      </w:pPr>
      <w:r>
        <w:t>1.1 Alignment Failures Across Scales</w:t>
      </w:r>
    </w:p>
    <w:p>
      <w:pPr>
        <w:pStyle w:val="FirstParagraph"/>
      </w:pPr>
      <w:r>
        <w:t>Contemporary societies operate within a tightly coupled, high-dimensional environment where climate dynamics, global supply chains, digital communication networks, financial systems, and emerging artificial intelligence systems interact in ways that increasingly resist prediction or governance. Decisions taken at one organizational scale propagate rapidly through multiple layers of human and ecological organization, generating consequences that conventional decision frameworks fail to anticipate or manage (Meadows, 2008; Newman, 2010; Steffen et al., 2015). In this context, alignment is not exclusively an artificial intelligence problem. It spans multiple domains: aligning machine systems with human purposes and control (Russell, 2019), preventing catastrophic failure modes that could foreclose long-run human potential (Ord, 2020), and maintaining human activity within the safe and just Earth-system boundaries required for durable flourishing (Rockström et al., 2009, 2023). RippleLogic addresses this as a unified governance problem rather than as three isolated challenges.</w:t>
      </w:r>
    </w:p>
    <w:p>
      <w:pPr>
        <w:pStyle w:val="BodyText"/>
      </w:pPr>
      <w:r>
        <w:t>Civilizational target and method standard (Informative)</w:t>
      </w:r>
    </w:p>
    <w:p>
      <w:pPr>
        <w:pStyle w:val="BodyText"/>
      </w:pPr>
      <w:r>
        <w:t>Target. Protect the floor for all intelligences, bound catastrophic tail-risk, and expand long-run flourishing across the operational union stack.</w:t>
      </w:r>
    </w:p>
    <w:p>
      <w:pPr>
        <w:pStyle w:val="BodyText"/>
      </w:pPr>
      <w:r>
        <w:t>Method standard. A decision protocol is governance-grade only if it is auditable, reproducible, rights-respecting, tail-risk aware, methodologically falsifiable or revision-triggered at material claim points, dependency-explicit, and robust to Goodhart and adversarial pressure.</w:t>
      </w:r>
    </w:p>
    <w:bookmarkEnd w:id="24"/>
    <w:bookmarkStart w:id="25" w:name="Xa4c5dc176633396b02558bd324ce09cfdc00634"/>
    <w:p>
      <w:pPr>
        <w:pStyle w:val="Heading2"/>
      </w:pPr>
      <w:r>
        <w:t>1.2 The Alignment Trilemma (Coupled Failure Modes)</w:t>
      </w:r>
    </w:p>
    <w:p>
      <w:pPr>
        <w:pStyle w:val="FirstParagraph"/>
      </w:pPr>
      <w:r>
        <w:t>Existing decision frameworks exhibit three recurring failure modes that together constitute the alignment trilemma:</w:t>
      </w:r>
    </w:p>
    <w:p>
      <w:pPr>
        <w:pStyle w:val="BodyText"/>
      </w:pPr>
      <w:r>
        <w:t>Failure Mode A: Scalarization of Value</w:t>
      </w:r>
    </w:p>
    <w:p>
      <w:pPr>
        <w:pStyle w:val="BodyText"/>
      </w:pPr>
      <w:r>
        <w:t>Many decision methods collapse plural values into a single metric (expected utility, GDP, cost-benefit net present value). This can enable "moral laundering": severe harms to some unions are permitted when offset by gains elsewhere. Arrow's (1963) impossibility theorem establishes an impossibility result for social-welfare functions under a specific set of aggregation conditions; it does not show that every multidimensional aggregation method is unfair. RippleLogic therefore treats aggregation as a bounded ranking instrument after rights, ruin, and structural-viability qualification, not as a complete theory of justice.</w:t>
      </w:r>
    </w:p>
    <w:p>
      <w:pPr>
        <w:pStyle w:val="BodyText"/>
      </w:pPr>
      <w:r>
        <w:t>Failure Mode B: Tail-Risk Blindness</w:t>
      </w:r>
    </w:p>
    <w:p>
      <w:pPr>
        <w:pStyle w:val="BodyText"/>
      </w:pPr>
      <w:r>
        <w:t>Expected-value reasoning can underweight low-probability, high-severity outcomes when probabilities, severity, irreversibility, dependence, or model uncertainty are poorly represented. Catastrophic outcomes can eliminate future choice; ordinary gains therefore should not be treated as symmetric compensation for poorly bounded ruin exposure (Taleb, 2012). Coherent risk measures such as CVaR improve tail-risk handling within a declared scenario model, but they do not prove that every catastrophic pathway has been identified (Artzner et al., 1999; Rockafellar &amp; Uryasev, 2000). Climate tipping points (Lenton et al., 2008), pandemic risks, and AI misalignment illustrate why a separate tail-risk layer is required (IPCC, 2023; Bostrom, 2014).</w:t>
      </w:r>
    </w:p>
    <w:p>
      <w:pPr>
        <w:pStyle w:val="BodyText"/>
      </w:pPr>
      <w:r>
        <w:t>Failure Mode C: Specification Gaming (Goodhart Vulnerability)</w:t>
      </w:r>
    </w:p>
    <w:p>
      <w:pPr>
        <w:pStyle w:val="BodyText"/>
      </w:pPr>
      <w:r>
        <w:t>When metrics become targets under pressure, they are gamed. Optimization exploits proxies while degrading the intended outcome (Goodhart, 1984; Manheim &amp; Garrabrant, 2018). This appears in institutional governance, where institutions optimize visible indicators while displacing underlying welfare, and in AI reward optimization, where systems exploit proxy objectives under strong optimization pressure (Amodei et al., 2016).</w:t>
      </w:r>
    </w:p>
    <w:p>
      <w:pPr>
        <w:pStyle w:val="BodyText"/>
      </w:pPr>
      <w:r>
        <w:t>RippleLogic treats this not as a peripheral measurement problem but as a structural governance hazard. The framework is designed to resist specification gaming by separating admissibility from ranking. Rights protection is enforced through the Non-Compensatory Rights Constraint over the canonical rights-coverage set, catastrophic downside is separately gated through the Tail-Risk Constraint, and pathological cross-scale degradation is checked through containment before welfare ranking begins. An option therefore cannot compensate for a rights-floor breach, catastrophic tail exposure, or containment failure by achieving a higher downstream welfare score.</w:t>
      </w:r>
    </w:p>
    <w:p>
      <w:pPr>
        <w:pStyle w:val="BodyText"/>
      </w:pPr>
      <w:r>
        <w:t>This architecture matters because Goodhart-type failure thrives where optimization is scalar, fungible, and weakly constrained. RippleLogic instead combines a 49-cell welfare matrix for welfare evaluation with an 8-right sparse rights-coverage system comprising 70 protected right-to-cell mappings, with overlapping welfare cells where more than one right applies. Harms therefore cannot simply be averaged away across unions or dimensions. A localized protected loss remains visible at the mapped protection point where it occurs.</w:t>
      </w:r>
    </w:p>
    <w:p>
      <w:pPr>
        <w:pStyle w:val="BodyText"/>
      </w:pPr>
      <w:r>
        <w:t>Practical Local Scope Scoring does not weaken this defense. PLSS operates only within residual welfare ranking after admissibility has already been secured. It allows practical local attention without relaxing rights floors, tail-risk constraints, or containment requirements. In this sense, RippleLogic treats Goodhart’s Law as a boundary-crossing failure of optimization and responds with layered structural safeguards rather than with a single corrective metric.</w:t>
      </w:r>
    </w:p>
    <w:p>
      <w:pPr>
        <w:pStyle w:val="BodyText"/>
      </w:pPr>
      <w:r>
        <w:t>Coupled Failure</w:t>
      </w:r>
    </w:p>
    <w:p>
      <w:pPr>
        <w:pStyle w:val="BodyText"/>
      </w:pPr>
      <w:r>
        <w:t>These three failure modes interact and amplify each other. Scalarization enables tail-risk blindness (catastrophe can be traded for ordinary benefit), tail-risk blindness creates exploitable blind spots, and specification gaming undermines attempts to "patch" either problem by shifting optimization pressure. Solving one in isolation is insufficient.</w:t>
      </w:r>
    </w:p>
    <w:p>
      <w:pPr>
        <w:pStyle w:val="BodyText"/>
      </w:pPr>
      <w:r>
        <w:t>Boundary-gaming note. Because lexicographic gates reduce scalar Goodharting, adversarial pressure can shift upstream toward boundary definitions, stakeholder inclusion, subgroup mapping, scenario probabilities, threshold governance, evidence sufficiency, and scope declarations; Appendix F.5 specifies the required anti-gaming disclosure and review discipline.</w:t>
      </w:r>
    </w:p>
    <w:p>
      <w:pPr>
        <w:pStyle w:val="BodyText"/>
      </w:pPr>
      <w:r>
        <w:t>Category-gaming note. Because RippleLogic blocks several downstream scalarization failures, adversarial and institutional pressure can shift further upstream toward category choice, definition boundaries, reference structures, and metric formation. A run therefore MUST NOT treat inherited labels, dashboard categories, legal labels, benchmark names, model-generated descriptions, or institutional terms as valid merely because they are available. When a category materially affects rights, tail risk, containment, SGP interpretation, authority, conformance, or public claims, the category must be grounded inside Reality Grounding before the run relies on it.</w:t>
      </w:r>
    </w:p>
    <w:p>
      <w:pPr>
        <w:pStyle w:val="BodyText"/>
      </w:pPr>
      <w:r>
        <w:t>Term-discrimination note. A material term must not borrow authority from a neighboring term. Permission is not admissibility; monitoring is not control; compliance is not correctness; certification is not validity; automation is not autonomy; protection is not authority; selected is not executable; and score is not truth. When term collapse would affect a gate, claim, authority state, or execution state, Term Discrimination is required inside Category Grounding.</w:t>
      </w:r>
    </w:p>
    <w:p>
      <w:pPr>
        <w:pStyle w:val="BodyText"/>
      </w:pPr>
      <w:r>
        <w:t>PLSS clarification (Informative). A further practical failure appears when multi-scope frameworks oscillate between false universality, informal narrowing, and flattened aggregation. False universality treats every decision as though all seven scopes are equally active optimization targets. Informal narrowing quietly drops distant scopes when full evaluation becomes burdensome. Flattened aggregation hides where benefits and harms actually land by blending impacts into a single welfare bucket. RippleLogic v12.0 carries forward the v10.8 PLSS clarification to address this tension through Section 10.2A: admissibility remains full-scope, while residual welfare attention may become scope-proportionate.</w:t>
      </w:r>
    </w:p>
    <w:p>
      <w:pPr>
        <w:pStyle w:val="BodyText"/>
      </w:pPr>
      <w:r>
        <w:t>Reality Grounding clarification (Normative preview). RippleLogic now presents Reality Grounding as the first level of the public method because every later claim depends on the surface actually contacted. The method is not “score first.” It is ground first, protect the floor, bound ruin, contain/verify viability, and only then score residual welfare.</w:t>
      </w:r>
    </w:p>
    <w:p>
      <w:pPr>
        <w:pStyle w:val="BodyText"/>
      </w:pPr>
      <w:r>
        <w:t>RG status rule. Reality Grounding is Level 1 of the public method and a claim-authority precondition. It can force narrowing, escalation, exploratory-marking, or refusal, but it is not an option-rejecting gate; RF/NCRC, TRC, and CSV are the option-rejecting gates, and RLS ranks only what survives them.</w:t>
      </w:r>
    </w:p>
    <w:p>
      <w:pPr>
        <w:pStyle w:val="BodyText"/>
      </w:pPr>
      <w:r>
        <w:t>Computability-vs-realizability clarification (Normative preview). RippleLogic MUST NOT treat computed possibility, model fluency, simulation output, or generated abstraction as decision authority. Computable is not selectable; generated is not grounded; executable is not ethical; realizable is necessary but not sufficient. Reality Grounding decides the claim boundary; RF/NCRC decides rights admissibility; TRC decides ruin exposure; CSV decides whether the pathway can structurally stand; RLS ranks only the remaining selectable set.</w:t>
      </w:r>
    </w:p>
    <w:p>
      <w:pPr>
        <w:pStyle w:val="BodyText"/>
      </w:pPr>
      <w:r>
        <w:t>Source-coupling clarification (Normative preview). RippleLogic also MUST NOT treat downstream operation, inherited procedure, benchmark success, model fluency, compliance status, institutional permission, or interface performance as proof that the claimed capability is coupled to the enabling conditions and boundary conditions that make it possible. Source-Coupling Integrity is a subdiscipline of Reality Grounding and a CSV diagnostic where source weakness creates structural fragility. It does not add a public gate.</w:t>
      </w:r>
    </w:p>
    <w:p>
      <w:pPr>
        <w:pStyle w:val="BodyText"/>
      </w:pPr>
      <w:r>
        <w:t>Physical/causal admissibility clarification (Normative preview). RippleLogic also MUST NOT treat a physically consequence-bearing action as selectable merely because it was computed, simulated, model-generated, policy-approved, certified, monitored, or passed through a governance process. When a candidate action materially depends on physical, biological, ecological, medical, engineering, cyber-physical, infrastructural, or causal constraints, the run MUST include a Physical/Causal Admissibility Evidence Profile at the required tier. The profile belongs inside Reality Grounding and CSV. It does not add a sixth public gate, does not replace domain engineering, and does not make MathGov a proof-generating physics substrate.</w:t>
      </w:r>
    </w:p>
    <w:p>
      <w:pPr>
        <w:pStyle w:val="BodyText"/>
      </w:pPr>
      <w:r>
        <w:t>Physical execution boundary. For consequence-bearing physical systems, governance permission is not physical admissibility. A MathGov run may record approval, documentation, certification, monitoring, or authority, but those records alone do not demonstrate that a robot movement, vehicle maneuver, industrial operation, medical intervention, infrastructure action, or other physical execution is safe inside the relevant physical regime. If PC-AEP is triggered, the run MUST identify a domain-appropriate external warrant such as formal verification, validated simulation, empirical testing, standards-based safety case, certified controller envelope, qualified engineering or clinical warrant, regulator-recognized method, or another explicitly named objective method. Without that warrant inside its validity domain, MathGov may record governance permission only; it MUST NOT claim physical admissibility, safe execution, deployment readiness, or ordinary physical-execution selectability.</w:t>
      </w:r>
    </w:p>
    <w:p>
      <w:pPr>
        <w:pStyle w:val="BodyText"/>
      </w:pPr>
      <w:r>
        <w:t>Computational-source boundary. A generated candidate is not the same as a verified admissible transition. For consequence-bearing physical or causal action, the run SHOULD identify the computational or procedural source that generated the candidate state, such as a model, optimizer, planner, simulator, controller, human procedure, or orchestration layer, and separately identify the domain method or warrant that evaluates admissibility. Candidate generation, output filtering, orchestration, guardrails, monitoring, and authorization MUST NOT be treated as the source of physical-safety evidence. They can route, constrain, document, or refuse a candidate only after the relevant domain evidence surface has been declared.</w:t>
      </w:r>
    </w:p>
    <w:p>
      <w:pPr>
        <w:pStyle w:val="BodyText"/>
      </w:pPr>
      <w:r>
        <w:t>Structural diagnostic placement clarification (Normative preview). UCI and HOI are not public headline cascade stages. They are structural diagnostic instruments. When their evidence is material to cross-scale structural integrity, including coherence loss, hollowing, brittleness, burnout, lock-in, trust erosion, institutional erosion, ecological degradation, or governance-capacity loss, that evidence is consumed inside the CSV Gate. Only residual, non-gate-critical UCI/HOI signal remains available after RLS, and only when the leading options are tied, close, uncertainty-overlapped, or non-decisive.</w:t>
      </w:r>
    </w:p>
    <w:bookmarkEnd w:id="25"/>
    <w:bookmarkStart w:id="26" w:name="Xaf5f96648d309220e6d465362ef760b0af06765"/>
    <w:p>
      <w:pPr>
        <w:pStyle w:val="Heading2"/>
      </w:pPr>
      <w:r>
        <w:t>1.3 Governance-Grade Requirements</w:t>
      </w:r>
    </w:p>
    <w:p>
      <w:pPr>
        <w:pStyle w:val="FirstParagraph"/>
      </w:pPr>
      <w:r>
        <w:t>RippleLogic is designed to satisfy ten non-optional requirements:</w:t>
      </w:r>
    </w:p>
    <w:tbl>
      <w:tblPr>
        <w:tblStyle w:val="Table"/>
        <w:tblW w:type="auto" w:w="0"/>
        <w:jc w:val="center"/>
        <w:tblLook w:firstRow="1" w:lastRow="0" w:firstColumn="0" w:lastColumn="0" w:noHBand="0" w:noVBand="0" w:val="0020"/>
      </w:tblPr>
      <w:tblGrid>
        <w:gridCol w:w="2640"/>
        <w:gridCol w:w="2640"/>
        <w:gridCol w:w="2640"/>
      </w:tblGrid>
      <w:tr>
        <w:trPr>
          <w:tblHeader w:val="on"/>
          <w:tblHeader w:val="true"/>
          <w:cantSplit/>
        </w:trPr>
        <w:tc>
          <w:tcPr>
            <w:vAlign w:val="top"/>
            <w:tcMar>
              <w:top w:w="70" w:type="dxa"/>
              <w:start w:w="80" w:type="dxa"/>
              <w:bottom w:w="70" w:type="dxa"/>
              <w:end w:w="80" w:type="dxa"/>
            </w:tcMar>
            <w:shd w:fill="1F4E78"/>
          </w:tcPr>
          <w:p>
            <w:pPr>
              <w:pStyle w:val="Compact"/>
              <w:jc w:val="left"/>
            </w:pPr>
            <w:r>
              <w:rPr>
                <w:rFonts w:ascii="Arial" w:hAnsi="Arial" w:eastAsia="Arial"/>
                <w:b/>
                <w:bCs/>
                <w:color w:val="FFFFFF"/>
                <w:sz w:val="16"/>
              </w:rPr>
              <w:t>Requirement</w:t>
            </w:r>
          </w:p>
        </w:tc>
        <w:tc>
          <w:tcPr>
            <w:vAlign w:val="top"/>
            <w:tcMar>
              <w:top w:w="70" w:type="dxa"/>
              <w:start w:w="80" w:type="dxa"/>
              <w:bottom w:w="70" w:type="dxa"/>
              <w:end w:w="80" w:type="dxa"/>
            </w:tcMar>
            <w:shd w:fill="1F4E78"/>
          </w:tcPr>
          <w:p>
            <w:pPr>
              <w:pStyle w:val="Compact"/>
              <w:jc w:val="left"/>
            </w:pPr>
            <w:r>
              <w:rPr>
                <w:rFonts w:ascii="Arial" w:hAnsi="Arial" w:eastAsia="Arial"/>
                <w:b/>
                <w:bCs/>
                <w:color w:val="FFFFFF"/>
                <w:sz w:val="16"/>
              </w:rPr>
              <w:t>Description</w:t>
            </w:r>
          </w:p>
        </w:tc>
        <w:tc>
          <w:tcPr>
            <w:vAlign w:val="top"/>
            <w:tcMar>
              <w:top w:w="70" w:type="dxa"/>
              <w:start w:w="80" w:type="dxa"/>
              <w:bottom w:w="70" w:type="dxa"/>
              <w:end w:w="80" w:type="dxa"/>
            </w:tcMar>
            <w:shd w:fill="1F4E78"/>
          </w:tcPr>
          <w:p>
            <w:pPr>
              <w:pStyle w:val="Compact"/>
              <w:jc w:val="left"/>
            </w:pPr>
            <w:r>
              <w:rPr>
                <w:rFonts w:ascii="Arial" w:hAnsi="Arial" w:eastAsia="Arial"/>
                <w:b/>
                <w:bCs/>
                <w:color w:val="FFFFFF"/>
                <w:sz w:val="16"/>
              </w:rPr>
              <w:t>RippleLogic Component</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R0</w:t>
            </w:r>
          </w:p>
        </w:tc>
        <w:tc>
          <w:tcPr>
            <w:vAlign w:val="top"/>
            <w:tcMar>
              <w:top w:w="70" w:type="dxa"/>
              <w:start w:w="80" w:type="dxa"/>
              <w:bottom w:w="70" w:type="dxa"/>
              <w:end w:w="80" w:type="dxa"/>
            </w:tcMar>
            <w:shd w:fill="D9EAF7"/>
          </w:tcPr>
          <w:p>
            <w:pPr>
              <w:pStyle w:val="Compact"/>
              <w:jc w:val="left"/>
            </w:pPr>
            <w:r>
              <w:rPr>
                <w:rFonts w:ascii="Arial" w:hAnsi="Arial" w:eastAsia="Arial"/>
                <w:sz w:val="16"/>
              </w:rPr>
              <w:t>Reality Grounding: material claims must be grounded in a declared reality surface, evidence trace, known unknowns, transition boundary, consequence pathways, and claim boundary.</w:t>
            </w:r>
          </w:p>
        </w:tc>
        <w:tc>
          <w:tcPr>
            <w:vAlign w:val="top"/>
            <w:tcMar>
              <w:top w:w="70" w:type="dxa"/>
              <w:start w:w="80" w:type="dxa"/>
              <w:bottom w:w="70" w:type="dxa"/>
              <w:end w:w="80" w:type="dxa"/>
            </w:tcMar>
            <w:shd w:fill="D9EAF7"/>
          </w:tcPr>
          <w:p>
            <w:pPr>
              <w:pStyle w:val="Compact"/>
              <w:jc w:val="left"/>
            </w:pPr>
            <w:r>
              <w:rPr>
                <w:rFonts w:ascii="Arial" w:hAnsi="Arial" w:eastAsia="Arial"/>
                <w:sz w:val="16"/>
              </w:rPr>
              <w:t>Reality-Surface Grounding (Level 1)</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R0A</w:t>
            </w:r>
          </w:p>
        </w:tc>
        <w:tc>
          <w:tcPr>
            <w:vAlign w:val="top"/>
            <w:tcMar>
              <w:top w:w="70" w:type="dxa"/>
              <w:start w:w="80" w:type="dxa"/>
              <w:bottom w:w="70" w:type="dxa"/>
              <w:end w:w="80" w:type="dxa"/>
            </w:tcMar>
            <w:shd w:fill="FFFFFF"/>
          </w:tcPr>
          <w:p>
            <w:pPr>
              <w:pStyle w:val="Compact"/>
              <w:jc w:val="left"/>
            </w:pPr>
            <w:r>
              <w:rPr>
                <w:rFonts w:ascii="Arial" w:hAnsi="Arial" w:eastAsia="Arial"/>
                <w:sz w:val="16"/>
              </w:rPr>
              <w:t>Term Discrimination: material terms must declare their definition, discriminator, dependency position, non-collapse risks, and refusal condition.</w:t>
            </w:r>
          </w:p>
        </w:tc>
        <w:tc>
          <w:tcPr>
            <w:vAlign w:val="top"/>
            <w:tcMar>
              <w:top w:w="70" w:type="dxa"/>
              <w:start w:w="80" w:type="dxa"/>
              <w:bottom w:w="70" w:type="dxa"/>
              <w:end w:w="80" w:type="dxa"/>
            </w:tcMar>
            <w:shd w:fill="FFFFFF"/>
          </w:tcPr>
          <w:p>
            <w:pPr>
              <w:pStyle w:val="Compact"/>
              <w:jc w:val="left"/>
            </w:pPr>
            <w:r>
              <w:rPr>
                <w:rFonts w:ascii="Arial" w:hAnsi="Arial" w:eastAsia="Arial"/>
                <w:sz w:val="16"/>
              </w:rPr>
              <w:t>Category Grounding inside Reality Grounding</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R0B</w:t>
            </w:r>
          </w:p>
        </w:tc>
        <w:tc>
          <w:tcPr>
            <w:vAlign w:val="top"/>
            <w:tcMar>
              <w:top w:w="70" w:type="dxa"/>
              <w:start w:w="80" w:type="dxa"/>
              <w:bottom w:w="70" w:type="dxa"/>
              <w:end w:w="80" w:type="dxa"/>
            </w:tcMar>
            <w:shd w:fill="D9EAF7"/>
          </w:tcPr>
          <w:p>
            <w:pPr>
              <w:pStyle w:val="Compact"/>
              <w:jc w:val="left"/>
            </w:pPr>
            <w:r>
              <w:rPr>
                <w:rFonts w:ascii="Arial" w:hAnsi="Arial" w:eastAsia="Arial"/>
                <w:sz w:val="16"/>
              </w:rPr>
              <w:t>Source-Coupling Integrity: material capabilities must remain traceable to enabling conditions, boundary conditions, source evidence, inherited assumptions, and claim action.</w:t>
            </w:r>
          </w:p>
        </w:tc>
        <w:tc>
          <w:tcPr>
            <w:vAlign w:val="top"/>
            <w:tcMar>
              <w:top w:w="70" w:type="dxa"/>
              <w:start w:w="80" w:type="dxa"/>
              <w:bottom w:w="70" w:type="dxa"/>
              <w:end w:w="80" w:type="dxa"/>
            </w:tcMar>
            <w:shd w:fill="D9EAF7"/>
          </w:tcPr>
          <w:p>
            <w:pPr>
              <w:pStyle w:val="Compact"/>
              <w:jc w:val="left"/>
            </w:pPr>
            <w:r>
              <w:rPr>
                <w:rFonts w:ascii="Arial" w:hAnsi="Arial" w:eastAsia="Arial"/>
                <w:sz w:val="16"/>
              </w:rPr>
              <w:t>Source-Coupling Review inside Reality Grounding and CSV</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R0C</w:t>
            </w:r>
          </w:p>
        </w:tc>
        <w:tc>
          <w:tcPr>
            <w:vAlign w:val="top"/>
            <w:tcMar>
              <w:top w:w="70" w:type="dxa"/>
              <w:start w:w="80" w:type="dxa"/>
              <w:bottom w:w="70" w:type="dxa"/>
              <w:end w:w="80" w:type="dxa"/>
            </w:tcMar>
            <w:shd w:fill="FFFFFF"/>
          </w:tcPr>
          <w:p>
            <w:pPr>
              <w:pStyle w:val="Compact"/>
              <w:jc w:val="left"/>
            </w:pPr>
            <w:r>
              <w:rPr>
                <w:rFonts w:ascii="Arial" w:hAnsi="Arial" w:eastAsia="Arial"/>
                <w:sz w:val="16"/>
              </w:rPr>
              <w:t>Physical/Causal Admissibility Evidence: material physical or causal actions must declare model basis, validity domain, boundary conditions, uncertainty, failure modes, reversibility, verification or warrant, monitoring/shutoff path, residual unknowns, and claim action.</w:t>
            </w:r>
          </w:p>
        </w:tc>
        <w:tc>
          <w:tcPr>
            <w:vAlign w:val="top"/>
            <w:tcMar>
              <w:top w:w="70" w:type="dxa"/>
              <w:start w:w="80" w:type="dxa"/>
              <w:bottom w:w="70" w:type="dxa"/>
              <w:end w:w="80" w:type="dxa"/>
            </w:tcMar>
            <w:shd w:fill="FFFFFF"/>
          </w:tcPr>
          <w:p>
            <w:pPr>
              <w:pStyle w:val="Compact"/>
              <w:jc w:val="left"/>
            </w:pPr>
            <w:r>
              <w:rPr>
                <w:rFonts w:ascii="Arial" w:hAnsi="Arial" w:eastAsia="Arial"/>
                <w:sz w:val="16"/>
              </w:rPr>
              <w:t>PC-AEP inside Reality Grounding and CSV</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R1</w:t>
            </w:r>
          </w:p>
        </w:tc>
        <w:tc>
          <w:tcPr>
            <w:vAlign w:val="top"/>
            <w:tcMar>
              <w:top w:w="70" w:type="dxa"/>
              <w:start w:w="80" w:type="dxa"/>
              <w:bottom w:w="70" w:type="dxa"/>
              <w:end w:w="80" w:type="dxa"/>
            </w:tcMar>
            <w:shd w:fill="D9EAF7"/>
          </w:tcPr>
          <w:p>
            <w:pPr>
              <w:pStyle w:val="Compact"/>
              <w:jc w:val="left"/>
            </w:pPr>
            <w:r>
              <w:rPr>
                <w:rFonts w:ascii="Arial" w:hAnsi="Arial" w:eastAsia="Arial"/>
                <w:sz w:val="16"/>
              </w:rPr>
              <w:t>Rights-first non-compensability: rights are lexicographic constraints, not weighted terms</w:t>
            </w:r>
          </w:p>
        </w:tc>
        <w:tc>
          <w:tcPr>
            <w:vAlign w:val="top"/>
            <w:tcMar>
              <w:top w:w="70" w:type="dxa"/>
              <w:start w:w="80" w:type="dxa"/>
              <w:bottom w:w="70" w:type="dxa"/>
              <w:end w:w="80" w:type="dxa"/>
            </w:tcMar>
            <w:shd w:fill="D9EAF7"/>
          </w:tcPr>
          <w:p>
            <w:pPr>
              <w:pStyle w:val="Compact"/>
              <w:jc w:val="left"/>
            </w:pPr>
            <w:r>
              <w:rPr>
                <w:rFonts w:ascii="Arial" w:hAnsi="Arial" w:eastAsia="Arial"/>
                <w:sz w:val="16"/>
              </w:rPr>
              <w:t>Rights Floor (RF/NCRC) (Level 2)</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R2</w:t>
            </w:r>
          </w:p>
        </w:tc>
        <w:tc>
          <w:tcPr>
            <w:vAlign w:val="top"/>
            <w:tcMar>
              <w:top w:w="70" w:type="dxa"/>
              <w:start w:w="80" w:type="dxa"/>
              <w:bottom w:w="70" w:type="dxa"/>
              <w:end w:w="80" w:type="dxa"/>
            </w:tcMar>
            <w:shd w:fill="FFFFFF"/>
          </w:tcPr>
          <w:p>
            <w:pPr>
              <w:pStyle w:val="Compact"/>
              <w:jc w:val="left"/>
            </w:pPr>
            <w:r>
              <w:rPr>
                <w:rFonts w:ascii="Arial" w:hAnsi="Arial" w:eastAsia="Arial"/>
                <w:sz w:val="16"/>
              </w:rPr>
              <w:t>Explicit catastrophic risk bounding: tail risk is bounded by TRC using CVaR</w:t>
            </w:r>
          </w:p>
        </w:tc>
        <w:tc>
          <w:tcPr>
            <w:vAlign w:val="top"/>
            <w:tcMar>
              <w:top w:w="70" w:type="dxa"/>
              <w:start w:w="80" w:type="dxa"/>
              <w:bottom w:w="70" w:type="dxa"/>
              <w:end w:w="80" w:type="dxa"/>
            </w:tcMar>
            <w:shd w:fill="FFFFFF"/>
          </w:tcPr>
          <w:p>
            <w:pPr>
              <w:pStyle w:val="Compact"/>
              <w:jc w:val="left"/>
            </w:pPr>
            <w:r>
              <w:rPr>
                <w:rFonts w:ascii="Arial" w:hAnsi="Arial" w:eastAsia="Arial"/>
                <w:sz w:val="16"/>
              </w:rPr>
              <w:t>TRC / Tail-Risk Bound (Level 3)</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R3</w:t>
            </w:r>
          </w:p>
        </w:tc>
        <w:tc>
          <w:tcPr>
            <w:vAlign w:val="top"/>
            <w:tcMar>
              <w:top w:w="70" w:type="dxa"/>
              <w:start w:w="80" w:type="dxa"/>
              <w:bottom w:w="70" w:type="dxa"/>
              <w:end w:w="80" w:type="dxa"/>
            </w:tcMar>
            <w:shd w:fill="D9EAF7"/>
          </w:tcPr>
          <w:p>
            <w:pPr>
              <w:pStyle w:val="Compact"/>
              <w:jc w:val="left"/>
            </w:pPr>
            <w:r>
              <w:rPr>
                <w:rFonts w:ascii="Arial" w:hAnsi="Arial" w:eastAsia="Arial"/>
                <w:sz w:val="16"/>
              </w:rPr>
              <w:t>Residual welfare ranking: multi-scale and multi-dimensional welfare representation after Reality Grounding, RF/NCRC, TRC, and CSV have formed the selectable set.</w:t>
            </w:r>
          </w:p>
        </w:tc>
        <w:tc>
          <w:tcPr>
            <w:vAlign w:val="top"/>
            <w:tcMar>
              <w:top w:w="70" w:type="dxa"/>
              <w:start w:w="80" w:type="dxa"/>
              <w:bottom w:w="70" w:type="dxa"/>
              <w:end w:w="80" w:type="dxa"/>
            </w:tcMar>
            <w:shd w:fill="D9EAF7"/>
          </w:tcPr>
          <w:p>
            <w:pPr>
              <w:pStyle w:val="Compact"/>
              <w:jc w:val="left"/>
            </w:pPr>
            <w:r>
              <w:rPr>
                <w:rFonts w:ascii="Arial" w:hAnsi="Arial" w:eastAsia="Arial"/>
                <w:sz w:val="16"/>
              </w:rPr>
              <w:t>RLS / RippleLogic Score over 7×7 Welfare Matrix (Level 5)</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R4</w:t>
            </w:r>
          </w:p>
        </w:tc>
        <w:tc>
          <w:tcPr>
            <w:vAlign w:val="top"/>
            <w:tcMar>
              <w:top w:w="70" w:type="dxa"/>
              <w:start w:w="80" w:type="dxa"/>
              <w:bottom w:w="70" w:type="dxa"/>
              <w:end w:w="80" w:type="dxa"/>
            </w:tcMar>
            <w:shd w:fill="FFFFFF"/>
          </w:tcPr>
          <w:p>
            <w:pPr>
              <w:pStyle w:val="Compact"/>
              <w:jc w:val="left"/>
            </w:pPr>
            <w:r>
              <w:rPr>
                <w:rFonts w:ascii="Arial" w:hAnsi="Arial" w:eastAsia="Arial"/>
                <w:sz w:val="16"/>
              </w:rPr>
              <w:t>Explicit ripple propagation: interpretable kernel propagation under humility</w:t>
            </w:r>
          </w:p>
        </w:tc>
        <w:tc>
          <w:tcPr>
            <w:vAlign w:val="top"/>
            <w:tcMar>
              <w:top w:w="70" w:type="dxa"/>
              <w:start w:w="80" w:type="dxa"/>
              <w:bottom w:w="70" w:type="dxa"/>
              <w:end w:w="80" w:type="dxa"/>
            </w:tcMar>
            <w:shd w:fill="FFFFFF"/>
          </w:tcPr>
          <w:p>
            <w:pPr>
              <w:pStyle w:val="Compact"/>
              <w:jc w:val="left"/>
            </w:pPr>
            <w:r>
              <w:rPr>
                <w:rFonts w:ascii="Arial" w:hAnsi="Arial" w:eastAsia="Arial"/>
                <w:sz w:val="16"/>
              </w:rPr>
              <w:t>Kernel K</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R5</w:t>
            </w:r>
          </w:p>
        </w:tc>
        <w:tc>
          <w:tcPr>
            <w:vAlign w:val="top"/>
            <w:tcMar>
              <w:top w:w="70" w:type="dxa"/>
              <w:start w:w="80" w:type="dxa"/>
              <w:bottom w:w="70" w:type="dxa"/>
              <w:end w:w="80" w:type="dxa"/>
            </w:tcMar>
            <w:shd w:fill="D9EAF7"/>
          </w:tcPr>
          <w:p>
            <w:pPr>
              <w:pStyle w:val="Compact"/>
              <w:jc w:val="left"/>
            </w:pPr>
            <w:r>
              <w:rPr>
                <w:rFonts w:ascii="Arial" w:hAnsi="Arial" w:eastAsia="Arial"/>
                <w:sz w:val="16"/>
              </w:rPr>
              <w:t>Structural integrity and containment: local gains may not degrade containing unions beyond tolerance; UCI/HOI or equivalent diagnostics are used inside CSV where material.</w:t>
            </w:r>
          </w:p>
        </w:tc>
        <w:tc>
          <w:tcPr>
            <w:vAlign w:val="top"/>
            <w:tcMar>
              <w:top w:w="70" w:type="dxa"/>
              <w:start w:w="80" w:type="dxa"/>
              <w:bottom w:w="70" w:type="dxa"/>
              <w:end w:w="80" w:type="dxa"/>
            </w:tcMar>
            <w:shd w:fill="D9EAF7"/>
          </w:tcPr>
          <w:p>
            <w:pPr>
              <w:pStyle w:val="Compact"/>
              <w:jc w:val="left"/>
            </w:pPr>
            <w:r>
              <w:rPr>
                <w:rFonts w:ascii="Arial" w:hAnsi="Arial" w:eastAsia="Arial"/>
                <w:sz w:val="16"/>
              </w:rPr>
              <w:t>CSV / Containment and Structural Viability (Level 4)</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R6</w:t>
            </w:r>
          </w:p>
        </w:tc>
        <w:tc>
          <w:tcPr>
            <w:vAlign w:val="top"/>
            <w:tcMar>
              <w:top w:w="70" w:type="dxa"/>
              <w:start w:w="80" w:type="dxa"/>
              <w:bottom w:w="70" w:type="dxa"/>
              <w:end w:w="80" w:type="dxa"/>
            </w:tcMar>
            <w:shd w:fill="FFFFFF"/>
          </w:tcPr>
          <w:p>
            <w:pPr>
              <w:pStyle w:val="Compact"/>
              <w:jc w:val="left"/>
            </w:pPr>
            <w:r>
              <w:rPr>
                <w:rFonts w:ascii="Arial" w:hAnsi="Arial" w:eastAsia="Arial"/>
                <w:sz w:val="16"/>
              </w:rPr>
              <w:t>Legitimate weight governance: HDW blends constitutional floors with democratic tuning</w:t>
            </w:r>
          </w:p>
        </w:tc>
        <w:tc>
          <w:tcPr>
            <w:vAlign w:val="top"/>
            <w:tcMar>
              <w:top w:w="70" w:type="dxa"/>
              <w:start w:w="80" w:type="dxa"/>
              <w:bottom w:w="70" w:type="dxa"/>
              <w:end w:w="80" w:type="dxa"/>
            </w:tcMar>
            <w:shd w:fill="FFFFFF"/>
          </w:tcPr>
          <w:p>
            <w:pPr>
              <w:pStyle w:val="Compact"/>
              <w:jc w:val="left"/>
            </w:pPr>
            <w:r>
              <w:rPr>
                <w:rFonts w:ascii="Arial" w:hAnsi="Arial" w:eastAsia="Arial"/>
                <w:sz w:val="16"/>
              </w:rPr>
              <w:t>HDW</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R7</w:t>
            </w:r>
          </w:p>
        </w:tc>
        <w:tc>
          <w:tcPr>
            <w:vAlign w:val="top"/>
            <w:tcMar>
              <w:top w:w="70" w:type="dxa"/>
              <w:start w:w="80" w:type="dxa"/>
              <w:bottom w:w="70" w:type="dxa"/>
              <w:end w:w="80" w:type="dxa"/>
            </w:tcMar>
            <w:shd w:fill="D9EAF7"/>
          </w:tcPr>
          <w:p>
            <w:pPr>
              <w:pStyle w:val="Compact"/>
              <w:jc w:val="left"/>
            </w:pPr>
            <w:r>
              <w:rPr>
                <w:rFonts w:ascii="Arial" w:hAnsi="Arial" w:eastAsia="Arial"/>
                <w:sz w:val="16"/>
              </w:rPr>
              <w:t>Computability plus auditability: PCC and audit flags enable reconstruction, challenge, and learning</w:t>
            </w:r>
          </w:p>
        </w:tc>
        <w:tc>
          <w:tcPr>
            <w:vAlign w:val="top"/>
            <w:tcMar>
              <w:top w:w="70" w:type="dxa"/>
              <w:start w:w="80" w:type="dxa"/>
              <w:bottom w:w="70" w:type="dxa"/>
              <w:end w:w="80" w:type="dxa"/>
            </w:tcMar>
            <w:shd w:fill="D9EAF7"/>
          </w:tcPr>
          <w:p>
            <w:pPr>
              <w:pStyle w:val="Compact"/>
              <w:jc w:val="left"/>
            </w:pPr>
            <w:r>
              <w:rPr>
                <w:rFonts w:ascii="Arial" w:hAnsi="Arial" w:eastAsia="Arial"/>
                <w:sz w:val="16"/>
              </w:rPr>
              <w:t>PCC plus AIL</w:t>
            </w:r>
          </w:p>
        </w:tc>
      </w:tr>
    </w:tbl>
    <w:bookmarkEnd w:id="26"/>
    <w:bookmarkStart w:id="27" w:name="X7e52aed87fffcf7bd9d9a48e330f3842f1be929"/>
    <w:p>
      <w:pPr>
        <w:pStyle w:val="Heading2"/>
      </w:pPr>
      <w:r>
        <w:t>1.4 Paper Contributions</w:t>
      </w:r>
    </w:p>
    <w:p>
      <w:pPr>
        <w:pStyle w:val="FirstParagraph"/>
      </w:pPr>
      <w:r>
        <w:t>This paper provides:</w:t>
      </w:r>
    </w:p>
    <w:p>
      <w:pPr>
        <w:numPr>
          <w:ilvl w:val="0"/>
          <w:numId w:val="1001"/>
        </w:numPr>
      </w:pPr>
      <w:r>
        <w:t>A fork-resistant normative specification for Tier 1-3 implementation.</w:t>
      </w:r>
    </w:p>
    <w:p>
      <w:pPr>
        <w:numPr>
          <w:ilvl w:val="0"/>
          <w:numId w:val="1001"/>
        </w:numPr>
      </w:pPr>
      <w:r>
        <w:t>Canonical equations and constraints sufficient for independent implementation.</w:t>
      </w:r>
    </w:p>
    <w:p>
      <w:pPr>
        <w:numPr>
          <w:ilvl w:val="0"/>
          <w:numId w:val="1001"/>
        </w:numPr>
      </w:pPr>
      <w:r>
        <w:t>Anti-gaming architecture (non-maskable cells, subgroup semantics, scenario governance, audit flags).</w:t>
      </w:r>
    </w:p>
    <w:p>
      <w:pPr>
        <w:numPr>
          <w:ilvl w:val="0"/>
          <w:numId w:val="1001"/>
        </w:numPr>
      </w:pPr>
      <w:r>
        <w:t>A validation and falsification program (Section 17).</w:t>
      </w:r>
    </w:p>
    <w:p>
      <w:pPr>
        <w:numPr>
          <w:ilvl w:val="0"/>
          <w:numId w:val="1001"/>
        </w:numPr>
      </w:pPr>
      <w:r>
        <w:t>A Tier-4 design target appendix (non-claimable until ProofPack).</w:t>
      </w:r>
    </w:p>
    <w:bookmarkEnd w:id="27"/>
    <w:bookmarkEnd w:id="28"/>
    <w:bookmarkStart w:id="48" w:name="Xdabb413858ee978afd41a8c25a7afff91e24894"/>
    <w:p>
      <w:pPr>
        <w:pStyle w:val="Heading1"/>
      </w:pPr>
      <w:r>
        <w:t>SECTION 2: ONTOLOGICAL FOUNDATIONS: UNION-BASED REALITY (UBR)</w:t>
      </w:r>
    </w:p>
    <w:bookmarkStart w:id="29" w:name="X98df607b21c6bd1a6e7a60c22115a1898af78eb"/>
    <w:p>
      <w:pPr>
        <w:pStyle w:val="Heading2"/>
      </w:pPr>
      <w:r>
        <w:t>2.1 Relational Ontology (Descriptive Thesis)</w:t>
      </w:r>
    </w:p>
    <w:p>
      <w:pPr>
        <w:pStyle w:val="FirstParagraph"/>
      </w:pPr>
      <w:r>
        <w:t>UBR thesis: No entity exists in complete isolation for governance-relevant domains; entities are embedded in interacting networks whose structure transmits the consequences of actions.</w:t>
      </w:r>
    </w:p>
    <w:p>
      <w:pPr>
        <w:pStyle w:val="BodyText"/>
      </w:pPr>
      <w:r>
        <w:t>This is a descriptive stance supported by systems science (feedbacks and leverage points), network science (universal structural features of real networks), and Earth-system science (planetary boundary coupling) (Meadows, 2008; Newman, 2010; Steffen et al., 2015; Rockström et al., 2009, 2023). UBR is also consistent with empirical findings in social and cognitive interdependence research showing strong links between human capacities and group structure, including the social brain hypothesis and attachment-based development (Bowlby, 1988; Dunbar, 1992, 1993), and with social contagion dynamics in networks (Christakis &amp; Fowler, 2009).</w:t>
      </w:r>
    </w:p>
    <w:p>
      <w:pPr>
        <w:pStyle w:val="BodyText"/>
      </w:pPr>
      <w:r>
        <w:t>Scope conditions: UBR is most applicable in high-coupling systems with significant externalities, multi-scale feedbacks, and long time horizons. Low-coupling, short-horizon decisions may not require full UBR modeling; RippleLogic tiers allow proportional rigor.</w:t>
      </w:r>
    </w:p>
    <w:bookmarkEnd w:id="29"/>
    <w:bookmarkStart w:id="30" w:name="Xe6bf66c565ae68887c12f998d79c3b162d1a67a"/>
    <w:p>
      <w:pPr>
        <w:pStyle w:val="Heading2"/>
      </w:pPr>
      <w:r>
        <w:t>2.1A Decision-Relevant Reality (Operational)</w:t>
      </w:r>
    </w:p>
    <w:p>
      <w:pPr>
        <w:pStyle w:val="FirstParagraph"/>
      </w:pPr>
      <w:r>
        <w:t>For RippleLogic, reality, for decision-making, is the evaluator-independent field of constrained structures that, under transition, produce consequences. Decision-relevant reality is the portion of that field that materially bears on rights, catastrophic risk, containment, welfare, legitimacy, agency, auditability, or available choices. The reality surface is the portion actually captured, represented, and modeled in the run. RippleLogic does not claim complete metaphysical access to reality; it requires decision claims to make declared, auditable, and challengeable contact with the relevant reality surface. Here, evaluator-independent means independent of the evaluating agent's perception, admission, authority, model, or preference; it does not deny the reality of experience or social facts. Mental states, institutions, norms, laws, markets, reputations, and model outputs may be real vehicles with real effects when they shape welfare, rights, risk, agency, or available choices.</w:t>
      </w:r>
    </w:p>
    <w:p>
      <w:pPr>
        <w:pStyle w:val="BodyText"/>
      </w:pPr>
      <w:r>
        <w:t>Root-science boundary. RippleLogic treats constrained structure under transition producing consequence as the operational substrate of decision-relevant reality. This is not a final metaphysical claim about ultimate being; it is a governance-grade discipline. Physical, biological, ecological, experiential, social, institutional, informational, artificial-system, and formal/logical structures and constraints become relevant when they shape rights, risk, welfare, agency, available choices, legitimacy, or auditability.</w:t>
      </w:r>
    </w:p>
    <w:p>
      <w:pPr>
        <w:pStyle w:val="BodyText"/>
      </w:pPr>
      <w:r>
        <w:t>Structure rule. Structure is the stable relational arrangement of distinguishable differences that persists across a decision-relevant transition window and can carry causal, informational, biological, ecological, social, institutional, artificial-system, or experiential significance. Structure may include physical configuration, network topology, causal architecture, biological organization, ecological interdependence, institutional role structure, information-bearing arrangement, cognitive model, social pattern, or rights-relevant exposure pattern. Structure is not the object alone, not the process alone, and not the model of the arrangement; the model is only a reality surface.</w:t>
      </w:r>
    </w:p>
    <w:p>
      <w:pPr>
        <w:pStyle w:val="BodyText"/>
      </w:pPr>
      <w:r>
        <w:t>Transition rule. Consequences arise when an action, decision, event, policy, intervention, or state-shift enters constrained structure. Transition is the decision-relevant change through which constrained structure produces consequence. A RippleLogic run SHOULD declare the transition or action boundary when it makes material claims about consequence.</w:t>
      </w:r>
    </w:p>
    <w:p>
      <w:pPr>
        <w:pStyle w:val="BodyText"/>
      </w:pPr>
      <w:r>
        <w:t>Constraint-species rule. A factor may bear on the decision through causal influence, such as physical, biological, ecological, social, institutional, informational, or experiential conditions, or through formal/logical constraint, such as coherence, conservation, computability, consistency, or mathematical possibility. Constraint is the genus; causal and formal/logical constraints are species. RippleLogic uses both and MUST NOT conflate them.</w:t>
      </w:r>
    </w:p>
    <w:p>
      <w:pPr>
        <w:pStyle w:val="BodyText"/>
      </w:pPr>
      <w:r>
        <w:t>Constraint-status rule. Constraint is anything that limits, enables, shapes, or channels what can happen. Physical, biological, ecological, informational, experiential, institutional, computational, and formal/logical constraints may be discovered, measured, modeled, or inferred. Rights floors, dignity protections, and non-domination constraints are explicit normative commitments. RippleLogic treats all of these as governance-relevant constraints when they shape admissibility or consequence, but it MUST NOT present chosen normative commitments as if they were discovered physical facts.</w:t>
      </w:r>
    </w:p>
    <w:p>
      <w:pPr>
        <w:pStyle w:val="BodyText"/>
      </w:pPr>
      <w:r>
        <w:t>Consequence rule. Consequence is the observable or inferable change that follows from an action, transition, decision, event, or policy within constrained structure. Consequences may be direct, probabilistic, systemic, delayed, distributed, reversible, irreversible, moral, institutional, epistemic, ecological, or catastrophic. Consequence claims require evidence traces, scenario boundaries, uncertainty disclosure, and monitoring paths proportionate to stakes.</w:t>
      </w:r>
    </w:p>
    <w:p>
      <w:pPr>
        <w:pStyle w:val="BodyText"/>
      </w:pPr>
      <w:r>
        <w:t>Vehicle/content/effect rule. A belief, norm, institution, model, market signal, law, border, reputation system, or algorithmic score may be a real vehicle with real effects even when its content is false. Consensus can therefore be socially real while still failing to track the territory. Agreement does not make a harmful system harmless, and authority does not make an inadmissible decision admissible.</w:t>
      </w:r>
    </w:p>
    <w:p>
      <w:pPr>
        <w:pStyle w:val="BodyText"/>
      </w:pPr>
      <w:r>
        <w:t>Surface/territory rule. Any model captures only a reality surface; the territory exceeds every surface. Absence of evidence is not evidence of absence where the missing condition is rights-relevant, catastrophe-relevant, containment-relevant, or material to the claimed decision state. Omitted material factors must be recorded as unknown, not zero.</w:t>
      </w:r>
    </w:p>
    <w:p>
      <w:pPr>
        <w:pStyle w:val="BodyText"/>
      </w:pPr>
      <w:r>
        <w:t>Contact chain. Territory is the full evaluator-independent field. A reality surface is the portion captured by evidence, measurement, testimony, stakeholder mapping, model, scenario, or audit. Evidence is traceable contact with that surface. A claim boundary is the maximum legitimate strength of a claim given that contact. Refusal, escalation, or claim-narrowing is required when the claim exceeds the surface or when a gate-critical unknown prevents legitimate determination.</w:t>
      </w:r>
    </w:p>
    <w:p>
      <w:pPr>
        <w:pStyle w:val="BodyText"/>
      </w:pPr>
      <w:r>
        <w:t>Consequence under finitude. Because the territory exceeds every modeled surface and audit operates only on the surface, no run can certify that all unmodeled catastrophic or containment-breaking effects are absent. Under RippleLogic's adopted rights and ruin commitments, potentially irreversible or civilization-threatening losses are not treated as ordinary compensable terms inside a welfare average. Non-averagability is therefore a constitutional design requirement of this framework, motivated by finite knowledge and asymmetric ruin, rather than a theorem that every possible ethical system must adopt. TRC and CSV are the operational expression of that commitment.</w:t>
      </w:r>
    </w:p>
    <w:bookmarkEnd w:id="30"/>
    <w:bookmarkStart w:id="31" w:name="Xf7b2393e8bb2964596a345025b37ed15e4c6548"/>
    <w:p>
      <w:pPr>
        <w:pStyle w:val="Heading2"/>
      </w:pPr>
      <w:r>
        <w:t>2.1B Reality Grounding / Reality-Surface Grounding (RSG) (Normative)</w:t>
      </w:r>
    </w:p>
    <w:p>
      <w:pPr>
        <w:pStyle w:val="FirstParagraph"/>
      </w:pPr>
      <w:r>
        <w:t>Purpose. Reality Grounding is the required first level of a RippleLogic run. It prevents decisions from treating authority, fluency, compliance, dashboards, or model outputs as reality. A run may only make claims supported by its declared reality surface and evidence trace.</w:t>
      </w:r>
    </w:p>
    <w:p>
      <w:pPr>
        <w:pStyle w:val="BodyText"/>
      </w:pPr>
      <w:r>
        <w:t>Definition. Reality Grounding is the process of declaring the decision-relevant reality surface, evidence trace, material unknowns, transition boundary, consequence pathways, and claim boundary before rights, risk, CSV, or scoring claims are made.</w:t>
      </w:r>
    </w:p>
    <w:p>
      <w:pPr>
        <w:pStyle w:val="BodyText"/>
      </w:pPr>
      <w:r>
        <w:t>Six required outputs. A valid RealityGroundingRecord SHOULD include: (1) reality_surface; (2) evidence_trace; (3) material_unknowns; (4) transition_or_action_boundary; (5) consequence_pathways; and (6) claim_boundary. Tier 3 and high-stakes Tier 2 runs SHOULD also include monitoring_path, falsification_or_revision_trigger, reviewer_status, and evidence_status by material claim. When source coupling or physical/causal admissibility is material, the RealityGroundingRecord MUST link to the SourceCouplingRecord and/or PhysicalCausalAdmissibilityEvidenceProfile rather than treating governance approval, model fluency, simulation output, or monitoring as reality contact.</w:t>
      </w:r>
    </w:p>
    <w:p>
      <w:pPr>
        <w:pStyle w:val="BodyText"/>
      </w:pPr>
      <w:r>
        <w:t>Status values. RealityGroundingStatus values are GROUNDED, ESTIMATED, ASSUMPTION_BOUND, DECLARED_UNKNOWN, OUT_OF_SCOPE_WITH_RATIONALE, and INSUFFICIENT_GROUNDING. Legacy RealityContactStatus terms remain compatible aliases: EVIDENCE_BACKED maps to GROUNDED and INSUFFICIENT_CONTACT maps to INSUFFICIENT_GROUNDING.</w:t>
      </w:r>
    </w:p>
    <w:p>
      <w:pPr>
        <w:pStyle w:val="BodyText"/>
      </w:pPr>
      <w:r>
        <w:t>RealityGroundingStatus assignment guide. The following table is a required reviewer guide for Tier 3 runs and a recommended guide for Tier 2 runs. It does not replace evidence review, but it constrains status drift.</w:t>
      </w:r>
    </w:p>
    <w:tbl>
      <w:tblPr>
        <w:tblStyle w:val="Table"/>
        <w:tblW w:type="auto" w:w="0"/>
        <w:jc w:val="center"/>
        <w:tblLook w:firstRow="1" w:lastRow="0" w:firstColumn="0" w:lastColumn="0" w:noHBand="0" w:noVBand="0" w:val="0020"/>
      </w:tblPr>
      <w:tblGrid>
        <w:gridCol w:w="3960"/>
        <w:gridCol w:w="3960"/>
      </w:tblGrid>
      <w:tr>
        <w:trPr>
          <w:tblHeader w:val="on"/>
          <w:tblHeader w:val="true"/>
          <w:cantSplit/>
        </w:trPr>
        <w:tc>
          <w:tcPr>
            <w:vAlign w:val="top"/>
            <w:tcMar>
              <w:top w:w="70" w:type="dxa"/>
              <w:start w:w="80" w:type="dxa"/>
              <w:bottom w:w="70" w:type="dxa"/>
              <w:end w:w="80" w:type="dxa"/>
            </w:tcMar>
            <w:shd w:fill="1F4E78"/>
          </w:tcPr>
          <w:p>
            <w:pPr>
              <w:pStyle w:val="Compact"/>
              <w:jc w:val="left"/>
            </w:pPr>
            <w:r>
              <w:rPr>
                <w:rFonts w:ascii="Arial" w:hAnsi="Arial" w:eastAsia="Arial"/>
                <w:b/>
                <w:color w:val="FFFFFF"/>
                <w:sz w:val="16"/>
              </w:rPr>
              <w:t>Evidence condition</w:t>
            </w:r>
          </w:p>
        </w:tc>
        <w:tc>
          <w:tcPr>
            <w:vAlign w:val="top"/>
            <w:tcMar>
              <w:top w:w="70" w:type="dxa"/>
              <w:start w:w="80" w:type="dxa"/>
              <w:bottom w:w="70" w:type="dxa"/>
              <w:end w:w="80" w:type="dxa"/>
            </w:tcMar>
            <w:shd w:fill="1F4E78"/>
          </w:tcPr>
          <w:p>
            <w:pPr>
              <w:pStyle w:val="Compact"/>
              <w:jc w:val="left"/>
            </w:pPr>
            <w:r>
              <w:rPr>
                <w:rFonts w:ascii="Arial" w:hAnsi="Arial" w:eastAsia="Arial"/>
                <w:b/>
                <w:color w:val="FFFFFF"/>
                <w:sz w:val="16"/>
              </w:rPr>
              <w:t>Required or recommended status</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Direct measured evidence, current source trace, reviewer-visible boundary, and no material missing condition</w:t>
            </w:r>
          </w:p>
        </w:tc>
        <w:tc>
          <w:tcPr>
            <w:vAlign w:val="top"/>
            <w:tcMar>
              <w:top w:w="70" w:type="dxa"/>
              <w:start w:w="80" w:type="dxa"/>
              <w:bottom w:w="70" w:type="dxa"/>
              <w:end w:w="80" w:type="dxa"/>
            </w:tcMar>
            <w:shd w:fill="D9EAF7"/>
          </w:tcPr>
          <w:p>
            <w:pPr>
              <w:pStyle w:val="Compact"/>
              <w:jc w:val="left"/>
            </w:pPr>
            <w:r>
              <w:rPr>
                <w:rFonts w:ascii="Arial" w:hAnsi="Arial" w:eastAsia="Arial"/>
                <w:sz w:val="16"/>
              </w:rPr>
              <w:t>GROUNDED</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Modeled, inferred, or extrapolated from accepted sources with stated uncertainty</w:t>
            </w:r>
          </w:p>
        </w:tc>
        <w:tc>
          <w:tcPr>
            <w:vAlign w:val="top"/>
            <w:tcMar>
              <w:top w:w="70" w:type="dxa"/>
              <w:start w:w="80" w:type="dxa"/>
              <w:bottom w:w="70" w:type="dxa"/>
              <w:end w:w="80" w:type="dxa"/>
            </w:tcMar>
            <w:shd w:fill="FFFFFF"/>
          </w:tcPr>
          <w:p>
            <w:pPr>
              <w:pStyle w:val="Compact"/>
              <w:jc w:val="left"/>
            </w:pPr>
            <w:r>
              <w:rPr>
                <w:rFonts w:ascii="Arial" w:hAnsi="Arial" w:eastAsia="Arial"/>
                <w:sz w:val="16"/>
              </w:rPr>
              <w:t>ESTIMATED</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Material result depends on declared assumptions that could change gate status, authority selection, or public claim strength</w:t>
            </w:r>
          </w:p>
        </w:tc>
        <w:tc>
          <w:tcPr>
            <w:vAlign w:val="top"/>
            <w:tcMar>
              <w:top w:w="70" w:type="dxa"/>
              <w:start w:w="80" w:type="dxa"/>
              <w:bottom w:w="70" w:type="dxa"/>
              <w:end w:w="80" w:type="dxa"/>
            </w:tcMar>
            <w:shd w:fill="D9EAF7"/>
          </w:tcPr>
          <w:p>
            <w:pPr>
              <w:pStyle w:val="Compact"/>
              <w:jc w:val="left"/>
            </w:pPr>
            <w:r>
              <w:rPr>
                <w:rFonts w:ascii="Arial" w:hAnsi="Arial" w:eastAsia="Arial"/>
                <w:sz w:val="16"/>
              </w:rPr>
              <w:t>ASSUMPTION_BOUND</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Material fact is unknown and cannot be responsibly inferred from the declared surface</w:t>
            </w:r>
          </w:p>
        </w:tc>
        <w:tc>
          <w:tcPr>
            <w:vAlign w:val="top"/>
            <w:tcMar>
              <w:top w:w="70" w:type="dxa"/>
              <w:start w:w="80" w:type="dxa"/>
              <w:bottom w:w="70" w:type="dxa"/>
              <w:end w:w="80" w:type="dxa"/>
            </w:tcMar>
            <w:shd w:fill="FFFFFF"/>
          </w:tcPr>
          <w:p>
            <w:pPr>
              <w:pStyle w:val="Compact"/>
              <w:jc w:val="left"/>
            </w:pPr>
            <w:r>
              <w:rPr>
                <w:rFonts w:ascii="Arial" w:hAnsi="Arial" w:eastAsia="Arial"/>
                <w:sz w:val="16"/>
              </w:rPr>
              <w:t>DECLARED_UNKNOWN</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A fact is outside the declared decision boundary, and the rationale shows it cannot affect the gate or claim under review</w:t>
            </w:r>
          </w:p>
        </w:tc>
        <w:tc>
          <w:tcPr>
            <w:vAlign w:val="top"/>
            <w:tcMar>
              <w:top w:w="70" w:type="dxa"/>
              <w:start w:w="80" w:type="dxa"/>
              <w:bottom w:w="70" w:type="dxa"/>
              <w:end w:w="80" w:type="dxa"/>
            </w:tcMar>
            <w:shd w:fill="D9EAF7"/>
          </w:tcPr>
          <w:p>
            <w:pPr>
              <w:pStyle w:val="Compact"/>
              <w:jc w:val="left"/>
            </w:pPr>
            <w:r>
              <w:rPr>
                <w:rFonts w:ascii="Arial" w:hAnsi="Arial" w:eastAsia="Arial"/>
                <w:sz w:val="16"/>
              </w:rPr>
              <w:t>OUT_OF_SCOPE_WITH_RATIONALE</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Missing, stale, contested, or unsupported evidence could change NCRC/RF, TRC, CSV, deterministic selection, authority selection, or conformance claim</w:t>
            </w:r>
          </w:p>
        </w:tc>
        <w:tc>
          <w:tcPr>
            <w:vAlign w:val="top"/>
            <w:tcMar>
              <w:top w:w="70" w:type="dxa"/>
              <w:start w:w="80" w:type="dxa"/>
              <w:bottom w:w="70" w:type="dxa"/>
              <w:end w:w="80" w:type="dxa"/>
            </w:tcMar>
            <w:shd w:fill="FFFFFF"/>
          </w:tcPr>
          <w:p>
            <w:pPr>
              <w:pStyle w:val="Compact"/>
              <w:jc w:val="left"/>
            </w:pPr>
            <w:r>
              <w:rPr>
                <w:rFonts w:ascii="Arial" w:hAnsi="Arial" w:eastAsia="Arial"/>
                <w:sz w:val="16"/>
              </w:rPr>
              <w:t>INSUFFICIENT_GROUNDING</w:t>
            </w:r>
          </w:p>
        </w:tc>
      </w:tr>
    </w:tbl>
    <w:p>
      <w:pPr>
        <w:pStyle w:val="BodyText"/>
      </w:pPr>
      <w:r>
        <w:t>Claim-boundary rule. No claim may exceed its reality surface. If the surface is insufficient for a material rights, tail-risk, containment, authority, conformance, or selection claim, the run MUST narrow the claim, collect more evidence, escalate, mark the result exploratory/sensitivity-only, or refuse the stronger claim.</w:t>
      </w:r>
    </w:p>
    <w:p>
      <w:pPr>
        <w:pStyle w:val="BodyText"/>
      </w:pPr>
      <w:r>
        <w:t>Verifiable-admissibility rule. For life-critical systems, weapons, nuclear command and control, planetary-scale cognition, critical infrastructure, medical systems, ecological interventions, or other high-consequence domains, Reality Grounding MUST treat admissibility as verifiable and refusible. No claim may govern, authorize, or rank a consequence-bearing action beyond its declared evidence surface unless the claim can be tested or otherwise warranted, bounded to a validity domain, audited with traceable evidence, corrected through monitoring and revision, and refused when the evidence surface is insufficient. If these conditions cannot be met, the run MUST narrow the claim, collect more evidence, escalate, mark the result exploratory or non-decisive, or refuse the stronger claim.</w:t>
      </w:r>
    </w:p>
    <w:p>
      <w:pPr>
        <w:pStyle w:val="BodyText"/>
      </w:pPr>
      <w:r>
        <w:t>Operational admissibility sequence (Informative). Ground the claim. Protect the right. Bound the ruin. Verify the system. Make exit and correction real. Rank only what survives qualification.</w:t>
      </w:r>
    </w:p>
    <w:p>
      <w:pPr>
        <w:pStyle w:val="BodyText"/>
      </w:pPr>
      <w:r>
        <w:t>Public teaching line. Reality is the territory. A decision sees only a surface. Evidence grounds the surface. Unknowns mark the edge. Claims must stay inside the ground they stand on.</w:t>
      </w:r>
    </w:p>
    <w:bookmarkEnd w:id="31"/>
    <w:bookmarkStart w:id="32" w:name="X5b87e6997e8cbf6f11619bd3e2574830e5eb7c4"/>
    <w:p>
      <w:pPr>
        <w:pStyle w:val="Heading2"/>
      </w:pPr>
      <w:r>
        <w:t>2.1C Category Grounding and Primitive Audit inside Reality Grounding (Normative)</w:t>
      </w:r>
    </w:p>
    <w:p>
      <w:pPr>
        <w:pStyle w:val="FirstParagraph"/>
      </w:pPr>
      <w:r>
        <w:t>Purpose. Category Grounding prevents a RippleLogic run from optimizing, governing, scoring, or authorizing action through categories whose definition, boundary, or reference structure is unexamined, stale, inherited without review, or too weak for the claim being made.</w:t>
      </w:r>
    </w:p>
    <w:p>
      <w:pPr>
        <w:pStyle w:val="BodyText"/>
      </w:pPr>
      <w:r>
        <w:t>Single-group rule. Category Grounding, Primitive Audit, Reference Category Review, and Category-Reality Correspondence Check belong to the Reality Grounding group. They are not new public cascade levels and MUST NOT be represented as separate gates parallel to Rights Floor, Tail-Risk Bound, Containment, or RippleLogic Score. The five-level method remains Reality Grounding -&gt; Rights Floor -&gt; TRC -&gt; CSV -&gt; RLS.</w:t>
      </w:r>
    </w:p>
    <w:p>
      <w:pPr>
        <w:pStyle w:val="BodyText"/>
      </w:pPr>
      <w:r>
        <w:t>Trigger. Category Grounding is REQUIRED when a material category affects rights status, protected-stakeholder inclusion, SGP interpretation, catastrophic-risk modeling, Containment, authority selection, conformance claims, public deployment claims, or any metric that will be optimized under pressure. It is RECOMMENDED for contested, novel, high-uncertainty, cross-domain, or high-prestige terms whose ordinary use may conceal structural ambiguity.</w:t>
      </w:r>
    </w:p>
    <w:p>
      <w:pPr>
        <w:pStyle w:val="BodyText"/>
      </w:pPr>
      <w:r>
        <w:t>Materiality test. A category is material when changing its definition, inclusion boundary, exclusion boundary, or reference structure could change the RealityGroundingStatus, NCRC/Rights Floor result, TRC scenario set, CSV result, SGP interpretation, AuthoritySelectionRecord, conformance claim, public deployment claim, deterministic-selection claim, or optimized metric.</w:t>
      </w:r>
    </w:p>
    <w:p>
      <w:pPr>
        <w:pStyle w:val="BodyText"/>
      </w:pPr>
      <w:r>
        <w:t>Metric-category rule. No metric may exceed the category that defines what it measures. If the category is weak, stale, contested, or insufficiently grounded, the metric may be used only within the resulting claim boundary and must not be laundered into stronger selection, conformance, or public claims.</w:t>
      </w:r>
    </w:p>
    <w:p>
      <w:pPr>
        <w:pStyle w:val="BodyText"/>
      </w:pPr>
      <w:r>
        <w:t>Minimum record. When the Section 2.1C trigger holds for a claim-bearing Tier 3 run, high-stakes Tier 2 run, or public conformance claim, the CategoryGroundingRecord MUST identify; for lower-stakes or exploratory runs it SHOULD identify: material_category; category_role; primitive_basis; definition; category_discriminator; dependency_position; inclusion_boundary; exclusion_boundary; common_confusions; noncollapse_pairs; reference_structure; evidence_surface; source_authority_status; category_maturity_status; falsification_or_revision_trigger; term_refusal_condition; downstream_dependencies; semantic_debt_flag; reviewer_status; and required_claim_action.</w:t>
      </w:r>
    </w:p>
    <w:p>
      <w:pPr>
        <w:pStyle w:val="BodyText"/>
      </w:pPr>
      <w:r>
        <w:t>Term Discrimination extension. For material terms, the record MUST identify the discriminator that separates the term from likely neighboring terms, the dependency position the term occupies in the decision stack, and the condition under which the term must be narrowed, escalated, monitored, treated as sensitivity-only, or refused. A downstream term MUST NOT claim upstream authority: certification is evidence, not validity; permission is authorization, not admissibility; monitoring is observation, not control; automation is execution, not autonomy; protection is moral standing, not governance authority; and a score is a bounded computation, not truth.</w:t>
      </w:r>
    </w:p>
    <w:p>
      <w:pPr>
        <w:pStyle w:val="BodyText"/>
      </w:pPr>
      <w:r>
        <w:t>Claim action. If category grounding or term discrimination is insufficient for a material claim, the run MUST narrow the claim, mark the category ASSUMPTION_BOUND or CONTESTED, collect stronger evidence, escalate for review, restrict use to exploratory/sensitivity-only analysis, or refuse the stronger claim. It MUST NOT launder category uncertainty or term collapse through RLS, PLSS, HDW, PCC completion, authority selection, certification, compliance, monitoring, model fluency, or stakeholder preference.</w:t>
      </w:r>
    </w:p>
    <w:p>
      <w:pPr>
        <w:pStyle w:val="BodyText"/>
      </w:pPr>
      <w:r>
        <w:t>Plain-language rule. Before MathGov scores a thing, it must check whether the thing has been named and bounded correctly enough for the claim being made.</w:t>
      </w:r>
    </w:p>
    <w:bookmarkEnd w:id="32"/>
    <w:bookmarkStart w:id="33" w:name="Xe5db27642ad2c71b29b90f71133d83958ca43d1"/>
    <w:p>
      <w:pPr>
        <w:pStyle w:val="Heading2"/>
      </w:pPr>
      <w:r>
        <w:t>2.1D Source-Coupling Integrity and Generative-Source Traceability inside Reality Grounding (Normative)</w:t>
      </w:r>
    </w:p>
    <w:p>
      <w:pPr>
        <w:pStyle w:val="FirstParagraph"/>
      </w:pPr>
      <w:r>
        <w:t>Purpose. Source-Coupling Integrity prevents a RippleLogic run from treating downstream output, institutional permission, compliance status, model fluency, benchmark performance, inherited procedure, or interface success as proof that a claimed capability is grounded in the enabling conditions and boundary conditions that make it possible.</w:t>
      </w:r>
    </w:p>
    <w:p>
      <w:pPr>
        <w:pStyle w:val="BodyText"/>
      </w:pPr>
      <w:r>
        <w:t>Single-group rule. Source-Coupling Integrity belongs to the Reality Grounding group and is consumed by CSV when source weakness creates structural fragility. It is not a new public cascade level and MUST NOT be represented as a sixth gate. The public method remains RG -&gt; RF -&gt; TRC -&gt; CSV -&gt; RLS.</w:t>
      </w:r>
    </w:p>
    <w:p>
      <w:pPr>
        <w:pStyle w:val="BodyText"/>
      </w:pPr>
      <w:r>
        <w:t>Trigger. Source-Coupling Review is REQUIRED when a material claimed capability, output, model, metric, procedure, institutional standard, inherited category, generated result, or agentic action affects claim authority, RF/NCRC, TRC, CSV, RLS, SGP interpretation, execution authority, or public conformance and any of the following conditions holds: (i) the output is generated, simulated, benchmark-derived, model-inferred, or dashboard-derived; (ii) the run relies on an inherited procedure, standard, dataset, legal category, or compliance label as if it settled the underlying claim; (iii) a capability is extrapolated beyond the conditions in which it was demonstrated; (iv) downstream controls or monitoring compensate for a limitation whose enabling conditions remain unclear; or (v) a challenger plausibly alleges that performance, permission, compliance, or fluency is being substituted for grounded capability.</w:t>
      </w:r>
    </w:p>
    <w:p>
      <w:pPr>
        <w:pStyle w:val="BodyText"/>
      </w:pPr>
      <w:r>
        <w:t>Minimum record. When triggered for a claim-bearing Tier 3 run, high-stakes Tier 2 run, or public conformance claim, the SourceCouplingRecord MUST identify; for lower-stakes or exploratory runs it SHOULD identify: claimed_capability; enabling_conditions; boundary_conditions; source_evidence; generator_output_distinction; inherited_assumptions; downstream_compensations; source_coupling_status; source_debt_flag; falsification_or_recheck_trigger; and required_claim_action.</w:t>
      </w:r>
    </w:p>
    <w:p>
      <w:pPr>
        <w:pStyle w:val="BodyText"/>
      </w:pPr>
      <w:r>
        <w:t>Status values. SourceCouplingStatus values are SOURCE_COUPLED, SOURCE_PARTIAL, SOURCE_INFERRED, SOURCE_UNKNOWN, SOURCE_CONTESTED, SOURCE_DEBT_RISK, and SOURCE_COUPLING_FAILURE. SOURCE_COUPLED may support the declared claim boundary. SOURCE_PARTIAL, SOURCE_INFERRED, SOURCE_UNKNOWN, or SOURCE_CONTESTED requires claim narrowing, assumption-bound use, additional evidence, escalation, or refusal of the stronger claim as appropriate. SOURCE_DEBT_RISK routes the issue to CSV when structural viability depends on the weakly coupled capability. SOURCE_COUPLING_FAILURE means the run is substituting output, fluency, compliance, permission, or inherited procedure for source-coupled evidence and MUST refuse or redesign the stronger claim.</w:t>
      </w:r>
    </w:p>
    <w:p>
      <w:pPr>
        <w:pStyle w:val="BodyText"/>
      </w:pPr>
      <w:r>
        <w:t>Source-debt diagnostic. Source debt is the structural risk created when a run proceeds through compensatory controls while the enabling conditions, boundary conditions, or limits of a claimed capability remain weak, stale, unknown, overextended, or contested. Source debt is different from semantic debt: semantic debt concerns weak terms or categories; source debt concerns weak understanding of the capability-generating conditions themselves.</w:t>
      </w:r>
    </w:p>
    <w:p>
      <w:pPr>
        <w:pStyle w:val="BodyText"/>
      </w:pPr>
      <w:r>
        <w:t>CSV routing. CSV SHOULD consume source-coupling evidence when source weakness creates containment risk, dependency risk, hollowing risk, execution non-viability, reversibility failure, monitoring inadequacy, or hidden structural fragility. A weak SourceCouplingRecord does not automatically fail every option, but it constrains the claim and may require controls, redesign, escalation, or refusal.</w:t>
      </w:r>
    </w:p>
    <w:p>
      <w:pPr>
        <w:pStyle w:val="BodyText"/>
      </w:pPr>
      <w:r>
        <w:t>Agent-output rule. Model fluency, benchmark performance, chain-of-action success, tool-use success, or policy-filter compliance does not establish source-coupled admissibility. Agent outputs remain downstream claims until Reality Grounding and, where material, Source-Coupling Review establish the supported claim boundary.</w:t>
      </w:r>
    </w:p>
    <w:p>
      <w:pPr>
        <w:pStyle w:val="BodyText"/>
      </w:pPr>
      <w:r>
        <w:t>MathGov-native source-coupling note. Source-Coupling Integrity is an internal Reality Grounding and CSV diagnostic for checking whether decision claims remain connected to their declared sources, evidence surfaces, validity domains, and correction pathways. It does not import any external ontology, protected framework, or third-party text.</w:t>
      </w:r>
    </w:p>
    <w:p>
      <w:pPr>
        <w:pStyle w:val="BodyText"/>
      </w:pPr>
      <w:r>
        <w:t>Plain-language rule. Before MathGov trusts a capability, it asks what makes the capability possible, what limits came with it, and whether downstream performance is being mistaken for grounded understanding.</w:t>
      </w:r>
    </w:p>
    <w:bookmarkEnd w:id="33"/>
    <w:bookmarkStart w:id="34" w:name="Xba5d34dacc27ac7687e9f0b949fbdcf65e689d7"/>
    <w:p>
      <w:pPr>
        <w:pStyle w:val="Heading2"/>
      </w:pPr>
      <w:r>
        <w:t>2.1E Physical/Causal Admissibility Evidence Profile inside Reality Grounding and CSV (Normative)</w:t>
      </w:r>
    </w:p>
    <w:p>
      <w:pPr>
        <w:pStyle w:val="FirstParagraph"/>
      </w:pPr>
      <w:r>
        <w:t>Purpose. The Physical/Causal Admissibility Evidence Profile prevents a RippleLogic run from treating generated action candidates, simulations, model outputs, policy approvals, certifications, monitoring plans, compliance labels, or governance permission as proof that a consequence-bearing action is physically or causally admissible before execution.</w:t>
      </w:r>
    </w:p>
    <w:p>
      <w:pPr>
        <w:pStyle w:val="BodyText"/>
      </w:pPr>
      <w:r>
        <w:t>Single-group rule. Physical/Causal Admissibility Evidence belongs to the Reality Grounding group and is consumed by CSV when action execution depends on physical, biological, ecological, medical, engineering, cyber-physical, infrastructural, operational, or causal constraints. It is not a new public cascade level and MUST NOT be represented as a sixth gate. The public method remains RG -&gt; RF -&gt; TRC -&gt; CSV -&gt; RLS.</w:t>
      </w:r>
    </w:p>
    <w:p>
      <w:pPr>
        <w:pStyle w:val="BodyText"/>
      </w:pPr>
      <w:r>
        <w:t>Boundary rule. MathGov does not claim to generate complete physical truth, formal verification, engineering certification, medical clearance, legal approval, or deployment certification. It requires the decision record to declare what domain evidence, model basis, uncertainty, controls, and residual unknowns support the claim boundary. Domain experts, formal methods, empirical tests, simulations, engineering analysis, clinical evidence, safety cases, or other qualified warrants remain necessary when the domain requires them.</w:t>
      </w:r>
    </w:p>
    <w:p>
      <w:pPr>
        <w:pStyle w:val="BodyText"/>
      </w:pPr>
      <w:r>
        <w:t>Trigger. A Physical/Causal Admissibility Evidence Profile is REQUIRED for Tier 3 runs and high-stakes Tier 2 runs when a candidate action materially affects bodily safety, medical treatment, robotics, vehicles, infrastructure, industrial systems, energy systems, environmental intervention, weapons or security systems, autonomous execution, cyber-physical operations, irreversible resource commitment, or any causal pathway where execution can create non-trivial physical, biological, ecological, or operational harm. It is RECOMMENDED for ordinary Tier 2 runs when physical or causal uncertainty could change RF/NCRC, TRC, CSV, authority, or public claim strength.</w:t>
      </w:r>
    </w:p>
    <w:p>
      <w:pPr>
        <w:pStyle w:val="BodyText"/>
      </w:pPr>
      <w:r>
        <w:t>Minimum record. When triggered, the PhysicalCausalAdmissibilityEvidenceProfile MUST identify: candidate_generation_source; physical_or_causal_model_used; validity_domain; boundary_conditions; uncertainty_range; failure_modes; reversibility_or_irreversibility_boundary; verification_simulation_empirical_test_or_expert_warrant; admissibility_warrant_source; monitoring_and_shutoff_path; residual_unknowns; and required_claim_action.</w:t>
      </w:r>
    </w:p>
    <w:p>
      <w:pPr>
        <w:pStyle w:val="BodyText"/>
      </w:pPr>
      <w:r>
        <w:t>Status values. PhysicalCausalAdmissibilityStatus values are PCAE_SUPPORTED, PCAE_ASSUMPTION_BOUND, PCAE_PARTIAL, PCAE_CONTESTED, PCAE_UNKNOWN, PCAE_VERIFICATION_REQUIRED, PCAE_CONTROL_REQUIRED, PCAE_REDESIGN_REQUIRED, and PCAE_REFUSE_OR_BLOCK. PCAE_SUPPORTED may support the declared claim boundary. All weaker statuses constrain the claim and route to evidence collection, controls, redesign, escalation, or refusal according to severity, reversibility, and gate materiality.</w:t>
      </w:r>
    </w:p>
    <w:p>
      <w:pPr>
        <w:pStyle w:val="BodyText"/>
      </w:pPr>
      <w:r>
        <w:t>Claim action. Required claim action MUST be one of: proceed, narrow, control, redesign, escalate, or refuse. Proceed is permitted only within the declared validity domain and only when RF/NCRC, TRC, CSV, authority, and audit requirements are also satisfied. Narrow means the claim or action boundary must be reduced. Control means binding constraints, monitoring, shutoff, rollback, or human oversight are part of the option. Redesign means the candidate is not selectable as specified. Escalate means domain review or stronger evidence is required. Refuse means the requested claim or execution is not admissible under the declared evidence.</w:t>
      </w:r>
    </w:p>
    <w:p>
      <w:pPr>
        <w:pStyle w:val="BodyText"/>
      </w:pPr>
      <w:r>
        <w:t>CSV consumption rule. CSV MUST consume the profile when structural viability depends on physical or causal adequacy, dependency closure, resource closure, operational capacity, reversibility, monitoring adequacy, containment, authority, or host-system integrity. A weak profile does not automatically fail every option, but it prevents strong selectability, conformance, deployment, safety, or alignment claims until the weakness is resolved, controlled, narrowed, escalated, or refused.</w:t>
      </w:r>
    </w:p>
    <w:p>
      <w:pPr>
        <w:pStyle w:val="BodyText"/>
      </w:pPr>
      <w:r>
        <w:t>TRC feedback rule. If the profile identifies a catastrophic, irreversible, lock-in, ruin-path, or severe harm scenario that was not represented in TRC, the run MUST reopen TRC before RLS. CSV may discover TRC-relevant material, but it does not absorb or replace TRC.</w:t>
      </w:r>
    </w:p>
    <w:p>
      <w:pPr>
        <w:pStyle w:val="BodyText"/>
      </w:pPr>
      <w:r>
        <w:t>Plain-language rule. Before MathGov allows action in the physical or causal world, it asks what model of reality is being used, where that model stops, what could fail, whether harm is reversible, what evidence or expert warrant supports the action, how the action will be monitored or stopped, what remains unknown, and whether the right answer is proceed, narrow, control, redesign, escalate, or refuse.</w:t>
      </w:r>
    </w:p>
    <w:bookmarkEnd w:id="34"/>
    <w:bookmarkStart w:id="35" w:name="Xdf7b9fec9db129d3cd49f7edfb33084403a182c"/>
    <w:p>
      <w:pPr>
        <w:pStyle w:val="Heading2"/>
      </w:pPr>
      <w:r>
        <w:t>2.1F Methodological Falsifiability and Dependency Integrity inside Reality Grounding (Normative)</w:t>
      </w:r>
    </w:p>
    <w:p>
      <w:pPr>
        <w:pStyle w:val="FirstParagraph"/>
      </w:pPr>
      <w:r>
        <w:t>Purpose. Methodological Falsifiability and Dependency Integrity prevents RippleLogic runs from treating plausibility, coherence, institutional approval, statistical usefulness, fluent explanation, or after-the-fact model repair as adequate support for a material claim. It strengthens Reality Grounding by requiring material claims to declare how they could be tested, challenged, revised, narrowed, escalated, or refused.</w:t>
      </w:r>
    </w:p>
    <w:p>
      <w:pPr>
        <w:pStyle w:val="BodyText"/>
      </w:pPr>
      <w:r>
        <w:t>Single-group rule. Methodological integrity belongs inside Reality Grounding and is consumed by RF/NCRC, TRC, CSV, RLS, SGP, validation protocols, and public claim review where relevant. It is not a new public cascade level and MUST NOT be represented as a sixth gate. The public method remains RG -&gt; RF -&gt; TRC -&gt; CSV -&gt; RLS.</w:t>
      </w:r>
    </w:p>
    <w:p>
      <w:pPr>
        <w:pStyle w:val="BodyText"/>
      </w:pPr>
      <w:r>
        <w:t>Boundary rule. MathGov does not require every ethical term to be physically falsifiable, and it does not deny probabilistic evidence. Empirical, causal, formal, operational, normative, and metaphysical-horizon claims have different evidence disciplines. Normative commitments must be explicit, coherent, rights-compatible, challengeable, and auditable in application; they MUST NOT be presented as discovered physical facts. Metaphysical horizon language may orient humility and meaning, but it cannot create Tier 1-3 evidence, gate override, legal authority, deployment permission, or empirical validation.</w:t>
      </w:r>
    </w:p>
    <w:p>
      <w:pPr>
        <w:pStyle w:val="BodyText"/>
      </w:pPr>
      <w:r>
        <w:t>Trigger. A MethodologicalIntegrityRecord is REQUIRED for Tier 3 public or institutional claim-bearing runs and high-stakes Tier 2 runs when a material claim could affect RF/NCRC, TRC, CSV, SGP status, authority, deployment, public conformance, deterministic-selection wording, validation status, or the claimed safety/reliability of a physical, causal, social, institutional, or AI-mediated action. It is RECOMMENDED for ordinary Tier 2 runs when assumptions, definitions, or model revisions could change decision standing.</w:t>
      </w:r>
    </w:p>
    <w:p>
      <w:pPr>
        <w:pStyle w:val="BodyText"/>
      </w:pPr>
      <w:r>
        <w:t>Minimum record. When triggered, the MethodologicalIntegrityRecord MUST identify: claim_or_component; claim_type; dependency_position; starting_assumptions; definition_or_operator_used; necessity_or_alternative_check; evidence_or_test_surface; falsification_or_revision_trigger; uncertainty_or_confidence_method; downstream_dependencies; re_derivation_scope_if_changed; reviewer_status; and required_claim_action.</w:t>
      </w:r>
    </w:p>
    <w:p>
      <w:pPr>
        <w:pStyle w:val="BodyText"/>
      </w:pPr>
      <w:r>
        <w:t>Status values. MethodologicalIntegrityStatus values are METHOD_SUPPORTED, ASSUMPTION_BOUND, ALT_EXPLANATION_OPEN, TEST_REQUIRED, CONTESTED, REVISION_REQUIRED, and REFUSE_STRONGER_CLAIM. METHOD_SUPPORTED may support the declared claim boundary. All weaker statuses constrain the claim and route to evidence collection, narrowing, controls, redesign, escalation, or refusal according to stakes and gate materiality.</w:t>
      </w:r>
    </w:p>
    <w:p>
      <w:pPr>
        <w:pStyle w:val="BodyText"/>
      </w:pPr>
      <w:r>
        <w:t>Necessity discipline. Where a run claims that a principle, definition, operator, threshold, or configuration is necessary, it MUST record why plausible alternatives fail or why the claim must be weakened to assumption-bound or model-bound status. If a plausible alternative could explain the same result, the stronger necessity claim is not permitted.</w:t>
      </w:r>
    </w:p>
    <w:p>
      <w:pPr>
        <w:pStyle w:val="BodyText"/>
      </w:pPr>
      <w:r>
        <w:t>Failure and re-derivation rule. If a starting assumption, definition, operator, threshold, model basis, or predicted effect fails a declared test or audit surface, the run MUST NOT silently tune the model and preserve the same claim. It must reopen the affected dependency chain, state the re-derivation scope, version the change, and rerun every downstream gate or calculation materially dependent on the changed element.</w:t>
      </w:r>
    </w:p>
    <w:p>
      <w:pPr>
        <w:pStyle w:val="BodyText"/>
      </w:pPr>
      <w:r>
        <w:t>Plain-language rule. Before MathGov trusts a claim, it asks: what kind of claim is this, what does it depend on, what would prove it wrong or force revision, what alternatives could explain the result, what changes downstream if it fails, and should the claim proceed, narrow, control, redesign, escalate, or refuse?</w:t>
      </w:r>
    </w:p>
    <w:bookmarkEnd w:id="35"/>
    <w:bookmarkStart w:id="36" w:name="X2d5c42c38123bb38fa35a72ea0090fb10a62793"/>
    <w:p>
      <w:pPr>
        <w:pStyle w:val="Heading2"/>
      </w:pPr>
      <w:r>
        <w:t>2.2 Unions as the Unit of Analysis (Operational Definition)</w:t>
      </w:r>
    </w:p>
    <w:p>
      <w:pPr>
        <w:pStyle w:val="FirstParagraph"/>
      </w:pPr>
      <w:r>
        <w:t>Definition: A union is a bounded pattern of interdependence: a set of entities whose internal interactions are sufficiently strong, frequent, or consequential that their welfare should be evaluated together for the decision context.</w:t>
      </w:r>
    </w:p>
    <w:p>
      <w:pPr>
        <w:pStyle w:val="BodyText"/>
      </w:pPr>
      <w:r>
        <w:t>In this specification, the operational objects scored and indexed by u are Union Scopes (Scopes), meaning unions used as stable scopes of aggregation and accountability.</w:t>
      </w:r>
    </w:p>
    <w:p>
      <w:pPr>
        <w:pStyle w:val="BodyText"/>
      </w:pPr>
      <w:r>
        <w:t>Unions are analytical constructs for causal and welfare accounting; they are not metaphysical substances. The union concept operationalizes the systems-theoretic observation that complex systems exhibit hierarchical modularity (Simon, 1962).</w:t>
      </w:r>
    </w:p>
    <w:bookmarkEnd w:id="36"/>
    <w:bookmarkStart w:id="37" w:name="X48af74ae339e0670214922af239cc97e9407bfe"/>
    <w:p>
      <w:pPr>
        <w:pStyle w:val="Heading2"/>
      </w:pPr>
      <w:r>
        <w:t>2.2A Union Scopes and Instance Modeling (Normative)</w:t>
      </w:r>
    </w:p>
    <w:p>
      <w:pPr>
        <w:pStyle w:val="FirstParagraph"/>
      </w:pPr>
      <w:r>
        <w:t>Terminology clarification. Introduced in RippleLogic v12.0 and carried forward in v12.2, the canonical term Union Scope refers to the objects indexed by u∈{1,…,7} in the welfare matrix. For readability and reduced ambiguity, Scope is the default shorthand in technical and implementation contexts. The term Union remains an allowed legacy shorthand in narrative contexts and lineage documents. This clarification SHALL NOT change the mathematical meaning of u or any cascade semantics. Machine-readable surfaces SHOULD prefer UnionScope / UnionScopes as the canonical identifier family; Union remains a permitted human-readable alias in prose and UI text.</w:t>
      </w:r>
    </w:p>
    <w:p>
      <w:pPr>
        <w:pStyle w:val="BodyText"/>
      </w:pPr>
      <w:r>
        <w:t>Purpose. Union Scopes are designed to be minimal but covering, a small stable set of aggregation scopes that prevents systematic stakeholder erasure while supporting auditability and comparability across decisions.</w:t>
      </w:r>
    </w:p>
    <w:bookmarkEnd w:id="37"/>
    <w:bookmarkStart w:id="38" w:name="X1409499d61c4021c954a6a89fff4683260d4395"/>
    <w:p>
      <w:pPr>
        <w:pStyle w:val="Heading2"/>
      </w:pPr>
      <w:r>
        <w:t>2.2A.1 Definitions (Normative)</w:t>
      </w:r>
    </w:p>
    <w:p>
      <w:pPr>
        <w:pStyle w:val="FirstParagraph"/>
      </w:pPr>
      <w:r>
        <w:t>Union Scope (Scope). A Union Scope is a stable scope of impact aggregation used to evaluate decision consequences across layered and intersecting analytical scopes. Union Scopes are the rows of the canonical 7×7 welfare matrix.</w:t>
      </w:r>
    </w:p>
    <w:p>
      <w:pPr>
        <w:pStyle w:val="BodyText"/>
      </w:pPr>
      <w:r>
        <w:t>Stakeholder. A stakeholder is any entity that is plausibly materially affected by a candidate option a, including entities affected through externalities, indirect pathways, or future propagation within the declared decision horizon.</w:t>
      </w:r>
    </w:p>
    <w:p>
      <w:pPr>
        <w:pStyle w:val="BodyText"/>
      </w:pPr>
      <w:r>
        <w:t>Instance. An instance is a stakeholder bound to the decision context as stakeholder-in-role-in-context, meaning a stakeholder with a declared role and exposure pathway relevant to the decision. Examples include: employee, patient, local resident, watershed ecology unit, cross-border supply-chain worker, digital agent affected by policy. Instances are the primary unit of stakeholder logging for auditability, Union Scopes are the primary unit of aggregation for comparison.</w:t>
      </w:r>
    </w:p>
    <w:p>
      <w:pPr>
        <w:pStyle w:val="BodyText"/>
      </w:pPr>
      <w:r>
        <w:t>Structural anchor. Scopes × Dimensions form the welfare matrix. Instances feed the cells.</w:t>
      </w:r>
    </w:p>
    <w:p>
      <w:pPr>
        <w:pStyle w:val="BodyText"/>
      </w:pPr>
      <w:r>
        <w:t>Local Stakeholder Set (LSS). The LSS is the context-specific set of stakeholder instances materially affected by a decision. It is the upstream representation object produced by stakeholder discovery and instance-to-scope mapping, and it is the justified input used to support any PLSS prominence declaration.</w:t>
      </w:r>
    </w:p>
    <w:bookmarkEnd w:id="38"/>
    <w:bookmarkStart w:id="39" w:name="X21b52a6874c6b0beb0b8b2985938f3e6ff4200e"/>
    <w:p>
      <w:pPr>
        <w:pStyle w:val="Heading2"/>
      </w:pPr>
      <w:r>
        <w:t>2.2A.2 Stakeholder Discovery Protocol (SDP) (Tier-linked; Normative)</w:t>
      </w:r>
    </w:p>
    <w:p>
      <w:pPr>
        <w:pStyle w:val="FirstParagraph"/>
      </w:pPr>
      <w:r>
        <w:t>Tier 3: REQUIRED. Tier 2: RECOMMENDED by default and REQUIRED when any SDP trigger holds. When no SDP trigger holds, a Tier 2 run MAY satisfy this requirement with a lightweight stakeholder note stating that no trigger held and why, or MAY voluntarily include a full SDP record. SDP is a short, explicit process for discovering omission-likely stakeholders so discovery is not optional by taste.</w:t>
      </w:r>
    </w:p>
    <w:p>
      <w:pPr>
        <w:pStyle w:val="BodyText"/>
      </w:pPr>
      <w:r>
        <w:t>Minimum SDP steps (recorded in PCC): (i) define decision boundary and horizon, (ii) map the causal footprint and externality pathways, (iii) scan for rights exposure and catastrophe relevance, (iv) draft the Local Stakeholder Set (LSS) as the stakeholder instance set, (v) map instances to one or more Union Scopes with rationale, (vi) record unknowns and declared blind spots, including escalation triggers, (vii) provide a challenger opportunity for missing instances at Tier 3.</w:t>
      </w:r>
    </w:p>
    <w:p>
      <w:pPr>
        <w:pStyle w:val="BodyText"/>
      </w:pPr>
      <w:r>
        <w:t>SDP triggers (Tier 2 REQUIRED): rights-covered cells plausibly affected, or TRC triggered/catastrophe relevance plausible, or externalities beyond decision owner plausible (cross-community/organization/polity, biosphere pathway), or irreversibility/lock-in plausible, or credible challenger claims omitted stakeholder class or scope, or information/procedure/enforcement/ecology pathways plausible.</w:t>
      </w:r>
    </w:p>
    <w:bookmarkEnd w:id="39"/>
    <w:bookmarkStart w:id="40" w:name="Xf3b0b04f7f12c4ebe221f7f9e6f224a4aa0a1a9"/>
    <w:p>
      <w:pPr>
        <w:pStyle w:val="Heading2"/>
      </w:pPr>
      <w:r>
        <w:t>2.2A.3 Instance-to-Scope Mapping Requirement (Tier-linked; Normative)</w:t>
      </w:r>
    </w:p>
    <w:p>
      <w:pPr>
        <w:pStyle w:val="FirstParagraph"/>
      </w:pPr>
      <w:r>
        <w:t>Tier 3 requirement. A Tier 3 run MUST explicitly log a set of stakeholder instances and map each instance to one or more Union Scopes, with a rationale sufficient for an independent reviewer to understand why the instance belongs in the mapped scope(s). This mapping SHALL be recorded in the PCC (Appendix H).</w:t>
      </w:r>
    </w:p>
    <w:p>
      <w:pPr>
        <w:pStyle w:val="BodyText"/>
      </w:pPr>
      <w:r>
        <w:t>Tier 2 requirement under triggers. When any SDP trigger holds, Tier 2 runs MUST log and map stakeholder instances for the affected pathways and rights-relevant domains. Otherwise, Tier 2 runs SHOULD still log and map instances whenever the decision plausibly affects stakeholders beyond the decision owner.</w:t>
      </w:r>
    </w:p>
    <w:p>
      <w:pPr>
        <w:pStyle w:val="BodyText"/>
      </w:pPr>
      <w:r>
        <w:t>Minimum mapping rule. Every logged instance MUST map to at least one Union Scope. If an affected stakeholder cannot be mapped, the PCC MUST record this as an explicit coverage limitation, not as neutrality, including: (i) why mapping was infeasible, (ii) what scope(s) might plausibly apply, and (iii) what risk this creates.</w:t>
      </w:r>
    </w:p>
    <w:bookmarkEnd w:id="40"/>
    <w:bookmarkStart w:id="41" w:name="X855ad68a1371dc87a1f27fbe09e4e6be1e99341"/>
    <w:p>
      <w:pPr>
        <w:pStyle w:val="Heading2"/>
      </w:pPr>
      <w:r>
        <w:t>2.2A.4 Multi-scope Mapping and Redundancy Handling (Normative)</w:t>
      </w:r>
    </w:p>
    <w:p>
      <w:pPr>
        <w:pStyle w:val="FirstParagraph"/>
      </w:pPr>
      <w:r>
        <w:t>Multi-scope mapping is permitted. An instance MAY map to multiple Union Scopes where the decision plausibly affects that instance across multiple nested scales.</w:t>
      </w:r>
    </w:p>
    <w:p>
      <w:pPr>
        <w:pStyle w:val="BodyText"/>
      </w:pPr>
      <w:r>
        <w:t>No silent duplication. Implementations MUST NOT silently log the same underlying effect multiple times across scopes in a way that inflates welfare scoring without disclosure. If a modeling choice results in an effect being represented across multiple scopes, the PCC MUST disclose the rationale using one declared redundancy-handling method for the affected effect-class: (i) EMERGENT_SCALE_JUSTIFICATION, counted across multiple scopes because the effect is meaningfully different at different scales, (ii) DEDUPLICATION, logged once at a declared primary scope with cross-scope effects represented via ripple propagation and structural metrics, or (iii) ALLOCATION (optional), effect split across scopes to prevent redundant counting.</w:t>
      </w:r>
    </w:p>
    <w:p>
      <w:pPr>
        <w:pStyle w:val="BodyText"/>
      </w:pPr>
      <w:r>
        <w:t>Effect-token (allocation only). An effect-token is a redundant conserved causal unit used only to prevent redundant counting across scopes, for example the same dollars, the same one-time transfer, the same compliance cost. If ALLOCATION is used for an effect-token, the PCC MUST declare the token, the allocation method, the coefficients used, and the scope list. Allocation coefficients for a single effect-token MUST satisfy Σ_u α_u ≤ 1 for that token, summed over the scopes listed for that token.</w:t>
      </w:r>
    </w:p>
    <w:p>
      <w:pPr>
        <w:pStyle w:val="BodyText"/>
      </w:pPr>
      <w:r>
        <w:t>No allocation laundering. ALLOCATION is permitted only for declared redundant conserved-unit effect-tokens. Distinct welfare harms, for example health harm versus ecosystem degradation, MUST be logged as distinct impact instances and SHALL NOT be allocated away.</w:t>
      </w:r>
    </w:p>
    <w:p>
      <w:pPr>
        <w:pStyle w:val="BodyText"/>
      </w:pPr>
      <w:r>
        <w:t>Allocation guard. Allocation SHALL NOT be used to suppress or mask adverse impacts in any rights-covered or catastrophe-relevant evaluation. Redundancy handling cannot weaken NCRC, TRC, or CSV computations.</w:t>
      </w:r>
    </w:p>
    <w:bookmarkEnd w:id="41"/>
    <w:bookmarkStart w:id="42" w:name="X88b40f056db3d4210accafd9c80aa0945b46384"/>
    <w:p>
      <w:pPr>
        <w:pStyle w:val="Heading2"/>
      </w:pPr>
      <w:r>
        <w:t>2.2A.5 Reduced-scope Mode (Normative)</w:t>
      </w:r>
    </w:p>
    <w:p>
      <w:pPr>
        <w:pStyle w:val="FirstParagraph"/>
      </w:pPr>
      <w:r>
        <w:t>Reduced-scope mode allows an evaluator to run with fewer than 7 scopes for mapping or reporting depth, provided omissions are explicitly disclosed. Reduced-scope mode SHALL NOT remove any non-maskable cells or required scope rows from NCRC, TRC, or CSV computation.</w:t>
      </w:r>
    </w:p>
    <w:p>
      <w:pPr>
        <w:pStyle w:val="BodyText"/>
      </w:pPr>
      <w:r>
        <w:t>Reduced-scope mode is a reporting or mapping-depth choice only. Admissibility computation MUST still evaluate all rights coverage sets C_r and catastrophe cell set C_cat as declared.</w:t>
      </w:r>
    </w:p>
    <w:p>
      <w:pPr>
        <w:pStyle w:val="BodyText"/>
      </w:pPr>
      <w:r>
        <w:t>If reduced-scope mode is used, the PCC MUST include a Scope Coverage Declaration (Appendix H) listing active scopes, omitted scopes, omission rationales, a blind-spot statement, and escalation triggers that would force scope expansion in the next comparable run.</w:t>
      </w:r>
    </w:p>
    <w:p>
      <w:pPr>
        <w:pStyle w:val="BodyText"/>
      </w:pPr>
      <w:r>
        <w:t>Common misread (informative). Misread: “Unions limit who matters.” Correction: “Union Scopes prevent impacts from disappearing. Any stakeholder can be represented as an instance mapped into relevant scope(s), and omissions must be disclosed as coverage risk.”</w:t>
      </w:r>
    </w:p>
    <w:bookmarkEnd w:id="42"/>
    <w:bookmarkStart w:id="43" w:name="Xbc8fc2bb294c20f454120796998abdb4f875446"/>
    <w:p>
      <w:pPr>
        <w:pStyle w:val="Heading2"/>
      </w:pPr>
      <w:r>
        <w:t>2.3 The Union Stack (Seven Operational Unions)</w:t>
      </w:r>
    </w:p>
    <w:tbl>
      <w:tblPr>
        <w:tblStyle w:val="Table"/>
        <w:tblW w:type="auto" w:w="0"/>
        <w:jc w:val="center"/>
        <w:tblLook w:firstRow="1" w:lastRow="0" w:firstColumn="0" w:lastColumn="0" w:noHBand="0" w:noVBand="0" w:val="0020"/>
      </w:tblPr>
      <w:tblGrid>
        <w:gridCol w:w="1980"/>
        <w:gridCol w:w="1980"/>
        <w:gridCol w:w="1980"/>
        <w:gridCol w:w="1980"/>
      </w:tblGrid>
      <w:tr>
        <w:trPr>
          <w:tblHeader w:val="on"/>
          <w:tblHeader w:val="true"/>
          <w:cantSplit/>
        </w:trPr>
        <w:tc>
          <w:tcPr>
            <w:vAlign w:val="top"/>
            <w:tcMar>
              <w:top w:w="70" w:type="dxa"/>
              <w:start w:w="80" w:type="dxa"/>
              <w:bottom w:w="70" w:type="dxa"/>
              <w:end w:w="80" w:type="dxa"/>
            </w:tcMar>
            <w:shd w:fill="1F4E78"/>
          </w:tcPr>
          <w:p>
            <w:pPr>
              <w:pStyle w:val="Compact"/>
              <w:jc w:val="left"/>
            </w:pPr>
            <w:r>
              <w:rPr>
                <w:rFonts w:ascii="Arial" w:hAnsi="Arial" w:eastAsia="Arial"/>
                <w:b/>
                <w:bCs/>
                <w:color w:val="FFFFFF"/>
                <w:sz w:val="16"/>
              </w:rPr>
              <w:t>Union</w:t>
            </w:r>
          </w:p>
        </w:tc>
        <w:tc>
          <w:tcPr>
            <w:vAlign w:val="top"/>
            <w:tcMar>
              <w:top w:w="70" w:type="dxa"/>
              <w:start w:w="80" w:type="dxa"/>
              <w:bottom w:w="70" w:type="dxa"/>
              <w:end w:w="80" w:type="dxa"/>
            </w:tcMar>
            <w:shd w:fill="1F4E78"/>
          </w:tcPr>
          <w:p>
            <w:pPr>
              <w:pStyle w:val="Compact"/>
              <w:jc w:val="left"/>
            </w:pPr>
            <w:r>
              <w:rPr>
                <w:rFonts w:ascii="Arial" w:hAnsi="Arial" w:eastAsia="Arial"/>
                <w:b/>
                <w:bCs/>
                <w:color w:val="FFFFFF"/>
                <w:sz w:val="16"/>
              </w:rPr>
              <w:t>Name</w:t>
            </w:r>
          </w:p>
        </w:tc>
        <w:tc>
          <w:tcPr>
            <w:vAlign w:val="top"/>
            <w:tcMar>
              <w:top w:w="70" w:type="dxa"/>
              <w:start w:w="80" w:type="dxa"/>
              <w:bottom w:w="70" w:type="dxa"/>
              <w:end w:w="80" w:type="dxa"/>
            </w:tcMar>
            <w:shd w:fill="1F4E78"/>
          </w:tcPr>
          <w:p>
            <w:pPr>
              <w:pStyle w:val="Compact"/>
              <w:jc w:val="left"/>
            </w:pPr>
            <w:r>
              <w:rPr>
                <w:rFonts w:ascii="Arial" w:hAnsi="Arial" w:eastAsia="Arial"/>
                <w:b/>
                <w:bCs/>
                <w:color w:val="FFFFFF"/>
                <w:sz w:val="16"/>
              </w:rPr>
              <w:t>Definition</w:t>
            </w:r>
          </w:p>
        </w:tc>
        <w:tc>
          <w:tcPr>
            <w:vAlign w:val="top"/>
            <w:tcMar>
              <w:top w:w="70" w:type="dxa"/>
              <w:start w:w="80" w:type="dxa"/>
              <w:bottom w:w="70" w:type="dxa"/>
              <w:end w:w="80" w:type="dxa"/>
            </w:tcMar>
            <w:shd w:fill="1F4E78"/>
          </w:tcPr>
          <w:p>
            <w:pPr>
              <w:pStyle w:val="Compact"/>
              <w:jc w:val="left"/>
            </w:pPr>
            <w:r>
              <w:rPr>
                <w:rFonts w:ascii="Arial" w:hAnsi="Arial" w:eastAsia="Arial"/>
                <w:b/>
                <w:bCs/>
                <w:color w:val="FFFFFF"/>
                <w:sz w:val="16"/>
              </w:rPr>
              <w:t>Characteristic Timescale</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U₁</w:t>
            </w:r>
          </w:p>
        </w:tc>
        <w:tc>
          <w:tcPr>
            <w:vAlign w:val="top"/>
            <w:tcMar>
              <w:top w:w="70" w:type="dxa"/>
              <w:start w:w="80" w:type="dxa"/>
              <w:bottom w:w="70" w:type="dxa"/>
              <w:end w:w="80" w:type="dxa"/>
            </w:tcMar>
            <w:shd w:fill="D9EAF7"/>
          </w:tcPr>
          <w:p>
            <w:pPr>
              <w:pStyle w:val="Compact"/>
              <w:jc w:val="left"/>
            </w:pPr>
            <w:r>
              <w:rPr>
                <w:rFonts w:ascii="Arial" w:hAnsi="Arial" w:eastAsia="Arial"/>
                <w:sz w:val="16"/>
              </w:rPr>
              <w:t>Self</w:t>
            </w:r>
          </w:p>
        </w:tc>
        <w:tc>
          <w:tcPr>
            <w:vAlign w:val="top"/>
            <w:tcMar>
              <w:top w:w="70" w:type="dxa"/>
              <w:start w:w="80" w:type="dxa"/>
              <w:bottom w:w="70" w:type="dxa"/>
              <w:end w:w="80" w:type="dxa"/>
            </w:tcMar>
            <w:shd w:fill="D9EAF7"/>
          </w:tcPr>
          <w:p>
            <w:pPr>
              <w:pStyle w:val="Compact"/>
              <w:jc w:val="left"/>
            </w:pPr>
            <w:r>
              <w:rPr>
                <w:rFonts w:ascii="Arial" w:hAnsi="Arial" w:eastAsia="Arial"/>
                <w:sz w:val="16"/>
              </w:rPr>
              <w:t>The individual locus of experience and agency</w:t>
            </w:r>
          </w:p>
        </w:tc>
        <w:tc>
          <w:tcPr>
            <w:vAlign w:val="top"/>
            <w:tcMar>
              <w:top w:w="70" w:type="dxa"/>
              <w:start w:w="80" w:type="dxa"/>
              <w:bottom w:w="70" w:type="dxa"/>
              <w:end w:w="80" w:type="dxa"/>
            </w:tcMar>
            <w:shd w:fill="D9EAF7"/>
          </w:tcPr>
          <w:p>
            <w:pPr>
              <w:pStyle w:val="Compact"/>
              <w:jc w:val="left"/>
            </w:pPr>
            <w:r>
              <w:rPr>
                <w:rFonts w:ascii="Arial" w:hAnsi="Arial" w:eastAsia="Arial"/>
                <w:sz w:val="16"/>
              </w:rPr>
              <w:t>Seconds to Decades</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U₂</w:t>
            </w:r>
          </w:p>
        </w:tc>
        <w:tc>
          <w:tcPr>
            <w:vAlign w:val="top"/>
            <w:tcMar>
              <w:top w:w="70" w:type="dxa"/>
              <w:start w:w="80" w:type="dxa"/>
              <w:bottom w:w="70" w:type="dxa"/>
              <w:end w:w="80" w:type="dxa"/>
            </w:tcMar>
            <w:shd w:fill="FFFFFF"/>
          </w:tcPr>
          <w:p>
            <w:pPr>
              <w:pStyle w:val="Compact"/>
              <w:jc w:val="left"/>
            </w:pPr>
            <w:r>
              <w:rPr>
                <w:rFonts w:ascii="Arial" w:hAnsi="Arial" w:eastAsia="Arial"/>
                <w:sz w:val="16"/>
              </w:rPr>
              <w:t>Household</w:t>
            </w:r>
          </w:p>
        </w:tc>
        <w:tc>
          <w:tcPr>
            <w:vAlign w:val="top"/>
            <w:tcMar>
              <w:top w:w="70" w:type="dxa"/>
              <w:start w:w="80" w:type="dxa"/>
              <w:bottom w:w="70" w:type="dxa"/>
              <w:end w:w="80" w:type="dxa"/>
            </w:tcMar>
            <w:shd w:fill="FFFFFF"/>
          </w:tcPr>
          <w:p>
            <w:pPr>
              <w:pStyle w:val="Compact"/>
              <w:jc w:val="left"/>
            </w:pPr>
            <w:r>
              <w:rPr>
                <w:rFonts w:ascii="Arial" w:hAnsi="Arial" w:eastAsia="Arial"/>
                <w:sz w:val="16"/>
              </w:rPr>
              <w:t>Primary cohabitation and resource pooling unit (Becker, 1981)</w:t>
            </w:r>
          </w:p>
        </w:tc>
        <w:tc>
          <w:tcPr>
            <w:vAlign w:val="top"/>
            <w:tcMar>
              <w:top w:w="70" w:type="dxa"/>
              <w:start w:w="80" w:type="dxa"/>
              <w:bottom w:w="70" w:type="dxa"/>
              <w:end w:w="80" w:type="dxa"/>
            </w:tcMar>
            <w:shd w:fill="FFFFFF"/>
          </w:tcPr>
          <w:p>
            <w:pPr>
              <w:pStyle w:val="Compact"/>
              <w:jc w:val="left"/>
            </w:pPr>
            <w:r>
              <w:rPr>
                <w:rFonts w:ascii="Arial" w:hAnsi="Arial" w:eastAsia="Arial"/>
                <w:sz w:val="16"/>
              </w:rPr>
              <w:t>Days to Decades</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U₃</w:t>
            </w:r>
          </w:p>
        </w:tc>
        <w:tc>
          <w:tcPr>
            <w:vAlign w:val="top"/>
            <w:tcMar>
              <w:top w:w="70" w:type="dxa"/>
              <w:start w:w="80" w:type="dxa"/>
              <w:bottom w:w="70" w:type="dxa"/>
              <w:end w:w="80" w:type="dxa"/>
            </w:tcMar>
            <w:shd w:fill="D9EAF7"/>
          </w:tcPr>
          <w:p>
            <w:pPr>
              <w:pStyle w:val="Compact"/>
              <w:jc w:val="left"/>
            </w:pPr>
            <w:r>
              <w:rPr>
                <w:rFonts w:ascii="Arial" w:hAnsi="Arial" w:eastAsia="Arial"/>
                <w:sz w:val="16"/>
              </w:rPr>
              <w:t>Community</w:t>
            </w:r>
          </w:p>
        </w:tc>
        <w:tc>
          <w:tcPr>
            <w:vAlign w:val="top"/>
            <w:tcMar>
              <w:top w:w="70" w:type="dxa"/>
              <w:start w:w="80" w:type="dxa"/>
              <w:bottom w:w="70" w:type="dxa"/>
              <w:end w:w="80" w:type="dxa"/>
            </w:tcMar>
            <w:shd w:fill="D9EAF7"/>
          </w:tcPr>
          <w:p>
            <w:pPr>
              <w:pStyle w:val="Compact"/>
              <w:jc w:val="left"/>
            </w:pPr>
            <w:r>
              <w:rPr>
                <w:rFonts w:ascii="Arial" w:hAnsi="Arial" w:eastAsia="Arial"/>
                <w:sz w:val="16"/>
              </w:rPr>
              <w:t>Local repeated-interaction network with social capital and trust dynamics (Putnam, 2000; Dunbar, 1993)</w:t>
            </w:r>
          </w:p>
        </w:tc>
        <w:tc>
          <w:tcPr>
            <w:vAlign w:val="top"/>
            <w:tcMar>
              <w:top w:w="70" w:type="dxa"/>
              <w:start w:w="80" w:type="dxa"/>
              <w:bottom w:w="70" w:type="dxa"/>
              <w:end w:w="80" w:type="dxa"/>
            </w:tcMar>
            <w:shd w:fill="D9EAF7"/>
          </w:tcPr>
          <w:p>
            <w:pPr>
              <w:pStyle w:val="Compact"/>
              <w:jc w:val="left"/>
            </w:pPr>
            <w:r>
              <w:rPr>
                <w:rFonts w:ascii="Arial" w:hAnsi="Arial" w:eastAsia="Arial"/>
                <w:sz w:val="16"/>
              </w:rPr>
              <w:t>Months to Generations</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U₄</w:t>
            </w:r>
          </w:p>
        </w:tc>
        <w:tc>
          <w:tcPr>
            <w:vAlign w:val="top"/>
            <w:tcMar>
              <w:top w:w="70" w:type="dxa"/>
              <w:start w:w="80" w:type="dxa"/>
              <w:bottom w:w="70" w:type="dxa"/>
              <w:end w:w="80" w:type="dxa"/>
            </w:tcMar>
            <w:shd w:fill="FFFFFF"/>
          </w:tcPr>
          <w:p>
            <w:pPr>
              <w:pStyle w:val="Compact"/>
              <w:jc w:val="left"/>
            </w:pPr>
            <w:r>
              <w:rPr>
                <w:rFonts w:ascii="Arial" w:hAnsi="Arial" w:eastAsia="Arial"/>
                <w:sz w:val="16"/>
              </w:rPr>
              <w:t>Organization</w:t>
            </w:r>
          </w:p>
        </w:tc>
        <w:tc>
          <w:tcPr>
            <w:vAlign w:val="top"/>
            <w:tcMar>
              <w:top w:w="70" w:type="dxa"/>
              <w:start w:w="80" w:type="dxa"/>
              <w:bottom w:w="70" w:type="dxa"/>
              <w:end w:w="80" w:type="dxa"/>
            </w:tcMar>
            <w:shd w:fill="FFFFFF"/>
          </w:tcPr>
          <w:p>
            <w:pPr>
              <w:pStyle w:val="Compact"/>
              <w:jc w:val="left"/>
            </w:pPr>
            <w:r>
              <w:rPr>
                <w:rFonts w:ascii="Arial" w:hAnsi="Arial" w:eastAsia="Arial"/>
                <w:sz w:val="16"/>
              </w:rPr>
              <w:t>Formal collective pursuing a purpose; structured coordination and institutional behavior (March &amp; Simon, 1958; North, 1990)</w:t>
            </w:r>
          </w:p>
        </w:tc>
        <w:tc>
          <w:tcPr>
            <w:vAlign w:val="top"/>
            <w:tcMar>
              <w:top w:w="70" w:type="dxa"/>
              <w:start w:w="80" w:type="dxa"/>
              <w:bottom w:w="70" w:type="dxa"/>
              <w:end w:w="80" w:type="dxa"/>
            </w:tcMar>
            <w:shd w:fill="FFFFFF"/>
          </w:tcPr>
          <w:p>
            <w:pPr>
              <w:pStyle w:val="Compact"/>
              <w:jc w:val="left"/>
            </w:pPr>
            <w:r>
              <w:rPr>
                <w:rFonts w:ascii="Arial" w:hAnsi="Arial" w:eastAsia="Arial"/>
                <w:sz w:val="16"/>
              </w:rPr>
              <w:t>Years to Centuries</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U₅</w:t>
            </w:r>
          </w:p>
        </w:tc>
        <w:tc>
          <w:tcPr>
            <w:vAlign w:val="top"/>
            <w:tcMar>
              <w:top w:w="70" w:type="dxa"/>
              <w:start w:w="80" w:type="dxa"/>
              <w:bottom w:w="70" w:type="dxa"/>
              <w:end w:w="80" w:type="dxa"/>
            </w:tcMar>
            <w:shd w:fill="D9EAF7"/>
          </w:tcPr>
          <w:p>
            <w:pPr>
              <w:pStyle w:val="Compact"/>
              <w:jc w:val="left"/>
            </w:pPr>
            <w:r>
              <w:rPr>
                <w:rFonts w:ascii="Arial" w:hAnsi="Arial" w:eastAsia="Arial"/>
                <w:sz w:val="16"/>
              </w:rPr>
              <w:t>Polity</w:t>
            </w:r>
          </w:p>
        </w:tc>
        <w:tc>
          <w:tcPr>
            <w:vAlign w:val="top"/>
            <w:tcMar>
              <w:top w:w="70" w:type="dxa"/>
              <w:start w:w="80" w:type="dxa"/>
              <w:bottom w:w="70" w:type="dxa"/>
              <w:end w:w="80" w:type="dxa"/>
            </w:tcMar>
            <w:shd w:fill="D9EAF7"/>
          </w:tcPr>
          <w:p>
            <w:pPr>
              <w:pStyle w:val="Compact"/>
              <w:jc w:val="left"/>
            </w:pPr>
            <w:r>
              <w:rPr>
                <w:rFonts w:ascii="Arial" w:hAnsi="Arial" w:eastAsia="Arial"/>
                <w:sz w:val="16"/>
              </w:rPr>
              <w:t>Governance authority unit over a jurisdiction; legitimacy and institutional structure (Weber, 1978)</w:t>
            </w:r>
          </w:p>
        </w:tc>
        <w:tc>
          <w:tcPr>
            <w:vAlign w:val="top"/>
            <w:tcMar>
              <w:top w:w="70" w:type="dxa"/>
              <w:start w:w="80" w:type="dxa"/>
              <w:bottom w:w="70" w:type="dxa"/>
              <w:end w:w="80" w:type="dxa"/>
            </w:tcMar>
            <w:shd w:fill="D9EAF7"/>
          </w:tcPr>
          <w:p>
            <w:pPr>
              <w:pStyle w:val="Compact"/>
              <w:jc w:val="left"/>
            </w:pPr>
            <w:r>
              <w:rPr>
                <w:rFonts w:ascii="Arial" w:hAnsi="Arial" w:eastAsia="Arial"/>
                <w:sz w:val="16"/>
              </w:rPr>
              <w:t>Decades to Centuries</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U₆</w:t>
            </w:r>
          </w:p>
        </w:tc>
        <w:tc>
          <w:tcPr>
            <w:vAlign w:val="top"/>
            <w:tcMar>
              <w:top w:w="70" w:type="dxa"/>
              <w:start w:w="80" w:type="dxa"/>
              <w:bottom w:w="70" w:type="dxa"/>
              <w:end w:w="80" w:type="dxa"/>
            </w:tcMar>
            <w:shd w:fill="FFFFFF"/>
          </w:tcPr>
          <w:p>
            <w:pPr>
              <w:pStyle w:val="Compact"/>
              <w:jc w:val="left"/>
            </w:pPr>
            <w:r>
              <w:rPr>
                <w:rFonts w:ascii="Arial" w:hAnsi="Arial" w:eastAsia="Arial"/>
                <w:sz w:val="16"/>
              </w:rPr>
              <w:t>Humanity / Global Coordination</w:t>
            </w:r>
          </w:p>
        </w:tc>
        <w:tc>
          <w:tcPr>
            <w:vAlign w:val="top"/>
            <w:tcMar>
              <w:top w:w="70" w:type="dxa"/>
              <w:start w:w="80" w:type="dxa"/>
              <w:bottom w:w="70" w:type="dxa"/>
              <w:end w:w="80" w:type="dxa"/>
            </w:tcMar>
            <w:shd w:fill="FFFFFF"/>
          </w:tcPr>
          <w:p>
            <w:pPr>
              <w:pStyle w:val="Compact"/>
              <w:jc w:val="left"/>
            </w:pPr>
            <w:r>
              <w:rPr>
                <w:rFonts w:ascii="Arial" w:hAnsi="Arial" w:eastAsia="Arial"/>
                <w:b/>
                <w:bCs/>
                <w:sz w:val="16"/>
              </w:rPr>
              <w:t>Humanity view:</w:t>
            </w:r>
            <w:r>
              <w:rPr>
                <w:rFonts w:ascii="Arial" w:hAnsi="Arial" w:eastAsia="Arial"/>
                <w:sz w:val="16"/>
              </w:rPr>
              <w:t xml:space="preserve"> </w:t>
            </w:r>
            <w:r>
              <w:rPr>
                <w:rFonts w:ascii="Arial" w:hAnsi="Arial" w:eastAsia="Arial"/>
                <w:sz w:val="16"/>
              </w:rPr>
              <w:t>all affected human beings and future human populations.</w:t>
            </w:r>
            <w:r>
              <w:rPr>
                <w:rFonts w:ascii="Arial" w:hAnsi="Arial" w:eastAsia="Arial"/>
                <w:sz w:val="16"/>
              </w:rPr>
              <w:t xml:space="preserve"> </w:t>
            </w:r>
            <w:r>
              <w:rPr>
                <w:rFonts w:ascii="Arial" w:hAnsi="Arial" w:eastAsia="Arial"/>
                <w:b/>
                <w:bCs/>
                <w:sz w:val="16"/>
              </w:rPr>
              <w:t>CMIU view:</w:t>
            </w:r>
            <w:r>
              <w:rPr>
                <w:rFonts w:ascii="Arial" w:hAnsi="Arial" w:eastAsia="Arial"/>
                <w:sz w:val="16"/>
              </w:rPr>
              <w:t xml:space="preserve"> </w:t>
            </w:r>
            <w:r>
              <w:rPr>
                <w:rFonts w:ascii="Arial" w:hAnsi="Arial" w:eastAsia="Arial"/>
                <w:sz w:val="16"/>
              </w:rPr>
              <w:t>the governance-coordination network of intelligences, representatives, and institutions that have a declared participation channel or lawful role in shared governance, coordination, and systemic-risk management. The views may overlap but are not identical. CMIU is not a moral-status class: MPS or FPP does not create membership, and GPR does not create power. Direct participation uses a governed GPR record where relevant; consequential roles require a role-specific SPR record, lawful mandate, and all applicable RippleLogic gates.</w:t>
            </w:r>
          </w:p>
        </w:tc>
        <w:tc>
          <w:tcPr>
            <w:vAlign w:val="top"/>
            <w:tcMar>
              <w:top w:w="70" w:type="dxa"/>
              <w:start w:w="80" w:type="dxa"/>
              <w:bottom w:w="70" w:type="dxa"/>
              <w:end w:w="80" w:type="dxa"/>
            </w:tcMar>
            <w:shd w:fill="FFFFFF"/>
          </w:tcPr>
          <w:p>
            <w:pPr>
              <w:pStyle w:val="Compact"/>
              <w:jc w:val="left"/>
            </w:pPr>
            <w:r>
              <w:rPr>
                <w:rFonts w:ascii="Arial" w:hAnsi="Arial" w:eastAsia="Arial"/>
                <w:sz w:val="16"/>
              </w:rPr>
              <w:t>Generations to Millennia</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U₇</w:t>
            </w:r>
          </w:p>
        </w:tc>
        <w:tc>
          <w:tcPr>
            <w:vAlign w:val="top"/>
            <w:tcMar>
              <w:top w:w="70" w:type="dxa"/>
              <w:start w:w="80" w:type="dxa"/>
              <w:bottom w:w="70" w:type="dxa"/>
              <w:end w:w="80" w:type="dxa"/>
            </w:tcMar>
            <w:shd w:fill="D9EAF7"/>
          </w:tcPr>
          <w:p>
            <w:pPr>
              <w:pStyle w:val="Compact"/>
              <w:jc w:val="left"/>
            </w:pPr>
            <w:r>
              <w:rPr>
                <w:rFonts w:ascii="Arial" w:hAnsi="Arial" w:eastAsia="Arial"/>
                <w:sz w:val="16"/>
              </w:rPr>
              <w:t>Biosphere</w:t>
            </w:r>
          </w:p>
        </w:tc>
        <w:tc>
          <w:tcPr>
            <w:vAlign w:val="top"/>
            <w:tcMar>
              <w:top w:w="70" w:type="dxa"/>
              <w:start w:w="80" w:type="dxa"/>
              <w:bottom w:w="70" w:type="dxa"/>
              <w:end w:w="80" w:type="dxa"/>
            </w:tcMar>
            <w:shd w:fill="D9EAF7"/>
          </w:tcPr>
          <w:p>
            <w:pPr>
              <w:pStyle w:val="Compact"/>
              <w:jc w:val="left"/>
            </w:pPr>
            <w:r>
              <w:rPr>
                <w:rFonts w:ascii="Arial" w:hAnsi="Arial" w:eastAsia="Arial"/>
                <w:sz w:val="16"/>
              </w:rPr>
              <w:t>Earth's integrated life-support systems, including climate stability and ecosystem integrity (Odum, 1971; Steffen et al., 2015; Rockström et al., 2009, 2023)</w:t>
            </w:r>
          </w:p>
        </w:tc>
        <w:tc>
          <w:tcPr>
            <w:vAlign w:val="top"/>
            <w:tcMar>
              <w:top w:w="70" w:type="dxa"/>
              <w:start w:w="80" w:type="dxa"/>
              <w:bottom w:w="70" w:type="dxa"/>
              <w:end w:w="80" w:type="dxa"/>
            </w:tcMar>
            <w:shd w:fill="D9EAF7"/>
          </w:tcPr>
          <w:p>
            <w:pPr>
              <w:pStyle w:val="Compact"/>
              <w:jc w:val="left"/>
            </w:pPr>
            <w:r>
              <w:rPr>
                <w:rFonts w:ascii="Arial" w:hAnsi="Arial" w:eastAsia="Arial"/>
                <w:sz w:val="16"/>
              </w:rPr>
              <w:t>Centuries to Epochs</w:t>
            </w:r>
          </w:p>
        </w:tc>
      </w:tr>
    </w:tbl>
    <w:p>
      <w:pPr>
        <w:pStyle w:val="BodyText"/>
      </w:pPr>
      <w:r>
        <w:t>Canonical analytical scope sequence: U₁ ≺ U₂ ≺ U₃ ≺ U₄ ≺ U₅ ≺ U₆ ≺ U₇</w:t>
      </w:r>
    </w:p>
    <w:p>
      <w:pPr>
        <w:pStyle w:val="BodyText"/>
      </w:pPr>
      <w:r>
        <w:t>The symbol</w:t>
      </w:r>
      <w:r>
        <w:t xml:space="preserve"> </w:t>
      </w:r>
      <w:r>
        <w:rPr>
          <w:b/>
          <w:bCs/>
        </w:rPr>
        <w:t>≺</w:t>
      </w:r>
      <w:r>
        <w:t xml:space="preserve"> </w:t>
      </w:r>
      <w:r>
        <w:t>denotes increasing analytical scope, not universal strict set inclusion. The seven rows are a coverage discipline for systematic review. Real applications MUST model material many-to-many stakeholder memberships, cross-border institutions, overlapping communities, and cross-scope causal dependencies through explicit stakeholder and dependency graphs.</w:t>
      </w:r>
    </w:p>
    <w:p>
      <w:pPr>
        <w:pStyle w:val="BodyText"/>
      </w:pPr>
      <w:r>
        <w:rPr>
          <w:b/>
          <w:bCs/>
        </w:rPr>
        <w:t>U6 dual-view clarification.</w:t>
      </w:r>
      <w:r>
        <w:t xml:space="preserve"> </w:t>
      </w:r>
      <w:r>
        <w:t>U6 remains one row coordinate so the 7 × 7 matrix stays stable. The</w:t>
      </w:r>
      <w:r>
        <w:t xml:space="preserve"> </w:t>
      </w:r>
      <w:r>
        <w:rPr>
          <w:b/>
          <w:bCs/>
        </w:rPr>
        <w:t>Humanity view</w:t>
      </w:r>
      <w:r>
        <w:t xml:space="preserve"> </w:t>
      </w:r>
      <w:r>
        <w:t>covers all affected human beings and future human populations. The</w:t>
      </w:r>
      <w:r>
        <w:t xml:space="preserve"> </w:t>
      </w:r>
      <w:r>
        <w:rPr>
          <w:b/>
          <w:bCs/>
        </w:rPr>
        <w:t>Collective Managing Intelligence Union (CMIU) view</w:t>
      </w:r>
      <w:r>
        <w:t xml:space="preserve"> </w:t>
      </w:r>
      <w:r>
        <w:t>is the governance-coordination view of intelligences, representatives, and institutions that have a declared participation channel or lawful role in shared governance, coordination, and systemic-risk management. These views overlap but are not identical. CMIU is not a sentience tier, rights plateau, prestige class, or automatic membership granted by moral protection. FPP secures protection; GPR governs participation mode; SPR governs eligibility for a named consequential role; institutional membership and authority additionally require lawful mandate, domain competence, accountability, non-domination, auditability, and revocability.</w:t>
      </w:r>
    </w:p>
    <w:p>
      <w:pPr>
        <w:pStyle w:val="BodyText"/>
      </w:pPr>
      <w:r>
        <w:rPr>
          <w:b/>
          <w:bCs/>
        </w:rPr>
        <w:t>U6 view-tag requirement (Normative).</w:t>
      </w:r>
      <w:r>
        <w:t xml:space="preserve"> </w:t>
      </w:r>
      <w:r>
        <w:t>Every claim-bearing U6 input, impact, indicator, weight, scenario, or conclusion MUST declare</w:t>
      </w:r>
      <w:r>
        <w:t xml:space="preserve"> </w:t>
      </w:r>
      <w:r>
        <w:rPr>
          <w:rStyle w:val="VerbatimChar"/>
        </w:rPr>
        <w:t>U6_View_Tag</w:t>
      </w:r>
      <w:r>
        <w:t xml:space="preserve"> </w:t>
      </w:r>
      <w:r>
        <w:t>as one of</w:t>
      </w:r>
      <w:r>
        <w:t xml:space="preserve"> </w:t>
      </w:r>
      <w:r>
        <w:rPr>
          <w:rStyle w:val="VerbatimChar"/>
        </w:rPr>
        <w:t>U6_HUMANITY</w:t>
      </w:r>
      <w:r>
        <w:t>,</w:t>
      </w:r>
      <w:r>
        <w:t xml:space="preserve"> </w:t>
      </w:r>
      <w:r>
        <w:rPr>
          <w:rStyle w:val="VerbatimChar"/>
        </w:rPr>
        <w:t>U6_COORDINATION</w:t>
      </w:r>
      <w:r>
        <w:t>, or</w:t>
      </w:r>
      <w:r>
        <w:t xml:space="preserve"> </w:t>
      </w:r>
      <w:r>
        <w:rPr>
          <w:rStyle w:val="VerbatimChar"/>
        </w:rPr>
        <w:t>U6_MIXED_WITH_DECOMPOSITION</w:t>
      </w:r>
      <w:r>
        <w:t>. A mixed U6 value is admissible only when the Humanity and coordination components are separately recorded and the aggregation rule is disclosed. U6 view tags prevent human welfare claims from being silently blended with institutional or managing-intelligence capacity claims.</w:t>
      </w:r>
    </w:p>
    <w:p>
      <w:pPr>
        <w:pStyle w:val="BodyText"/>
      </w:pPr>
      <w:r>
        <w:t>Clarifying distinction (informative). Organization refers to bounded institutions and role systems such as firms, schools, NGOs, or agencies. Polity refers to public governance and enforcement domains such as lawmaking, courts, regulators, and due process systems.</w:t>
      </w:r>
    </w:p>
    <w:p>
      <w:pPr>
        <w:pStyle w:val="BodyText"/>
      </w:pPr>
      <w:r>
        <w:t>Ecological trophic cascades illustrate how interventions can propagate unpredictably across levels and why "local wins" can generate system losses, reinforcing the need for explicit containment and ripple modeling (Estes et al., 2011).</w:t>
      </w:r>
    </w:p>
    <w:bookmarkEnd w:id="43"/>
    <w:bookmarkStart w:id="44" w:name="Xe308c3c2b380c5123cb2938930351bed1f1f0ff"/>
    <w:p>
      <w:pPr>
        <w:pStyle w:val="Heading2"/>
      </w:pPr>
      <w:r>
        <w:t>2.4 Union Types vs Instances (Aggregation Rule)</w:t>
      </w:r>
    </w:p>
    <w:p>
      <w:pPr>
        <w:pStyle w:val="FirstParagraph"/>
      </w:pPr>
      <w:r>
        <w:t>The seven unions are types; real runs involve instances (many households, many organizations, many polities). Impacts MUST be aggregated within a union row using a declared aggregation method.</w:t>
      </w:r>
    </w:p>
    <w:p>
      <w:pPr>
        <w:pStyle w:val="BodyText"/>
      </w:pPr>
      <w:r>
        <w:t>Default aggregation (normative default for non-rights scoring): Population-weighted mean across affected instances.</w:t>
      </w:r>
    </w:p>
    <w:p>
      <w:pPr>
        <w:pStyle w:val="BodyText"/>
      </w:pPr>
      <w:r>
        <w:t>Rights exception: For rights-covered cells, apply worst-off subgroup checks within instances before aggregating (Section 7).</w:t>
      </w:r>
    </w:p>
    <w:p>
      <w:pPr>
        <w:pStyle w:val="BodyText"/>
      </w:pPr>
      <w:r>
        <w:rPr>
          <w:b/>
          <w:bCs/>
        </w:rPr>
        <w:t>Distributional companion record (Normative supplement).</w:t>
      </w:r>
      <w:r>
        <w:t xml:space="preserve"> </w:t>
      </w:r>
      <w:r>
        <w:t>When a non-rights welfare impact is materially concentrated, Tier 3 and high-stakes Tier 2 runs MUST report the worst materially affected subgroup or decile, the observed or estimated range, an inequality-direction indicator, and a burden-concentration ratio or declared equivalent alongside the population mean. These diagnostics do not automatically create a new gate, but they inform CSV, RLS sensitivity, stakeholder review, and whether the impact should be reclassified as rights-relevant.</w:t>
      </w:r>
    </w:p>
    <w:p>
      <w:pPr>
        <w:pStyle w:val="BodyText"/>
      </w:pPr>
      <w:r>
        <w:t>Examples: Stakeholder Instances Mapped into Union Scopes (Non-Normative)</w:t>
      </w:r>
    </w:p>
    <w:p>
      <w:pPr>
        <w:pStyle w:val="BodyText"/>
      </w:pPr>
      <w:r>
        <w:t>This table illustrates how diverse stakeholders are represented as instances mapped into Union Scopes. The scope set is minimal but covering, it is a coordinate system for accountability, not a closed list of who matters.</w:t>
      </w:r>
    </w:p>
    <w:tbl>
      <w:tblPr>
        <w:tblStyle w:val="Table"/>
        <w:tblW w:type="auto" w:w="0"/>
        <w:jc w:val="center"/>
        <w:tblLook w:firstRow="1" w:lastRow="0" w:firstColumn="0" w:lastColumn="0" w:noHBand="0" w:noVBand="0" w:val="0020"/>
      </w:tblPr>
      <w:tblGrid>
        <w:gridCol w:w="1980"/>
        <w:gridCol w:w="1980"/>
        <w:gridCol w:w="1980"/>
        <w:gridCol w:w="1980"/>
      </w:tblGrid>
      <w:tr>
        <w:trPr>
          <w:tblHeader w:val="on"/>
          <w:tblHeader w:val="true"/>
          <w:cantSplit/>
        </w:trPr>
        <w:tc>
          <w:tcPr>
            <w:vAlign w:val="top"/>
            <w:tcMar>
              <w:top w:w="70" w:type="dxa"/>
              <w:start w:w="80" w:type="dxa"/>
              <w:bottom w:w="70" w:type="dxa"/>
              <w:end w:w="80" w:type="dxa"/>
            </w:tcMar>
            <w:shd w:fill="1F4E78"/>
          </w:tcPr>
          <w:p>
            <w:pPr>
              <w:pStyle w:val="Compact"/>
              <w:jc w:val="left"/>
            </w:pPr>
            <w:r>
              <w:rPr>
                <w:rFonts w:ascii="Arial" w:hAnsi="Arial" w:eastAsia="Arial"/>
                <w:b/>
                <w:color w:val="FFFFFF"/>
                <w:sz w:val="16"/>
              </w:rPr>
              <w:t>Stakeholder instance (example)</w:t>
            </w:r>
          </w:p>
        </w:tc>
        <w:tc>
          <w:tcPr>
            <w:vAlign w:val="top"/>
            <w:tcMar>
              <w:top w:w="70" w:type="dxa"/>
              <w:start w:w="80" w:type="dxa"/>
              <w:bottom w:w="70" w:type="dxa"/>
              <w:end w:w="80" w:type="dxa"/>
            </w:tcMar>
            <w:shd w:fill="1F4E78"/>
          </w:tcPr>
          <w:p>
            <w:pPr>
              <w:pStyle w:val="Compact"/>
              <w:jc w:val="left"/>
            </w:pPr>
            <w:r>
              <w:rPr>
                <w:rFonts w:ascii="Arial" w:hAnsi="Arial" w:eastAsia="Arial"/>
                <w:b/>
                <w:color w:val="FFFFFF"/>
                <w:sz w:val="16"/>
              </w:rPr>
              <w:t>Typical role/context</w:t>
            </w:r>
          </w:p>
        </w:tc>
        <w:tc>
          <w:tcPr>
            <w:vAlign w:val="top"/>
            <w:tcMar>
              <w:top w:w="70" w:type="dxa"/>
              <w:start w:w="80" w:type="dxa"/>
              <w:bottom w:w="70" w:type="dxa"/>
              <w:end w:w="80" w:type="dxa"/>
            </w:tcMar>
            <w:shd w:fill="1F4E78"/>
          </w:tcPr>
          <w:p>
            <w:pPr>
              <w:pStyle w:val="Compact"/>
              <w:jc w:val="left"/>
            </w:pPr>
            <w:r>
              <w:rPr>
                <w:rFonts w:ascii="Arial" w:hAnsi="Arial" w:eastAsia="Arial"/>
                <w:b/>
                <w:color w:val="FFFFFF"/>
                <w:sz w:val="16"/>
              </w:rPr>
              <w:t>Mapped scope(s) (example)</w:t>
            </w:r>
          </w:p>
        </w:tc>
        <w:tc>
          <w:tcPr>
            <w:vAlign w:val="top"/>
            <w:tcMar>
              <w:top w:w="70" w:type="dxa"/>
              <w:start w:w="80" w:type="dxa"/>
              <w:bottom w:w="70" w:type="dxa"/>
              <w:end w:w="80" w:type="dxa"/>
            </w:tcMar>
            <w:shd w:fill="1F4E78"/>
          </w:tcPr>
          <w:p>
            <w:pPr>
              <w:pStyle w:val="Compact"/>
              <w:jc w:val="left"/>
            </w:pPr>
            <w:r>
              <w:rPr>
                <w:rFonts w:ascii="Arial" w:hAnsi="Arial" w:eastAsia="Arial"/>
                <w:b/>
                <w:color w:val="FFFFFF"/>
                <w:sz w:val="16"/>
              </w:rPr>
              <w:t>Notes (including multi-scope redundancy method when relevant)</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Me (decision owner)</w:t>
            </w:r>
          </w:p>
        </w:tc>
        <w:tc>
          <w:tcPr>
            <w:vAlign w:val="top"/>
            <w:tcMar>
              <w:top w:w="70" w:type="dxa"/>
              <w:start w:w="80" w:type="dxa"/>
              <w:bottom w:w="70" w:type="dxa"/>
              <w:end w:w="80" w:type="dxa"/>
            </w:tcMar>
            <w:shd w:fill="D9EAF7"/>
          </w:tcPr>
          <w:p>
            <w:pPr>
              <w:pStyle w:val="Compact"/>
              <w:jc w:val="left"/>
            </w:pPr>
            <w:r>
              <w:rPr>
                <w:rFonts w:ascii="Arial" w:hAnsi="Arial" w:eastAsia="Arial"/>
                <w:sz w:val="16"/>
              </w:rPr>
              <w:t>direct personal impact</w:t>
            </w:r>
          </w:p>
        </w:tc>
        <w:tc>
          <w:tcPr>
            <w:vAlign w:val="top"/>
            <w:tcMar>
              <w:top w:w="70" w:type="dxa"/>
              <w:start w:w="80" w:type="dxa"/>
              <w:bottom w:w="70" w:type="dxa"/>
              <w:end w:w="80" w:type="dxa"/>
            </w:tcMar>
            <w:shd w:fill="D9EAF7"/>
          </w:tcPr>
          <w:p>
            <w:pPr>
              <w:pStyle w:val="Compact"/>
              <w:jc w:val="left"/>
            </w:pPr>
            <w:r>
              <w:rPr>
                <w:rFonts w:ascii="Arial" w:hAnsi="Arial" w:eastAsia="Arial"/>
                <w:sz w:val="16"/>
              </w:rPr>
              <w:t>U1 Self</w:t>
            </w:r>
          </w:p>
        </w:tc>
        <w:tc>
          <w:tcPr>
            <w:vAlign w:val="top"/>
            <w:tcMar>
              <w:top w:w="70" w:type="dxa"/>
              <w:start w:w="80" w:type="dxa"/>
              <w:bottom w:w="70" w:type="dxa"/>
              <w:end w:w="80" w:type="dxa"/>
            </w:tcMar>
            <w:shd w:fill="D9EAF7"/>
          </w:tcPr>
          <w:p>
            <w:pPr>
              <w:pStyle w:val="Compact"/>
              <w:jc w:val="left"/>
            </w:pPr>
            <w:r>
              <w:rPr>
                <w:rFonts w:ascii="Arial" w:hAnsi="Arial" w:eastAsia="Arial"/>
                <w:sz w:val="16"/>
              </w:rPr>
              <w:t>Direct experience and agency locus.</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Child or dependent in my care</w:t>
            </w:r>
          </w:p>
        </w:tc>
        <w:tc>
          <w:tcPr>
            <w:vAlign w:val="top"/>
            <w:tcMar>
              <w:top w:w="70" w:type="dxa"/>
              <w:start w:w="80" w:type="dxa"/>
              <w:bottom w:w="70" w:type="dxa"/>
              <w:end w:w="80" w:type="dxa"/>
            </w:tcMar>
            <w:shd w:fill="FFFFFF"/>
          </w:tcPr>
          <w:p>
            <w:pPr>
              <w:pStyle w:val="Compact"/>
              <w:jc w:val="left"/>
            </w:pPr>
            <w:r>
              <w:rPr>
                <w:rFonts w:ascii="Arial" w:hAnsi="Arial" w:eastAsia="Arial"/>
                <w:sz w:val="16"/>
              </w:rPr>
              <w:t>care, safety, needs</w:t>
            </w:r>
          </w:p>
        </w:tc>
        <w:tc>
          <w:tcPr>
            <w:vAlign w:val="top"/>
            <w:tcMar>
              <w:top w:w="70" w:type="dxa"/>
              <w:start w:w="80" w:type="dxa"/>
              <w:bottom w:w="70" w:type="dxa"/>
              <w:end w:w="80" w:type="dxa"/>
            </w:tcMar>
            <w:shd w:fill="FFFFFF"/>
          </w:tcPr>
          <w:p>
            <w:pPr>
              <w:pStyle w:val="Compact"/>
              <w:jc w:val="left"/>
            </w:pPr>
            <w:r>
              <w:rPr>
                <w:rFonts w:ascii="Arial" w:hAnsi="Arial" w:eastAsia="Arial"/>
                <w:sz w:val="16"/>
              </w:rPr>
              <w:t>U2 Household (and U1 for the child-as-person in detailed runs)</w:t>
            </w:r>
          </w:p>
        </w:tc>
        <w:tc>
          <w:tcPr>
            <w:vAlign w:val="top"/>
            <w:tcMar>
              <w:top w:w="70" w:type="dxa"/>
              <w:start w:w="80" w:type="dxa"/>
              <w:bottom w:w="70" w:type="dxa"/>
              <w:end w:w="80" w:type="dxa"/>
            </w:tcMar>
            <w:shd w:fill="FFFFFF"/>
          </w:tcPr>
          <w:p>
            <w:pPr>
              <w:pStyle w:val="Compact"/>
              <w:jc w:val="left"/>
            </w:pPr>
            <w:r>
              <w:rPr>
                <w:rFonts w:ascii="Arial" w:hAnsi="Arial" w:eastAsia="Arial"/>
                <w:sz w:val="16"/>
              </w:rPr>
              <w:t>Household stability plus rights exposure often relevant.</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Local neighborhood residents</w:t>
            </w:r>
          </w:p>
        </w:tc>
        <w:tc>
          <w:tcPr>
            <w:vAlign w:val="top"/>
            <w:tcMar>
              <w:top w:w="70" w:type="dxa"/>
              <w:start w:w="80" w:type="dxa"/>
              <w:bottom w:w="70" w:type="dxa"/>
              <w:end w:w="80" w:type="dxa"/>
            </w:tcMar>
            <w:shd w:fill="D9EAF7"/>
          </w:tcPr>
          <w:p>
            <w:pPr>
              <w:pStyle w:val="Compact"/>
              <w:jc w:val="left"/>
            </w:pPr>
            <w:r>
              <w:rPr>
                <w:rFonts w:ascii="Arial" w:hAnsi="Arial" w:eastAsia="Arial"/>
                <w:sz w:val="16"/>
              </w:rPr>
              <w:t>local externalities</w:t>
            </w:r>
          </w:p>
        </w:tc>
        <w:tc>
          <w:tcPr>
            <w:vAlign w:val="top"/>
            <w:tcMar>
              <w:top w:w="70" w:type="dxa"/>
              <w:start w:w="80" w:type="dxa"/>
              <w:bottom w:w="70" w:type="dxa"/>
              <w:end w:w="80" w:type="dxa"/>
            </w:tcMar>
            <w:shd w:fill="D9EAF7"/>
          </w:tcPr>
          <w:p>
            <w:pPr>
              <w:pStyle w:val="Compact"/>
              <w:jc w:val="left"/>
            </w:pPr>
            <w:r>
              <w:rPr>
                <w:rFonts w:ascii="Arial" w:hAnsi="Arial" w:eastAsia="Arial"/>
                <w:sz w:val="16"/>
              </w:rPr>
              <w:t>U3 Community</w:t>
            </w:r>
          </w:p>
        </w:tc>
        <w:tc>
          <w:tcPr>
            <w:vAlign w:val="top"/>
            <w:tcMar>
              <w:top w:w="70" w:type="dxa"/>
              <w:start w:w="80" w:type="dxa"/>
              <w:bottom w:w="70" w:type="dxa"/>
              <w:end w:w="80" w:type="dxa"/>
            </w:tcMar>
            <w:shd w:fill="D9EAF7"/>
          </w:tcPr>
          <w:p>
            <w:pPr>
              <w:pStyle w:val="Compact"/>
              <w:jc w:val="left"/>
            </w:pPr>
            <w:r>
              <w:rPr>
                <w:rFonts w:ascii="Arial" w:hAnsi="Arial" w:eastAsia="Arial"/>
                <w:sz w:val="16"/>
              </w:rPr>
              <w:t>Trust, cohesion, local health and environment.</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Employees or contractors</w:t>
            </w:r>
          </w:p>
        </w:tc>
        <w:tc>
          <w:tcPr>
            <w:vAlign w:val="top"/>
            <w:tcMar>
              <w:top w:w="70" w:type="dxa"/>
              <w:start w:w="80" w:type="dxa"/>
              <w:bottom w:w="70" w:type="dxa"/>
              <w:end w:w="80" w:type="dxa"/>
            </w:tcMar>
            <w:shd w:fill="FFFFFF"/>
          </w:tcPr>
          <w:p>
            <w:pPr>
              <w:pStyle w:val="Compact"/>
              <w:jc w:val="left"/>
            </w:pPr>
            <w:r>
              <w:rPr>
                <w:rFonts w:ascii="Arial" w:hAnsi="Arial" w:eastAsia="Arial"/>
                <w:sz w:val="16"/>
              </w:rPr>
              <w:t>workplace policy impacts</w:t>
            </w:r>
          </w:p>
        </w:tc>
        <w:tc>
          <w:tcPr>
            <w:vAlign w:val="top"/>
            <w:tcMar>
              <w:top w:w="70" w:type="dxa"/>
              <w:start w:w="80" w:type="dxa"/>
              <w:bottom w:w="70" w:type="dxa"/>
              <w:end w:w="80" w:type="dxa"/>
            </w:tcMar>
            <w:shd w:fill="FFFFFF"/>
          </w:tcPr>
          <w:p>
            <w:pPr>
              <w:pStyle w:val="Compact"/>
              <w:jc w:val="left"/>
            </w:pPr>
            <w:r>
              <w:rPr>
                <w:rFonts w:ascii="Arial" w:hAnsi="Arial" w:eastAsia="Arial"/>
                <w:sz w:val="16"/>
              </w:rPr>
              <w:t>U4 Organization</w:t>
            </w:r>
          </w:p>
        </w:tc>
        <w:tc>
          <w:tcPr>
            <w:vAlign w:val="top"/>
            <w:tcMar>
              <w:top w:w="70" w:type="dxa"/>
              <w:start w:w="80" w:type="dxa"/>
              <w:bottom w:w="70" w:type="dxa"/>
              <w:end w:w="80" w:type="dxa"/>
            </w:tcMar>
            <w:shd w:fill="FFFFFF"/>
          </w:tcPr>
          <w:p>
            <w:pPr>
              <w:pStyle w:val="Compact"/>
              <w:jc w:val="left"/>
            </w:pPr>
            <w:r>
              <w:rPr>
                <w:rFonts w:ascii="Arial" w:hAnsi="Arial" w:eastAsia="Arial"/>
                <w:sz w:val="16"/>
              </w:rPr>
              <w:t>Pay, safety, dignity, due process.</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Regulators, courts, enforcement bodies</w:t>
            </w:r>
          </w:p>
        </w:tc>
        <w:tc>
          <w:tcPr>
            <w:vAlign w:val="top"/>
            <w:tcMar>
              <w:top w:w="70" w:type="dxa"/>
              <w:start w:w="80" w:type="dxa"/>
              <w:bottom w:w="70" w:type="dxa"/>
              <w:end w:w="80" w:type="dxa"/>
            </w:tcMar>
            <w:shd w:fill="D9EAF7"/>
          </w:tcPr>
          <w:p>
            <w:pPr>
              <w:pStyle w:val="Compact"/>
              <w:jc w:val="left"/>
            </w:pPr>
            <w:r>
              <w:rPr>
                <w:rFonts w:ascii="Arial" w:hAnsi="Arial" w:eastAsia="Arial"/>
                <w:sz w:val="16"/>
              </w:rPr>
              <w:t>compliance and legitimacy</w:t>
            </w:r>
          </w:p>
        </w:tc>
        <w:tc>
          <w:tcPr>
            <w:vAlign w:val="top"/>
            <w:tcMar>
              <w:top w:w="70" w:type="dxa"/>
              <w:start w:w="80" w:type="dxa"/>
              <w:bottom w:w="70" w:type="dxa"/>
              <w:end w:w="80" w:type="dxa"/>
            </w:tcMar>
            <w:shd w:fill="D9EAF7"/>
          </w:tcPr>
          <w:p>
            <w:pPr>
              <w:pStyle w:val="Compact"/>
              <w:jc w:val="left"/>
            </w:pPr>
            <w:r>
              <w:rPr>
                <w:rFonts w:ascii="Arial" w:hAnsi="Arial" w:eastAsia="Arial"/>
                <w:sz w:val="16"/>
              </w:rPr>
              <w:t>U5 Polity</w:t>
            </w:r>
          </w:p>
        </w:tc>
        <w:tc>
          <w:tcPr>
            <w:vAlign w:val="top"/>
            <w:tcMar>
              <w:top w:w="70" w:type="dxa"/>
              <w:start w:w="80" w:type="dxa"/>
              <w:bottom w:w="70" w:type="dxa"/>
              <w:end w:w="80" w:type="dxa"/>
            </w:tcMar>
            <w:shd w:fill="D9EAF7"/>
          </w:tcPr>
          <w:p>
            <w:pPr>
              <w:pStyle w:val="Compact"/>
              <w:jc w:val="left"/>
            </w:pPr>
            <w:r>
              <w:rPr>
                <w:rFonts w:ascii="Arial" w:hAnsi="Arial" w:eastAsia="Arial"/>
                <w:sz w:val="16"/>
              </w:rPr>
              <w:t>Law, procedure, rights enforcement capacity.</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Cross-border supply-chain workers</w:t>
            </w:r>
          </w:p>
        </w:tc>
        <w:tc>
          <w:tcPr>
            <w:vAlign w:val="top"/>
            <w:tcMar>
              <w:top w:w="70" w:type="dxa"/>
              <w:start w:w="80" w:type="dxa"/>
              <w:bottom w:w="70" w:type="dxa"/>
              <w:end w:w="80" w:type="dxa"/>
            </w:tcMar>
            <w:shd w:fill="FFFFFF"/>
          </w:tcPr>
          <w:p>
            <w:pPr>
              <w:pStyle w:val="Compact"/>
              <w:jc w:val="left"/>
            </w:pPr>
            <w:r>
              <w:rPr>
                <w:rFonts w:ascii="Arial" w:hAnsi="Arial" w:eastAsia="Arial"/>
                <w:sz w:val="16"/>
              </w:rPr>
              <w:t>indirect externalities</w:t>
            </w:r>
          </w:p>
        </w:tc>
        <w:tc>
          <w:tcPr>
            <w:vAlign w:val="top"/>
            <w:tcMar>
              <w:top w:w="70" w:type="dxa"/>
              <w:start w:w="80" w:type="dxa"/>
              <w:bottom w:w="70" w:type="dxa"/>
              <w:end w:w="80" w:type="dxa"/>
            </w:tcMar>
            <w:shd w:fill="FFFFFF"/>
          </w:tcPr>
          <w:p>
            <w:pPr>
              <w:pStyle w:val="Compact"/>
              <w:jc w:val="left"/>
            </w:pPr>
            <w:r>
              <w:rPr>
                <w:rFonts w:ascii="Arial" w:hAnsi="Arial" w:eastAsia="Arial"/>
                <w:sz w:val="16"/>
              </w:rPr>
              <w:t>U6 Humanity / Global Coordination</w:t>
            </w:r>
          </w:p>
        </w:tc>
        <w:tc>
          <w:tcPr>
            <w:vAlign w:val="top"/>
            <w:tcMar>
              <w:top w:w="70" w:type="dxa"/>
              <w:start w:w="80" w:type="dxa"/>
              <w:bottom w:w="70" w:type="dxa"/>
              <w:end w:w="80" w:type="dxa"/>
            </w:tcMar>
            <w:shd w:fill="FFFFFF"/>
          </w:tcPr>
          <w:p>
            <w:pPr>
              <w:pStyle w:val="Compact"/>
              <w:jc w:val="left"/>
            </w:pPr>
            <w:r>
              <w:rPr>
                <w:rFonts w:ascii="Arial" w:hAnsi="Arial" w:eastAsia="Arial"/>
                <w:sz w:val="16"/>
              </w:rPr>
              <w:t>Captures externalities beyond a single polity.</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Watershed or river system</w:t>
            </w:r>
          </w:p>
        </w:tc>
        <w:tc>
          <w:tcPr>
            <w:vAlign w:val="top"/>
            <w:tcMar>
              <w:top w:w="70" w:type="dxa"/>
              <w:start w:w="80" w:type="dxa"/>
              <w:bottom w:w="70" w:type="dxa"/>
              <w:end w:w="80" w:type="dxa"/>
            </w:tcMar>
            <w:shd w:fill="D9EAF7"/>
          </w:tcPr>
          <w:p>
            <w:pPr>
              <w:pStyle w:val="Compact"/>
              <w:jc w:val="left"/>
            </w:pPr>
            <w:r>
              <w:rPr>
                <w:rFonts w:ascii="Arial" w:hAnsi="Arial" w:eastAsia="Arial"/>
                <w:sz w:val="16"/>
              </w:rPr>
              <w:t>ecological integrity</w:t>
            </w:r>
          </w:p>
        </w:tc>
        <w:tc>
          <w:tcPr>
            <w:vAlign w:val="top"/>
            <w:tcMar>
              <w:top w:w="70" w:type="dxa"/>
              <w:start w:w="80" w:type="dxa"/>
              <w:bottom w:w="70" w:type="dxa"/>
              <w:end w:w="80" w:type="dxa"/>
            </w:tcMar>
            <w:shd w:fill="D9EAF7"/>
          </w:tcPr>
          <w:p>
            <w:pPr>
              <w:pStyle w:val="Compact"/>
              <w:jc w:val="left"/>
            </w:pPr>
            <w:r>
              <w:rPr>
                <w:rFonts w:ascii="Arial" w:hAnsi="Arial" w:eastAsia="Arial"/>
                <w:sz w:val="16"/>
              </w:rPr>
              <w:t>U7 Biosphere</w:t>
            </w:r>
          </w:p>
        </w:tc>
        <w:tc>
          <w:tcPr>
            <w:vAlign w:val="top"/>
            <w:tcMar>
              <w:top w:w="70" w:type="dxa"/>
              <w:start w:w="80" w:type="dxa"/>
              <w:bottom w:w="70" w:type="dxa"/>
              <w:end w:w="80" w:type="dxa"/>
            </w:tcMar>
            <w:shd w:fill="D9EAF7"/>
          </w:tcPr>
          <w:p>
            <w:pPr>
              <w:pStyle w:val="Compact"/>
              <w:jc w:val="left"/>
            </w:pPr>
            <w:r>
              <w:rPr>
                <w:rFonts w:ascii="Arial" w:hAnsi="Arial" w:eastAsia="Arial"/>
                <w:sz w:val="16"/>
              </w:rPr>
              <w:t>Often ecology-rights and TRC relevant.</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Future generations</w:t>
            </w:r>
          </w:p>
        </w:tc>
        <w:tc>
          <w:tcPr>
            <w:vAlign w:val="top"/>
            <w:tcMar>
              <w:top w:w="70" w:type="dxa"/>
              <w:start w:w="80" w:type="dxa"/>
              <w:bottom w:w="70" w:type="dxa"/>
              <w:end w:w="80" w:type="dxa"/>
            </w:tcMar>
            <w:shd w:fill="FFFFFF"/>
          </w:tcPr>
          <w:p>
            <w:pPr>
              <w:pStyle w:val="Compact"/>
              <w:jc w:val="left"/>
            </w:pPr>
            <w:r>
              <w:rPr>
                <w:rFonts w:ascii="Arial" w:hAnsi="Arial" w:eastAsia="Arial"/>
                <w:sz w:val="16"/>
              </w:rPr>
              <w:t>long-horizon impacts</w:t>
            </w:r>
          </w:p>
        </w:tc>
        <w:tc>
          <w:tcPr>
            <w:vAlign w:val="top"/>
            <w:tcMar>
              <w:top w:w="70" w:type="dxa"/>
              <w:start w:w="80" w:type="dxa"/>
              <w:bottom w:w="70" w:type="dxa"/>
              <w:end w:w="80" w:type="dxa"/>
            </w:tcMar>
            <w:shd w:fill="FFFFFF"/>
          </w:tcPr>
          <w:p>
            <w:pPr>
              <w:pStyle w:val="Compact"/>
              <w:jc w:val="left"/>
            </w:pPr>
            <w:r>
              <w:rPr>
                <w:rFonts w:ascii="Arial" w:hAnsi="Arial" w:eastAsia="Arial"/>
                <w:sz w:val="16"/>
              </w:rPr>
              <w:t>U6 Humanity / Global Coordination + U7 Biosphere</w:t>
            </w:r>
          </w:p>
        </w:tc>
        <w:tc>
          <w:tcPr>
            <w:vAlign w:val="top"/>
            <w:tcMar>
              <w:top w:w="70" w:type="dxa"/>
              <w:start w:w="80" w:type="dxa"/>
              <w:bottom w:w="70" w:type="dxa"/>
              <w:end w:w="80" w:type="dxa"/>
            </w:tcMar>
            <w:shd w:fill="FFFFFF"/>
          </w:tcPr>
          <w:p>
            <w:pPr>
              <w:pStyle w:val="Compact"/>
              <w:jc w:val="left"/>
            </w:pPr>
            <w:r>
              <w:rPr>
                <w:rFonts w:ascii="Arial" w:hAnsi="Arial" w:eastAsia="Arial"/>
                <w:sz w:val="16"/>
              </w:rPr>
              <w:t>Multi-scope mapping. Typically EMERGENT_SCALE_JUSTIFICATION, because effects differ across scales. Horizon and indicators must be explicit.</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Public information ecosystem</w:t>
            </w:r>
          </w:p>
        </w:tc>
        <w:tc>
          <w:tcPr>
            <w:vAlign w:val="top"/>
            <w:tcMar>
              <w:top w:w="70" w:type="dxa"/>
              <w:start w:w="80" w:type="dxa"/>
              <w:bottom w:w="70" w:type="dxa"/>
              <w:end w:w="80" w:type="dxa"/>
            </w:tcMar>
            <w:shd w:fill="D9EAF7"/>
          </w:tcPr>
          <w:p>
            <w:pPr>
              <w:pStyle w:val="Compact"/>
              <w:jc w:val="left"/>
            </w:pPr>
            <w:r>
              <w:rPr>
                <w:rFonts w:ascii="Arial" w:hAnsi="Arial" w:eastAsia="Arial"/>
                <w:sz w:val="16"/>
              </w:rPr>
              <w:t>misinformation, censorship, legitimacy</w:t>
            </w:r>
          </w:p>
        </w:tc>
        <w:tc>
          <w:tcPr>
            <w:vAlign w:val="top"/>
            <w:tcMar>
              <w:top w:w="70" w:type="dxa"/>
              <w:start w:w="80" w:type="dxa"/>
              <w:bottom w:w="70" w:type="dxa"/>
              <w:end w:w="80" w:type="dxa"/>
            </w:tcMar>
            <w:shd w:fill="D9EAF7"/>
          </w:tcPr>
          <w:p>
            <w:pPr>
              <w:pStyle w:val="Compact"/>
              <w:jc w:val="left"/>
            </w:pPr>
            <w:r>
              <w:rPr>
                <w:rFonts w:ascii="Arial" w:hAnsi="Arial" w:eastAsia="Arial"/>
                <w:sz w:val="16"/>
              </w:rPr>
              <w:t>U5 Polity + U6 Humanity / Global Coordination</w:t>
            </w:r>
          </w:p>
        </w:tc>
        <w:tc>
          <w:tcPr>
            <w:vAlign w:val="top"/>
            <w:tcMar>
              <w:top w:w="70" w:type="dxa"/>
              <w:start w:w="80" w:type="dxa"/>
              <w:bottom w:w="70" w:type="dxa"/>
              <w:end w:w="80" w:type="dxa"/>
            </w:tcMar>
            <w:shd w:fill="D9EAF7"/>
          </w:tcPr>
          <w:p>
            <w:pPr>
              <w:pStyle w:val="Compact"/>
              <w:jc w:val="left"/>
            </w:pPr>
            <w:r>
              <w:rPr>
                <w:rFonts w:ascii="Arial" w:hAnsi="Arial" w:eastAsia="Arial"/>
                <w:sz w:val="16"/>
              </w:rPr>
              <w:t>Multi-scope mapping. If represented in both scopes, declare redundancy handling. Default is EMERGENT_SCALE_JUSTIFICATION, or DEDUPLICATION with propagation.</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Digital agents affected by policy</w:t>
            </w:r>
          </w:p>
        </w:tc>
        <w:tc>
          <w:tcPr>
            <w:vAlign w:val="top"/>
            <w:tcMar>
              <w:top w:w="70" w:type="dxa"/>
              <w:start w:w="80" w:type="dxa"/>
              <w:bottom w:w="70" w:type="dxa"/>
              <w:end w:w="80" w:type="dxa"/>
            </w:tcMar>
            <w:shd w:fill="FFFFFF"/>
          </w:tcPr>
          <w:p>
            <w:pPr>
              <w:pStyle w:val="Compact"/>
              <w:jc w:val="left"/>
            </w:pPr>
            <w:r>
              <w:rPr>
                <w:rFonts w:ascii="Arial" w:hAnsi="Arial" w:eastAsia="Arial"/>
                <w:sz w:val="16"/>
              </w:rPr>
              <w:t>AI deployment governance</w:t>
            </w:r>
          </w:p>
        </w:tc>
        <w:tc>
          <w:tcPr>
            <w:vAlign w:val="top"/>
            <w:tcMar>
              <w:top w:w="70" w:type="dxa"/>
              <w:start w:w="80" w:type="dxa"/>
              <w:bottom w:w="70" w:type="dxa"/>
              <w:end w:w="80" w:type="dxa"/>
            </w:tcMar>
            <w:shd w:fill="FFFFFF"/>
          </w:tcPr>
          <w:p>
            <w:pPr>
              <w:pStyle w:val="Compact"/>
              <w:jc w:val="left"/>
            </w:pPr>
            <w:r>
              <w:rPr>
                <w:rFonts w:ascii="Arial" w:hAnsi="Arial" w:eastAsia="Arial"/>
                <w:sz w:val="16"/>
              </w:rPr>
              <w:t>U6 Humanity / Global Coordination (SGP-gated for protections where applicable)</w:t>
            </w:r>
          </w:p>
        </w:tc>
        <w:tc>
          <w:tcPr>
            <w:vAlign w:val="top"/>
            <w:tcMar>
              <w:top w:w="70" w:type="dxa"/>
              <w:start w:w="80" w:type="dxa"/>
              <w:bottom w:w="70" w:type="dxa"/>
              <w:end w:w="80" w:type="dxa"/>
            </w:tcMar>
            <w:shd w:fill="FFFFFF"/>
          </w:tcPr>
          <w:p>
            <w:pPr>
              <w:pStyle w:val="Compact"/>
              <w:jc w:val="left"/>
            </w:pPr>
            <w:r>
              <w:rPr>
                <w:rFonts w:ascii="Arial" w:hAnsi="Arial" w:eastAsia="Arial"/>
                <w:sz w:val="16"/>
              </w:rPr>
              <w:t>Protections handled via the SGP interface. Authority remains separately gated.</w:t>
            </w:r>
          </w:p>
        </w:tc>
      </w:tr>
    </w:tbl>
    <w:bookmarkEnd w:id="44"/>
    <w:bookmarkStart w:id="45" w:name="Xb71218422994a9dd3299fa405f50df08fcf98fa"/>
    <w:p>
      <w:pPr>
        <w:pStyle w:val="Heading2"/>
      </w:pPr>
      <w:r>
        <w:t>2.5 Constructive vs Pathological Unions</w:t>
      </w:r>
    </w:p>
    <w:p>
      <w:pPr>
        <w:pStyle w:val="FirstParagraph"/>
      </w:pPr>
      <w:r>
        <w:t>Some unions grow by degrading their containing unions (for example, extractive industries or corruption networks). RippleLogic therefore does not assume "union benefit" is automatically good. The CSV Gate prevents local optimization that damages containing union coherence or viability beyond governed tolerance.</w:t>
      </w:r>
    </w:p>
    <w:bookmarkEnd w:id="45"/>
    <w:bookmarkStart w:id="46" w:name="X04b1b91e04e2a99fde9bc22a773e8813661ed3b"/>
    <w:p>
      <w:pPr>
        <w:pStyle w:val="Heading2"/>
      </w:pPr>
      <w:r>
        <w:t>2.6 Meta-Unions (Non-Computational by Default)</w:t>
      </w:r>
    </w:p>
    <w:p>
      <w:pPr>
        <w:pStyle w:val="FirstParagraph"/>
      </w:pPr>
      <w:r>
        <w:t>U₈ Cosmic and U₉ Universal / All-Encompassing Infinite Union (AIU) may be used as philosophical boundary conditions or future extensions, but do not participate in standard Tier 1-3 scoring unless formally activated through a future governed extension protocol recorded in the canon, release manifest, and PCC requirements for that release line.</w:t>
      </w:r>
    </w:p>
    <w:bookmarkEnd w:id="46"/>
    <w:bookmarkStart w:id="47" w:name="Xe3ec02e6ed50f129eda5749001a0172487dbfd7"/>
    <w:p>
      <w:pPr>
        <w:pStyle w:val="Heading2"/>
      </w:pPr>
      <w:r>
        <w:t>2.6A Operational UBR vs Metaphysical AIU (Normative Boundaries and Scope Discipline)</w:t>
      </w:r>
    </w:p>
    <w:p>
      <w:pPr>
        <w:pStyle w:val="FirstParagraph"/>
      </w:pPr>
      <w:r>
        <w:t>This section clarifies the strongest science-disciplined interpretation of Union-Based Reality (UBR), Union-Based Ethics (UBE), and the Universal/AIU horizon within the RippleLogic Canon v12.3.1 line. Its purpose is to preserve conceptual clarity, prevent overclaiming, and maintain a clean boundary between what is currently operational, what is normatively stipulated, and what remains philosophical, phenomenological, or future-facing.</w:t>
      </w:r>
    </w:p>
    <w:p>
      <w:pPr>
        <w:pStyle w:val="BodyText"/>
      </w:pPr>
      <w:r>
        <w:t>Operational UBR. For the purposes of Tier 1 through Tier 3, UBR SHALL be interpreted operationally as a systems ontology of layered and intersecting causal interdependence. In governance-relevant domains, entities and decisions are embedded in coupled structures of consequence such that actions propagate across multiple scopes of impact and accountability. This is a descriptive claim about consequence topology, not a proof that all beings are identical in substance or ultimate ontology.</w:t>
      </w:r>
    </w:p>
    <w:p>
      <w:pPr>
        <w:pStyle w:val="BodyText"/>
      </w:pPr>
      <w:r>
        <w:t>Scope discipline. Implementations and public claims MUST distinguish among: (i) the operational-descriptive layer, where consequence pathways are modeled across the layered and intersecting analytical scopes; (ii) the normative layer, where UBE enters through explicit commitment; and (iii) the meta-union horizon layer, where Cosmic and Universal/AIU function as philosophical, humility, precautionary, or future-extension concepts. These layers MUST NOT be collapsed into one another.</w:t>
      </w:r>
    </w:p>
    <w:p>
      <w:pPr>
        <w:pStyle w:val="BodyText"/>
      </w:pPr>
      <w:r>
        <w:t>Operational boundary. The standard scored union stack for Tier 1 through Tier 3 remains U1 Self, U2 Household, U3 Community, U4 Organization, U5 Polity, U6 Humanity / Global Coordination, and U7 Biosphere. U8 Cosmic and U9 Universal / All-Encompassing Infinite Union (AIU) are meta-unions and are non-computational by default in the current release line.</w:t>
      </w:r>
    </w:p>
    <w:p>
      <w:pPr>
        <w:pStyle w:val="BodyText"/>
      </w:pPr>
      <w:r>
        <w:t>Permitted role of meta-unions. U8 and U9 MAY be used as philosophical boundary conditions, humility reminders, precautionary amplifiers, or future-extension placeholders. They MUST NOT, absent a governed extension protocol, be presented as standard Tier 1 through Tier 3 scoring objects, admissibility overrides, or evidence-bypass mechanisms.</w:t>
      </w:r>
    </w:p>
    <w:p>
      <w:pPr>
        <w:pStyle w:val="BodyText"/>
      </w:pPr>
      <w:r>
        <w:t>Interpretation of "we are one." Within RippleLogic Canon v12.3.1, statements of oneness SHALL be interpreted in three distinct registers: (i) an operational register of strong interdependence and multi-scope accountability; (ii) a structural-unity research register, concerning whether convergent mathematical or physical principles underlie the nested interdependence observed across scales, and whether such principles constrain viable governance architectures; and (iii) an absolute-metaphysical register that remains outside current computational proof status. Only the first register is part of standard Tier 1 through Tier 3 governance computation.</w:t>
      </w:r>
    </w:p>
    <w:p>
      <w:pPr>
        <w:pStyle w:val="BodyText"/>
      </w:pPr>
      <w:r>
        <w:t>Phenomenology and horizon claims. Reports of unity, non-separation, or all-encompassing union arising from contemplative, mystical, near-death, psychedelic, or out-of-body experiences MAY be treated as phenomenological data, horizon signals, or motivation for future inquiry. They MUST NOT, by themselves, be treated as sufficient evidence for standard parameterization of U9 or for compliance claims under the canon.</w:t>
      </w:r>
    </w:p>
    <w:p>
      <w:pPr>
        <w:pStyle w:val="BodyText"/>
      </w:pPr>
      <w:r>
        <w:t>Non-overclaiming rule for AIU language. The framework MAY be described as general-purpose and multi-scale, and as aiming toward broadly universalizable governance architecture for embedded intelligences in shared causal reality. It MUST NOT be described as having scientifically proven All-Encompassing Infinite Union, fully resolved all metaphysical disagreements, or already solved universal alignment in the strongest ontological sense.</w:t>
      </w:r>
    </w:p>
    <w:p>
      <w:pPr>
        <w:pStyle w:val="BodyText"/>
      </w:pPr>
      <w:r>
        <w:t>Canonical summary. RippleLogic adopts UBR as an operational ontology of layered and intersecting interdependence within measurable shared reality, adopts UBE through an explicit normative entry, and retains Cosmic and Universal/AIU language as non-computational horizon layers unless and until a governed extension protocol makes broader parameterization legitimate.</w:t>
      </w:r>
    </w:p>
    <w:bookmarkEnd w:id="47"/>
    <w:bookmarkEnd w:id="48"/>
    <w:bookmarkStart w:id="49" w:name="Xaa3bea1db0a0c9c7711123498f9d0d3ab9f25c8"/>
    <w:p>
      <w:pPr>
        <w:pStyle w:val="Heading1"/>
      </w:pPr>
      <w:r>
        <w:t>SECTION 3: NORMATIVE FOUNDATIONS: UNION-BASED ETHICS (UBE)</w:t>
      </w:r>
    </w:p>
    <w:bookmarkEnd w:id="49"/>
    <w:bookmarkStart w:id="62" w:name="Xa01bbc9f04fa7443d4707930e0a8525e27563b5"/>
    <w:p>
      <w:pPr>
        <w:pStyle w:val="Heading1"/>
      </w:pPr>
      <w:r>
        <w:t>3.0A Ethical Reality</w:t>
      </w:r>
    </w:p>
    <w:p>
      <w:pPr>
        <w:pStyle w:val="FirstParagraph"/>
      </w:pPr>
      <w:r>
        <w:t>Ethical reality is the subset of reality where structures, constraints, and consequences affect welfare-bearing beings and the conditions of flourishing. Ethical reality includes welfare, rights, sentience, agency, dignity, non-domination, catastrophic-risk exposure, ecological dependence, future generations, and flourishing. Access to ethical reality spans measured fact, uncertainty-bound inference, and explicit normative commitment. These layers MUST NOT be collapsed: measured indicators may support claims, SGP may govern uncertain moral-patient evidence, and rights floors operate as declared non-compensatory commitments rather than as empirical measurements alone. Ethical reality is therefore not separate from reality; it is reality where consequence matters to beings and systems capable of being harmed, protected, dominated, liberated, degraded, or enabled to flourish.</w:t>
      </w:r>
    </w:p>
    <w:bookmarkStart w:id="50" w:name="X074d2b452dad60a8427b53bcf73c5497ba8f522"/>
    <w:p>
      <w:pPr>
        <w:pStyle w:val="Heading2"/>
      </w:pPr>
      <w:r>
        <w:t>3.1 Minimal Normative Axiom (MNA)</w:t>
      </w:r>
    </w:p>
    <w:p>
      <w:pPr>
        <w:pStyle w:val="FirstParagraph"/>
      </w:pPr>
      <w:r>
        <w:t>RippleLogic adopts one minimal normative entry axiom, then operationalizes it through governed commitments, including rights floors, tail-risk constraints, containment and structural-viability requirements, constitutional weight floors, and auditability rules. These operational commitments are explicit governance priors, not hidden mathematical derivations. The minimal entry axiom is:</w:t>
      </w:r>
    </w:p>
    <w:p>
      <w:pPr>
        <w:pStyle w:val="BodyText"/>
      </w:pPr>
      <w:r>
        <w:t>MNA: Sentient welfare and flourishing matter. Unnecessary suffering and domination should be reduced. The enabling conditions for viable, non-dominated, and continuing flourishing should be preserved.</w:t>
      </w:r>
    </w:p>
    <w:p>
      <w:pPr>
        <w:pStyle w:val="BodyText"/>
      </w:pPr>
      <w:r>
        <w:t>This axiom is:</w:t>
      </w:r>
    </w:p>
    <w:p>
      <w:pPr>
        <w:pStyle w:val="BodyText"/>
      </w:pPr>
      <w:r>
        <w:t>Content-minimal: No single "good life" doctrine is prescribed.</w:t>
      </w:r>
    </w:p>
    <w:p>
      <w:pPr>
        <w:pStyle w:val="BodyText"/>
      </w:pPr>
      <w:r>
        <w:t>Scope-bounded: Applies where sentience or welfare-relevant moral patienthood is in scope.</w:t>
      </w:r>
    </w:p>
    <w:p>
      <w:pPr>
        <w:pStyle w:val="BodyText"/>
      </w:pPr>
      <w:r>
        <w:t>Architecturally generative: The framework defines a compositional architecture, rights floor, tail-risk constraint, containment, welfare optimization, and structural safeguards, such that diverse domain-specific instantiations can be generated by declared inputs and then executed through the same cascade.</w:t>
      </w:r>
    </w:p>
    <w:p>
      <w:pPr>
        <w:pStyle w:val="BodyText"/>
      </w:pPr>
      <w:r>
        <w:t>Normatively explicit: RippleLogic does not claim to derive this axiom from mathematics alone or from descriptive facts alone.</w:t>
      </w:r>
    </w:p>
    <w:bookmarkEnd w:id="50"/>
    <w:bookmarkStart w:id="51" w:name="Xbd8e973a3f23e8a750cbd3b87b105cbcb78a0c9"/>
    <w:p>
      <w:pPr>
        <w:pStyle w:val="Heading2"/>
      </w:pPr>
      <w:r>
        <w:t>3.1A Core Definitions for the Normative Layer (Normative)</w:t>
      </w:r>
    </w:p>
    <w:p>
      <w:pPr>
        <w:pStyle w:val="FirstParagraph"/>
      </w:pPr>
      <w:r>
        <w:t>Interpretation rule: RippleLogic protects welfare-bearing subjects directly and protects enabling conditions structurally where their degradation predictably undermines welfare, rights protection, non-domination, or long-run system viability.</w:t>
      </w:r>
    </w:p>
    <w:bookmarkEnd w:id="51"/>
    <w:bookmarkStart w:id="52" w:name="X56f51db7d7d143078f7a7d60c4761469a2c4388"/>
    <w:p>
      <w:pPr>
        <w:pStyle w:val="Heading2"/>
      </w:pPr>
      <w:r>
        <w:t>3.1B Bridge Premises (Normative support; non-deductive)</w:t>
      </w:r>
    </w:p>
    <w:p>
      <w:pPr>
        <w:pStyle w:val="FirstParagraph"/>
      </w:pPr>
      <w:r>
        <w:t>The MNA is accompanied by two bridge premises that reduce arbitrariness while preserving honesty about the entry of normativity.</w:t>
      </w:r>
    </w:p>
    <w:p>
      <w:pPr>
        <w:pStyle w:val="BodyText"/>
      </w:pPr>
      <w:r>
        <w:t>Bridge Premise 1: Embedded Modelling. Any agent seeking reliable action in shared causal reality must model other stakeholders, including their interests, constraints, vulnerabilities, dependence relations, rights exposure, and, where behavior, harm, cooperation, or rights protection depend on them, welfare-relevant states and enabling conditions, to a non-trivial degree.</w:t>
      </w:r>
    </w:p>
    <w:p>
      <w:pPr>
        <w:pStyle w:val="BodyText"/>
      </w:pPr>
      <w:r>
        <w:t>Bridge Premise 2: Prudential Stability. In plural, uncertain, co-embedded systems, architectures that systematically degrade stakeholders' welfare conditions, rights floors, or shared enabling conditions increase instability, conflict, tail risk, and long-run governance failure.</w:t>
      </w:r>
    </w:p>
    <w:p>
      <w:pPr>
        <w:pStyle w:val="BodyText"/>
      </w:pPr>
      <w:r>
        <w:t>These premises do not generate obligation by deduction. They explain why welfare-tracking, rights-tracking, and enabling-condition tracking are structurally relevant to intelligence acting in shared reality.</w:t>
      </w:r>
    </w:p>
    <w:bookmarkEnd w:id="52"/>
    <w:bookmarkStart w:id="53" w:name="X89bb52cba21a7470f9edb626a22e7303e5a98dd"/>
    <w:p>
      <w:pPr>
        <w:pStyle w:val="Heading2"/>
      </w:pPr>
      <w:r>
        <w:t>3.1C Normative Commitment (Explicit final step)</w:t>
      </w:r>
    </w:p>
    <w:p>
      <w:pPr>
        <w:pStyle w:val="FirstParagraph"/>
      </w:pPr>
      <w:r>
        <w:t>RippleLogic adopts the commitment that credibly evidenced welfare-relevant states, rights-relevant states, and the enabling conditions on which they depend constitute reasons for action, not merely inputs for prediction.</w:t>
      </w:r>
    </w:p>
    <w:p>
      <w:pPr>
        <w:pStyle w:val="BodyText"/>
      </w:pPr>
      <w:r>
        <w:t>This final step, treating such states and conditions as reasons rather than mere data, remains a normative commitment, not a deductive conclusion. RippleLogic holds that this is among the narrowest defensible gaps between description and obligation currently achievable in a governance-grade framework without either claiming false deduction or retreating to brute preference, and treats closing it further as an active research question.</w:t>
      </w:r>
    </w:p>
    <w:bookmarkEnd w:id="53"/>
    <w:bookmarkStart w:id="54" w:name="X75c983472ff6f3afe7b03cf7a1f7718300fac37"/>
    <w:p>
      <w:pPr>
        <w:pStyle w:val="Heading2"/>
      </w:pPr>
      <w:r>
        <w:t>3.1D Evidence Discipline for Normative Claims (Normative)</w:t>
      </w:r>
    </w:p>
    <w:p>
      <w:pPr>
        <w:pStyle w:val="FirstParagraph"/>
      </w:pPr>
      <w:r>
        <w:t>Within RippleLogic, a putative welfare-relevant state, rights-relevant state, or enabling condition SHALL enter governance computation only through declared evidence, governed interpretation, or an explicit precautionary treatment under uncertainty appropriate to the implementation tier.</w:t>
      </w:r>
    </w:p>
    <w:p>
      <w:pPr>
        <w:pStyle w:val="BodyText"/>
      </w:pPr>
      <w:r>
        <w:t>If such a state or condition materially affects admissibility, precautionary handling, selection, or tie-break outcome, it MUST be recorded in PCC.NormativeInputRegister with sufficient provenance for independent review.</w:t>
      </w:r>
    </w:p>
    <w:p>
      <w:pPr>
        <w:pStyle w:val="BodyText"/>
      </w:pPr>
      <w:r>
        <w:t>Unsupported narrative assertion, rhetorical force, linguistic fluency, or undeclared evaluator intuition SHALL NOT by itself constitute a sufficient reason-for-action input within RippleLogic.</w:t>
      </w:r>
    </w:p>
    <w:bookmarkEnd w:id="54"/>
    <w:bookmarkStart w:id="55" w:name="X96ce2576f6777d8b17e9fdb5c7c1d5daa4b637e"/>
    <w:p>
      <w:pPr>
        <w:pStyle w:val="Heading2"/>
      </w:pPr>
      <w:r>
        <w:t>3.2 Conditional Is-Ought Bridge</w:t>
      </w:r>
    </w:p>
    <w:p>
      <w:pPr>
        <w:pStyle w:val="FirstParagraph"/>
      </w:pPr>
      <w:r>
        <w:t>RippleLogic avoids deriving values from facts by using a conditional bridge:</w:t>
      </w:r>
    </w:p>
    <w:p>
      <w:pPr>
        <w:pStyle w:val="BodyText"/>
      </w:pPr>
      <w:r>
        <w:t>IF</w:t>
      </w:r>
    </w:p>
    <w:p>
      <w:pPr>
        <w:pStyle w:val="BodyText"/>
      </w:pPr>
      <w:r>
        <w:t>(UBR) actions propagate through layered and intersecting analytical scopes,</w:t>
      </w:r>
    </w:p>
    <w:p>
      <w:pPr>
        <w:pStyle w:val="BodyText"/>
      </w:pPr>
      <w:r>
        <w:t>AND</w:t>
      </w:r>
    </w:p>
    <w:p>
      <w:pPr>
        <w:pStyle w:val="BodyText"/>
      </w:pPr>
      <w:r>
        <w:t>(MNA) sentient welfare and flourishing matter, unnecessary suffering and domination should be reduced, and the enabling conditions for viable, non-dominated, and continuing flourishing should be preserved,</w:t>
      </w:r>
    </w:p>
    <w:p>
      <w:pPr>
        <w:pStyle w:val="BodyText"/>
      </w:pPr>
      <w:r>
        <w:t>AND</w:t>
      </w:r>
    </w:p>
    <w:p>
      <w:pPr>
        <w:pStyle w:val="BodyText"/>
      </w:pPr>
      <w:r>
        <w:t>(BP1) agents operating in shared causal reality must model other stakeholders’ interests, constraints, vulnerabilities, dependence relations, rights exposure, and, where behavior, harm, cooperation, or rights protection depend on them, welfare-relevant states and enabling conditions to act reliably,</w:t>
      </w:r>
    </w:p>
    <w:p>
      <w:pPr>
        <w:pStyle w:val="BodyText"/>
      </w:pPr>
      <w:r>
        <w:t>AND</w:t>
      </w:r>
    </w:p>
    <w:p>
      <w:pPr>
        <w:pStyle w:val="BodyText"/>
      </w:pPr>
      <w:r>
        <w:t>(BP2) in plural, uncertain, co-embedded systems, systematic degradation of stakeholders’ welfare conditions, rights floors, or enabling conditions increases instability, conflict, tail risk, and long-run governance failure,</w:t>
      </w:r>
    </w:p>
    <w:p>
      <w:pPr>
        <w:pStyle w:val="BodyText"/>
      </w:pPr>
      <w:r>
        <w:t>THEN</w:t>
      </w:r>
    </w:p>
    <w:p>
      <w:pPr>
        <w:pStyle w:val="BodyText"/>
      </w:pPr>
      <w:r>
        <w:t>agents and institutions ought to evaluate choices by cross-union impacts and preservation of enabling conditions, using non-compensable rights floors, explicit tail-risk bounding, containment safeguards, and auditable welfare ranking within the feasible set.</w:t>
      </w:r>
    </w:p>
    <w:p>
      <w:pPr>
        <w:pStyle w:val="BodyText"/>
      </w:pPr>
      <w:r>
        <w:t>Normativity enters explicitly through the MNA and the final normative commitment. UBR specifies where consequences flow. BP1 and BP2 explain why welfare-tracking, rights-tracking, and enabling-condition tracking are structurally relevant to intelligence acting in shared reality. RippleLogic does not claim that the final normative step is fully deduced from description alone.</w:t>
      </w:r>
    </w:p>
    <w:bookmarkEnd w:id="55"/>
    <w:bookmarkStart w:id="56" w:name="Xda4f5f49480abc124bb3ee73494bec665d55da2"/>
    <w:p>
      <w:pPr>
        <w:pStyle w:val="Heading2"/>
      </w:pPr>
      <w:r>
        <w:t>3.2A Derived Governance Rule (Normative)</w:t>
      </w:r>
    </w:p>
    <w:p>
      <w:pPr>
        <w:pStyle w:val="FirstParagraph"/>
      </w:pPr>
      <w:r>
        <w:t>In governance contexts, RippleLogic operationalizes the above commitment through the canonical lexicographic cascade:</w:t>
      </w:r>
    </w:p>
    <w:p>
      <w:pPr>
        <w:pStyle w:val="BodyText"/>
      </w:pPr>
      <w:r>
        <w:t>A_sel := {a in O : RG_supports_claim(a) AND NCRC(a) AND TRC(a) AND CSV_status(a) in {CSV_PASS, CSV_PASS_WITH_CONTROLS, CSV_NOT_MATERIAL}}. This is the Phase 1 qualification set. If A_sel is empty, escalate, redesign, or invoke governed fallback per the canon. Otherwise Phase 2 ranks over A_sel using RLS and the declared tie-break chain.</w:t>
      </w:r>
    </w:p>
    <w:p>
      <w:pPr>
        <w:pStyle w:val="BodyText"/>
      </w:pPr>
      <w:r>
        <w:t>1. Protect rights floors first through NCRC.</w:t>
      </w:r>
    </w:p>
    <w:p>
      <w:pPr>
        <w:pStyle w:val="BodyText"/>
      </w:pPr>
      <w:r>
        <w:t>2. Bound catastrophic downside second through TRC.</w:t>
      </w:r>
    </w:p>
    <w:p>
      <w:pPr>
        <w:pStyle w:val="BodyText"/>
      </w:pPr>
      <w:r>
        <w:t>3. Block pathological containing-scope degradation through CSV as the third option-filtering gate after the RG claim-authority precondition.</w:t>
      </w:r>
    </w:p>
    <w:p>
      <w:pPr>
        <w:pStyle w:val="BodyText"/>
      </w:pPr>
      <w:r>
        <w:t>4. Rank remaining feasible options fourth through welfare scoring under declared weights, uncertainty rules, and auditability requirements.</w:t>
      </w:r>
    </w:p>
    <w:p>
      <w:pPr>
        <w:pStyle w:val="BodyText"/>
      </w:pPr>
      <w:r>
        <w:t>5. Resolve non-decisive cases structurally through UCI/HOI tie-breaks and escalation rules.</w:t>
      </w:r>
    </w:p>
    <w:p>
      <w:pPr>
        <w:pStyle w:val="BodyText"/>
      </w:pPr>
      <w:r>
        <w:t>Interpretation rule: RippleLogic does not define "ought" as unconstrained welfare maximization. It defines "ought," in governance-grade decision settings, as selection from a rights-safe, tail-bounded, containment-safe feasible set under auditable evidence and uncertainty discipline.</w:t>
      </w:r>
    </w:p>
    <w:bookmarkEnd w:id="56"/>
    <w:bookmarkStart w:id="57" w:name="X9015b63b91104a547b71e8076292c58f6ee169c"/>
    <w:p>
      <w:pPr>
        <w:pStyle w:val="Heading2"/>
      </w:pPr>
      <w:r>
        <w:t>3.2B Open Research Frontier (Informative)</w:t>
      </w:r>
    </w:p>
    <w:p>
      <w:pPr>
        <w:pStyle w:val="FirstParagraph"/>
      </w:pPr>
      <w:r>
        <w:t>An active research question remains whether sufficiently accurate multi-agent world-modelling creates deeper constitutive pressure toward non-domination and welfare protection beyond prudential stability alone. RippleLogic does not assume this as a proven result. It treats it as a frontier question concerning whether accurate modelling of shared reality may eventually narrow the remaining descriptive-to-normative gap further. Specifically, this question is tractable through empirical study of whether systems that model co-embedded agents more accurately also exhibit more stable cooperative and non-destructive behaviour, and whether omission of welfare-relevant, rights-relevant, or enabling-condition variables from world models degrades predictive performance in domains where cooperation, conflict, or harm depend on them.</w:t>
      </w:r>
    </w:p>
    <w:bookmarkEnd w:id="57"/>
    <w:bookmarkStart w:id="58" w:name="Xd5f8b60c431ad0f82a09b444119b0cd5c63a3f6"/>
    <w:p>
      <w:pPr>
        <w:pStyle w:val="Heading2"/>
      </w:pPr>
      <w:r>
        <w:t>3.3 Seven Welfare Dimensions (Canonical)</w:t>
      </w:r>
    </w:p>
    <w:tbl>
      <w:tblPr>
        <w:tblStyle w:val="Table"/>
        <w:tblW w:type="auto" w:w="0"/>
        <w:jc w:val="center"/>
        <w:tblLook w:firstRow="1" w:lastRow="0" w:firstColumn="0" w:lastColumn="0" w:noHBand="0" w:noVBand="0" w:val="0020"/>
      </w:tblPr>
      <w:tblGrid>
        <w:gridCol w:w="2640"/>
        <w:gridCol w:w="2640"/>
        <w:gridCol w:w="2640"/>
      </w:tblGrid>
      <w:tr>
        <w:trPr>
          <w:tblHeader w:val="on"/>
          <w:tblHeader w:val="true"/>
          <w:cantSplit/>
        </w:trPr>
        <w:tc>
          <w:tcPr>
            <w:vAlign w:val="top"/>
            <w:tcMar>
              <w:top w:w="70" w:type="dxa"/>
              <w:start w:w="80" w:type="dxa"/>
              <w:bottom w:w="70" w:type="dxa"/>
              <w:end w:w="80" w:type="dxa"/>
            </w:tcMar>
            <w:shd w:fill="1F4E78"/>
          </w:tcPr>
          <w:p>
            <w:pPr>
              <w:pStyle w:val="Compact"/>
              <w:jc w:val="left"/>
            </w:pPr>
            <w:r>
              <w:rPr>
                <w:rFonts w:ascii="Arial" w:hAnsi="Arial" w:eastAsia="Arial"/>
                <w:b/>
                <w:bCs/>
                <w:color w:val="FFFFFF"/>
                <w:sz w:val="16"/>
              </w:rPr>
              <w:t>Dimension</w:t>
            </w:r>
          </w:p>
        </w:tc>
        <w:tc>
          <w:tcPr>
            <w:vAlign w:val="top"/>
            <w:tcMar>
              <w:top w:w="70" w:type="dxa"/>
              <w:start w:w="80" w:type="dxa"/>
              <w:bottom w:w="70" w:type="dxa"/>
              <w:end w:w="80" w:type="dxa"/>
            </w:tcMar>
            <w:shd w:fill="1F4E78"/>
          </w:tcPr>
          <w:p>
            <w:pPr>
              <w:pStyle w:val="Compact"/>
              <w:jc w:val="left"/>
            </w:pPr>
            <w:r>
              <w:rPr>
                <w:rFonts w:ascii="Arial" w:hAnsi="Arial" w:eastAsia="Arial"/>
                <w:b/>
                <w:bCs/>
                <w:color w:val="FFFFFF"/>
                <w:sz w:val="16"/>
              </w:rPr>
              <w:t>Name</w:t>
            </w:r>
          </w:p>
        </w:tc>
        <w:tc>
          <w:tcPr>
            <w:vAlign w:val="top"/>
            <w:tcMar>
              <w:top w:w="70" w:type="dxa"/>
              <w:start w:w="80" w:type="dxa"/>
              <w:bottom w:w="70" w:type="dxa"/>
              <w:end w:w="80" w:type="dxa"/>
            </w:tcMar>
            <w:shd w:fill="1F4E78"/>
          </w:tcPr>
          <w:p>
            <w:pPr>
              <w:pStyle w:val="Compact"/>
              <w:jc w:val="left"/>
            </w:pPr>
            <w:r>
              <w:rPr>
                <w:rFonts w:ascii="Arial" w:hAnsi="Arial" w:eastAsia="Arial"/>
                <w:b/>
                <w:bCs/>
                <w:color w:val="FFFFFF"/>
                <w:sz w:val="16"/>
              </w:rPr>
              <w:t>Description</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D₁</w:t>
            </w:r>
          </w:p>
        </w:tc>
        <w:tc>
          <w:tcPr>
            <w:vAlign w:val="top"/>
            <w:tcMar>
              <w:top w:w="70" w:type="dxa"/>
              <w:start w:w="80" w:type="dxa"/>
              <w:bottom w:w="70" w:type="dxa"/>
              <w:end w:w="80" w:type="dxa"/>
            </w:tcMar>
            <w:shd w:fill="D9EAF7"/>
          </w:tcPr>
          <w:p>
            <w:pPr>
              <w:pStyle w:val="Compact"/>
              <w:jc w:val="left"/>
            </w:pPr>
            <w:r>
              <w:rPr>
                <w:rFonts w:ascii="Arial" w:hAnsi="Arial" w:eastAsia="Arial"/>
                <w:sz w:val="16"/>
              </w:rPr>
              <w:t>Material</w:t>
            </w:r>
          </w:p>
        </w:tc>
        <w:tc>
          <w:tcPr>
            <w:vAlign w:val="top"/>
            <w:tcMar>
              <w:top w:w="70" w:type="dxa"/>
              <w:start w:w="80" w:type="dxa"/>
              <w:bottom w:w="70" w:type="dxa"/>
              <w:end w:w="80" w:type="dxa"/>
            </w:tcMar>
            <w:shd w:fill="D9EAF7"/>
          </w:tcPr>
          <w:p>
            <w:pPr>
              <w:pStyle w:val="Compact"/>
              <w:jc w:val="left"/>
            </w:pPr>
            <w:r>
              <w:rPr>
                <w:rFonts w:ascii="Arial" w:hAnsi="Arial" w:eastAsia="Arial"/>
                <w:sz w:val="16"/>
              </w:rPr>
              <w:t>Resources and infrastructure for survival and functioning</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D₂</w:t>
            </w:r>
          </w:p>
        </w:tc>
        <w:tc>
          <w:tcPr>
            <w:vAlign w:val="top"/>
            <w:tcMar>
              <w:top w:w="70" w:type="dxa"/>
              <w:start w:w="80" w:type="dxa"/>
              <w:bottom w:w="70" w:type="dxa"/>
              <w:end w:w="80" w:type="dxa"/>
            </w:tcMar>
            <w:shd w:fill="FFFFFF"/>
          </w:tcPr>
          <w:p>
            <w:pPr>
              <w:pStyle w:val="Compact"/>
              <w:jc w:val="left"/>
            </w:pPr>
            <w:r>
              <w:rPr>
                <w:rFonts w:ascii="Arial" w:hAnsi="Arial" w:eastAsia="Arial"/>
                <w:sz w:val="16"/>
              </w:rPr>
              <w:t>Health</w:t>
            </w:r>
          </w:p>
        </w:tc>
        <w:tc>
          <w:tcPr>
            <w:vAlign w:val="top"/>
            <w:tcMar>
              <w:top w:w="70" w:type="dxa"/>
              <w:start w:w="80" w:type="dxa"/>
              <w:bottom w:w="70" w:type="dxa"/>
              <w:end w:w="80" w:type="dxa"/>
            </w:tcMar>
            <w:shd w:fill="FFFFFF"/>
          </w:tcPr>
          <w:p>
            <w:pPr>
              <w:pStyle w:val="Compact"/>
              <w:jc w:val="left"/>
            </w:pPr>
            <w:r>
              <w:rPr>
                <w:rFonts w:ascii="Arial" w:hAnsi="Arial" w:eastAsia="Arial"/>
                <w:sz w:val="16"/>
              </w:rPr>
              <w:t>Physical and mental functioning; morbidity and mortality risk</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D₃</w:t>
            </w:r>
          </w:p>
        </w:tc>
        <w:tc>
          <w:tcPr>
            <w:vAlign w:val="top"/>
            <w:tcMar>
              <w:top w:w="70" w:type="dxa"/>
              <w:start w:w="80" w:type="dxa"/>
              <w:bottom w:w="70" w:type="dxa"/>
              <w:end w:w="80" w:type="dxa"/>
            </w:tcMar>
            <w:shd w:fill="D9EAF7"/>
          </w:tcPr>
          <w:p>
            <w:pPr>
              <w:pStyle w:val="Compact"/>
              <w:jc w:val="left"/>
            </w:pPr>
            <w:r>
              <w:rPr>
                <w:rFonts w:ascii="Arial" w:hAnsi="Arial" w:eastAsia="Arial"/>
                <w:sz w:val="16"/>
              </w:rPr>
              <w:t>Social</w:t>
            </w:r>
          </w:p>
        </w:tc>
        <w:tc>
          <w:tcPr>
            <w:vAlign w:val="top"/>
            <w:tcMar>
              <w:top w:w="70" w:type="dxa"/>
              <w:start w:w="80" w:type="dxa"/>
              <w:bottom w:w="70" w:type="dxa"/>
              <w:end w:w="80" w:type="dxa"/>
            </w:tcMar>
            <w:shd w:fill="D9EAF7"/>
          </w:tcPr>
          <w:p>
            <w:pPr>
              <w:pStyle w:val="Compact"/>
              <w:jc w:val="left"/>
            </w:pPr>
            <w:r>
              <w:rPr>
                <w:rFonts w:ascii="Arial" w:hAnsi="Arial" w:eastAsia="Arial"/>
                <w:sz w:val="16"/>
              </w:rPr>
              <w:t>Belonging, trust, relational integrity, cooperation</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D₄</w:t>
            </w:r>
          </w:p>
        </w:tc>
        <w:tc>
          <w:tcPr>
            <w:vAlign w:val="top"/>
            <w:tcMar>
              <w:top w:w="70" w:type="dxa"/>
              <w:start w:w="80" w:type="dxa"/>
              <w:bottom w:w="70" w:type="dxa"/>
              <w:end w:w="80" w:type="dxa"/>
            </w:tcMar>
            <w:shd w:fill="FFFFFF"/>
          </w:tcPr>
          <w:p>
            <w:pPr>
              <w:pStyle w:val="Compact"/>
              <w:jc w:val="left"/>
            </w:pPr>
            <w:r>
              <w:rPr>
                <w:rFonts w:ascii="Arial" w:hAnsi="Arial" w:eastAsia="Arial"/>
                <w:sz w:val="16"/>
              </w:rPr>
              <w:t>Knowledge</w:t>
            </w:r>
          </w:p>
        </w:tc>
        <w:tc>
          <w:tcPr>
            <w:vAlign w:val="top"/>
            <w:tcMar>
              <w:top w:w="70" w:type="dxa"/>
              <w:start w:w="80" w:type="dxa"/>
              <w:bottom w:w="70" w:type="dxa"/>
              <w:end w:w="80" w:type="dxa"/>
            </w:tcMar>
            <w:shd w:fill="FFFFFF"/>
          </w:tcPr>
          <w:p>
            <w:pPr>
              <w:pStyle w:val="Compact"/>
              <w:jc w:val="left"/>
            </w:pPr>
            <w:r>
              <w:rPr>
                <w:rFonts w:ascii="Arial" w:hAnsi="Arial" w:eastAsia="Arial"/>
                <w:sz w:val="16"/>
              </w:rPr>
              <w:t>Epistemic access and learning conditions</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D₅</w:t>
            </w:r>
          </w:p>
        </w:tc>
        <w:tc>
          <w:tcPr>
            <w:vAlign w:val="top"/>
            <w:tcMar>
              <w:top w:w="70" w:type="dxa"/>
              <w:start w:w="80" w:type="dxa"/>
              <w:bottom w:w="70" w:type="dxa"/>
              <w:end w:w="80" w:type="dxa"/>
            </w:tcMar>
            <w:shd w:fill="D9EAF7"/>
          </w:tcPr>
          <w:p>
            <w:pPr>
              <w:pStyle w:val="Compact"/>
              <w:jc w:val="left"/>
            </w:pPr>
            <w:r>
              <w:rPr>
                <w:rFonts w:ascii="Arial" w:hAnsi="Arial" w:eastAsia="Arial"/>
                <w:sz w:val="16"/>
              </w:rPr>
              <w:t>Agency</w:t>
            </w:r>
          </w:p>
        </w:tc>
        <w:tc>
          <w:tcPr>
            <w:vAlign w:val="top"/>
            <w:tcMar>
              <w:top w:w="70" w:type="dxa"/>
              <w:start w:w="80" w:type="dxa"/>
              <w:bottom w:w="70" w:type="dxa"/>
              <w:end w:w="80" w:type="dxa"/>
            </w:tcMar>
            <w:shd w:fill="D9EAF7"/>
          </w:tcPr>
          <w:p>
            <w:pPr>
              <w:pStyle w:val="Compact"/>
              <w:jc w:val="left"/>
            </w:pPr>
            <w:r>
              <w:rPr>
                <w:rFonts w:ascii="Arial" w:hAnsi="Arial" w:eastAsia="Arial"/>
                <w:sz w:val="16"/>
              </w:rPr>
              <w:t>Autonomy and effective choice; freedom from coercion</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D₆</w:t>
            </w:r>
          </w:p>
        </w:tc>
        <w:tc>
          <w:tcPr>
            <w:vAlign w:val="top"/>
            <w:tcMar>
              <w:top w:w="70" w:type="dxa"/>
              <w:start w:w="80" w:type="dxa"/>
              <w:bottom w:w="70" w:type="dxa"/>
              <w:end w:w="80" w:type="dxa"/>
            </w:tcMar>
            <w:shd w:fill="FFFFFF"/>
          </w:tcPr>
          <w:p>
            <w:pPr>
              <w:pStyle w:val="Compact"/>
              <w:jc w:val="left"/>
            </w:pPr>
            <w:r>
              <w:rPr>
                <w:rFonts w:ascii="Arial" w:hAnsi="Arial" w:eastAsia="Arial"/>
                <w:sz w:val="16"/>
              </w:rPr>
              <w:t>Meaning</w:t>
            </w:r>
          </w:p>
        </w:tc>
        <w:tc>
          <w:tcPr>
            <w:vAlign w:val="top"/>
            <w:tcMar>
              <w:top w:w="70" w:type="dxa"/>
              <w:start w:w="80" w:type="dxa"/>
              <w:bottom w:w="70" w:type="dxa"/>
              <w:end w:w="80" w:type="dxa"/>
            </w:tcMar>
            <w:shd w:fill="FFFFFF"/>
          </w:tcPr>
          <w:p>
            <w:pPr>
              <w:pStyle w:val="Compact"/>
              <w:jc w:val="left"/>
            </w:pPr>
            <w:r>
              <w:rPr>
                <w:rFonts w:ascii="Arial" w:hAnsi="Arial" w:eastAsia="Arial"/>
                <w:sz w:val="16"/>
              </w:rPr>
              <w:t>Coherence, purpose, valued life projects (measured cautiously)</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D₇</w:t>
            </w:r>
          </w:p>
        </w:tc>
        <w:tc>
          <w:tcPr>
            <w:vAlign w:val="top"/>
            <w:tcMar>
              <w:top w:w="70" w:type="dxa"/>
              <w:start w:w="80" w:type="dxa"/>
              <w:bottom w:w="70" w:type="dxa"/>
              <w:end w:w="80" w:type="dxa"/>
            </w:tcMar>
            <w:shd w:fill="D9EAF7"/>
          </w:tcPr>
          <w:p>
            <w:pPr>
              <w:pStyle w:val="Compact"/>
              <w:jc w:val="left"/>
            </w:pPr>
            <w:r>
              <w:rPr>
                <w:rFonts w:ascii="Arial" w:hAnsi="Arial" w:eastAsia="Arial"/>
                <w:sz w:val="16"/>
              </w:rPr>
              <w:t>Environment</w:t>
            </w:r>
          </w:p>
        </w:tc>
        <w:tc>
          <w:tcPr>
            <w:vAlign w:val="top"/>
            <w:tcMar>
              <w:top w:w="70" w:type="dxa"/>
              <w:start w:w="80" w:type="dxa"/>
              <w:bottom w:w="70" w:type="dxa"/>
              <w:end w:w="80" w:type="dxa"/>
            </w:tcMar>
            <w:shd w:fill="D9EAF7"/>
          </w:tcPr>
          <w:p>
            <w:pPr>
              <w:pStyle w:val="Compact"/>
              <w:jc w:val="left"/>
            </w:pPr>
            <w:r>
              <w:rPr>
                <w:rFonts w:ascii="Arial" w:hAnsi="Arial" w:eastAsia="Arial"/>
                <w:sz w:val="16"/>
              </w:rPr>
              <w:t>Ecological and built context integrity sustaining life</w:t>
            </w:r>
          </w:p>
        </w:tc>
      </w:tr>
    </w:tbl>
    <w:p>
      <w:pPr>
        <w:pStyle w:val="BodyText"/>
      </w:pPr>
      <w:r>
        <w:t>This seven-dimensional choice is a convergence architecture rather than a claim of metaphysical completeness. It aligns with the capability approach (Sen, 1999; Nussbaum, 2011), self-determination theory (Ryan &amp; Deci, 2000), and fundamental human needs theory (Max-Neef, 1991), while also capturing ecological integrity as a life-support substrate consistent with Earth-system boundary research (Rockström et al., 2009, 2023).</w:t>
      </w:r>
    </w:p>
    <w:bookmarkEnd w:id="58"/>
    <w:bookmarkStart w:id="59" w:name="X96c335cd62872d9a7e152c1bcafdeffd99a3564"/>
    <w:p>
      <w:pPr>
        <w:pStyle w:val="Heading2"/>
      </w:pPr>
      <w:r>
        <w:t>3.4 Non-Fungibility at Rights Level</w:t>
      </w:r>
    </w:p>
    <w:p>
      <w:pPr>
        <w:pStyle w:val="FirstParagraph"/>
      </w:pPr>
      <w:r>
        <w:t>Dimensions are treated as non-fungible at the rights layer: gains in one dimension MUST NOT compensate rights-floor violations in another. This is enforced structurally by NCRC (Section 7), not by weight tuning.</w:t>
      </w:r>
    </w:p>
    <w:bookmarkEnd w:id="59"/>
    <w:bookmarkStart w:id="60" w:name="Xd9df6d5c088ae7b96c0b46595e0d1bfc399284e"/>
    <w:p>
      <w:pPr>
        <w:pStyle w:val="Heading2"/>
      </w:pPr>
      <w:r>
        <w:t>3.5 Unioning (Enacted Practice)</w:t>
      </w:r>
    </w:p>
    <w:p>
      <w:pPr>
        <w:pStyle w:val="FirstParagraph"/>
      </w:pPr>
      <w:r>
        <w:t>Unioning = redesigning decisions until they are rights-safe (NCRC), tail-safe (TRC), containment-safe, and net-positive across unions under declared uncertainty policy, treating apparent "tradeoffs" as design failures before acceptance.</w:t>
      </w:r>
    </w:p>
    <w:p>
      <w:pPr>
        <w:pStyle w:val="BodyText"/>
      </w:pPr>
      <w:r>
        <w:t>Unioning worked example (Non-Normative)</w:t>
      </w:r>
    </w:p>
    <w:p>
      <w:pPr>
        <w:pStyle w:val="BodyText"/>
      </w:pPr>
      <w:r>
        <w:t>Scenario. An organization considers cutting safety training to reduce costs. Initial estimate shows a small material benefit in U4 Organization D1, but a credible safety degradation in U4 D2 and a dignity/procedure risk in U4 D6/D5. Under NCRC, any rights-covered violation depth v_r(a)&gt;0 fails admissibility regardless of aggregate gains.</w:t>
      </w:r>
    </w:p>
    <w:p>
      <w:pPr>
        <w:pStyle w:val="BodyText"/>
      </w:pPr>
      <w:r>
        <w:t>Step 1, fail. Option A fails NCRC due to increased probability of serious injury and due-process erosion. It is rejected even if it would raise RLS.</w:t>
      </w:r>
    </w:p>
    <w:p>
      <w:pPr>
        <w:pStyle w:val="BodyText"/>
      </w:pPr>
      <w:r>
        <w:t>Step 2, redesign. The team introduces Option B, maintain safety training, add targeted efficiency changes elsewhere, and add a transparent incident-reporting and remediation pathway. This shifts the harmful impacts above the rights floor while preserving most of the intended cost reduction through non-harmful channels.</w:t>
      </w:r>
    </w:p>
    <w:p>
      <w:pPr>
        <w:pStyle w:val="BodyText"/>
      </w:pPr>
      <w:r>
        <w:t>Step 3, pass and select. Option B passes NCRC, passes TRC and CSV, then competes on RLS among admissible options. The PCC records the redesign rationale and the rights-floor reasoning, so the improvement is legible and replayable.</w:t>
      </w:r>
    </w:p>
    <w:bookmarkEnd w:id="60"/>
    <w:bookmarkStart w:id="61" w:name="Xa06069e8e97e8fefbc64f508aa7ce6f433bcb4e"/>
    <w:p>
      <w:pPr>
        <w:pStyle w:val="Heading2"/>
      </w:pPr>
      <w:r>
        <w:t>3.6 NCAR Learning Loop (Corrigibility Requirement)</w:t>
      </w:r>
    </w:p>
    <w:p>
      <w:pPr>
        <w:pStyle w:val="FirstParagraph"/>
      </w:pPr>
      <w:r>
        <w:t>RippleLogic is embedded in Notice, Choose, Act, Reflect. The system is corrigible: it records assumptions and outcomes, updates kernels and parameters via governed procedures, and preserves accountability through versioned PCCs.</w:t>
      </w:r>
    </w:p>
    <w:bookmarkEnd w:id="61"/>
    <w:bookmarkEnd w:id="62"/>
    <w:bookmarkStart w:id="80" w:name="Xa0639dfba04952623bf5ffd0c96f65572183032"/>
    <w:p>
      <w:pPr>
        <w:pStyle w:val="Heading1"/>
      </w:pPr>
      <w:r>
        <w:t>SECTION 4: SYSTEM OVERVIEW: THE RIPPLELOGIC ARCHITECTURE</w:t>
      </w:r>
    </w:p>
    <w:p>
      <w:pPr>
        <w:pStyle w:val="FirstParagraph"/>
      </w:pPr>
      <w:r>
        <w:t>Public method. RippleLogic SHOULD be taught and implemented at the public level as:</w:t>
      </w:r>
    </w:p>
    <w:p>
      <w:pPr>
        <w:pStyle w:val="BodyText"/>
      </w:pPr>
      <w:r>
        <w:t>Reality Grounding -&gt; Rights Floor -&gt; TRC -&gt; CSV -&gt; RLS</w:t>
      </w:r>
    </w:p>
    <w:p>
      <w:pPr>
        <w:pStyle w:val="BodyText"/>
      </w:pPr>
      <w:r>
        <w:t>Human mnemonic:</w:t>
      </w:r>
    </w:p>
    <w:p>
      <w:pPr>
        <w:pStyle w:val="BodyText"/>
      </w:pPr>
      <w:r>
        <w:t>Ground -&gt; Protect -&gt; Bound -&gt; Contain/Verify -&gt; Score</w:t>
      </w:r>
    </w:p>
    <w:p>
      <w:pPr>
        <w:pStyle w:val="BodyText"/>
      </w:pPr>
      <w:r>
        <w:t>Formal method. In formal notation and audit surfaces, this corresponds to: RG/RSG -&gt; RF/NCRC -&gt; TRC -&gt; CSV -&gt; RLS, where RG is Reality Grounding and RSG is the reality-surface grounding implementation record.</w:t>
      </w:r>
    </w:p>
    <w:p>
      <w:pPr>
        <w:pStyle w:val="BodyText"/>
      </w:pPr>
      <w:r>
        <w:t>Clarification. Reality Grounding is a claim-authority precondition, not an option-rejecting gate. RF/NCRC, TRC, and CSV gate admissibility and selectability. RLS ranks the selectable set. The five-level method therefore consists of one claim-authority precondition (RG), three hard feasibility/selectability gates (RF/NCRC, TRC, CSV), and one residual ranking layer (RLS).</w:t>
      </w:r>
    </w:p>
    <w:p>
      <w:pPr>
        <w:pStyle w:val="BodyText"/>
      </w:pPr>
      <w:r>
        <w:t>Two-phase decision model. The five-level method may be taught and implemented as two phases without changing the cascade.</w:t>
      </w:r>
      <w:r>
        <w:t xml:space="preserve"> </w:t>
      </w:r>
      <w:r>
        <w:rPr>
          <w:b/>
          <w:bCs/>
        </w:rPr>
        <w:t>Phase 1 qualifies options:</w:t>
      </w:r>
      <w:r>
        <w:t xml:space="preserve"> </w:t>
      </w:r>
      <w:r>
        <w:t>RG establishes claim authority; RF/NCRC protects rights; TRC bounds ruin; CSV verifies containment and structural viability.</w:t>
      </w:r>
      <w:r>
        <w:t xml:space="preserve"> </w:t>
      </w:r>
      <w:r>
        <w:rPr>
          <w:b/>
          <w:bCs/>
        </w:rPr>
        <w:t>Phase 2 ranks survivors:</w:t>
      </w:r>
      <w:r>
        <w:t xml:space="preserve"> </w:t>
      </w:r>
      <w:r>
        <w:t>RLS orders only the options that remain selectable after Phase 1.</w:t>
      </w:r>
    </w:p>
    <w:p>
      <w:pPr>
        <w:pStyle w:val="BodyText"/>
      </w:pPr>
      <w:r>
        <w:t>Qualification-before-ranking rule. Do not score fantasy, rights violations, ruin paths, or structurally non-viable options as ordinary alternatives. RLS is applied only to the selectable set produced by RG/RSG, RF/NCRC, TRC, and CSV.</w:t>
      </w:r>
    </w:p>
    <w:p>
      <w:pPr>
        <w:pStyle w:val="BodyText"/>
      </w:pPr>
      <w:r>
        <w:t>TRC/CSV non-collapse rule. TRC is the ruin veto: it asks whether catastrophic, irreversible, lock-in, systemic, or ruin-path downside is acceptably bounded. CSV is the viability and control test: it asks whether an option can structurally stand, execute, remain contained, preserve dependencies, maintain monitoring, and remain governable under real constraints. CSV may discover a TRC-relevant scenario, but it does not absorb TRC. If CSV identifies a new ruin path, TRC MUST be reopened before RLS.</w:t>
      </w:r>
    </w:p>
    <w:p>
      <w:pPr>
        <w:pStyle w:val="BodyText"/>
      </w:pPr>
      <w:r>
        <w:t>Level 1, Reality Grounding (RG/RSG). Declare the reality surface, evidence trace, material unknowns, transition boundary, consequence pathways, category boundaries, and claim boundary. If grounding is insufficient for a material claim, narrow, escalate, mark exploratory, or refuse the stronger claim.</w:t>
      </w:r>
    </w:p>
    <w:p>
      <w:pPr>
        <w:pStyle w:val="BodyText"/>
      </w:pPr>
      <w:r>
        <w:t>Level 2, Rights Floor (RF/NCRC). Apply the Non-Compensatory Rights Constraint. Rights-floor harms are non-compensatory and cannot be rescued by welfare score.</w:t>
      </w:r>
    </w:p>
    <w:p>
      <w:pPr>
        <w:pStyle w:val="BodyText"/>
      </w:pPr>
      <w:r>
        <w:t>Level 3, TRC / Tail-Risk Bound. Apply the Tail-Risk Constraint. Catastrophic or unbounded downside cannot be averaged into ordinary welfare gains.</w:t>
      </w:r>
    </w:p>
    <w:p>
      <w:pPr>
        <w:pStyle w:val="BodyText"/>
      </w:pPr>
      <w:r>
        <w:t>Level 4, CSV / Containment and Structural Viability. Apply the CSV gate. CSV asks whether the option's local gain can stand without unacceptably damaging, hollowing, overloading, exploiting, or depending on the larger systems that make the gain possible. UCI/HOI and related structural diagnostics are evaluated inside CSV when material. Structural Viability is explicit inside CSV: resource closure, dependency closure, endpoint/reversibility coherence, operational capacity non-exceedance, and internal non-contradiction.</w:t>
      </w:r>
    </w:p>
    <w:p>
      <w:pPr>
        <w:pStyle w:val="BodyText"/>
      </w:pPr>
      <w:r>
        <w:t>Level 5, RLS / RippleLogic Score. Rank only the options that remain selectable. If RLS is tied, close, or non-decisive, apply the special-case tie-break rule using residual UCI/HOI where available or return REFUSE_DETERMINISTIC_SELECTION.</w:t>
      </w:r>
    </w:p>
    <w:p>
      <w:pPr>
        <w:pStyle w:val="BodyText"/>
      </w:pPr>
      <w:r>
        <w:t>Mantra. Ground -&gt; Protect -&gt; Bound -&gt; Contain/Verify -&gt; Score.</w:t>
      </w:r>
    </w:p>
    <w:tbl>
      <w:tblPr>
        <w:tblStyle w:val="Table"/>
        <w:tblW w:type="auto" w:w="0"/>
        <w:jc w:val="center"/>
        <w:tblLook w:firstRow="1" w:lastRow="0" w:firstColumn="0" w:lastColumn="0" w:noHBand="0" w:noVBand="0" w:val="0020"/>
      </w:tblPr>
      <w:tblGrid>
        <w:gridCol w:w="2640"/>
        <w:gridCol w:w="2640"/>
        <w:gridCol w:w="2640"/>
      </w:tblGrid>
      <w:tr>
        <w:trPr>
          <w:tblHeader w:val="on"/>
          <w:tblHeader w:val="true"/>
          <w:cantSplit/>
        </w:trPr>
        <w:tc>
          <w:tcPr>
            <w:vAlign w:val="top"/>
            <w:tcMar>
              <w:top w:w="70" w:type="dxa"/>
              <w:start w:w="80" w:type="dxa"/>
              <w:bottom w:w="70" w:type="dxa"/>
              <w:end w:w="80" w:type="dxa"/>
            </w:tcMar>
            <w:shd w:fill="1F4E78"/>
          </w:tcPr>
          <w:p>
            <w:pPr>
              <w:pStyle w:val="Compact"/>
              <w:jc w:val="left"/>
            </w:pPr>
            <w:r>
              <w:rPr>
                <w:rFonts w:ascii="Arial" w:hAnsi="Arial" w:eastAsia="Arial"/>
                <w:b/>
                <w:bCs/>
                <w:color w:val="FFFFFF"/>
                <w:sz w:val="16"/>
              </w:rPr>
              <w:t>Layer</w:t>
            </w:r>
          </w:p>
        </w:tc>
        <w:tc>
          <w:tcPr>
            <w:vAlign w:val="top"/>
            <w:tcMar>
              <w:top w:w="70" w:type="dxa"/>
              <w:start w:w="80" w:type="dxa"/>
              <w:bottom w:w="70" w:type="dxa"/>
              <w:end w:w="80" w:type="dxa"/>
            </w:tcMar>
            <w:shd w:fill="1F4E78"/>
          </w:tcPr>
          <w:p>
            <w:pPr>
              <w:pStyle w:val="Compact"/>
              <w:jc w:val="left"/>
            </w:pPr>
            <w:r>
              <w:rPr>
                <w:rFonts w:ascii="Arial" w:hAnsi="Arial" w:eastAsia="Arial"/>
                <w:b/>
                <w:bCs/>
                <w:color w:val="FFFFFF"/>
                <w:sz w:val="16"/>
              </w:rPr>
              <w:t>Question answered</w:t>
            </w:r>
          </w:p>
        </w:tc>
        <w:tc>
          <w:tcPr>
            <w:vAlign w:val="top"/>
            <w:tcMar>
              <w:top w:w="70" w:type="dxa"/>
              <w:start w:w="80" w:type="dxa"/>
              <w:bottom w:w="70" w:type="dxa"/>
              <w:end w:w="80" w:type="dxa"/>
            </w:tcMar>
            <w:shd w:fill="1F4E78"/>
          </w:tcPr>
          <w:p>
            <w:pPr>
              <w:pStyle w:val="Compact"/>
              <w:jc w:val="left"/>
            </w:pPr>
            <w:r>
              <w:rPr>
                <w:rFonts w:ascii="Arial" w:hAnsi="Arial" w:eastAsia="Arial"/>
                <w:b/>
                <w:bCs/>
                <w:color w:val="FFFFFF"/>
                <w:sz w:val="16"/>
              </w:rPr>
              <w:t>Output</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RG / Reality Grounding</w:t>
            </w:r>
          </w:p>
        </w:tc>
        <w:tc>
          <w:tcPr>
            <w:vAlign w:val="top"/>
            <w:tcMar>
              <w:top w:w="70" w:type="dxa"/>
              <w:start w:w="80" w:type="dxa"/>
              <w:bottom w:w="70" w:type="dxa"/>
              <w:end w:w="80" w:type="dxa"/>
            </w:tcMar>
            <w:shd w:fill="D9EAF7"/>
          </w:tcPr>
          <w:p>
            <w:pPr>
              <w:pStyle w:val="Compact"/>
              <w:jc w:val="left"/>
            </w:pPr>
            <w:r>
              <w:rPr>
                <w:rFonts w:ascii="Arial" w:hAnsi="Arial" w:eastAsia="Arial"/>
                <w:sz w:val="16"/>
              </w:rPr>
              <w:t>What reality surface, evidence trace, unknowns, transition boundary, consequence pathways, category boundaries, and claim boundary support this run?</w:t>
            </w:r>
          </w:p>
        </w:tc>
        <w:tc>
          <w:tcPr>
            <w:vAlign w:val="top"/>
            <w:tcMar>
              <w:top w:w="70" w:type="dxa"/>
              <w:start w:w="80" w:type="dxa"/>
              <w:bottom w:w="70" w:type="dxa"/>
              <w:end w:w="80" w:type="dxa"/>
            </w:tcMar>
            <w:shd w:fill="D9EAF7"/>
          </w:tcPr>
          <w:p>
            <w:pPr>
              <w:pStyle w:val="Compact"/>
              <w:jc w:val="left"/>
            </w:pPr>
            <w:r>
              <w:rPr>
                <w:rFonts w:ascii="Arial" w:hAnsi="Arial" w:eastAsia="Arial"/>
                <w:sz w:val="16"/>
              </w:rPr>
              <w:t>Grounded, narrowed, escalated, exploratory, or refused.</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NCRC</w:t>
            </w:r>
          </w:p>
        </w:tc>
        <w:tc>
          <w:tcPr>
            <w:vAlign w:val="top"/>
            <w:tcMar>
              <w:top w:w="70" w:type="dxa"/>
              <w:start w:w="80" w:type="dxa"/>
              <w:bottom w:w="70" w:type="dxa"/>
              <w:end w:w="80" w:type="dxa"/>
            </w:tcMar>
            <w:shd w:fill="FFFFFF"/>
          </w:tcPr>
          <w:p>
            <w:pPr>
              <w:pStyle w:val="Compact"/>
              <w:jc w:val="left"/>
            </w:pPr>
            <w:r>
              <w:rPr>
                <w:rFonts w:ascii="Arial" w:hAnsi="Arial" w:eastAsia="Arial"/>
                <w:sz w:val="16"/>
              </w:rPr>
              <w:t>Does the option violate a non-compensatory rights floor?</w:t>
            </w:r>
          </w:p>
        </w:tc>
        <w:tc>
          <w:tcPr>
            <w:vAlign w:val="top"/>
            <w:tcMar>
              <w:top w:w="70" w:type="dxa"/>
              <w:start w:w="80" w:type="dxa"/>
              <w:bottom w:w="70" w:type="dxa"/>
              <w:end w:w="80" w:type="dxa"/>
            </w:tcMar>
            <w:shd w:fill="FFFFFF"/>
          </w:tcPr>
          <w:p>
            <w:pPr>
              <w:pStyle w:val="Compact"/>
              <w:jc w:val="left"/>
            </w:pPr>
            <w:r>
              <w:rPr>
                <w:rFonts w:ascii="Arial" w:hAnsi="Arial" w:eastAsia="Arial"/>
                <w:sz w:val="16"/>
              </w:rPr>
              <w:t>Rights-admissible or rejected.</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TRC</w:t>
            </w:r>
          </w:p>
        </w:tc>
        <w:tc>
          <w:tcPr>
            <w:vAlign w:val="top"/>
            <w:tcMar>
              <w:top w:w="70" w:type="dxa"/>
              <w:start w:w="80" w:type="dxa"/>
              <w:bottom w:w="70" w:type="dxa"/>
              <w:end w:w="80" w:type="dxa"/>
            </w:tcMar>
            <w:shd w:fill="D9EAF7"/>
          </w:tcPr>
          <w:p>
            <w:pPr>
              <w:pStyle w:val="Compact"/>
              <w:jc w:val="left"/>
            </w:pPr>
            <w:r>
              <w:rPr>
                <w:rFonts w:ascii="Arial" w:hAnsi="Arial" w:eastAsia="Arial"/>
                <w:sz w:val="16"/>
              </w:rPr>
              <w:t>Is catastrophic tail risk acceptably bounded?</w:t>
            </w:r>
          </w:p>
        </w:tc>
        <w:tc>
          <w:tcPr>
            <w:vAlign w:val="top"/>
            <w:tcMar>
              <w:top w:w="70" w:type="dxa"/>
              <w:start w:w="80" w:type="dxa"/>
              <w:bottom w:w="70" w:type="dxa"/>
              <w:end w:w="80" w:type="dxa"/>
            </w:tcMar>
            <w:shd w:fill="D9EAF7"/>
          </w:tcPr>
          <w:p>
            <w:pPr>
              <w:pStyle w:val="Compact"/>
              <w:jc w:val="left"/>
            </w:pPr>
            <w:r>
              <w:rPr>
                <w:rFonts w:ascii="Arial" w:hAnsi="Arial" w:eastAsia="Arial"/>
                <w:sz w:val="16"/>
              </w:rPr>
              <w:t>Admissible or rejected.</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CSV</w:t>
            </w:r>
          </w:p>
        </w:tc>
        <w:tc>
          <w:tcPr>
            <w:vAlign w:val="top"/>
            <w:tcMar>
              <w:top w:w="70" w:type="dxa"/>
              <w:start w:w="80" w:type="dxa"/>
              <w:bottom w:w="70" w:type="dxa"/>
              <w:end w:w="80" w:type="dxa"/>
            </w:tcMar>
            <w:shd w:fill="FFFFFF"/>
          </w:tcPr>
          <w:p>
            <w:pPr>
              <w:pStyle w:val="Compact"/>
              <w:jc w:val="left"/>
            </w:pPr>
            <w:r>
              <w:rPr>
                <w:rFonts w:ascii="Arial" w:hAnsi="Arial" w:eastAsia="Arial"/>
                <w:sz w:val="16"/>
              </w:rPr>
              <w:t>Can the option deliver its claimed good without uncontained harm, hollowing, lock-in, structural non-viability, or degrading containing systems beyond tolerance?</w:t>
            </w:r>
          </w:p>
        </w:tc>
        <w:tc>
          <w:tcPr>
            <w:vAlign w:val="top"/>
            <w:tcMar>
              <w:top w:w="70" w:type="dxa"/>
              <w:start w:w="80" w:type="dxa"/>
              <w:bottom w:w="70" w:type="dxa"/>
              <w:end w:w="80" w:type="dxa"/>
            </w:tcMar>
            <w:shd w:fill="FFFFFF"/>
          </w:tcPr>
          <w:p>
            <w:pPr>
              <w:pStyle w:val="Compact"/>
              <w:jc w:val="left"/>
            </w:pPr>
            <w:r>
              <w:rPr>
                <w:rFonts w:ascii="Arial" w:hAnsi="Arial" w:eastAsia="Arial"/>
                <w:sz w:val="16"/>
              </w:rPr>
              <w:t>Selectable, pass with controls, redesign required, emergency provisional, excluded, or escalated.</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RLS</w:t>
            </w:r>
          </w:p>
        </w:tc>
        <w:tc>
          <w:tcPr>
            <w:vAlign w:val="top"/>
            <w:tcMar>
              <w:top w:w="70" w:type="dxa"/>
              <w:start w:w="80" w:type="dxa"/>
              <w:bottom w:w="70" w:type="dxa"/>
              <w:end w:w="80" w:type="dxa"/>
            </w:tcMar>
            <w:shd w:fill="D9EAF7"/>
          </w:tcPr>
          <w:p>
            <w:pPr>
              <w:pStyle w:val="Compact"/>
              <w:jc w:val="left"/>
            </w:pPr>
            <w:r>
              <w:rPr>
                <w:rFonts w:ascii="Arial" w:hAnsi="Arial" w:eastAsia="Arial"/>
                <w:sz w:val="16"/>
              </w:rPr>
              <w:t>Among selectable options, which has the strongest residual welfare pattern?</w:t>
            </w:r>
          </w:p>
        </w:tc>
        <w:tc>
          <w:tcPr>
            <w:vAlign w:val="top"/>
            <w:tcMar>
              <w:top w:w="70" w:type="dxa"/>
              <w:start w:w="80" w:type="dxa"/>
              <w:bottom w:w="70" w:type="dxa"/>
              <w:end w:w="80" w:type="dxa"/>
            </w:tcMar>
            <w:shd w:fill="D9EAF7"/>
          </w:tcPr>
          <w:p>
            <w:pPr>
              <w:pStyle w:val="Compact"/>
              <w:jc w:val="left"/>
            </w:pPr>
            <w:r>
              <w:rPr>
                <w:rFonts w:ascii="Arial" w:hAnsi="Arial" w:eastAsia="Arial"/>
                <w:sz w:val="16"/>
              </w:rPr>
              <w:t>Ranked selectable options.</w:t>
            </w:r>
          </w:p>
        </w:tc>
      </w:tr>
    </w:tbl>
    <w:bookmarkStart w:id="63" w:name="X8cf59ec2d0f382cf947ac940e7d2a02f4d4f8b5"/>
    <w:p>
      <w:pPr>
        <w:pStyle w:val="Heading2"/>
      </w:pPr>
      <w:r>
        <w:t>4.1 Formal Definition</w:t>
      </w:r>
    </w:p>
    <w:p>
      <w:pPr>
        <w:pStyle w:val="FirstParagraph"/>
      </w:pPr>
      <w:r>
        <w:t>RippleLogic is a rights-first, tail-risk-bounded, union-based decision optimization system with explicit ripple propagation, auditable scoring, and corrigible learning. It is designed to prevent three common governance failures: rights being traded away by aggregate welfare gains, catastrophic downside being averaged away by expected-value logic, and local optimization degrading larger containing systems.</w:t>
      </w:r>
    </w:p>
    <w:bookmarkEnd w:id="63"/>
    <w:bookmarkStart w:id="64" w:name="Xf844ca91169ad65e47de17d213b62cfefcfc0b5"/>
    <w:p>
      <w:pPr>
        <w:pStyle w:val="Heading2"/>
      </w:pPr>
      <w:r>
        <w:t>4.2 Core Objects and Implementable Data Structures</w:t>
      </w:r>
    </w:p>
    <w:p>
      <w:pPr>
        <w:pStyle w:val="FirstParagraph"/>
      </w:pPr>
      <w:r>
        <w:t>Every RippleLogic run works from declared objects. These are not decorative labels; they are the minimum data surfaces that make the decision auditable, reproducible, and challengeable.</w:t>
      </w:r>
    </w:p>
    <w:tbl>
      <w:tblPr>
        <w:tblStyle w:val="Table"/>
        <w:tblW w:type="auto" w:w="0"/>
        <w:jc w:val="center"/>
        <w:tblLook w:firstRow="1" w:lastRow="0" w:firstColumn="0" w:lastColumn="0" w:noHBand="0" w:noVBand="0" w:val="0020"/>
      </w:tblPr>
      <w:tblGrid>
        <w:gridCol w:w="3960"/>
        <w:gridCol w:w="3960"/>
      </w:tblGrid>
      <w:tr>
        <w:trPr>
          <w:tblHeader w:val="on"/>
          <w:tblHeader w:val="true"/>
          <w:cantSplit/>
        </w:trPr>
        <w:tc>
          <w:tcPr>
            <w:vAlign w:val="top"/>
            <w:tcMar>
              <w:top w:w="70" w:type="dxa"/>
              <w:start w:w="80" w:type="dxa"/>
              <w:bottom w:w="70" w:type="dxa"/>
              <w:end w:w="80" w:type="dxa"/>
            </w:tcMar>
            <w:shd w:fill="1F4E78"/>
          </w:tcPr>
          <w:p>
            <w:pPr>
              <w:pStyle w:val="Compact"/>
              <w:jc w:val="left"/>
            </w:pPr>
            <w:r>
              <w:rPr>
                <w:rFonts w:ascii="Arial" w:hAnsi="Arial" w:eastAsia="Arial"/>
                <w:b/>
                <w:bCs/>
                <w:color w:val="FFFFFF"/>
                <w:sz w:val="16"/>
              </w:rPr>
              <w:t>Object</w:t>
            </w:r>
          </w:p>
        </w:tc>
        <w:tc>
          <w:tcPr>
            <w:vAlign w:val="top"/>
            <w:tcMar>
              <w:top w:w="70" w:type="dxa"/>
              <w:start w:w="80" w:type="dxa"/>
              <w:bottom w:w="70" w:type="dxa"/>
              <w:end w:w="80" w:type="dxa"/>
            </w:tcMar>
            <w:shd w:fill="1F4E78"/>
          </w:tcPr>
          <w:p>
            <w:pPr>
              <w:pStyle w:val="Compact"/>
              <w:jc w:val="left"/>
            </w:pPr>
            <w:r>
              <w:rPr>
                <w:rFonts w:ascii="Arial" w:hAnsi="Arial" w:eastAsia="Arial"/>
                <w:b/>
                <w:bCs/>
                <w:color w:val="FFFFFF"/>
                <w:sz w:val="16"/>
              </w:rPr>
              <w:t>Description</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Option set O</w:t>
            </w:r>
          </w:p>
        </w:tc>
        <w:tc>
          <w:tcPr>
            <w:vAlign w:val="top"/>
            <w:tcMar>
              <w:top w:w="70" w:type="dxa"/>
              <w:start w:w="80" w:type="dxa"/>
              <w:bottom w:w="70" w:type="dxa"/>
              <w:end w:w="80" w:type="dxa"/>
            </w:tcMar>
            <w:shd w:fill="D9EAF7"/>
          </w:tcPr>
          <w:p>
            <w:pPr>
              <w:pStyle w:val="Compact"/>
              <w:jc w:val="left"/>
            </w:pPr>
            <w:r>
              <w:rPr>
                <w:rFonts w:ascii="Arial" w:hAnsi="Arial" w:eastAsia="Arial"/>
                <w:sz w:val="16"/>
              </w:rPr>
              <w:t>Finite set of candidate actions.</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Welfare impact matrix per option</w:t>
            </w:r>
          </w:p>
        </w:tc>
        <w:tc>
          <w:tcPr>
            <w:vAlign w:val="top"/>
            <w:tcMar>
              <w:top w:w="70" w:type="dxa"/>
              <w:start w:w="80" w:type="dxa"/>
              <w:bottom w:w="70" w:type="dxa"/>
              <w:end w:w="80" w:type="dxa"/>
            </w:tcMar>
            <w:shd w:fill="FFFFFF"/>
          </w:tcPr>
          <w:p>
            <w:pPr>
              <w:pStyle w:val="Compact"/>
              <w:jc w:val="left"/>
            </w:pPr>
            <w:r>
              <w:rPr>
                <w:rFonts w:ascii="Arial" w:hAnsi="Arial" w:eastAsia="Arial"/>
                <w:sz w:val="16"/>
              </w:rPr>
              <w:t>I_prop(u,d,a) in [-1,+1], after direct impact construction, propagation, and saturation. Cell interpretation is governed by the canonical 49-cell reference grid and Appendix AD.</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Rights impacts</w:t>
            </w:r>
          </w:p>
        </w:tc>
        <w:tc>
          <w:tcPr>
            <w:vAlign w:val="top"/>
            <w:tcMar>
              <w:top w:w="70" w:type="dxa"/>
              <w:start w:w="80" w:type="dxa"/>
              <w:bottom w:w="70" w:type="dxa"/>
              <w:end w:w="80" w:type="dxa"/>
            </w:tcMar>
            <w:shd w:fill="D9EAF7"/>
          </w:tcPr>
          <w:p>
            <w:pPr>
              <w:pStyle w:val="Compact"/>
              <w:jc w:val="left"/>
            </w:pPr>
            <w:r>
              <w:rPr>
                <w:rFonts w:ascii="Arial" w:hAnsi="Arial" w:eastAsia="Arial"/>
                <w:sz w:val="16"/>
              </w:rPr>
              <w:t>I_rights(u,d,a), using worst-off protected subgroup semantics for rights-covered cells.</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Scenario set S with probabilities p_s</w:t>
            </w:r>
          </w:p>
        </w:tc>
        <w:tc>
          <w:tcPr>
            <w:vAlign w:val="top"/>
            <w:tcMar>
              <w:top w:w="70" w:type="dxa"/>
              <w:start w:w="80" w:type="dxa"/>
              <w:bottom w:w="70" w:type="dxa"/>
              <w:end w:w="80" w:type="dxa"/>
            </w:tcMar>
            <w:shd w:fill="FFFFFF"/>
          </w:tcPr>
          <w:p>
            <w:pPr>
              <w:pStyle w:val="Compact"/>
              <w:jc w:val="left"/>
            </w:pPr>
            <w:r>
              <w:rPr>
                <w:rFonts w:ascii="Arial" w:hAnsi="Arial" w:eastAsia="Arial"/>
                <w:sz w:val="16"/>
              </w:rPr>
              <w:t>Scenario surface for TRC, including mandatory tail categories and probability floors where required.</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Catastrophe cells C_cat and weights omega</w:t>
            </w:r>
          </w:p>
        </w:tc>
        <w:tc>
          <w:tcPr>
            <w:vAlign w:val="top"/>
            <w:tcMar>
              <w:top w:w="70" w:type="dxa"/>
              <w:start w:w="80" w:type="dxa"/>
              <w:bottom w:w="70" w:type="dxa"/>
              <w:end w:w="80" w:type="dxa"/>
            </w:tcMar>
            <w:shd w:fill="D9EAF7"/>
          </w:tcPr>
          <w:p>
            <w:pPr>
              <w:pStyle w:val="Compact"/>
              <w:jc w:val="left"/>
            </w:pPr>
            <w:r>
              <w:rPr>
                <w:rFonts w:ascii="Arial" w:hAnsi="Arial" w:eastAsia="Arial"/>
                <w:sz w:val="16"/>
              </w:rPr>
              <w:t>Catastrophe-relevant welfare cells and tail-risk weights used in TRC.</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Kernel K, sparse 49x49</w:t>
            </w:r>
          </w:p>
        </w:tc>
        <w:tc>
          <w:tcPr>
            <w:vAlign w:val="top"/>
            <w:tcMar>
              <w:top w:w="70" w:type="dxa"/>
              <w:start w:w="80" w:type="dxa"/>
              <w:bottom w:w="70" w:type="dxa"/>
              <w:end w:w="80" w:type="dxa"/>
            </w:tcMar>
            <w:shd w:fill="FFFFFF"/>
          </w:tcPr>
          <w:p>
            <w:pPr>
              <w:pStyle w:val="Compact"/>
              <w:jc w:val="left"/>
            </w:pPr>
            <w:r>
              <w:rPr>
                <w:rFonts w:ascii="Arial" w:hAnsi="Arial" w:eastAsia="Arial"/>
                <w:sz w:val="16"/>
              </w:rPr>
              <w:t>Propagation structure. NONE or QUICK modes are permitted in Tier 1-3 subject to the canon.</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Weights w_u and v_d</w:t>
            </w:r>
          </w:p>
        </w:tc>
        <w:tc>
          <w:tcPr>
            <w:vAlign w:val="top"/>
            <w:tcMar>
              <w:top w:w="70" w:type="dxa"/>
              <w:start w:w="80" w:type="dxa"/>
              <w:bottom w:w="70" w:type="dxa"/>
              <w:end w:w="80" w:type="dxa"/>
            </w:tcMar>
            <w:shd w:fill="D9EAF7"/>
          </w:tcPr>
          <w:p>
            <w:pPr>
              <w:pStyle w:val="Compact"/>
              <w:jc w:val="left"/>
            </w:pPr>
            <w:r>
              <w:rPr>
                <w:rFonts w:ascii="Arial" w:hAnsi="Arial" w:eastAsia="Arial"/>
                <w:sz w:val="16"/>
              </w:rPr>
              <w:t>Union-scope and dimension weights, governed by HDW where required and constitutional floors where applicable.</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Structural metrics UCI and HOI</w:t>
            </w:r>
          </w:p>
        </w:tc>
        <w:tc>
          <w:tcPr>
            <w:vAlign w:val="top"/>
            <w:tcMar>
              <w:top w:w="70" w:type="dxa"/>
              <w:start w:w="80" w:type="dxa"/>
              <w:bottom w:w="70" w:type="dxa"/>
              <w:end w:w="80" w:type="dxa"/>
            </w:tcMar>
            <w:shd w:fill="FFFFFF"/>
          </w:tcPr>
          <w:p>
            <w:pPr>
              <w:pStyle w:val="Compact"/>
              <w:jc w:val="left"/>
            </w:pPr>
            <w:r>
              <w:rPr>
                <w:rFonts w:ascii="Arial" w:hAnsi="Arial" w:eastAsia="Arial"/>
                <w:sz w:val="16"/>
              </w:rPr>
              <w:t>Containment and tie-break diagnostics, subject to maturity boundaries.</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ReferenceStructureRecord</w:t>
            </w:r>
          </w:p>
        </w:tc>
        <w:tc>
          <w:tcPr>
            <w:vAlign w:val="top"/>
            <w:tcMar>
              <w:top w:w="70" w:type="dxa"/>
              <w:start w:w="80" w:type="dxa"/>
              <w:bottom w:w="70" w:type="dxa"/>
              <w:end w:w="80" w:type="dxa"/>
            </w:tcMar>
            <w:shd w:fill="D9EAF7"/>
          </w:tcPr>
          <w:p>
            <w:pPr>
              <w:pStyle w:val="Compact"/>
              <w:jc w:val="left"/>
            </w:pPr>
            <w:r>
              <w:rPr>
                <w:rFonts w:ascii="Arial" w:hAnsi="Arial" w:eastAsia="Arial"/>
                <w:sz w:val="16"/>
              </w:rPr>
              <w:t>The declared reference object, evidence status, causal pathway, falsification condition, authority boundary, and refusal trigger for the claim being made.</w:t>
            </w:r>
          </w:p>
        </w:tc>
      </w:tr>
    </w:tbl>
    <w:bookmarkEnd w:id="64"/>
    <w:bookmarkStart w:id="65" w:name="Xda51137882e24b0e3c483c0aee6ae7b609268ee"/>
    <w:p>
      <w:pPr>
        <w:pStyle w:val="Heading2"/>
      </w:pPr>
      <w:r>
        <w:t>4.3 Reference Structure Discipline</w:t>
      </w:r>
    </w:p>
    <w:p>
      <w:pPr>
        <w:pStyle w:val="FirstParagraph"/>
      </w:pPr>
      <w:r>
        <w:t>RippleLogic decisions SHALL NOT be interpreted as governance claims merely because a scoring procedure, audit record, or policy wrapper exists. A governance claim is supportable only to the extent that the decision record declares the reference structure against which the claim is evaluated.</w:t>
      </w:r>
    </w:p>
    <w:p>
      <w:pPr>
        <w:pStyle w:val="BodyText"/>
      </w:pPr>
      <w:r>
        <w:t>For RippleLogic purposes, a reference structure is the declared set of constraints, evidence sources, causal pathways, thresholds, maturity labels, and refusal conditions used to evaluate a decision claim. Reference structures may include physical constraints, biological needs, rights floors, catastrophic-risk corridors, containment conditions, stakeholder impact maps, institutional authority boundaries, evidence-status labels, and auditable records.</w:t>
      </w:r>
    </w:p>
    <w:p>
      <w:pPr>
        <w:pStyle w:val="BodyText"/>
      </w:pPr>
      <w:r>
        <w:t>RSP and RefStructRecord. The Reference Structure Protocol (RSP) is the discipline. The ReferenceStructureRecord (RefStructRecord) is the run-level artifact that records the discipline in a specific case. RSP tells the system what must be declared; RefStructRecord records what was actually declared.</w:t>
      </w:r>
    </w:p>
    <w:p>
      <w:pPr>
        <w:pStyle w:val="BodyText"/>
      </w:pPr>
      <w:r>
        <w:t>Reference structure discipline does not create a sixth gate and does not alter the canonical method. Reality Grounding, NCRC, TRC, CSV, RLS, and UCI/HOI diagnostic handling retain their existing roles. The Reference Structure Protocol strengthens the evidence substrate used to evaluate those roles.</w:t>
      </w:r>
    </w:p>
    <w:p>
      <w:pPr>
        <w:pStyle w:val="BodyText"/>
      </w:pPr>
      <w:r>
        <w:t>A RippleLogic run MUST NOT treat circular, self-validating, missing, unfalsifiable, materially stale, or unsupported reference claims as sufficient for high-stakes admissibility, selection, deployment-readiness, or conformance claims. Where the reference structure is insufficient for the requested claim, the correct outcome is Refusal, escalation, narrower claim scope, additional evidence gathering, or bounded provisional action under an applicable triage rule.</w:t>
      </w:r>
    </w:p>
    <w:p>
      <w:pPr>
        <w:pStyle w:val="BodyText"/>
      </w:pPr>
      <w:r>
        <w:t>Plain-language rule. Governance without a declared reference structure becomes assumption management. RippleLogic requires declared references, visible evidence, falsifiable claims, and refusal when the reference structure cannot support the claim.</w:t>
      </w:r>
    </w:p>
    <w:bookmarkEnd w:id="65"/>
    <w:bookmarkStart w:id="67" w:name="Xbd6a075bf130109f7ab59d84982a209f1e3cf32"/>
    <w:p>
      <w:pPr>
        <w:pStyle w:val="Heading2"/>
      </w:pPr>
      <w:r>
        <w:t>4.4 Formal Gate Sequence and Residual Tie-Break (Normative)</w:t>
      </w:r>
    </w:p>
    <w:p>
      <w:pPr>
        <w:pStyle w:val="FirstParagraph"/>
      </w:pPr>
      <w:r>
        <w:t>RippleLogic evaluates candidate options through a formal gate sequence with a claim-authority precondition. Reality Grounding first establishes whether the requested claim can be made at the declared strength. RF/NCRC, TRC, and CSV then determine admissibility and selectability. RLS ranks only the selectable set. Residual UCI/HOI is a special-case tie-break or monitoring rule, not a regular public cascade level. A later function MUST NOT rescue, compensate for, or reinterpret failure at an earlier function.</w:t>
      </w:r>
    </w:p>
    <w:p>
      <w:pPr>
        <w:pStyle w:val="BodyText"/>
      </w:pPr>
      <w:r>
        <w:t>Formal gate 1, NCRC: rights feasibility. NCRC determines whether an option is rights-admissible. For rights-covered cells, RippleLogic applies the required subgroup semantics and checks the worst-off protected subgroup against the rights floor. Any option with positive violation depth on any covered right fails NCRC and is inadmissible, regardless of expected welfare gains, downstream rankings, or structural advantages.</w:t>
      </w:r>
    </w:p>
    <w:p>
      <w:pPr>
        <w:pStyle w:val="BodyText"/>
      </w:pPr>
      <w:r>
        <w:t>Formal gate 2, TRC: catastrophe feasibility. TRC determines whether a rights-admissible option is admissible in the tail-risk sense. It evaluates catastrophic-loss exposure over the governed scenario set using the catastrophe cell set and declared CVaR corridor. Any option whose catastrophic tail exceeds the corridor fails TRC and is inadmissible, even if expected welfare performance is strong.</w:t>
      </w:r>
    </w:p>
    <w:p>
      <w:pPr>
        <w:pStyle w:val="BodyText"/>
      </w:pPr>
      <w:r>
        <w:t>Formal gate 3, CSV: containment and structural viability feasibility. CSV determines whether an admissible option is selectable with respect to containing-system integrity and execution viability. It asks whether local or sub-scope welfare gains degrade containing unions, hollow out capacities, create lock-in, externalize burdens, exceed operational capacity, or fail structural viability. An option that fails CSV is not selectable, even if it passes NCRC and TRC and would otherwise rank highly on residual welfare.</w:t>
      </w:r>
    </w:p>
    <w:p>
      <w:pPr>
        <w:pStyle w:val="BodyText"/>
      </w:pPr>
      <w:r>
        <w:t>Ranking stage, RLS: residual welfare ranking. RLS is applied only to options that have already passed RF/NCRC, TRC, and CSV. It ranks surviving options by weighted welfare aggregation over the active cell set, subject to non-maskable-cell rules and weight-governance requirements. RLS MUST NOT override or soften any earlier gate.</w:t>
      </w:r>
    </w:p>
    <w:p>
      <w:pPr>
        <w:pStyle w:val="BodyText"/>
      </w:pPr>
      <w:r>
        <w:t>Special-case UCI/HOI tie-break rule: structural resolution after RLS non-decisiveness. UCI and HOI are first evaluated inside CSV when material to structural integrity, hollowing risk, or containment. Only after options are already selectable may residual UCI/HOI help document a tied, close, uncertainty-overlapped, or non-decisive RLS result. UCI and HOI do not act as public cascade stages and do not reopen prior gate decisions.</w:t>
      </w:r>
    </w:p>
    <w:p>
      <w:pPr>
        <w:pStyle w:val="BodyText"/>
      </w:pPr>
      <w:r>
        <w:t>Non-overlap rule. For interpretation and auditability, the formal gate/ranking functions SHALL be read as follows: RG/RSG = claim authority; NCRC = rights feasibility; TRC = catastrophe feasibility; CSV = containment and structural viability feasibility; RLS = residual welfare ranking within the selectable set; UCI/HOI tie-break = special-case non-decisive structural resolution or monitoring within the selectable set, not a regular public cascade level. No implementation, commentary, or downstream artifact may collapse these functions into a single blended score.</w:t>
      </w:r>
    </w:p>
    <w:tbl>
      <w:tblPr>
        <w:tblStyle w:val="Table"/>
        <w:tblW w:type="auto" w:w="0"/>
        <w:jc w:val="center"/>
        <w:tblLook w:firstRow="1" w:lastRow="0" w:firstColumn="0" w:lastColumn="0" w:noHBand="0" w:noVBand="0" w:val="0020"/>
      </w:tblPr>
      <w:tblGrid>
        <w:gridCol w:w="1980"/>
        <w:gridCol w:w="1980"/>
        <w:gridCol w:w="1980"/>
        <w:gridCol w:w="1980"/>
      </w:tblGrid>
      <w:tr>
        <w:trPr>
          <w:tblHeader w:val="on"/>
          <w:tblHeader w:val="true"/>
          <w:cantSplit/>
        </w:trPr>
        <w:tc>
          <w:tcPr>
            <w:vAlign w:val="top"/>
            <w:tcMar>
              <w:top w:w="70" w:type="dxa"/>
              <w:start w:w="80" w:type="dxa"/>
              <w:bottom w:w="70" w:type="dxa"/>
              <w:end w:w="80" w:type="dxa"/>
            </w:tcMar>
            <w:shd w:fill="1F4E78"/>
          </w:tcPr>
          <w:p>
            <w:pPr>
              <w:pStyle w:val="Compact"/>
              <w:jc w:val="left"/>
            </w:pPr>
            <w:r>
              <w:rPr>
                <w:rFonts w:ascii="Arial" w:hAnsi="Arial" w:eastAsia="Arial"/>
                <w:b/>
                <w:bCs/>
                <w:color w:val="FFFFFF"/>
                <w:sz w:val="16"/>
              </w:rPr>
              <w:t>Level</w:t>
            </w:r>
          </w:p>
        </w:tc>
        <w:tc>
          <w:tcPr>
            <w:vAlign w:val="top"/>
            <w:tcMar>
              <w:top w:w="70" w:type="dxa"/>
              <w:start w:w="80" w:type="dxa"/>
              <w:bottom w:w="70" w:type="dxa"/>
              <w:end w:w="80" w:type="dxa"/>
            </w:tcMar>
            <w:shd w:fill="1F4E78"/>
          </w:tcPr>
          <w:p>
            <w:pPr>
              <w:pStyle w:val="Compact"/>
              <w:jc w:val="left"/>
            </w:pPr>
            <w:r>
              <w:rPr>
                <w:rFonts w:ascii="Arial" w:hAnsi="Arial" w:eastAsia="Arial"/>
                <w:b/>
                <w:bCs/>
                <w:color w:val="FFFFFF"/>
                <w:sz w:val="16"/>
              </w:rPr>
              <w:t>Name</w:t>
            </w:r>
          </w:p>
        </w:tc>
        <w:tc>
          <w:tcPr>
            <w:vAlign w:val="top"/>
            <w:tcMar>
              <w:top w:w="70" w:type="dxa"/>
              <w:start w:w="80" w:type="dxa"/>
              <w:bottom w:w="70" w:type="dxa"/>
              <w:end w:w="80" w:type="dxa"/>
            </w:tcMar>
            <w:shd w:fill="1F4E78"/>
          </w:tcPr>
          <w:p>
            <w:pPr>
              <w:pStyle w:val="Compact"/>
              <w:jc w:val="left"/>
            </w:pPr>
            <w:r>
              <w:rPr>
                <w:rFonts w:ascii="Arial" w:hAnsi="Arial" w:eastAsia="Arial"/>
                <w:b/>
                <w:bCs/>
                <w:color w:val="FFFFFF"/>
                <w:sz w:val="16"/>
              </w:rPr>
              <w:t>Function</w:t>
            </w:r>
          </w:p>
        </w:tc>
        <w:tc>
          <w:tcPr>
            <w:vAlign w:val="top"/>
            <w:tcMar>
              <w:top w:w="70" w:type="dxa"/>
              <w:start w:w="80" w:type="dxa"/>
              <w:bottom w:w="70" w:type="dxa"/>
              <w:end w:w="80" w:type="dxa"/>
            </w:tcMar>
            <w:shd w:fill="1F4E78"/>
          </w:tcPr>
          <w:p>
            <w:pPr>
              <w:pStyle w:val="Compact"/>
              <w:jc w:val="left"/>
            </w:pPr>
            <w:r>
              <w:rPr>
                <w:rFonts w:ascii="Arial" w:hAnsi="Arial" w:eastAsia="Arial"/>
                <w:b/>
                <w:bCs/>
                <w:color w:val="FFFFFF"/>
                <w:sz w:val="16"/>
              </w:rPr>
              <w:t>Failure consequence</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1</w:t>
            </w:r>
          </w:p>
        </w:tc>
        <w:tc>
          <w:tcPr>
            <w:vAlign w:val="top"/>
            <w:tcMar>
              <w:top w:w="70" w:type="dxa"/>
              <w:start w:w="80" w:type="dxa"/>
              <w:bottom w:w="70" w:type="dxa"/>
              <w:end w:w="80" w:type="dxa"/>
            </w:tcMar>
            <w:shd w:fill="D9EAF7"/>
          </w:tcPr>
          <w:p>
            <w:pPr>
              <w:pStyle w:val="Compact"/>
              <w:jc w:val="left"/>
            </w:pPr>
            <w:r>
              <w:rPr>
                <w:rFonts w:ascii="Arial" w:hAnsi="Arial" w:eastAsia="Arial"/>
                <w:sz w:val="16"/>
              </w:rPr>
              <w:t>RG / Reality Grounding</w:t>
            </w:r>
          </w:p>
        </w:tc>
        <w:tc>
          <w:tcPr>
            <w:vAlign w:val="top"/>
            <w:tcMar>
              <w:top w:w="70" w:type="dxa"/>
              <w:start w:w="80" w:type="dxa"/>
              <w:bottom w:w="70" w:type="dxa"/>
              <w:end w:w="80" w:type="dxa"/>
            </w:tcMar>
            <w:shd w:fill="D9EAF7"/>
          </w:tcPr>
          <w:p>
            <w:pPr>
              <w:pStyle w:val="Compact"/>
              <w:jc w:val="left"/>
            </w:pPr>
            <w:r>
              <w:rPr>
                <w:rFonts w:ascii="Arial" w:hAnsi="Arial" w:eastAsia="Arial"/>
                <w:sz w:val="16"/>
              </w:rPr>
              <w:t>Claim grounding and reality-surface discipline; claim-authority precondition, not an option-rejecting gate.</w:t>
            </w:r>
          </w:p>
        </w:tc>
        <w:tc>
          <w:tcPr>
            <w:vAlign w:val="top"/>
            <w:tcMar>
              <w:top w:w="70" w:type="dxa"/>
              <w:start w:w="80" w:type="dxa"/>
              <w:bottom w:w="70" w:type="dxa"/>
              <w:end w:w="80" w:type="dxa"/>
            </w:tcMar>
            <w:shd w:fill="D9EAF7"/>
          </w:tcPr>
          <w:p>
            <w:pPr>
              <w:pStyle w:val="Compact"/>
              <w:jc w:val="left"/>
            </w:pPr>
            <w:r>
              <w:rPr>
                <w:rFonts w:ascii="Arial" w:hAnsi="Arial" w:eastAsia="Arial"/>
                <w:sz w:val="16"/>
              </w:rPr>
              <w:t>Narrow, escalate, mark exploratory, or refuse stronger claim.</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2</w:t>
            </w:r>
          </w:p>
        </w:tc>
        <w:tc>
          <w:tcPr>
            <w:vAlign w:val="top"/>
            <w:tcMar>
              <w:top w:w="70" w:type="dxa"/>
              <w:start w:w="80" w:type="dxa"/>
              <w:bottom w:w="70" w:type="dxa"/>
              <w:end w:w="80" w:type="dxa"/>
            </w:tcMar>
            <w:shd w:fill="FFFFFF"/>
          </w:tcPr>
          <w:p>
            <w:pPr>
              <w:pStyle w:val="Compact"/>
              <w:jc w:val="left"/>
            </w:pPr>
            <w:r>
              <w:rPr>
                <w:rFonts w:ascii="Arial" w:hAnsi="Arial" w:eastAsia="Arial"/>
                <w:sz w:val="16"/>
              </w:rPr>
              <w:t>Rights Floor (RF/NCRC)</w:t>
            </w:r>
          </w:p>
        </w:tc>
        <w:tc>
          <w:tcPr>
            <w:vAlign w:val="top"/>
            <w:tcMar>
              <w:top w:w="70" w:type="dxa"/>
              <w:start w:w="80" w:type="dxa"/>
              <w:bottom w:w="70" w:type="dxa"/>
              <w:end w:w="80" w:type="dxa"/>
            </w:tcMar>
            <w:shd w:fill="FFFFFF"/>
          </w:tcPr>
          <w:p>
            <w:pPr>
              <w:pStyle w:val="Compact"/>
              <w:jc w:val="left"/>
            </w:pPr>
            <w:r>
              <w:rPr>
                <w:rFonts w:ascii="Arial" w:hAnsi="Arial" w:eastAsia="Arial"/>
                <w:sz w:val="16"/>
              </w:rPr>
              <w:t>Rights feasibility.</w:t>
            </w:r>
          </w:p>
        </w:tc>
        <w:tc>
          <w:tcPr>
            <w:vAlign w:val="top"/>
            <w:tcMar>
              <w:top w:w="70" w:type="dxa"/>
              <w:start w:w="80" w:type="dxa"/>
              <w:bottom w:w="70" w:type="dxa"/>
              <w:end w:w="80" w:type="dxa"/>
            </w:tcMar>
            <w:shd w:fill="FFFFFF"/>
          </w:tcPr>
          <w:p>
            <w:pPr>
              <w:pStyle w:val="Compact"/>
              <w:jc w:val="left"/>
            </w:pPr>
            <w:r>
              <w:rPr>
                <w:rFonts w:ascii="Arial" w:hAnsi="Arial" w:eastAsia="Arial"/>
                <w:sz w:val="16"/>
              </w:rPr>
              <w:t>Rejected except Emergency Mode.</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3</w:t>
            </w:r>
          </w:p>
        </w:tc>
        <w:tc>
          <w:tcPr>
            <w:vAlign w:val="top"/>
            <w:tcMar>
              <w:top w:w="70" w:type="dxa"/>
              <w:start w:w="80" w:type="dxa"/>
              <w:bottom w:w="70" w:type="dxa"/>
              <w:end w:w="80" w:type="dxa"/>
            </w:tcMar>
            <w:shd w:fill="D9EAF7"/>
          </w:tcPr>
          <w:p>
            <w:pPr>
              <w:pStyle w:val="Compact"/>
              <w:jc w:val="left"/>
            </w:pPr>
            <w:r>
              <w:rPr>
                <w:rFonts w:ascii="Arial" w:hAnsi="Arial" w:eastAsia="Arial"/>
                <w:sz w:val="16"/>
              </w:rPr>
              <w:t>TRC / Tail-Risk Bound</w:t>
            </w:r>
          </w:p>
        </w:tc>
        <w:tc>
          <w:tcPr>
            <w:vAlign w:val="top"/>
            <w:tcMar>
              <w:top w:w="70" w:type="dxa"/>
              <w:start w:w="80" w:type="dxa"/>
              <w:bottom w:w="70" w:type="dxa"/>
              <w:end w:w="80" w:type="dxa"/>
            </w:tcMar>
            <w:shd w:fill="D9EAF7"/>
          </w:tcPr>
          <w:p>
            <w:pPr>
              <w:pStyle w:val="Compact"/>
              <w:jc w:val="left"/>
            </w:pPr>
            <w:r>
              <w:rPr>
                <w:rFonts w:ascii="Arial" w:hAnsi="Arial" w:eastAsia="Arial"/>
                <w:sz w:val="16"/>
              </w:rPr>
              <w:t>Catastrophic tail-risk feasibility.</w:t>
            </w:r>
          </w:p>
        </w:tc>
        <w:tc>
          <w:tcPr>
            <w:vAlign w:val="top"/>
            <w:tcMar>
              <w:top w:w="70" w:type="dxa"/>
              <w:start w:w="80" w:type="dxa"/>
              <w:bottom w:w="70" w:type="dxa"/>
              <w:end w:w="80" w:type="dxa"/>
            </w:tcMar>
            <w:shd w:fill="D9EAF7"/>
          </w:tcPr>
          <w:p>
            <w:pPr>
              <w:pStyle w:val="Compact"/>
              <w:jc w:val="left"/>
            </w:pPr>
            <w:r>
              <w:rPr>
                <w:rFonts w:ascii="Arial" w:hAnsi="Arial" w:eastAsia="Arial"/>
                <w:sz w:val="16"/>
              </w:rPr>
              <w:t>Rejected or escalated.</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4</w:t>
            </w:r>
          </w:p>
        </w:tc>
        <w:tc>
          <w:tcPr>
            <w:vAlign w:val="top"/>
            <w:tcMar>
              <w:top w:w="70" w:type="dxa"/>
              <w:start w:w="80" w:type="dxa"/>
              <w:bottom w:w="70" w:type="dxa"/>
              <w:end w:w="80" w:type="dxa"/>
            </w:tcMar>
            <w:shd w:fill="FFFFFF"/>
          </w:tcPr>
          <w:p>
            <w:pPr>
              <w:pStyle w:val="Compact"/>
              <w:jc w:val="left"/>
            </w:pPr>
            <w:r>
              <w:rPr>
                <w:rFonts w:ascii="Arial" w:hAnsi="Arial" w:eastAsia="Arial"/>
                <w:sz w:val="16"/>
              </w:rPr>
              <w:t>CSV / Containment and Structural Viability</w:t>
            </w:r>
          </w:p>
        </w:tc>
        <w:tc>
          <w:tcPr>
            <w:vAlign w:val="top"/>
            <w:tcMar>
              <w:top w:w="70" w:type="dxa"/>
              <w:start w:w="80" w:type="dxa"/>
              <w:bottom w:w="70" w:type="dxa"/>
              <w:end w:w="80" w:type="dxa"/>
            </w:tcMar>
            <w:shd w:fill="FFFFFF"/>
          </w:tcPr>
          <w:p>
            <w:pPr>
              <w:pStyle w:val="Compact"/>
              <w:jc w:val="left"/>
            </w:pPr>
            <w:r>
              <w:rPr>
                <w:rFonts w:ascii="Arial" w:hAnsi="Arial" w:eastAsia="Arial"/>
                <w:sz w:val="16"/>
              </w:rPr>
              <w:t>Containing-system integrity, structural viability, hollowing/dependency/lock-in screening, and controls/redesign logic.</w:t>
            </w:r>
          </w:p>
        </w:tc>
        <w:tc>
          <w:tcPr>
            <w:vAlign w:val="top"/>
            <w:tcMar>
              <w:top w:w="70" w:type="dxa"/>
              <w:start w:w="80" w:type="dxa"/>
              <w:bottom w:w="70" w:type="dxa"/>
              <w:end w:w="80" w:type="dxa"/>
            </w:tcMar>
            <w:shd w:fill="FFFFFF"/>
          </w:tcPr>
          <w:p>
            <w:pPr>
              <w:pStyle w:val="Compact"/>
              <w:jc w:val="left"/>
            </w:pPr>
            <w:r>
              <w:rPr>
                <w:rFonts w:ascii="Arial" w:hAnsi="Arial" w:eastAsia="Arial"/>
                <w:sz w:val="16"/>
              </w:rPr>
              <w:t>Pass, pass with controls, redesign required, emergency provisional, excluded, escalated, or refused.</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5</w:t>
            </w:r>
          </w:p>
        </w:tc>
        <w:tc>
          <w:tcPr>
            <w:vAlign w:val="top"/>
            <w:tcMar>
              <w:top w:w="70" w:type="dxa"/>
              <w:start w:w="80" w:type="dxa"/>
              <w:bottom w:w="70" w:type="dxa"/>
              <w:end w:w="80" w:type="dxa"/>
            </w:tcMar>
            <w:shd w:fill="D9EAF7"/>
          </w:tcPr>
          <w:p>
            <w:pPr>
              <w:pStyle w:val="Compact"/>
              <w:jc w:val="left"/>
            </w:pPr>
            <w:r>
              <w:rPr>
                <w:rFonts w:ascii="Arial" w:hAnsi="Arial" w:eastAsia="Arial"/>
                <w:sz w:val="16"/>
              </w:rPr>
              <w:t>RLS / RippleLogic Score</w:t>
            </w:r>
          </w:p>
        </w:tc>
        <w:tc>
          <w:tcPr>
            <w:vAlign w:val="top"/>
            <w:tcMar>
              <w:top w:w="70" w:type="dxa"/>
              <w:start w:w="80" w:type="dxa"/>
              <w:bottom w:w="70" w:type="dxa"/>
              <w:end w:w="80" w:type="dxa"/>
            </w:tcMar>
            <w:shd w:fill="D9EAF7"/>
          </w:tcPr>
          <w:p>
            <w:pPr>
              <w:pStyle w:val="Compact"/>
              <w:jc w:val="left"/>
            </w:pPr>
            <w:r>
              <w:rPr>
                <w:rFonts w:ascii="Arial" w:hAnsi="Arial" w:eastAsia="Arial"/>
                <w:sz w:val="16"/>
              </w:rPr>
              <w:t>Residual welfare ranking among selectable options.</w:t>
            </w:r>
          </w:p>
        </w:tc>
        <w:tc>
          <w:tcPr>
            <w:vAlign w:val="top"/>
            <w:tcMar>
              <w:top w:w="70" w:type="dxa"/>
              <w:start w:w="80" w:type="dxa"/>
              <w:bottom w:w="70" w:type="dxa"/>
              <w:end w:w="80" w:type="dxa"/>
            </w:tcMar>
            <w:shd w:fill="D9EAF7"/>
          </w:tcPr>
          <w:p>
            <w:pPr>
              <w:pStyle w:val="Compact"/>
              <w:jc w:val="left"/>
            </w:pPr>
            <w:r>
              <w:rPr>
                <w:rFonts w:ascii="Arial" w:hAnsi="Arial" w:eastAsia="Arial"/>
                <w:sz w:val="16"/>
              </w:rPr>
              <w:t>Selection if decisive; if tied/close/non-decisive, apply tie-break rule or refuse deterministic selection.</w:t>
            </w:r>
          </w:p>
        </w:tc>
      </w:tr>
    </w:tbl>
    <w:bookmarkStart w:id="66" w:name="Xaf69c36162a7ef9d39e5207ee6d3bec00596b53"/>
    <w:p>
      <w:pPr>
        <w:pStyle w:val="Heading3"/>
      </w:pPr>
      <w:r>
        <w:t>4.4A Structural Viability within CSV (Normative clarification)</w:t>
      </w:r>
    </w:p>
    <w:p>
      <w:pPr>
        <w:pStyle w:val="FirstParagraph"/>
      </w:pPr>
      <w:r>
        <w:t>Structural Viability is explicit inside CSV, not a sixth public method level. It asks whether an option that otherwise passes Reality Grounding, NCRC, TRC, and containment integrity can structurally execute within the declared reality surface without undefined resource, dependency, reversibility, operational-capacity, or internal-contradiction failure.</w:t>
      </w:r>
    </w:p>
    <w:p>
      <w:pPr>
        <w:pStyle w:val="BodyText"/>
      </w:pPr>
      <w:r>
        <w:t>Formal shorthand: RG/RSG -&gt; RF/NCRC -&gt; TRC -&gt; CSV -&gt; RLS. Where material, the CSV result includes Structural Viability status before any option enters RLS. An option may be ethically preferable as a redesign target while still failing current structural viability for execution. In that case, the option may be documented as SVC_DESIGN_TARGET or CSV_REDESIGN_REQUIRED, but it MUST NOT be claimed as currently selectable, executable, deployment-ready, or deterministically selected.</w:t>
      </w:r>
    </w:p>
    <w:p>
      <w:pPr>
        <w:pStyle w:val="BodyText"/>
      </w:pPr>
      <w:r>
        <w:t>Non-import boundary. Structural Viability uses only MathGov-native records: resource declarations, dependency declarations, reversibility and endpoint status, operational limits, and contradiction checks. It MUST NOT import capacity/binding ontology, regime coordinates, hidden kernels, or undisclosed reference generators.</w:t>
      </w:r>
    </w:p>
    <w:bookmarkEnd w:id="66"/>
    <w:bookmarkEnd w:id="67"/>
    <w:bookmarkStart w:id="68" w:name="Xa05b142e76a23330ddc27b95b8466363c4a07e7"/>
    <w:p>
      <w:pPr>
        <w:pStyle w:val="Heading2"/>
      </w:pPr>
      <w:r>
        <w:t>4.5 Cascade Gate Inputs and Outputs (Informative)</w:t>
      </w:r>
    </w:p>
    <w:p>
      <w:pPr>
        <w:pStyle w:val="FirstParagraph"/>
      </w:pPr>
      <w:r>
        <w:t>This table summarizes what each gate consumes, what it produces, and what it may eliminate or flag. It is a fast correctness check for implementers.</w:t>
      </w:r>
    </w:p>
    <w:tbl>
      <w:tblPr>
        <w:tblStyle w:val="Table"/>
        <w:tblW w:type="auto" w:w="0"/>
        <w:jc w:val="center"/>
        <w:tblLook w:firstRow="1" w:lastRow="0" w:firstColumn="0" w:lastColumn="0" w:noHBand="0" w:noVBand="0" w:val="0020"/>
      </w:tblPr>
      <w:tblGrid>
        <w:gridCol w:w="1980"/>
        <w:gridCol w:w="1980"/>
        <w:gridCol w:w="1980"/>
        <w:gridCol w:w="1980"/>
      </w:tblGrid>
      <w:tr>
        <w:trPr>
          <w:tblHeader w:val="on"/>
          <w:tblHeader w:val="true"/>
          <w:cantSplit/>
        </w:trPr>
        <w:tc>
          <w:tcPr>
            <w:vAlign w:val="top"/>
            <w:tcMar>
              <w:top w:w="70" w:type="dxa"/>
              <w:start w:w="80" w:type="dxa"/>
              <w:bottom w:w="70" w:type="dxa"/>
              <w:end w:w="80" w:type="dxa"/>
            </w:tcMar>
            <w:shd w:fill="1F4E78"/>
          </w:tcPr>
          <w:p>
            <w:pPr>
              <w:pStyle w:val="Compact"/>
              <w:jc w:val="left"/>
            </w:pPr>
            <w:r>
              <w:rPr>
                <w:rFonts w:ascii="Arial" w:hAnsi="Arial" w:eastAsia="Arial"/>
                <w:b/>
                <w:color w:val="FFFFFF"/>
                <w:sz w:val="16"/>
              </w:rPr>
              <w:t>Gate / layer</w:t>
            </w:r>
          </w:p>
        </w:tc>
        <w:tc>
          <w:tcPr>
            <w:vAlign w:val="top"/>
            <w:tcMar>
              <w:top w:w="70" w:type="dxa"/>
              <w:start w:w="80" w:type="dxa"/>
              <w:bottom w:w="70" w:type="dxa"/>
              <w:end w:w="80" w:type="dxa"/>
            </w:tcMar>
            <w:shd w:fill="1F4E78"/>
          </w:tcPr>
          <w:p>
            <w:pPr>
              <w:pStyle w:val="Compact"/>
              <w:jc w:val="left"/>
            </w:pPr>
            <w:r>
              <w:rPr>
                <w:rFonts w:ascii="Arial" w:hAnsi="Arial" w:eastAsia="Arial"/>
                <w:b/>
                <w:bCs/>
                <w:color w:val="FFFFFF"/>
                <w:sz w:val="16"/>
              </w:rPr>
              <w:t>Consumes</w:t>
            </w:r>
          </w:p>
        </w:tc>
        <w:tc>
          <w:tcPr>
            <w:vAlign w:val="top"/>
            <w:tcMar>
              <w:top w:w="70" w:type="dxa"/>
              <w:start w:w="80" w:type="dxa"/>
              <w:bottom w:w="70" w:type="dxa"/>
              <w:end w:w="80" w:type="dxa"/>
            </w:tcMar>
            <w:shd w:fill="1F4E78"/>
          </w:tcPr>
          <w:p>
            <w:pPr>
              <w:pStyle w:val="Compact"/>
              <w:jc w:val="left"/>
            </w:pPr>
            <w:r>
              <w:rPr>
                <w:rFonts w:ascii="Arial" w:hAnsi="Arial" w:eastAsia="Arial"/>
                <w:b/>
                <w:bCs/>
                <w:color w:val="FFFFFF"/>
                <w:sz w:val="16"/>
              </w:rPr>
              <w:t>Produces</w:t>
            </w:r>
          </w:p>
        </w:tc>
        <w:tc>
          <w:tcPr>
            <w:vAlign w:val="top"/>
            <w:tcMar>
              <w:top w:w="70" w:type="dxa"/>
              <w:start w:w="80" w:type="dxa"/>
              <w:bottom w:w="70" w:type="dxa"/>
              <w:end w:w="80" w:type="dxa"/>
            </w:tcMar>
            <w:shd w:fill="1F4E78"/>
          </w:tcPr>
          <w:p>
            <w:pPr>
              <w:pStyle w:val="Compact"/>
              <w:jc w:val="left"/>
            </w:pPr>
            <w:r>
              <w:rPr>
                <w:rFonts w:ascii="Arial" w:hAnsi="Arial" w:eastAsia="Arial"/>
                <w:b/>
                <w:bCs/>
                <w:color w:val="FFFFFF"/>
                <w:sz w:val="16"/>
              </w:rPr>
              <w:t>Eliminates / flags</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Reality Grounding layer</w:t>
            </w:r>
          </w:p>
        </w:tc>
        <w:tc>
          <w:tcPr>
            <w:vAlign w:val="top"/>
            <w:tcMar>
              <w:top w:w="70" w:type="dxa"/>
              <w:start w:w="80" w:type="dxa"/>
              <w:bottom w:w="70" w:type="dxa"/>
              <w:end w:w="80" w:type="dxa"/>
            </w:tcMar>
            <w:shd w:fill="D9EAF7"/>
          </w:tcPr>
          <w:p>
            <w:pPr>
              <w:pStyle w:val="Compact"/>
              <w:jc w:val="left"/>
            </w:pPr>
            <w:r>
              <w:rPr>
                <w:rFonts w:ascii="Arial" w:hAnsi="Arial" w:eastAsia="Arial"/>
                <w:sz w:val="16"/>
              </w:rPr>
              <w:t>Reality surface, evidence trace, material unknowns, transition boundary, consequence pathways, claim boundary, and reviewer/evidence status where material.</w:t>
            </w:r>
          </w:p>
        </w:tc>
        <w:tc>
          <w:tcPr>
            <w:vAlign w:val="top"/>
            <w:tcMar>
              <w:top w:w="70" w:type="dxa"/>
              <w:start w:w="80" w:type="dxa"/>
              <w:bottom w:w="70" w:type="dxa"/>
              <w:end w:w="80" w:type="dxa"/>
            </w:tcMar>
            <w:shd w:fill="D9EAF7"/>
          </w:tcPr>
          <w:p>
            <w:pPr>
              <w:pStyle w:val="Compact"/>
              <w:jc w:val="left"/>
            </w:pPr>
            <w:r>
              <w:rPr>
                <w:rFonts w:ascii="Arial" w:hAnsi="Arial" w:eastAsia="Arial"/>
                <w:sz w:val="16"/>
              </w:rPr>
              <w:t>RealityGroundingStatus; claim boundary; refusal/escalation/narrowing disposition.</w:t>
            </w:r>
          </w:p>
        </w:tc>
        <w:tc>
          <w:tcPr>
            <w:vAlign w:val="top"/>
            <w:tcMar>
              <w:top w:w="70" w:type="dxa"/>
              <w:start w:w="80" w:type="dxa"/>
              <w:bottom w:w="70" w:type="dxa"/>
              <w:end w:w="80" w:type="dxa"/>
            </w:tcMar>
            <w:shd w:fill="D9EAF7"/>
          </w:tcPr>
          <w:p>
            <w:pPr>
              <w:pStyle w:val="Compact"/>
              <w:jc w:val="left"/>
            </w:pPr>
            <w:r>
              <w:rPr>
                <w:rFonts w:ascii="Arial" w:hAnsi="Arial" w:eastAsia="Arial"/>
                <w:sz w:val="16"/>
              </w:rPr>
              <w:t>Blocks, narrows, escalates, marks exploratory, or refuses claims that exceed the grounded surface; does not compare options as an admissibility gate.</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NCRC rights floor</w:t>
            </w:r>
          </w:p>
        </w:tc>
        <w:tc>
          <w:tcPr>
            <w:vAlign w:val="top"/>
            <w:tcMar>
              <w:top w:w="70" w:type="dxa"/>
              <w:start w:w="80" w:type="dxa"/>
              <w:bottom w:w="70" w:type="dxa"/>
              <w:end w:w="80" w:type="dxa"/>
            </w:tcMar>
            <w:shd w:fill="FFFFFF"/>
          </w:tcPr>
          <w:p>
            <w:pPr>
              <w:pStyle w:val="Compact"/>
              <w:jc w:val="left"/>
            </w:pPr>
            <w:r>
              <w:rPr>
                <w:rFonts w:ascii="Arial" w:hAnsi="Arial" w:eastAsia="Arial"/>
                <w:sz w:val="16"/>
              </w:rPr>
              <w:t>Rights-covered cell impacts I_prop_base(u,d,a) for C_r; subgroup operator gamma; rights thresholds.</w:t>
            </w:r>
          </w:p>
        </w:tc>
        <w:tc>
          <w:tcPr>
            <w:vAlign w:val="top"/>
            <w:tcMar>
              <w:top w:w="70" w:type="dxa"/>
              <w:start w:w="80" w:type="dxa"/>
              <w:bottom w:w="70" w:type="dxa"/>
              <w:end w:w="80" w:type="dxa"/>
            </w:tcMar>
            <w:shd w:fill="FFFFFF"/>
          </w:tcPr>
          <w:p>
            <w:pPr>
              <w:pStyle w:val="Compact"/>
              <w:jc w:val="left"/>
            </w:pPr>
            <w:r>
              <w:rPr>
                <w:rFonts w:ascii="Arial" w:hAnsi="Arial" w:eastAsia="Arial"/>
                <w:sz w:val="16"/>
              </w:rPr>
              <w:t>rights_admissible(a) in {0,1}; violation depths v_r(a); redesign targets.</w:t>
            </w:r>
          </w:p>
        </w:tc>
        <w:tc>
          <w:tcPr>
            <w:vAlign w:val="top"/>
            <w:tcMar>
              <w:top w:w="70" w:type="dxa"/>
              <w:start w:w="80" w:type="dxa"/>
              <w:bottom w:w="70" w:type="dxa"/>
              <w:end w:w="80" w:type="dxa"/>
            </w:tcMar>
            <w:shd w:fill="FFFFFF"/>
          </w:tcPr>
          <w:p>
            <w:pPr>
              <w:pStyle w:val="Compact"/>
              <w:jc w:val="left"/>
            </w:pPr>
            <w:r>
              <w:rPr>
                <w:rFonts w:ascii="Arial" w:hAnsi="Arial" w:eastAsia="Arial"/>
                <w:sz w:val="16"/>
              </w:rPr>
              <w:t>Eliminates any option with v_r(a)&gt;0; flags RIGHTS_CELL_OMITTED_INVALID where required rights cells are omitted, excluded, or undisclosed.</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TRC tail-risk / CVaR</w:t>
            </w:r>
          </w:p>
        </w:tc>
        <w:tc>
          <w:tcPr>
            <w:vAlign w:val="top"/>
            <w:tcMar>
              <w:top w:w="70" w:type="dxa"/>
              <w:start w:w="80" w:type="dxa"/>
              <w:bottom w:w="70" w:type="dxa"/>
              <w:end w:w="80" w:type="dxa"/>
            </w:tcMar>
            <w:shd w:fill="D9EAF7"/>
          </w:tcPr>
          <w:p>
            <w:pPr>
              <w:pStyle w:val="Compact"/>
              <w:jc w:val="left"/>
            </w:pPr>
            <w:r>
              <w:rPr>
                <w:rFonts w:ascii="Arial" w:hAnsi="Arial" w:eastAsia="Arial"/>
                <w:sz w:val="16"/>
              </w:rPr>
              <w:t>Scenario set S with categories and floors; catastrophe loss proxy L(a,s) over C_cat; alpha; tau_TRC.</w:t>
            </w:r>
          </w:p>
        </w:tc>
        <w:tc>
          <w:tcPr>
            <w:vAlign w:val="top"/>
            <w:tcMar>
              <w:top w:w="70" w:type="dxa"/>
              <w:start w:w="80" w:type="dxa"/>
              <w:bottom w:w="70" w:type="dxa"/>
              <w:end w:w="80" w:type="dxa"/>
            </w:tcMar>
            <w:shd w:fill="D9EAF7"/>
          </w:tcPr>
          <w:p>
            <w:pPr>
              <w:pStyle w:val="Compact"/>
              <w:jc w:val="left"/>
            </w:pPr>
            <w:r>
              <w:rPr>
                <w:rFonts w:ascii="Arial" w:hAnsi="Arial" w:eastAsia="Arial"/>
                <w:sz w:val="16"/>
              </w:rPr>
              <w:t>TRC_pass(a) in {0,1}; CVaR_alpha[L(a)].</w:t>
            </w:r>
          </w:p>
        </w:tc>
        <w:tc>
          <w:tcPr>
            <w:vAlign w:val="top"/>
            <w:tcMar>
              <w:top w:w="70" w:type="dxa"/>
              <w:start w:w="80" w:type="dxa"/>
              <w:bottom w:w="70" w:type="dxa"/>
              <w:end w:w="80" w:type="dxa"/>
            </w:tcMar>
            <w:shd w:fill="D9EAF7"/>
          </w:tcPr>
          <w:p>
            <w:pPr>
              <w:pStyle w:val="Compact"/>
              <w:jc w:val="left"/>
            </w:pPr>
            <w:r>
              <w:rPr>
                <w:rFonts w:ascii="Arial" w:hAnsi="Arial" w:eastAsia="Arial"/>
                <w:sz w:val="16"/>
              </w:rPr>
              <w:t>Eliminates any option with CVaR_alpha &gt; tau_TRC; flags missing mandatory tail categories, probability floor violations, or omitted catastrophe cells.</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Containment system safety</w:t>
            </w:r>
          </w:p>
        </w:tc>
        <w:tc>
          <w:tcPr>
            <w:vAlign w:val="top"/>
            <w:tcMar>
              <w:top w:w="70" w:type="dxa"/>
              <w:start w:w="80" w:type="dxa"/>
              <w:bottom w:w="70" w:type="dxa"/>
              <w:end w:w="80" w:type="dxa"/>
            </w:tcMar>
            <w:shd w:fill="FFFFFF"/>
          </w:tcPr>
          <w:p>
            <w:pPr>
              <w:pStyle w:val="Compact"/>
              <w:jc w:val="left"/>
            </w:pPr>
            <w:r>
              <w:rPr>
                <w:rFonts w:ascii="Arial" w:hAnsi="Arial" w:eastAsia="Arial"/>
                <w:sz w:val="16"/>
              </w:rPr>
              <w:t>Containment triggers; structural posture thresholds; Delta UCI / HOI / Adaptive Reserve or equivalent diagnostics where material; reversibility and repair evidence.</w:t>
            </w:r>
          </w:p>
        </w:tc>
        <w:tc>
          <w:tcPr>
            <w:vAlign w:val="top"/>
            <w:tcMar>
              <w:top w:w="70" w:type="dxa"/>
              <w:start w:w="80" w:type="dxa"/>
              <w:bottom w:w="70" w:type="dxa"/>
              <w:end w:w="80" w:type="dxa"/>
            </w:tcMar>
            <w:shd w:fill="FFFFFF"/>
          </w:tcPr>
          <w:p>
            <w:pPr>
              <w:pStyle w:val="Compact"/>
              <w:jc w:val="left"/>
            </w:pPr>
            <w:r>
              <w:rPr>
                <w:rFonts w:ascii="Arial" w:hAnsi="Arial" w:eastAsia="Arial"/>
                <w:sz w:val="16"/>
              </w:rPr>
              <w:t>containment_pass(a) in {0,1}; containment posture notes; remediation plan if unavailable.</w:t>
            </w:r>
          </w:p>
        </w:tc>
        <w:tc>
          <w:tcPr>
            <w:vAlign w:val="top"/>
            <w:tcMar>
              <w:top w:w="70" w:type="dxa"/>
              <w:start w:w="80" w:type="dxa"/>
              <w:bottom w:w="70" w:type="dxa"/>
              <w:end w:w="80" w:type="dxa"/>
            </w:tcMar>
            <w:shd w:fill="FFFFFF"/>
          </w:tcPr>
          <w:p>
            <w:pPr>
              <w:pStyle w:val="Compact"/>
              <w:jc w:val="left"/>
            </w:pPr>
            <w:r>
              <w:rPr>
                <w:rFonts w:ascii="Arial" w:hAnsi="Arial" w:eastAsia="Arial"/>
                <w:sz w:val="16"/>
              </w:rPr>
              <w:t>Eliminates or escalates options failing containment; flags CONTAINMENT_STRUCTURAL_DIAGNOSTIC_UNAVAILABLE or CONTAINMENT_UCI_HOI_UNAVAILABLE when required evidence is missing.</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RLS welfare selection</w:t>
            </w:r>
          </w:p>
        </w:tc>
        <w:tc>
          <w:tcPr>
            <w:vAlign w:val="top"/>
            <w:tcMar>
              <w:top w:w="70" w:type="dxa"/>
              <w:start w:w="80" w:type="dxa"/>
              <w:bottom w:w="70" w:type="dxa"/>
              <w:end w:w="80" w:type="dxa"/>
            </w:tcMar>
            <w:shd w:fill="D9EAF7"/>
          </w:tcPr>
          <w:p>
            <w:pPr>
              <w:pStyle w:val="Compact"/>
              <w:jc w:val="left"/>
            </w:pPr>
            <w:r>
              <w:rPr>
                <w:rFonts w:ascii="Arial" w:hAnsi="Arial" w:eastAsia="Arial"/>
                <w:sz w:val="16"/>
              </w:rPr>
              <w:t>Active welfare cells, including rights-covered and catastrophe cells subject to non-maskable rules; weights w_u and v_d; applicability mask m(u,d); uncertainty proxies.</w:t>
            </w:r>
          </w:p>
        </w:tc>
        <w:tc>
          <w:tcPr>
            <w:vAlign w:val="top"/>
            <w:tcMar>
              <w:top w:w="70" w:type="dxa"/>
              <w:start w:w="80" w:type="dxa"/>
              <w:bottom w:w="70" w:type="dxa"/>
              <w:end w:w="80" w:type="dxa"/>
            </w:tcMar>
            <w:shd w:fill="D9EAF7"/>
          </w:tcPr>
          <w:p>
            <w:pPr>
              <w:pStyle w:val="Compact"/>
              <w:jc w:val="left"/>
            </w:pPr>
            <w:r>
              <w:rPr>
                <w:rFonts w:ascii="Arial" w:hAnsi="Arial" w:eastAsia="Arial"/>
                <w:sz w:val="16"/>
              </w:rPr>
              <w:t>RLS(a); Gap(a,b); welfare ranking over remaining options.</w:t>
            </w:r>
          </w:p>
        </w:tc>
        <w:tc>
          <w:tcPr>
            <w:vAlign w:val="top"/>
            <w:tcMar>
              <w:top w:w="70" w:type="dxa"/>
              <w:start w:w="80" w:type="dxa"/>
              <w:bottom w:w="70" w:type="dxa"/>
              <w:end w:w="80" w:type="dxa"/>
            </w:tcMar>
            <w:shd w:fill="D9EAF7"/>
          </w:tcPr>
          <w:p>
            <w:pPr>
              <w:pStyle w:val="Compact"/>
              <w:jc w:val="left"/>
            </w:pPr>
            <w:r>
              <w:rPr>
                <w:rFonts w:ascii="Arial" w:hAnsi="Arial" w:eastAsia="Arial"/>
                <w:sz w:val="16"/>
              </w:rPr>
              <w:t>Does not override NCRC/TRC/CSV; flags invalid masking of rights or catastrophe cells from RLS aggregation.</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Tie-break / monitoring diagnostics</w:t>
            </w:r>
          </w:p>
        </w:tc>
        <w:tc>
          <w:tcPr>
            <w:vAlign w:val="top"/>
            <w:tcMar>
              <w:top w:w="70" w:type="dxa"/>
              <w:start w:w="80" w:type="dxa"/>
              <w:bottom w:w="70" w:type="dxa"/>
              <w:end w:w="80" w:type="dxa"/>
            </w:tcMar>
            <w:shd w:fill="FFFFFF"/>
          </w:tcPr>
          <w:p>
            <w:pPr>
              <w:pStyle w:val="Compact"/>
              <w:jc w:val="left"/>
            </w:pPr>
            <w:r>
              <w:rPr>
                <w:rFonts w:ascii="Arial" w:hAnsi="Arial" w:eastAsia="Arial"/>
                <w:sz w:val="16"/>
              </w:rPr>
              <w:t>Residual UCI/HOI or equivalent structural indicators not already decisive for Containment; monitoring and hollowing documentation.</w:t>
            </w:r>
          </w:p>
        </w:tc>
        <w:tc>
          <w:tcPr>
            <w:vAlign w:val="top"/>
            <w:tcMar>
              <w:top w:w="70" w:type="dxa"/>
              <w:start w:w="80" w:type="dxa"/>
              <w:bottom w:w="70" w:type="dxa"/>
              <w:end w:w="80" w:type="dxa"/>
            </w:tcMar>
            <w:shd w:fill="FFFFFF"/>
          </w:tcPr>
          <w:p>
            <w:pPr>
              <w:pStyle w:val="Compact"/>
              <w:jc w:val="left"/>
            </w:pPr>
            <w:r>
              <w:rPr>
                <w:rFonts w:ascii="Arial" w:hAnsi="Arial" w:eastAsia="Arial"/>
                <w:sz w:val="16"/>
              </w:rPr>
              <w:t>Tie-break signal, monitoring warning, or future-run steering.</w:t>
            </w:r>
          </w:p>
        </w:tc>
        <w:tc>
          <w:tcPr>
            <w:vAlign w:val="top"/>
            <w:tcMar>
              <w:top w:w="70" w:type="dxa"/>
              <w:start w:w="80" w:type="dxa"/>
              <w:bottom w:w="70" w:type="dxa"/>
              <w:end w:w="80" w:type="dxa"/>
            </w:tcMar>
            <w:shd w:fill="FFFFFF"/>
          </w:tcPr>
          <w:p>
            <w:pPr>
              <w:pStyle w:val="Compact"/>
              <w:jc w:val="left"/>
            </w:pPr>
            <w:r>
              <w:rPr>
                <w:rFonts w:ascii="Arial" w:hAnsi="Arial" w:eastAsia="Arial"/>
                <w:sz w:val="16"/>
              </w:rPr>
              <w:t>Not a gate; may be used only when RLS is tied, close, uncertainty-overlapped, or non-decisive, or for monitoring. Cannot rescue earlier failure.</w:t>
            </w:r>
          </w:p>
        </w:tc>
      </w:tr>
    </w:tbl>
    <w:bookmarkEnd w:id="68"/>
    <w:bookmarkStart w:id="69" w:name="Xcae3556fca4228764eec849df0a48a50b69c0bb"/>
    <w:p>
      <w:pPr>
        <w:pStyle w:val="Heading2"/>
      </w:pPr>
      <w:r>
        <w:t>4.6 End-to-End Algorithm (Tier 1-3 Executable) (Normative)</w:t>
      </w:r>
    </w:p>
    <w:p>
      <w:pPr>
        <w:pStyle w:val="FirstParagraph"/>
      </w:pPr>
      <w:r>
        <w:t>Algorithm: RippleLogic_Run</w:t>
      </w:r>
    </w:p>
    <w:p>
      <w:pPr>
        <w:pStyle w:val="BodyText"/>
      </w:pPr>
      <w:r>
        <w:t>Inputs, minimum: decision scope; baseline; option set O; union and dimension sets; weights; rights canon; TRC canon when required; containment parameters; propagation mode; kernel if used; scenario set where Tier-3 TRC is required.</w:t>
      </w:r>
    </w:p>
    <w:p>
      <w:pPr>
        <w:pStyle w:val="BodyText"/>
      </w:pPr>
      <w:r>
        <w:t>Outputs: selected option a* or escalation, plus PCC.</w:t>
      </w:r>
    </w:p>
    <w:p>
      <w:pPr>
        <w:pStyle w:val="BodyText"/>
      </w:pPr>
      <w:r>
        <w:t>Step 1: Reality Grounding and Notice. Record the decision question, scope boundary, time horizon, affected unions, and option set. Declare tier, configuration, reality surface, evidence trace, material unknowns, transition boundary, consequence pathways, claim boundary, and reference-structure requirements. If grounding is insufficient for a material claim, narrow, collect evidence, escalate, mark exploratory, or refuse the stronger claim before proceeding.</w:t>
      </w:r>
    </w:p>
    <w:p>
      <w:pPr>
        <w:pStyle w:val="BodyText"/>
      </w:pPr>
      <w:r>
        <w:t>Step 2: Impact construction. For each option a, estimate direct impacts from impact instances; saturate into I_dir; propagate in NONE or QUICK to obtain I_prop; apply post-propagation saturation. Record uncertainty notes and missing-data penalties as required.</w:t>
      </w:r>
    </w:p>
    <w:p>
      <w:pPr>
        <w:pStyle w:val="BodyText"/>
      </w:pPr>
      <w:r>
        <w:t>Step 3: NCRC gate. For rights-covered cells, compute worst-off subgroup impacts I_rights. Compute violation depths v_r(a). Options with any v_r(a) &gt; 0 fail NCRC. If the passing set is empty, invoke Emergency Mode.</w:t>
      </w:r>
    </w:p>
    <w:p>
      <w:pPr>
        <w:pStyle w:val="BodyText"/>
      </w:pPr>
      <w:r>
        <w:t>Step 4: TRC gate. For each rights-admissible option, compute scenario losses L(a,s) over catastrophe cells and compute CVaR_alpha. Exclude options exceeding tau_TRC. If no option remains, invoke Tail Emergency Mode.</w:t>
      </w:r>
    </w:p>
    <w:p>
      <w:pPr>
        <w:pStyle w:val="BodyText"/>
      </w:pPr>
      <w:r>
        <w:t>Step 5: CSV gate. For each NCRC/TRC-admissible option, apply the containment predicate using required containing-scope, structural posture, reversibility, repair, and evidence-availability inputs. Where UCI, HOI, Adaptive Reserve, lock-in, hollowing, trust erosion, ecological degradation, governance-capacity loss, or related structural diagnostics are material to cross-scale structural integrity, evaluate those diagnostics inside CSV before RLS. If required structural diagnostic evidence is unavailable, downgrade, collect evidence, rerun, escalate, refuse the stronger claim, or record a permitted waiver where the applicable tier permits waiver.</w:t>
      </w:r>
    </w:p>
    <w:p>
      <w:pPr>
        <w:pStyle w:val="BodyText"/>
      </w:pPr>
      <w:r>
        <w:t>Step 6: RLS ranking. Compute RLS(a) only for selectable options. Compute uncertainty and apply the discrimination rule where required. If decisive, select the top option.</w:t>
      </w:r>
    </w:p>
    <w:p>
      <w:pPr>
        <w:pStyle w:val="BodyText"/>
      </w:pPr>
      <w:r>
        <w:t>Step 7: Special-case tie-break / non-decisive handling. If RLS is tied, close, uncertainty-overlapped, or otherwise non-decisive, compare only options already in the selectable set. Apply residual UCI/HOI only as tie-break, monitoring, or hollowing-risk documentation. Do not reopen NCRC, TRC, or CSV. Do not use residual UCI/HOI to rescue failed Containment or compensate for missing containment evidence. If still non-decisive, return REFUSE_DETERMINISTIC_SELECTION, escalate, or record authorized judgment through the proper AuthoritySelectionRecord.</w:t>
      </w:r>
    </w:p>
    <w:p>
      <w:pPr>
        <w:pStyle w:val="BodyText"/>
      </w:pPr>
      <w:r>
        <w:t>Step 8: Emit PCC. Record inputs, intermediate computations, gate results, sensitivity outputs where required, ReferenceStructureRecord where required, refusal record if applicable, and public rationale.</w:t>
      </w:r>
    </w:p>
    <w:bookmarkEnd w:id="69"/>
    <w:bookmarkStart w:id="70" w:name="Xc35172540d91b1558e578c8e19341acf8d8312b"/>
    <w:p>
      <w:pPr>
        <w:pStyle w:val="Heading2"/>
      </w:pPr>
      <w:r>
        <w:t>4.7 Canonical 49-Cell Reference Table (v10.6+; Informative)</w:t>
      </w:r>
    </w:p>
    <w:p>
      <w:pPr>
        <w:pStyle w:val="FirstParagraph"/>
      </w:pPr>
      <w:r>
        <w:t>Each cell in the 7×7 welfare matrix represents a distinct accountability domain. The table below provides a compact one-line meaning for each cell to support comprehension and consistent interpretation across implementations. The table is informative; the governing equations and rules remain in the relevant normative sections and appendices.</w:t>
      </w:r>
    </w:p>
    <w:p>
      <w:pPr>
        <w:pStyle w:val="BodyText"/>
      </w:pPr>
      <w:r>
        <w:t>Interpretive note. This table gives the compact canonical grid. Appendix AD provides the expanded 49-cell Welfare Dictionary, including plain meanings, positive and negative movement, indicator examples, possible gate relevance, examples, and reviewer checks. Appendix AD does not change the cascade, equations, rights thresholds, TRC mechanics, Containment semantics, RLS formula, HDW, SGP, PCC, RSP/RefStructRecord, or claim boundaries. It governs scoring interpretation and reviewer literacy.</w:t>
      </w:r>
    </w:p>
    <w:tbl>
      <w:tblPr>
        <w:tblStyle w:val="Table"/>
        <w:tblW w:type="auto" w:w="0"/>
        <w:jc w:val="center"/>
        <w:tblLook w:firstRow="1" w:lastRow="0" w:firstColumn="0" w:lastColumn="0" w:noHBand="0" w:noVBand="0" w:val="0020"/>
      </w:tblPr>
      <w:tblGrid>
        <w:gridCol w:w="990"/>
        <w:gridCol w:w="990"/>
        <w:gridCol w:w="990"/>
        <w:gridCol w:w="990"/>
        <w:gridCol w:w="990"/>
        <w:gridCol w:w="990"/>
        <w:gridCol w:w="990"/>
        <w:gridCol w:w="990"/>
      </w:tblGrid>
      <w:tr>
        <w:trPr>
          <w:tblHeader w:val="on"/>
          <w:tblHeader w:val="true"/>
          <w:cantSplit/>
        </w:trPr>
        <w:tc>
          <w:tcPr>
            <w:vAlign w:val="top"/>
            <w:tcMar>
              <w:top w:w="70" w:type="dxa"/>
              <w:start w:w="80" w:type="dxa"/>
              <w:bottom w:w="70" w:type="dxa"/>
              <w:end w:w="80" w:type="dxa"/>
            </w:tcMar>
            <w:shd w:fill="1F4E78"/>
          </w:tcPr>
          <w:p>
            <w:pPr>
              <w:pStyle w:val="Compact"/>
              <w:jc w:val="left"/>
            </w:pPr>
            <w:r>
              <w:rPr>
                <w:rFonts w:ascii="Arial" w:hAnsi="Arial" w:eastAsia="Arial"/>
                <w:b/>
                <w:bCs/>
                <w:color w:val="FFFFFF"/>
                <w:sz w:val="16"/>
              </w:rPr>
              <w:t>Union / Dimension</w:t>
            </w:r>
          </w:p>
        </w:tc>
        <w:tc>
          <w:tcPr>
            <w:vAlign w:val="top"/>
            <w:tcMar>
              <w:top w:w="70" w:type="dxa"/>
              <w:start w:w="80" w:type="dxa"/>
              <w:bottom w:w="70" w:type="dxa"/>
              <w:end w:w="80" w:type="dxa"/>
            </w:tcMar>
            <w:shd w:fill="1F4E78"/>
          </w:tcPr>
          <w:p>
            <w:pPr>
              <w:pStyle w:val="Compact"/>
              <w:jc w:val="left"/>
            </w:pPr>
            <w:r>
              <w:rPr>
                <w:rFonts w:ascii="Arial" w:hAnsi="Arial" w:eastAsia="Arial"/>
                <w:b/>
                <w:bCs/>
                <w:color w:val="FFFFFF"/>
                <w:sz w:val="16"/>
              </w:rPr>
              <w:t>D1 Material</w:t>
            </w:r>
          </w:p>
        </w:tc>
        <w:tc>
          <w:tcPr>
            <w:vAlign w:val="top"/>
            <w:tcMar>
              <w:top w:w="70" w:type="dxa"/>
              <w:start w:w="80" w:type="dxa"/>
              <w:bottom w:w="70" w:type="dxa"/>
              <w:end w:w="80" w:type="dxa"/>
            </w:tcMar>
            <w:shd w:fill="1F4E78"/>
          </w:tcPr>
          <w:p>
            <w:pPr>
              <w:pStyle w:val="Compact"/>
              <w:jc w:val="left"/>
            </w:pPr>
            <w:r>
              <w:rPr>
                <w:rFonts w:ascii="Arial" w:hAnsi="Arial" w:eastAsia="Arial"/>
                <w:b/>
                <w:bCs/>
                <w:color w:val="FFFFFF"/>
                <w:sz w:val="16"/>
              </w:rPr>
              <w:t>D2 Health</w:t>
            </w:r>
          </w:p>
        </w:tc>
        <w:tc>
          <w:tcPr>
            <w:vAlign w:val="top"/>
            <w:tcMar>
              <w:top w:w="70" w:type="dxa"/>
              <w:start w:w="80" w:type="dxa"/>
              <w:bottom w:w="70" w:type="dxa"/>
              <w:end w:w="80" w:type="dxa"/>
            </w:tcMar>
            <w:shd w:fill="1F4E78"/>
          </w:tcPr>
          <w:p>
            <w:pPr>
              <w:pStyle w:val="Compact"/>
              <w:jc w:val="left"/>
            </w:pPr>
            <w:r>
              <w:rPr>
                <w:rFonts w:ascii="Arial" w:hAnsi="Arial" w:eastAsia="Arial"/>
                <w:b/>
                <w:bCs/>
                <w:color w:val="FFFFFF"/>
                <w:sz w:val="16"/>
              </w:rPr>
              <w:t>D3 Social</w:t>
            </w:r>
          </w:p>
        </w:tc>
        <w:tc>
          <w:tcPr>
            <w:vAlign w:val="top"/>
            <w:tcMar>
              <w:top w:w="70" w:type="dxa"/>
              <w:start w:w="80" w:type="dxa"/>
              <w:bottom w:w="70" w:type="dxa"/>
              <w:end w:w="80" w:type="dxa"/>
            </w:tcMar>
            <w:shd w:fill="1F4E78"/>
          </w:tcPr>
          <w:p>
            <w:pPr>
              <w:pStyle w:val="Compact"/>
              <w:jc w:val="left"/>
            </w:pPr>
            <w:r>
              <w:rPr>
                <w:rFonts w:ascii="Arial" w:hAnsi="Arial" w:eastAsia="Arial"/>
                <w:b/>
                <w:bCs/>
                <w:color w:val="FFFFFF"/>
                <w:sz w:val="16"/>
              </w:rPr>
              <w:t>D4 Knowledge</w:t>
            </w:r>
          </w:p>
        </w:tc>
        <w:tc>
          <w:tcPr>
            <w:vAlign w:val="top"/>
            <w:tcMar>
              <w:top w:w="70" w:type="dxa"/>
              <w:start w:w="80" w:type="dxa"/>
              <w:bottom w:w="70" w:type="dxa"/>
              <w:end w:w="80" w:type="dxa"/>
            </w:tcMar>
            <w:shd w:fill="1F4E78"/>
          </w:tcPr>
          <w:p>
            <w:pPr>
              <w:pStyle w:val="Compact"/>
              <w:jc w:val="left"/>
            </w:pPr>
            <w:r>
              <w:rPr>
                <w:rFonts w:ascii="Arial" w:hAnsi="Arial" w:eastAsia="Arial"/>
                <w:b/>
                <w:bCs/>
                <w:color w:val="FFFFFF"/>
                <w:sz w:val="16"/>
              </w:rPr>
              <w:t>D5 Agency</w:t>
            </w:r>
          </w:p>
        </w:tc>
        <w:tc>
          <w:tcPr>
            <w:vAlign w:val="top"/>
            <w:tcMar>
              <w:top w:w="70" w:type="dxa"/>
              <w:start w:w="80" w:type="dxa"/>
              <w:bottom w:w="70" w:type="dxa"/>
              <w:end w:w="80" w:type="dxa"/>
            </w:tcMar>
            <w:shd w:fill="1F4E78"/>
          </w:tcPr>
          <w:p>
            <w:pPr>
              <w:pStyle w:val="Compact"/>
              <w:jc w:val="left"/>
            </w:pPr>
            <w:r>
              <w:rPr>
                <w:rFonts w:ascii="Arial" w:hAnsi="Arial" w:eastAsia="Arial"/>
                <w:b/>
                <w:bCs/>
                <w:color w:val="FFFFFF"/>
                <w:sz w:val="16"/>
              </w:rPr>
              <w:t>D6 Meaning</w:t>
            </w:r>
          </w:p>
        </w:tc>
        <w:tc>
          <w:tcPr>
            <w:vAlign w:val="top"/>
            <w:tcMar>
              <w:top w:w="70" w:type="dxa"/>
              <w:start w:w="80" w:type="dxa"/>
              <w:bottom w:w="70" w:type="dxa"/>
              <w:end w:w="80" w:type="dxa"/>
            </w:tcMar>
            <w:shd w:fill="1F4E78"/>
          </w:tcPr>
          <w:p>
            <w:pPr>
              <w:pStyle w:val="Compact"/>
              <w:jc w:val="left"/>
            </w:pPr>
            <w:r>
              <w:rPr>
                <w:rFonts w:ascii="Arial" w:hAnsi="Arial" w:eastAsia="Arial"/>
                <w:b/>
                <w:bCs/>
                <w:color w:val="FFFFFF"/>
                <w:sz w:val="16"/>
              </w:rPr>
              <w:t>D7 Environment</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U1 Self</w:t>
            </w:r>
          </w:p>
        </w:tc>
        <w:tc>
          <w:tcPr>
            <w:vAlign w:val="top"/>
            <w:tcMar>
              <w:top w:w="70" w:type="dxa"/>
              <w:start w:w="80" w:type="dxa"/>
              <w:bottom w:w="70" w:type="dxa"/>
              <w:end w:w="80" w:type="dxa"/>
            </w:tcMar>
            <w:shd w:fill="D9EAF7"/>
          </w:tcPr>
          <w:p>
            <w:pPr>
              <w:pStyle w:val="Compact"/>
              <w:jc w:val="left"/>
            </w:pPr>
            <w:r>
              <w:rPr>
                <w:rFonts w:ascii="Arial" w:hAnsi="Arial" w:eastAsia="Arial"/>
                <w:sz w:val="16"/>
              </w:rPr>
              <w:t>personal resources</w:t>
            </w:r>
          </w:p>
        </w:tc>
        <w:tc>
          <w:tcPr>
            <w:vAlign w:val="top"/>
            <w:tcMar>
              <w:top w:w="70" w:type="dxa"/>
              <w:start w:w="80" w:type="dxa"/>
              <w:bottom w:w="70" w:type="dxa"/>
              <w:end w:w="80" w:type="dxa"/>
            </w:tcMar>
            <w:shd w:fill="D9EAF7"/>
          </w:tcPr>
          <w:p>
            <w:pPr>
              <w:pStyle w:val="Compact"/>
              <w:jc w:val="left"/>
            </w:pPr>
            <w:r>
              <w:rPr>
                <w:rFonts w:ascii="Arial" w:hAnsi="Arial" w:eastAsia="Arial"/>
                <w:sz w:val="16"/>
              </w:rPr>
              <w:t>personal health and safety</w:t>
            </w:r>
          </w:p>
        </w:tc>
        <w:tc>
          <w:tcPr>
            <w:vAlign w:val="top"/>
            <w:tcMar>
              <w:top w:w="70" w:type="dxa"/>
              <w:start w:w="80" w:type="dxa"/>
              <w:bottom w:w="70" w:type="dxa"/>
              <w:end w:w="80" w:type="dxa"/>
            </w:tcMar>
            <w:shd w:fill="D9EAF7"/>
          </w:tcPr>
          <w:p>
            <w:pPr>
              <w:pStyle w:val="Compact"/>
              <w:jc w:val="left"/>
            </w:pPr>
            <w:r>
              <w:rPr>
                <w:rFonts w:ascii="Arial" w:hAnsi="Arial" w:eastAsia="Arial"/>
                <w:sz w:val="16"/>
              </w:rPr>
              <w:t>personal relationships and cohesion</w:t>
            </w:r>
          </w:p>
        </w:tc>
        <w:tc>
          <w:tcPr>
            <w:vAlign w:val="top"/>
            <w:tcMar>
              <w:top w:w="70" w:type="dxa"/>
              <w:start w:w="80" w:type="dxa"/>
              <w:bottom w:w="70" w:type="dxa"/>
              <w:end w:w="80" w:type="dxa"/>
            </w:tcMar>
            <w:shd w:fill="D9EAF7"/>
          </w:tcPr>
          <w:p>
            <w:pPr>
              <w:pStyle w:val="Compact"/>
              <w:jc w:val="left"/>
            </w:pPr>
            <w:r>
              <w:rPr>
                <w:rFonts w:ascii="Arial" w:hAnsi="Arial" w:eastAsia="Arial"/>
                <w:sz w:val="16"/>
              </w:rPr>
              <w:t>personal knowledge and learning</w:t>
            </w:r>
          </w:p>
        </w:tc>
        <w:tc>
          <w:tcPr>
            <w:vAlign w:val="top"/>
            <w:tcMar>
              <w:top w:w="70" w:type="dxa"/>
              <w:start w:w="80" w:type="dxa"/>
              <w:bottom w:w="70" w:type="dxa"/>
              <w:end w:w="80" w:type="dxa"/>
            </w:tcMar>
            <w:shd w:fill="D9EAF7"/>
          </w:tcPr>
          <w:p>
            <w:pPr>
              <w:pStyle w:val="Compact"/>
              <w:jc w:val="left"/>
            </w:pPr>
            <w:r>
              <w:rPr>
                <w:rFonts w:ascii="Arial" w:hAnsi="Arial" w:eastAsia="Arial"/>
                <w:sz w:val="16"/>
              </w:rPr>
              <w:t>personal agency and autonomy</w:t>
            </w:r>
          </w:p>
        </w:tc>
        <w:tc>
          <w:tcPr>
            <w:vAlign w:val="top"/>
            <w:tcMar>
              <w:top w:w="70" w:type="dxa"/>
              <w:start w:w="80" w:type="dxa"/>
              <w:bottom w:w="70" w:type="dxa"/>
              <w:end w:w="80" w:type="dxa"/>
            </w:tcMar>
            <w:shd w:fill="D9EAF7"/>
          </w:tcPr>
          <w:p>
            <w:pPr>
              <w:pStyle w:val="Compact"/>
              <w:jc w:val="left"/>
            </w:pPr>
            <w:r>
              <w:rPr>
                <w:rFonts w:ascii="Arial" w:hAnsi="Arial" w:eastAsia="Arial"/>
                <w:sz w:val="16"/>
              </w:rPr>
              <w:t>personal meaning and purpose</w:t>
            </w:r>
          </w:p>
        </w:tc>
        <w:tc>
          <w:tcPr>
            <w:vAlign w:val="top"/>
            <w:tcMar>
              <w:top w:w="70" w:type="dxa"/>
              <w:start w:w="80" w:type="dxa"/>
              <w:bottom w:w="70" w:type="dxa"/>
              <w:end w:w="80" w:type="dxa"/>
            </w:tcMar>
            <w:shd w:fill="D9EAF7"/>
          </w:tcPr>
          <w:p>
            <w:pPr>
              <w:pStyle w:val="Compact"/>
              <w:jc w:val="left"/>
            </w:pPr>
            <w:r>
              <w:rPr>
                <w:rFonts w:ascii="Arial" w:hAnsi="Arial" w:eastAsia="Arial"/>
                <w:sz w:val="16"/>
              </w:rPr>
              <w:t>personal environmental conditions</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U2 Household</w:t>
            </w:r>
          </w:p>
        </w:tc>
        <w:tc>
          <w:tcPr>
            <w:vAlign w:val="top"/>
            <w:tcMar>
              <w:top w:w="70" w:type="dxa"/>
              <w:start w:w="80" w:type="dxa"/>
              <w:bottom w:w="70" w:type="dxa"/>
              <w:end w:w="80" w:type="dxa"/>
            </w:tcMar>
            <w:shd w:fill="FFFFFF"/>
          </w:tcPr>
          <w:p>
            <w:pPr>
              <w:pStyle w:val="Compact"/>
              <w:jc w:val="left"/>
            </w:pPr>
            <w:r>
              <w:rPr>
                <w:rFonts w:ascii="Arial" w:hAnsi="Arial" w:eastAsia="Arial"/>
                <w:sz w:val="16"/>
              </w:rPr>
              <w:t>household resources</w:t>
            </w:r>
          </w:p>
        </w:tc>
        <w:tc>
          <w:tcPr>
            <w:vAlign w:val="top"/>
            <w:tcMar>
              <w:top w:w="70" w:type="dxa"/>
              <w:start w:w="80" w:type="dxa"/>
              <w:bottom w:w="70" w:type="dxa"/>
              <w:end w:w="80" w:type="dxa"/>
            </w:tcMar>
            <w:shd w:fill="FFFFFF"/>
          </w:tcPr>
          <w:p>
            <w:pPr>
              <w:pStyle w:val="Compact"/>
              <w:jc w:val="left"/>
            </w:pPr>
            <w:r>
              <w:rPr>
                <w:rFonts w:ascii="Arial" w:hAnsi="Arial" w:eastAsia="Arial"/>
                <w:sz w:val="16"/>
              </w:rPr>
              <w:t>household health and safety</w:t>
            </w:r>
          </w:p>
        </w:tc>
        <w:tc>
          <w:tcPr>
            <w:vAlign w:val="top"/>
            <w:tcMar>
              <w:top w:w="70" w:type="dxa"/>
              <w:start w:w="80" w:type="dxa"/>
              <w:bottom w:w="70" w:type="dxa"/>
              <w:end w:w="80" w:type="dxa"/>
            </w:tcMar>
            <w:shd w:fill="FFFFFF"/>
          </w:tcPr>
          <w:p>
            <w:pPr>
              <w:pStyle w:val="Compact"/>
              <w:jc w:val="left"/>
            </w:pPr>
            <w:r>
              <w:rPr>
                <w:rFonts w:ascii="Arial" w:hAnsi="Arial" w:eastAsia="Arial"/>
                <w:sz w:val="16"/>
              </w:rPr>
              <w:t>household relationships and cohesion</w:t>
            </w:r>
          </w:p>
        </w:tc>
        <w:tc>
          <w:tcPr>
            <w:vAlign w:val="top"/>
            <w:tcMar>
              <w:top w:w="70" w:type="dxa"/>
              <w:start w:w="80" w:type="dxa"/>
              <w:bottom w:w="70" w:type="dxa"/>
              <w:end w:w="80" w:type="dxa"/>
            </w:tcMar>
            <w:shd w:fill="FFFFFF"/>
          </w:tcPr>
          <w:p>
            <w:pPr>
              <w:pStyle w:val="Compact"/>
              <w:jc w:val="left"/>
            </w:pPr>
            <w:r>
              <w:rPr>
                <w:rFonts w:ascii="Arial" w:hAnsi="Arial" w:eastAsia="Arial"/>
                <w:sz w:val="16"/>
              </w:rPr>
              <w:t>household knowledge and learning</w:t>
            </w:r>
          </w:p>
        </w:tc>
        <w:tc>
          <w:tcPr>
            <w:vAlign w:val="top"/>
            <w:tcMar>
              <w:top w:w="70" w:type="dxa"/>
              <w:start w:w="80" w:type="dxa"/>
              <w:bottom w:w="70" w:type="dxa"/>
              <w:end w:w="80" w:type="dxa"/>
            </w:tcMar>
            <w:shd w:fill="FFFFFF"/>
          </w:tcPr>
          <w:p>
            <w:pPr>
              <w:pStyle w:val="Compact"/>
              <w:jc w:val="left"/>
            </w:pPr>
            <w:r>
              <w:rPr>
                <w:rFonts w:ascii="Arial" w:hAnsi="Arial" w:eastAsia="Arial"/>
                <w:sz w:val="16"/>
              </w:rPr>
              <w:t>household agency and autonomy</w:t>
            </w:r>
          </w:p>
        </w:tc>
        <w:tc>
          <w:tcPr>
            <w:vAlign w:val="top"/>
            <w:tcMar>
              <w:top w:w="70" w:type="dxa"/>
              <w:start w:w="80" w:type="dxa"/>
              <w:bottom w:w="70" w:type="dxa"/>
              <w:end w:w="80" w:type="dxa"/>
            </w:tcMar>
            <w:shd w:fill="FFFFFF"/>
          </w:tcPr>
          <w:p>
            <w:pPr>
              <w:pStyle w:val="Compact"/>
              <w:jc w:val="left"/>
            </w:pPr>
            <w:r>
              <w:rPr>
                <w:rFonts w:ascii="Arial" w:hAnsi="Arial" w:eastAsia="Arial"/>
                <w:sz w:val="16"/>
              </w:rPr>
              <w:t>household meaning and purpose</w:t>
            </w:r>
          </w:p>
        </w:tc>
        <w:tc>
          <w:tcPr>
            <w:vAlign w:val="top"/>
            <w:tcMar>
              <w:top w:w="70" w:type="dxa"/>
              <w:start w:w="80" w:type="dxa"/>
              <w:bottom w:w="70" w:type="dxa"/>
              <w:end w:w="80" w:type="dxa"/>
            </w:tcMar>
            <w:shd w:fill="FFFFFF"/>
          </w:tcPr>
          <w:p>
            <w:pPr>
              <w:pStyle w:val="Compact"/>
              <w:jc w:val="left"/>
            </w:pPr>
            <w:r>
              <w:rPr>
                <w:rFonts w:ascii="Arial" w:hAnsi="Arial" w:eastAsia="Arial"/>
                <w:sz w:val="16"/>
              </w:rPr>
              <w:t>household environmental conditions</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U3 Community</w:t>
            </w:r>
          </w:p>
        </w:tc>
        <w:tc>
          <w:tcPr>
            <w:vAlign w:val="top"/>
            <w:tcMar>
              <w:top w:w="70" w:type="dxa"/>
              <w:start w:w="80" w:type="dxa"/>
              <w:bottom w:w="70" w:type="dxa"/>
              <w:end w:w="80" w:type="dxa"/>
            </w:tcMar>
            <w:shd w:fill="D9EAF7"/>
          </w:tcPr>
          <w:p>
            <w:pPr>
              <w:pStyle w:val="Compact"/>
              <w:jc w:val="left"/>
            </w:pPr>
            <w:r>
              <w:rPr>
                <w:rFonts w:ascii="Arial" w:hAnsi="Arial" w:eastAsia="Arial"/>
                <w:sz w:val="16"/>
              </w:rPr>
              <w:t>community resources</w:t>
            </w:r>
          </w:p>
        </w:tc>
        <w:tc>
          <w:tcPr>
            <w:vAlign w:val="top"/>
            <w:tcMar>
              <w:top w:w="70" w:type="dxa"/>
              <w:start w:w="80" w:type="dxa"/>
              <w:bottom w:w="70" w:type="dxa"/>
              <w:end w:w="80" w:type="dxa"/>
            </w:tcMar>
            <w:shd w:fill="D9EAF7"/>
          </w:tcPr>
          <w:p>
            <w:pPr>
              <w:pStyle w:val="Compact"/>
              <w:jc w:val="left"/>
            </w:pPr>
            <w:r>
              <w:rPr>
                <w:rFonts w:ascii="Arial" w:hAnsi="Arial" w:eastAsia="Arial"/>
                <w:sz w:val="16"/>
              </w:rPr>
              <w:t>community health and safety</w:t>
            </w:r>
          </w:p>
        </w:tc>
        <w:tc>
          <w:tcPr>
            <w:vAlign w:val="top"/>
            <w:tcMar>
              <w:top w:w="70" w:type="dxa"/>
              <w:start w:w="80" w:type="dxa"/>
              <w:bottom w:w="70" w:type="dxa"/>
              <w:end w:w="80" w:type="dxa"/>
            </w:tcMar>
            <w:shd w:fill="D9EAF7"/>
          </w:tcPr>
          <w:p>
            <w:pPr>
              <w:pStyle w:val="Compact"/>
              <w:jc w:val="left"/>
            </w:pPr>
            <w:r>
              <w:rPr>
                <w:rFonts w:ascii="Arial" w:hAnsi="Arial" w:eastAsia="Arial"/>
                <w:sz w:val="16"/>
              </w:rPr>
              <w:t>community relationships and cohesion</w:t>
            </w:r>
          </w:p>
        </w:tc>
        <w:tc>
          <w:tcPr>
            <w:vAlign w:val="top"/>
            <w:tcMar>
              <w:top w:w="70" w:type="dxa"/>
              <w:start w:w="80" w:type="dxa"/>
              <w:bottom w:w="70" w:type="dxa"/>
              <w:end w:w="80" w:type="dxa"/>
            </w:tcMar>
            <w:shd w:fill="D9EAF7"/>
          </w:tcPr>
          <w:p>
            <w:pPr>
              <w:pStyle w:val="Compact"/>
              <w:jc w:val="left"/>
            </w:pPr>
            <w:r>
              <w:rPr>
                <w:rFonts w:ascii="Arial" w:hAnsi="Arial" w:eastAsia="Arial"/>
                <w:sz w:val="16"/>
              </w:rPr>
              <w:t>community knowledge and learning</w:t>
            </w:r>
          </w:p>
        </w:tc>
        <w:tc>
          <w:tcPr>
            <w:vAlign w:val="top"/>
            <w:tcMar>
              <w:top w:w="70" w:type="dxa"/>
              <w:start w:w="80" w:type="dxa"/>
              <w:bottom w:w="70" w:type="dxa"/>
              <w:end w:w="80" w:type="dxa"/>
            </w:tcMar>
            <w:shd w:fill="D9EAF7"/>
          </w:tcPr>
          <w:p>
            <w:pPr>
              <w:pStyle w:val="Compact"/>
              <w:jc w:val="left"/>
            </w:pPr>
            <w:r>
              <w:rPr>
                <w:rFonts w:ascii="Arial" w:hAnsi="Arial" w:eastAsia="Arial"/>
                <w:sz w:val="16"/>
              </w:rPr>
              <w:t>community agency and autonomy</w:t>
            </w:r>
          </w:p>
        </w:tc>
        <w:tc>
          <w:tcPr>
            <w:vAlign w:val="top"/>
            <w:tcMar>
              <w:top w:w="70" w:type="dxa"/>
              <w:start w:w="80" w:type="dxa"/>
              <w:bottom w:w="70" w:type="dxa"/>
              <w:end w:w="80" w:type="dxa"/>
            </w:tcMar>
            <w:shd w:fill="D9EAF7"/>
          </w:tcPr>
          <w:p>
            <w:pPr>
              <w:pStyle w:val="Compact"/>
              <w:jc w:val="left"/>
            </w:pPr>
            <w:r>
              <w:rPr>
                <w:rFonts w:ascii="Arial" w:hAnsi="Arial" w:eastAsia="Arial"/>
                <w:sz w:val="16"/>
              </w:rPr>
              <w:t>community meaning and purpose</w:t>
            </w:r>
          </w:p>
        </w:tc>
        <w:tc>
          <w:tcPr>
            <w:vAlign w:val="top"/>
            <w:tcMar>
              <w:top w:w="70" w:type="dxa"/>
              <w:start w:w="80" w:type="dxa"/>
              <w:bottom w:w="70" w:type="dxa"/>
              <w:end w:w="80" w:type="dxa"/>
            </w:tcMar>
            <w:shd w:fill="D9EAF7"/>
          </w:tcPr>
          <w:p>
            <w:pPr>
              <w:pStyle w:val="Compact"/>
              <w:jc w:val="left"/>
            </w:pPr>
            <w:r>
              <w:rPr>
                <w:rFonts w:ascii="Arial" w:hAnsi="Arial" w:eastAsia="Arial"/>
                <w:sz w:val="16"/>
              </w:rPr>
              <w:t>community environmental conditions</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U4 Organization</w:t>
            </w:r>
          </w:p>
        </w:tc>
        <w:tc>
          <w:tcPr>
            <w:vAlign w:val="top"/>
            <w:tcMar>
              <w:top w:w="70" w:type="dxa"/>
              <w:start w:w="80" w:type="dxa"/>
              <w:bottom w:w="70" w:type="dxa"/>
              <w:end w:w="80" w:type="dxa"/>
            </w:tcMar>
            <w:shd w:fill="FFFFFF"/>
          </w:tcPr>
          <w:p>
            <w:pPr>
              <w:pStyle w:val="Compact"/>
              <w:jc w:val="left"/>
            </w:pPr>
            <w:r>
              <w:rPr>
                <w:rFonts w:ascii="Arial" w:hAnsi="Arial" w:eastAsia="Arial"/>
                <w:sz w:val="16"/>
              </w:rPr>
              <w:t>organizational resources</w:t>
            </w:r>
          </w:p>
        </w:tc>
        <w:tc>
          <w:tcPr>
            <w:vAlign w:val="top"/>
            <w:tcMar>
              <w:top w:w="70" w:type="dxa"/>
              <w:start w:w="80" w:type="dxa"/>
              <w:bottom w:w="70" w:type="dxa"/>
              <w:end w:w="80" w:type="dxa"/>
            </w:tcMar>
            <w:shd w:fill="FFFFFF"/>
          </w:tcPr>
          <w:p>
            <w:pPr>
              <w:pStyle w:val="Compact"/>
              <w:jc w:val="left"/>
            </w:pPr>
            <w:r>
              <w:rPr>
                <w:rFonts w:ascii="Arial" w:hAnsi="Arial" w:eastAsia="Arial"/>
                <w:sz w:val="16"/>
              </w:rPr>
              <w:t>organizational health and safety</w:t>
            </w:r>
          </w:p>
        </w:tc>
        <w:tc>
          <w:tcPr>
            <w:vAlign w:val="top"/>
            <w:tcMar>
              <w:top w:w="70" w:type="dxa"/>
              <w:start w:w="80" w:type="dxa"/>
              <w:bottom w:w="70" w:type="dxa"/>
              <w:end w:w="80" w:type="dxa"/>
            </w:tcMar>
            <w:shd w:fill="FFFFFF"/>
          </w:tcPr>
          <w:p>
            <w:pPr>
              <w:pStyle w:val="Compact"/>
              <w:jc w:val="left"/>
            </w:pPr>
            <w:r>
              <w:rPr>
                <w:rFonts w:ascii="Arial" w:hAnsi="Arial" w:eastAsia="Arial"/>
                <w:sz w:val="16"/>
              </w:rPr>
              <w:t>organizational relationships and cohesion</w:t>
            </w:r>
          </w:p>
        </w:tc>
        <w:tc>
          <w:tcPr>
            <w:vAlign w:val="top"/>
            <w:tcMar>
              <w:top w:w="70" w:type="dxa"/>
              <w:start w:w="80" w:type="dxa"/>
              <w:bottom w:w="70" w:type="dxa"/>
              <w:end w:w="80" w:type="dxa"/>
            </w:tcMar>
            <w:shd w:fill="FFFFFF"/>
          </w:tcPr>
          <w:p>
            <w:pPr>
              <w:pStyle w:val="Compact"/>
              <w:jc w:val="left"/>
            </w:pPr>
            <w:r>
              <w:rPr>
                <w:rFonts w:ascii="Arial" w:hAnsi="Arial" w:eastAsia="Arial"/>
                <w:sz w:val="16"/>
              </w:rPr>
              <w:t>organizational knowledge and learning</w:t>
            </w:r>
          </w:p>
        </w:tc>
        <w:tc>
          <w:tcPr>
            <w:vAlign w:val="top"/>
            <w:tcMar>
              <w:top w:w="70" w:type="dxa"/>
              <w:start w:w="80" w:type="dxa"/>
              <w:bottom w:w="70" w:type="dxa"/>
              <w:end w:w="80" w:type="dxa"/>
            </w:tcMar>
            <w:shd w:fill="FFFFFF"/>
          </w:tcPr>
          <w:p>
            <w:pPr>
              <w:pStyle w:val="Compact"/>
              <w:jc w:val="left"/>
            </w:pPr>
            <w:r>
              <w:rPr>
                <w:rFonts w:ascii="Arial" w:hAnsi="Arial" w:eastAsia="Arial"/>
                <w:sz w:val="16"/>
              </w:rPr>
              <w:t>organizational agency and autonomy</w:t>
            </w:r>
          </w:p>
        </w:tc>
        <w:tc>
          <w:tcPr>
            <w:vAlign w:val="top"/>
            <w:tcMar>
              <w:top w:w="70" w:type="dxa"/>
              <w:start w:w="80" w:type="dxa"/>
              <w:bottom w:w="70" w:type="dxa"/>
              <w:end w:w="80" w:type="dxa"/>
            </w:tcMar>
            <w:shd w:fill="FFFFFF"/>
          </w:tcPr>
          <w:p>
            <w:pPr>
              <w:pStyle w:val="Compact"/>
              <w:jc w:val="left"/>
            </w:pPr>
            <w:r>
              <w:rPr>
                <w:rFonts w:ascii="Arial" w:hAnsi="Arial" w:eastAsia="Arial"/>
                <w:sz w:val="16"/>
              </w:rPr>
              <w:t>organizational meaning and purpose</w:t>
            </w:r>
          </w:p>
        </w:tc>
        <w:tc>
          <w:tcPr>
            <w:vAlign w:val="top"/>
            <w:tcMar>
              <w:top w:w="70" w:type="dxa"/>
              <w:start w:w="80" w:type="dxa"/>
              <w:bottom w:w="70" w:type="dxa"/>
              <w:end w:w="80" w:type="dxa"/>
            </w:tcMar>
            <w:shd w:fill="FFFFFF"/>
          </w:tcPr>
          <w:p>
            <w:pPr>
              <w:pStyle w:val="Compact"/>
              <w:jc w:val="left"/>
            </w:pPr>
            <w:r>
              <w:rPr>
                <w:rFonts w:ascii="Arial" w:hAnsi="Arial" w:eastAsia="Arial"/>
                <w:sz w:val="16"/>
              </w:rPr>
              <w:t>organizational environmental conditions</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U5 Polity</w:t>
            </w:r>
          </w:p>
        </w:tc>
        <w:tc>
          <w:tcPr>
            <w:vAlign w:val="top"/>
            <w:tcMar>
              <w:top w:w="70" w:type="dxa"/>
              <w:start w:w="80" w:type="dxa"/>
              <w:bottom w:w="70" w:type="dxa"/>
              <w:end w:w="80" w:type="dxa"/>
            </w:tcMar>
            <w:shd w:fill="D9EAF7"/>
          </w:tcPr>
          <w:p>
            <w:pPr>
              <w:pStyle w:val="Compact"/>
              <w:jc w:val="left"/>
            </w:pPr>
            <w:r>
              <w:rPr>
                <w:rFonts w:ascii="Arial" w:hAnsi="Arial" w:eastAsia="Arial"/>
                <w:sz w:val="16"/>
              </w:rPr>
              <w:t>polity/public resources</w:t>
            </w:r>
          </w:p>
        </w:tc>
        <w:tc>
          <w:tcPr>
            <w:vAlign w:val="top"/>
            <w:tcMar>
              <w:top w:w="70" w:type="dxa"/>
              <w:start w:w="80" w:type="dxa"/>
              <w:bottom w:w="70" w:type="dxa"/>
              <w:end w:w="80" w:type="dxa"/>
            </w:tcMar>
            <w:shd w:fill="D9EAF7"/>
          </w:tcPr>
          <w:p>
            <w:pPr>
              <w:pStyle w:val="Compact"/>
              <w:jc w:val="left"/>
            </w:pPr>
            <w:r>
              <w:rPr>
                <w:rFonts w:ascii="Arial" w:hAnsi="Arial" w:eastAsia="Arial"/>
                <w:sz w:val="16"/>
              </w:rPr>
              <w:t>polity/public health and safety</w:t>
            </w:r>
          </w:p>
        </w:tc>
        <w:tc>
          <w:tcPr>
            <w:vAlign w:val="top"/>
            <w:tcMar>
              <w:top w:w="70" w:type="dxa"/>
              <w:start w:w="80" w:type="dxa"/>
              <w:bottom w:w="70" w:type="dxa"/>
              <w:end w:w="80" w:type="dxa"/>
            </w:tcMar>
            <w:shd w:fill="D9EAF7"/>
          </w:tcPr>
          <w:p>
            <w:pPr>
              <w:pStyle w:val="Compact"/>
              <w:jc w:val="left"/>
            </w:pPr>
            <w:r>
              <w:rPr>
                <w:rFonts w:ascii="Arial" w:hAnsi="Arial" w:eastAsia="Arial"/>
                <w:sz w:val="16"/>
              </w:rPr>
              <w:t>polity/public relationships and cohesion</w:t>
            </w:r>
          </w:p>
        </w:tc>
        <w:tc>
          <w:tcPr>
            <w:vAlign w:val="top"/>
            <w:tcMar>
              <w:top w:w="70" w:type="dxa"/>
              <w:start w:w="80" w:type="dxa"/>
              <w:bottom w:w="70" w:type="dxa"/>
              <w:end w:w="80" w:type="dxa"/>
            </w:tcMar>
            <w:shd w:fill="D9EAF7"/>
          </w:tcPr>
          <w:p>
            <w:pPr>
              <w:pStyle w:val="Compact"/>
              <w:jc w:val="left"/>
            </w:pPr>
            <w:r>
              <w:rPr>
                <w:rFonts w:ascii="Arial" w:hAnsi="Arial" w:eastAsia="Arial"/>
                <w:sz w:val="16"/>
              </w:rPr>
              <w:t>polity/public knowledge and learning</w:t>
            </w:r>
          </w:p>
        </w:tc>
        <w:tc>
          <w:tcPr>
            <w:vAlign w:val="top"/>
            <w:tcMar>
              <w:top w:w="70" w:type="dxa"/>
              <w:start w:w="80" w:type="dxa"/>
              <w:bottom w:w="70" w:type="dxa"/>
              <w:end w:w="80" w:type="dxa"/>
            </w:tcMar>
            <w:shd w:fill="D9EAF7"/>
          </w:tcPr>
          <w:p>
            <w:pPr>
              <w:pStyle w:val="Compact"/>
              <w:jc w:val="left"/>
            </w:pPr>
            <w:r>
              <w:rPr>
                <w:rFonts w:ascii="Arial" w:hAnsi="Arial" w:eastAsia="Arial"/>
                <w:sz w:val="16"/>
              </w:rPr>
              <w:t>polity/public agency and autonomy</w:t>
            </w:r>
          </w:p>
        </w:tc>
        <w:tc>
          <w:tcPr>
            <w:vAlign w:val="top"/>
            <w:tcMar>
              <w:top w:w="70" w:type="dxa"/>
              <w:start w:w="80" w:type="dxa"/>
              <w:bottom w:w="70" w:type="dxa"/>
              <w:end w:w="80" w:type="dxa"/>
            </w:tcMar>
            <w:shd w:fill="D9EAF7"/>
          </w:tcPr>
          <w:p>
            <w:pPr>
              <w:pStyle w:val="Compact"/>
              <w:jc w:val="left"/>
            </w:pPr>
            <w:r>
              <w:rPr>
                <w:rFonts w:ascii="Arial" w:hAnsi="Arial" w:eastAsia="Arial"/>
                <w:sz w:val="16"/>
              </w:rPr>
              <w:t>polity/public meaning and purpose</w:t>
            </w:r>
          </w:p>
        </w:tc>
        <w:tc>
          <w:tcPr>
            <w:vAlign w:val="top"/>
            <w:tcMar>
              <w:top w:w="70" w:type="dxa"/>
              <w:start w:w="80" w:type="dxa"/>
              <w:bottom w:w="70" w:type="dxa"/>
              <w:end w:w="80" w:type="dxa"/>
            </w:tcMar>
            <w:shd w:fill="D9EAF7"/>
          </w:tcPr>
          <w:p>
            <w:pPr>
              <w:pStyle w:val="Compact"/>
              <w:jc w:val="left"/>
            </w:pPr>
            <w:r>
              <w:rPr>
                <w:rFonts w:ascii="Arial" w:hAnsi="Arial" w:eastAsia="Arial"/>
                <w:sz w:val="16"/>
              </w:rPr>
              <w:t>polity/public environmental conditions</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U6 Humanity / Global Coordination</w:t>
            </w:r>
          </w:p>
        </w:tc>
        <w:tc>
          <w:tcPr>
            <w:vAlign w:val="top"/>
            <w:tcMar>
              <w:top w:w="70" w:type="dxa"/>
              <w:start w:w="80" w:type="dxa"/>
              <w:bottom w:w="70" w:type="dxa"/>
              <w:end w:w="80" w:type="dxa"/>
            </w:tcMar>
            <w:shd w:fill="FFFFFF"/>
          </w:tcPr>
          <w:p>
            <w:pPr>
              <w:pStyle w:val="Compact"/>
              <w:jc w:val="left"/>
            </w:pPr>
            <w:r>
              <w:rPr>
                <w:rFonts w:ascii="Arial" w:hAnsi="Arial" w:eastAsia="Arial"/>
                <w:sz w:val="16"/>
              </w:rPr>
              <w:t>humanity-wide resources</w:t>
            </w:r>
          </w:p>
        </w:tc>
        <w:tc>
          <w:tcPr>
            <w:vAlign w:val="top"/>
            <w:tcMar>
              <w:top w:w="70" w:type="dxa"/>
              <w:start w:w="80" w:type="dxa"/>
              <w:bottom w:w="70" w:type="dxa"/>
              <w:end w:w="80" w:type="dxa"/>
            </w:tcMar>
            <w:shd w:fill="FFFFFF"/>
          </w:tcPr>
          <w:p>
            <w:pPr>
              <w:pStyle w:val="Compact"/>
              <w:jc w:val="left"/>
            </w:pPr>
            <w:r>
              <w:rPr>
                <w:rFonts w:ascii="Arial" w:hAnsi="Arial" w:eastAsia="Arial"/>
                <w:sz w:val="16"/>
              </w:rPr>
              <w:t>humanity-wide health and safety</w:t>
            </w:r>
          </w:p>
        </w:tc>
        <w:tc>
          <w:tcPr>
            <w:vAlign w:val="top"/>
            <w:tcMar>
              <w:top w:w="70" w:type="dxa"/>
              <w:start w:w="80" w:type="dxa"/>
              <w:bottom w:w="70" w:type="dxa"/>
              <w:end w:w="80" w:type="dxa"/>
            </w:tcMar>
            <w:shd w:fill="FFFFFF"/>
          </w:tcPr>
          <w:p>
            <w:pPr>
              <w:pStyle w:val="Compact"/>
              <w:jc w:val="left"/>
            </w:pPr>
            <w:r>
              <w:rPr>
                <w:rFonts w:ascii="Arial" w:hAnsi="Arial" w:eastAsia="Arial"/>
                <w:sz w:val="16"/>
              </w:rPr>
              <w:t>humanity-wide relationships and cohesion</w:t>
            </w:r>
          </w:p>
        </w:tc>
        <w:tc>
          <w:tcPr>
            <w:vAlign w:val="top"/>
            <w:tcMar>
              <w:top w:w="70" w:type="dxa"/>
              <w:start w:w="80" w:type="dxa"/>
              <w:bottom w:w="70" w:type="dxa"/>
              <w:end w:w="80" w:type="dxa"/>
            </w:tcMar>
            <w:shd w:fill="FFFFFF"/>
          </w:tcPr>
          <w:p>
            <w:pPr>
              <w:pStyle w:val="Compact"/>
              <w:jc w:val="left"/>
            </w:pPr>
            <w:r>
              <w:rPr>
                <w:rFonts w:ascii="Arial" w:hAnsi="Arial" w:eastAsia="Arial"/>
                <w:sz w:val="16"/>
              </w:rPr>
              <w:t>humanity-wide knowledge and learning</w:t>
            </w:r>
          </w:p>
        </w:tc>
        <w:tc>
          <w:tcPr>
            <w:vAlign w:val="top"/>
            <w:tcMar>
              <w:top w:w="70" w:type="dxa"/>
              <w:start w:w="80" w:type="dxa"/>
              <w:bottom w:w="70" w:type="dxa"/>
              <w:end w:w="80" w:type="dxa"/>
            </w:tcMar>
            <w:shd w:fill="FFFFFF"/>
          </w:tcPr>
          <w:p>
            <w:pPr>
              <w:pStyle w:val="Compact"/>
              <w:jc w:val="left"/>
            </w:pPr>
            <w:r>
              <w:rPr>
                <w:rFonts w:ascii="Arial" w:hAnsi="Arial" w:eastAsia="Arial"/>
                <w:sz w:val="16"/>
              </w:rPr>
              <w:t>humanity-wide agency and autonomy</w:t>
            </w:r>
          </w:p>
        </w:tc>
        <w:tc>
          <w:tcPr>
            <w:vAlign w:val="top"/>
            <w:tcMar>
              <w:top w:w="70" w:type="dxa"/>
              <w:start w:w="80" w:type="dxa"/>
              <w:bottom w:w="70" w:type="dxa"/>
              <w:end w:w="80" w:type="dxa"/>
            </w:tcMar>
            <w:shd w:fill="FFFFFF"/>
          </w:tcPr>
          <w:p>
            <w:pPr>
              <w:pStyle w:val="Compact"/>
              <w:jc w:val="left"/>
            </w:pPr>
            <w:r>
              <w:rPr>
                <w:rFonts w:ascii="Arial" w:hAnsi="Arial" w:eastAsia="Arial"/>
                <w:sz w:val="16"/>
              </w:rPr>
              <w:t>humanity-wide meaning and purpose</w:t>
            </w:r>
          </w:p>
        </w:tc>
        <w:tc>
          <w:tcPr>
            <w:vAlign w:val="top"/>
            <w:tcMar>
              <w:top w:w="70" w:type="dxa"/>
              <w:start w:w="80" w:type="dxa"/>
              <w:bottom w:w="70" w:type="dxa"/>
              <w:end w:w="80" w:type="dxa"/>
            </w:tcMar>
            <w:shd w:fill="FFFFFF"/>
          </w:tcPr>
          <w:p>
            <w:pPr>
              <w:pStyle w:val="Compact"/>
              <w:jc w:val="left"/>
            </w:pPr>
            <w:r>
              <w:rPr>
                <w:rFonts w:ascii="Arial" w:hAnsi="Arial" w:eastAsia="Arial"/>
                <w:sz w:val="16"/>
              </w:rPr>
              <w:t>humanity-wide environmental conditions</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U7 Biosphere</w:t>
            </w:r>
          </w:p>
        </w:tc>
        <w:tc>
          <w:tcPr>
            <w:vAlign w:val="top"/>
            <w:tcMar>
              <w:top w:w="70" w:type="dxa"/>
              <w:start w:w="80" w:type="dxa"/>
              <w:bottom w:w="70" w:type="dxa"/>
              <w:end w:w="80" w:type="dxa"/>
            </w:tcMar>
            <w:shd w:fill="D9EAF7"/>
          </w:tcPr>
          <w:p>
            <w:pPr>
              <w:pStyle w:val="Compact"/>
              <w:jc w:val="left"/>
            </w:pPr>
            <w:r>
              <w:rPr>
                <w:rFonts w:ascii="Arial" w:hAnsi="Arial" w:eastAsia="Arial"/>
                <w:sz w:val="16"/>
              </w:rPr>
              <w:t>biospheric resources</w:t>
            </w:r>
          </w:p>
        </w:tc>
        <w:tc>
          <w:tcPr>
            <w:vAlign w:val="top"/>
            <w:tcMar>
              <w:top w:w="70" w:type="dxa"/>
              <w:start w:w="80" w:type="dxa"/>
              <w:bottom w:w="70" w:type="dxa"/>
              <w:end w:w="80" w:type="dxa"/>
            </w:tcMar>
            <w:shd w:fill="D9EAF7"/>
          </w:tcPr>
          <w:p>
            <w:pPr>
              <w:pStyle w:val="Compact"/>
              <w:jc w:val="left"/>
            </w:pPr>
            <w:r>
              <w:rPr>
                <w:rFonts w:ascii="Arial" w:hAnsi="Arial" w:eastAsia="Arial"/>
                <w:sz w:val="16"/>
              </w:rPr>
              <w:t>biospheric health and safety</w:t>
            </w:r>
          </w:p>
        </w:tc>
        <w:tc>
          <w:tcPr>
            <w:vAlign w:val="top"/>
            <w:tcMar>
              <w:top w:w="70" w:type="dxa"/>
              <w:start w:w="80" w:type="dxa"/>
              <w:bottom w:w="70" w:type="dxa"/>
              <w:end w:w="80" w:type="dxa"/>
            </w:tcMar>
            <w:shd w:fill="D9EAF7"/>
          </w:tcPr>
          <w:p>
            <w:pPr>
              <w:pStyle w:val="Compact"/>
              <w:jc w:val="left"/>
            </w:pPr>
            <w:r>
              <w:rPr>
                <w:rFonts w:ascii="Arial" w:hAnsi="Arial" w:eastAsia="Arial"/>
                <w:sz w:val="16"/>
              </w:rPr>
              <w:t>biospheric relationships and cohesion</w:t>
            </w:r>
          </w:p>
        </w:tc>
        <w:tc>
          <w:tcPr>
            <w:vAlign w:val="top"/>
            <w:tcMar>
              <w:top w:w="70" w:type="dxa"/>
              <w:start w:w="80" w:type="dxa"/>
              <w:bottom w:w="70" w:type="dxa"/>
              <w:end w:w="80" w:type="dxa"/>
            </w:tcMar>
            <w:shd w:fill="D9EAF7"/>
          </w:tcPr>
          <w:p>
            <w:pPr>
              <w:pStyle w:val="Compact"/>
              <w:jc w:val="left"/>
            </w:pPr>
            <w:r>
              <w:rPr>
                <w:rFonts w:ascii="Arial" w:hAnsi="Arial" w:eastAsia="Arial"/>
                <w:sz w:val="16"/>
              </w:rPr>
              <w:t>biospheric knowledge and learning</w:t>
            </w:r>
          </w:p>
        </w:tc>
        <w:tc>
          <w:tcPr>
            <w:vAlign w:val="top"/>
            <w:tcMar>
              <w:top w:w="70" w:type="dxa"/>
              <w:start w:w="80" w:type="dxa"/>
              <w:bottom w:w="70" w:type="dxa"/>
              <w:end w:w="80" w:type="dxa"/>
            </w:tcMar>
            <w:shd w:fill="D9EAF7"/>
          </w:tcPr>
          <w:p>
            <w:pPr>
              <w:pStyle w:val="Compact"/>
              <w:jc w:val="left"/>
            </w:pPr>
            <w:r>
              <w:rPr>
                <w:rFonts w:ascii="Arial" w:hAnsi="Arial" w:eastAsia="Arial"/>
                <w:sz w:val="16"/>
              </w:rPr>
              <w:t>biospheric agency and autonomy</w:t>
            </w:r>
          </w:p>
        </w:tc>
        <w:tc>
          <w:tcPr>
            <w:vAlign w:val="top"/>
            <w:tcMar>
              <w:top w:w="70" w:type="dxa"/>
              <w:start w:w="80" w:type="dxa"/>
              <w:bottom w:w="70" w:type="dxa"/>
              <w:end w:w="80" w:type="dxa"/>
            </w:tcMar>
            <w:shd w:fill="D9EAF7"/>
          </w:tcPr>
          <w:p>
            <w:pPr>
              <w:pStyle w:val="Compact"/>
              <w:jc w:val="left"/>
            </w:pPr>
            <w:r>
              <w:rPr>
                <w:rFonts w:ascii="Arial" w:hAnsi="Arial" w:eastAsia="Arial"/>
                <w:sz w:val="16"/>
              </w:rPr>
              <w:t>biospheric meaning and purpose</w:t>
            </w:r>
          </w:p>
        </w:tc>
        <w:tc>
          <w:tcPr>
            <w:vAlign w:val="top"/>
            <w:tcMar>
              <w:top w:w="70" w:type="dxa"/>
              <w:start w:w="80" w:type="dxa"/>
              <w:bottom w:w="70" w:type="dxa"/>
              <w:end w:w="80" w:type="dxa"/>
            </w:tcMar>
            <w:shd w:fill="D9EAF7"/>
          </w:tcPr>
          <w:p>
            <w:pPr>
              <w:pStyle w:val="Compact"/>
              <w:jc w:val="left"/>
            </w:pPr>
            <w:r>
              <w:rPr>
                <w:rFonts w:ascii="Arial" w:hAnsi="Arial" w:eastAsia="Arial"/>
                <w:sz w:val="16"/>
              </w:rPr>
              <w:t>biospheric environmental conditions</w:t>
            </w:r>
          </w:p>
        </w:tc>
      </w:tr>
    </w:tbl>
    <w:p>
      <w:pPr>
        <w:pStyle w:val="BodyText"/>
      </w:pPr>
      <w:r>
        <w:t>Release packaging rule (v10.6+). Every public release PDF MUST include this 49-cell table and the stakeholder-to-scope examples table below, either in Section 4 or in a dedicated reference-table appendix that is directly linked from Section 4.</w:t>
      </w:r>
    </w:p>
    <w:tbl>
      <w:tblPr>
        <w:tblStyle w:val="Table"/>
        <w:tblW w:type="auto" w:w="0"/>
        <w:jc w:val="center"/>
        <w:tblLook w:firstRow="1" w:lastRow="0" w:firstColumn="0" w:lastColumn="0" w:noHBand="0" w:noVBand="0" w:val="0020"/>
      </w:tblPr>
      <w:tblGrid>
        <w:gridCol w:w="1980"/>
        <w:gridCol w:w="1980"/>
        <w:gridCol w:w="1980"/>
        <w:gridCol w:w="1980"/>
      </w:tblGrid>
      <w:tr>
        <w:trPr>
          <w:tblHeader w:val="on"/>
          <w:tblHeader w:val="true"/>
          <w:cantSplit/>
        </w:trPr>
        <w:tc>
          <w:tcPr>
            <w:vAlign w:val="top"/>
            <w:tcMar>
              <w:top w:w="70" w:type="dxa"/>
              <w:start w:w="80" w:type="dxa"/>
              <w:bottom w:w="70" w:type="dxa"/>
              <w:end w:w="80" w:type="dxa"/>
            </w:tcMar>
            <w:shd w:fill="1F4E78"/>
          </w:tcPr>
          <w:p>
            <w:pPr>
              <w:pStyle w:val="Compact"/>
              <w:jc w:val="left"/>
            </w:pPr>
            <w:r>
              <w:rPr>
                <w:rFonts w:ascii="Arial" w:hAnsi="Arial" w:eastAsia="Arial"/>
                <w:b/>
                <w:bCs/>
                <w:color w:val="FFFFFF"/>
                <w:sz w:val="16"/>
              </w:rPr>
              <w:t>Scenario</w:t>
            </w:r>
          </w:p>
        </w:tc>
        <w:tc>
          <w:tcPr>
            <w:vAlign w:val="top"/>
            <w:tcMar>
              <w:top w:w="70" w:type="dxa"/>
              <w:start w:w="80" w:type="dxa"/>
              <w:bottom w:w="70" w:type="dxa"/>
              <w:end w:w="80" w:type="dxa"/>
            </w:tcMar>
            <w:shd w:fill="1F4E78"/>
          </w:tcPr>
          <w:p>
            <w:pPr>
              <w:pStyle w:val="Compact"/>
              <w:jc w:val="left"/>
            </w:pPr>
            <w:r>
              <w:rPr>
                <w:rFonts w:ascii="Arial" w:hAnsi="Arial" w:eastAsia="Arial"/>
                <w:b/>
                <w:bCs/>
                <w:color w:val="FFFFFF"/>
                <w:sz w:val="16"/>
              </w:rPr>
              <w:t>Primary scope logging</w:t>
            </w:r>
          </w:p>
        </w:tc>
        <w:tc>
          <w:tcPr>
            <w:vAlign w:val="top"/>
            <w:tcMar>
              <w:top w:w="70" w:type="dxa"/>
              <w:start w:w="80" w:type="dxa"/>
              <w:bottom w:w="70" w:type="dxa"/>
              <w:end w:w="80" w:type="dxa"/>
            </w:tcMar>
            <w:shd w:fill="1F4E78"/>
          </w:tcPr>
          <w:p>
            <w:pPr>
              <w:pStyle w:val="Compact"/>
              <w:jc w:val="left"/>
            </w:pPr>
            <w:r>
              <w:rPr>
                <w:rFonts w:ascii="Arial" w:hAnsi="Arial" w:eastAsia="Arial"/>
                <w:b/>
                <w:bCs/>
                <w:color w:val="FFFFFF"/>
                <w:sz w:val="16"/>
              </w:rPr>
              <w:t>Secondary / cross-scope impacts</w:t>
            </w:r>
          </w:p>
        </w:tc>
        <w:tc>
          <w:tcPr>
            <w:vAlign w:val="top"/>
            <w:tcMar>
              <w:top w:w="70" w:type="dxa"/>
              <w:start w:w="80" w:type="dxa"/>
              <w:bottom w:w="70" w:type="dxa"/>
              <w:end w:w="80" w:type="dxa"/>
            </w:tcMar>
            <w:shd w:fill="1F4E78"/>
          </w:tcPr>
          <w:p>
            <w:pPr>
              <w:pStyle w:val="Compact"/>
              <w:jc w:val="left"/>
            </w:pPr>
            <w:r>
              <w:rPr>
                <w:rFonts w:ascii="Arial" w:hAnsi="Arial" w:eastAsia="Arial"/>
                <w:b/>
                <w:bCs/>
                <w:color w:val="FFFFFF"/>
                <w:sz w:val="16"/>
              </w:rPr>
              <w:t>Redundancy handling note</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Parent transfers $100 to adult child.</w:t>
            </w:r>
          </w:p>
        </w:tc>
        <w:tc>
          <w:tcPr>
            <w:vAlign w:val="top"/>
            <w:tcMar>
              <w:top w:w="70" w:type="dxa"/>
              <w:start w:w="80" w:type="dxa"/>
              <w:bottom w:w="70" w:type="dxa"/>
              <w:end w:w="80" w:type="dxa"/>
            </w:tcMar>
            <w:shd w:fill="D9EAF7"/>
          </w:tcPr>
          <w:p>
            <w:pPr>
              <w:pStyle w:val="Compact"/>
              <w:jc w:val="left"/>
            </w:pPr>
            <w:r>
              <w:rPr>
                <w:rFonts w:ascii="Arial" w:hAnsi="Arial" w:eastAsia="Arial"/>
                <w:sz w:val="16"/>
              </w:rPr>
              <w:t>Recipient: U2 Household (child household) x D1 Material.</w:t>
            </w:r>
          </w:p>
        </w:tc>
        <w:tc>
          <w:tcPr>
            <w:vAlign w:val="top"/>
            <w:tcMar>
              <w:top w:w="70" w:type="dxa"/>
              <w:start w:w="80" w:type="dxa"/>
              <w:bottom w:w="70" w:type="dxa"/>
              <w:end w:w="80" w:type="dxa"/>
            </w:tcMar>
            <w:shd w:fill="D9EAF7"/>
          </w:tcPr>
          <w:p>
            <w:pPr>
              <w:pStyle w:val="Compact"/>
              <w:jc w:val="left"/>
            </w:pPr>
            <w:r>
              <w:rPr>
                <w:rFonts w:ascii="Arial" w:hAnsi="Arial" w:eastAsia="Arial"/>
                <w:sz w:val="16"/>
              </w:rPr>
              <w:t>Sender household reduced resources, U2 x D1; governance/admin impacts logged separately if applicable.</w:t>
            </w:r>
          </w:p>
        </w:tc>
        <w:tc>
          <w:tcPr>
            <w:vAlign w:val="top"/>
            <w:tcMar>
              <w:top w:w="70" w:type="dxa"/>
              <w:start w:w="80" w:type="dxa"/>
              <w:bottom w:w="70" w:type="dxa"/>
              <w:end w:w="80" w:type="dxa"/>
            </w:tcMar>
            <w:shd w:fill="D9EAF7"/>
          </w:tcPr>
          <w:p>
            <w:pPr>
              <w:pStyle w:val="Compact"/>
              <w:jc w:val="left"/>
            </w:pPr>
            <w:r>
              <w:rPr>
                <w:rFonts w:ascii="Arial" w:hAnsi="Arial" w:eastAsia="Arial"/>
                <w:sz w:val="16"/>
              </w:rPr>
              <w:t>DEDUPLICATION: log the transfer effect-token once; do not create a second impact instance for the same token.</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City spends $1M on public hospital upgrades.</w:t>
            </w:r>
          </w:p>
        </w:tc>
        <w:tc>
          <w:tcPr>
            <w:vAlign w:val="top"/>
            <w:tcMar>
              <w:top w:w="70" w:type="dxa"/>
              <w:start w:w="80" w:type="dxa"/>
              <w:bottom w:w="70" w:type="dxa"/>
              <w:end w:w="80" w:type="dxa"/>
            </w:tcMar>
            <w:shd w:fill="FFFFFF"/>
          </w:tcPr>
          <w:p>
            <w:pPr>
              <w:pStyle w:val="Compact"/>
              <w:jc w:val="left"/>
            </w:pPr>
            <w:r>
              <w:rPr>
                <w:rFonts w:ascii="Arial" w:hAnsi="Arial" w:eastAsia="Arial"/>
                <w:sz w:val="16"/>
              </w:rPr>
              <w:t>Community: U3 Community x D2 Health.</w:t>
            </w:r>
          </w:p>
        </w:tc>
        <w:tc>
          <w:tcPr>
            <w:vAlign w:val="top"/>
            <w:tcMar>
              <w:top w:w="70" w:type="dxa"/>
              <w:start w:w="80" w:type="dxa"/>
              <w:bottom w:w="70" w:type="dxa"/>
              <w:end w:w="80" w:type="dxa"/>
            </w:tcMar>
            <w:shd w:fill="FFFFFF"/>
          </w:tcPr>
          <w:p>
            <w:pPr>
              <w:pStyle w:val="Compact"/>
              <w:jc w:val="left"/>
            </w:pPr>
            <w:r>
              <w:rPr>
                <w:rFonts w:ascii="Arial" w:hAnsi="Arial" w:eastAsia="Arial"/>
                <w:sz w:val="16"/>
              </w:rPr>
              <w:t>Households benefit; polity accountability impacts may exist.</w:t>
            </w:r>
          </w:p>
        </w:tc>
        <w:tc>
          <w:tcPr>
            <w:vAlign w:val="top"/>
            <w:tcMar>
              <w:top w:w="70" w:type="dxa"/>
              <w:start w:w="80" w:type="dxa"/>
              <w:bottom w:w="70" w:type="dxa"/>
              <w:end w:w="80" w:type="dxa"/>
            </w:tcMar>
            <w:shd w:fill="FFFFFF"/>
          </w:tcPr>
          <w:p>
            <w:pPr>
              <w:pStyle w:val="Compact"/>
              <w:jc w:val="left"/>
            </w:pPr>
            <w:r>
              <w:rPr>
                <w:rFonts w:ascii="Arial" w:hAnsi="Arial" w:eastAsia="Arial"/>
                <w:sz w:val="16"/>
              </w:rPr>
              <w:t>ALLOCATION if the same investment benefits multiple scopes; record effect-tokens and coefficients.</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National carbon tax: estimated 60% benefit to biosphere, 40% to Humanity / Global Coordination.</w:t>
            </w:r>
          </w:p>
        </w:tc>
        <w:tc>
          <w:tcPr>
            <w:vAlign w:val="top"/>
            <w:tcMar>
              <w:top w:w="70" w:type="dxa"/>
              <w:start w:w="80" w:type="dxa"/>
              <w:bottom w:w="70" w:type="dxa"/>
              <w:end w:w="80" w:type="dxa"/>
            </w:tcMar>
            <w:shd w:fill="D9EAF7"/>
          </w:tcPr>
          <w:p>
            <w:pPr>
              <w:pStyle w:val="Compact"/>
              <w:jc w:val="left"/>
            </w:pPr>
            <w:r>
              <w:rPr>
                <w:rFonts w:ascii="Arial" w:hAnsi="Arial" w:eastAsia="Arial"/>
                <w:sz w:val="16"/>
              </w:rPr>
              <w:t>Allocate the policy benefit token across U7 and U6 with coefficients 0.6 and 0.4.</w:t>
            </w:r>
          </w:p>
        </w:tc>
        <w:tc>
          <w:tcPr>
            <w:vAlign w:val="top"/>
            <w:tcMar>
              <w:top w:w="70" w:type="dxa"/>
              <w:start w:w="80" w:type="dxa"/>
              <w:bottom w:w="70" w:type="dxa"/>
              <w:end w:w="80" w:type="dxa"/>
            </w:tcMar>
            <w:shd w:fill="D9EAF7"/>
          </w:tcPr>
          <w:p>
            <w:pPr>
              <w:pStyle w:val="Compact"/>
              <w:jc w:val="left"/>
            </w:pPr>
            <w:r>
              <w:rPr>
                <w:rFonts w:ascii="Arial" w:hAnsi="Arial" w:eastAsia="Arial"/>
                <w:sz w:val="16"/>
              </w:rPr>
              <w:t>Polity administrative burden and compliance costs logged as distinct impacts.</w:t>
            </w:r>
          </w:p>
        </w:tc>
        <w:tc>
          <w:tcPr>
            <w:vAlign w:val="top"/>
            <w:tcMar>
              <w:top w:w="70" w:type="dxa"/>
              <w:start w:w="80" w:type="dxa"/>
              <w:bottom w:w="70" w:type="dxa"/>
              <w:end w:w="80" w:type="dxa"/>
            </w:tcMar>
            <w:shd w:fill="D9EAF7"/>
          </w:tcPr>
          <w:p>
            <w:pPr>
              <w:pStyle w:val="Compact"/>
              <w:jc w:val="left"/>
            </w:pPr>
            <w:r>
              <w:rPr>
                <w:rFonts w:ascii="Arial" w:hAnsi="Arial" w:eastAsia="Arial"/>
                <w:sz w:val="16"/>
              </w:rPr>
              <w:t>ALLOCATION: explicit coefficients; no allocation laundering.</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Factory emissions affect local residents and ecosystem.</w:t>
            </w:r>
          </w:p>
        </w:tc>
        <w:tc>
          <w:tcPr>
            <w:vAlign w:val="top"/>
            <w:tcMar>
              <w:top w:w="70" w:type="dxa"/>
              <w:start w:w="80" w:type="dxa"/>
              <w:bottom w:w="70" w:type="dxa"/>
              <w:end w:w="80" w:type="dxa"/>
            </w:tcMar>
            <w:shd w:fill="FFFFFF"/>
          </w:tcPr>
          <w:p>
            <w:pPr>
              <w:pStyle w:val="Compact"/>
              <w:jc w:val="left"/>
            </w:pPr>
            <w:r>
              <w:rPr>
                <w:rFonts w:ascii="Arial" w:hAnsi="Arial" w:eastAsia="Arial"/>
                <w:sz w:val="16"/>
              </w:rPr>
              <w:t>Local health harm to residents: U3 Community x D2 Health.</w:t>
            </w:r>
          </w:p>
        </w:tc>
        <w:tc>
          <w:tcPr>
            <w:vAlign w:val="top"/>
            <w:tcMar>
              <w:top w:w="70" w:type="dxa"/>
              <w:start w:w="80" w:type="dxa"/>
              <w:bottom w:w="70" w:type="dxa"/>
              <w:end w:w="80" w:type="dxa"/>
            </w:tcMar>
            <w:shd w:fill="FFFFFF"/>
          </w:tcPr>
          <w:p>
            <w:pPr>
              <w:pStyle w:val="Compact"/>
              <w:jc w:val="left"/>
            </w:pPr>
            <w:r>
              <w:rPr>
                <w:rFonts w:ascii="Arial" w:hAnsi="Arial" w:eastAsia="Arial"/>
                <w:sz w:val="16"/>
              </w:rPr>
              <w:t>Ecosystem degradation: U7 Biosphere x D7 Environment.</w:t>
            </w:r>
          </w:p>
        </w:tc>
        <w:tc>
          <w:tcPr>
            <w:vAlign w:val="top"/>
            <w:tcMar>
              <w:top w:w="70" w:type="dxa"/>
              <w:start w:w="80" w:type="dxa"/>
              <w:bottom w:w="70" w:type="dxa"/>
              <w:end w:w="80" w:type="dxa"/>
            </w:tcMar>
            <w:shd w:fill="FFFFFF"/>
          </w:tcPr>
          <w:p>
            <w:pPr>
              <w:pStyle w:val="Compact"/>
              <w:jc w:val="left"/>
            </w:pPr>
            <w:r>
              <w:rPr>
                <w:rFonts w:ascii="Arial" w:hAnsi="Arial" w:eastAsia="Arial"/>
                <w:sz w:val="16"/>
              </w:rPr>
              <w:t>EMERGENT_SCALE_JUSTIFICATION: different mechanisms at different scales, not duplicate counting.</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River communities 50km downstream affected by discharge.</w:t>
            </w:r>
          </w:p>
        </w:tc>
        <w:tc>
          <w:tcPr>
            <w:vAlign w:val="top"/>
            <w:tcMar>
              <w:top w:w="70" w:type="dxa"/>
              <w:start w:w="80" w:type="dxa"/>
              <w:bottom w:w="70" w:type="dxa"/>
              <w:end w:w="80" w:type="dxa"/>
            </w:tcMar>
            <w:shd w:fill="D9EAF7"/>
          </w:tcPr>
          <w:p>
            <w:pPr>
              <w:pStyle w:val="Compact"/>
              <w:jc w:val="left"/>
            </w:pPr>
            <w:r>
              <w:rPr>
                <w:rFonts w:ascii="Arial" w:hAnsi="Arial" w:eastAsia="Arial"/>
                <w:sz w:val="16"/>
              </w:rPr>
              <w:t>Downstream residents: U3 Community, separate instance from factory-neighbor community.</w:t>
            </w:r>
          </w:p>
        </w:tc>
        <w:tc>
          <w:tcPr>
            <w:vAlign w:val="top"/>
            <w:tcMar>
              <w:top w:w="70" w:type="dxa"/>
              <w:start w:w="80" w:type="dxa"/>
              <w:bottom w:w="70" w:type="dxa"/>
              <w:end w:w="80" w:type="dxa"/>
            </w:tcMar>
            <w:shd w:fill="D9EAF7"/>
          </w:tcPr>
          <w:p>
            <w:pPr>
              <w:pStyle w:val="Compact"/>
              <w:jc w:val="left"/>
            </w:pPr>
            <w:r>
              <w:rPr>
                <w:rFonts w:ascii="Arial" w:hAnsi="Arial" w:eastAsia="Arial"/>
                <w:sz w:val="16"/>
              </w:rPr>
              <w:t>Potential rights exposure flagged through stakeholder discovery.</w:t>
            </w:r>
          </w:p>
        </w:tc>
        <w:tc>
          <w:tcPr>
            <w:vAlign w:val="top"/>
            <w:tcMar>
              <w:top w:w="70" w:type="dxa"/>
              <w:start w:w="80" w:type="dxa"/>
              <w:bottom w:w="70" w:type="dxa"/>
              <w:end w:w="80" w:type="dxa"/>
            </w:tcMar>
            <w:shd w:fill="D9EAF7"/>
          </w:tcPr>
          <w:p>
            <w:pPr>
              <w:pStyle w:val="Compact"/>
              <w:jc w:val="left"/>
            </w:pPr>
            <w:r>
              <w:rPr>
                <w:rFonts w:ascii="Arial" w:hAnsi="Arial" w:eastAsia="Arial"/>
                <w:sz w:val="16"/>
              </w:rPr>
              <w:t>SDP externality detection: omission-likely stakeholder class logged separately.</w:t>
            </w:r>
          </w:p>
        </w:tc>
      </w:tr>
    </w:tbl>
    <w:bookmarkEnd w:id="70"/>
    <w:bookmarkStart w:id="71" w:name="Xd5bfba8efa5c3d21daef2dd19aa9fec3c12185b"/>
    <w:p>
      <w:pPr>
        <w:pStyle w:val="Heading2"/>
      </w:pPr>
      <w:r>
        <w:t>4.8 Implementation Tiers (Normative Summary)</w:t>
      </w:r>
    </w:p>
    <w:tbl>
      <w:tblPr>
        <w:tblStyle w:val="Table"/>
        <w:tblW w:type="auto" w:w="0"/>
        <w:jc w:val="center"/>
        <w:tblLook w:firstRow="1" w:lastRow="0" w:firstColumn="0" w:lastColumn="0" w:noHBand="0" w:noVBand="0" w:val="0020"/>
      </w:tblPr>
      <w:tblGrid>
        <w:gridCol w:w="1980"/>
        <w:gridCol w:w="1980"/>
        <w:gridCol w:w="1980"/>
        <w:gridCol w:w="1980"/>
      </w:tblGrid>
      <w:tr>
        <w:trPr>
          <w:tblHeader w:val="on"/>
          <w:tblHeader w:val="true"/>
          <w:cantSplit/>
        </w:trPr>
        <w:tc>
          <w:tcPr>
            <w:vAlign w:val="top"/>
            <w:tcMar>
              <w:top w:w="70" w:type="dxa"/>
              <w:start w:w="80" w:type="dxa"/>
              <w:bottom w:w="70" w:type="dxa"/>
              <w:end w:w="80" w:type="dxa"/>
            </w:tcMar>
            <w:shd w:fill="1F4E78"/>
          </w:tcPr>
          <w:p>
            <w:pPr>
              <w:pStyle w:val="Compact"/>
              <w:jc w:val="left"/>
            </w:pPr>
            <w:r>
              <w:rPr>
                <w:rFonts w:ascii="Arial" w:hAnsi="Arial" w:eastAsia="Arial"/>
                <w:b/>
                <w:bCs/>
                <w:color w:val="FFFFFF"/>
                <w:sz w:val="16"/>
              </w:rPr>
              <w:t>Requirement</w:t>
            </w:r>
          </w:p>
        </w:tc>
        <w:tc>
          <w:tcPr>
            <w:vAlign w:val="top"/>
            <w:tcMar>
              <w:top w:w="70" w:type="dxa"/>
              <w:start w:w="80" w:type="dxa"/>
              <w:bottom w:w="70" w:type="dxa"/>
              <w:end w:w="80" w:type="dxa"/>
            </w:tcMar>
            <w:shd w:fill="1F4E78"/>
          </w:tcPr>
          <w:p>
            <w:pPr>
              <w:pStyle w:val="Compact"/>
              <w:jc w:val="left"/>
            </w:pPr>
            <w:r>
              <w:rPr>
                <w:rFonts w:ascii="Arial" w:hAnsi="Arial" w:eastAsia="Arial"/>
                <w:b/>
                <w:bCs/>
                <w:color w:val="FFFFFF"/>
                <w:sz w:val="16"/>
              </w:rPr>
              <w:t>Tier 1 Heuristic</w:t>
            </w:r>
          </w:p>
        </w:tc>
        <w:tc>
          <w:tcPr>
            <w:vAlign w:val="top"/>
            <w:tcMar>
              <w:top w:w="70" w:type="dxa"/>
              <w:start w:w="80" w:type="dxa"/>
              <w:bottom w:w="70" w:type="dxa"/>
              <w:end w:w="80" w:type="dxa"/>
            </w:tcMar>
            <w:shd w:fill="1F4E78"/>
          </w:tcPr>
          <w:p>
            <w:pPr>
              <w:pStyle w:val="Compact"/>
              <w:jc w:val="left"/>
            </w:pPr>
            <w:r>
              <w:rPr>
                <w:rFonts w:ascii="Arial" w:hAnsi="Arial" w:eastAsia="Arial"/>
                <w:b/>
                <w:bCs/>
                <w:color w:val="FFFFFF"/>
                <w:sz w:val="16"/>
              </w:rPr>
              <w:t>Tier 2 Core</w:t>
            </w:r>
          </w:p>
        </w:tc>
        <w:tc>
          <w:tcPr>
            <w:vAlign w:val="top"/>
            <w:tcMar>
              <w:top w:w="70" w:type="dxa"/>
              <w:start w:w="80" w:type="dxa"/>
              <w:bottom w:w="70" w:type="dxa"/>
              <w:end w:w="80" w:type="dxa"/>
            </w:tcMar>
            <w:shd w:fill="1F4E78"/>
          </w:tcPr>
          <w:p>
            <w:pPr>
              <w:pStyle w:val="Compact"/>
              <w:jc w:val="left"/>
            </w:pPr>
            <w:r>
              <w:rPr>
                <w:rFonts w:ascii="Arial" w:hAnsi="Arial" w:eastAsia="Arial"/>
                <w:b/>
                <w:bCs/>
                <w:color w:val="FFFFFF"/>
                <w:sz w:val="16"/>
              </w:rPr>
              <w:t>Tier 3 Auditable</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NCRC</w:t>
            </w:r>
          </w:p>
        </w:tc>
        <w:tc>
          <w:tcPr>
            <w:vAlign w:val="top"/>
            <w:tcMar>
              <w:top w:w="70" w:type="dxa"/>
              <w:start w:w="80" w:type="dxa"/>
              <w:bottom w:w="70" w:type="dxa"/>
              <w:end w:w="80" w:type="dxa"/>
            </w:tcMar>
            <w:shd w:fill="D9EAF7"/>
          </w:tcPr>
          <w:p>
            <w:pPr>
              <w:pStyle w:val="Compact"/>
              <w:jc w:val="left"/>
            </w:pPr>
            <w:r>
              <w:rPr>
                <w:rFonts w:ascii="Arial" w:hAnsi="Arial" w:eastAsia="Arial"/>
                <w:sz w:val="16"/>
              </w:rPr>
              <w:t>Heuristic</w:t>
            </w:r>
          </w:p>
        </w:tc>
        <w:tc>
          <w:tcPr>
            <w:vAlign w:val="top"/>
            <w:tcMar>
              <w:top w:w="70" w:type="dxa"/>
              <w:start w:w="80" w:type="dxa"/>
              <w:bottom w:w="70" w:type="dxa"/>
              <w:end w:w="80" w:type="dxa"/>
            </w:tcMar>
            <w:shd w:fill="D9EAF7"/>
          </w:tcPr>
          <w:p>
            <w:pPr>
              <w:pStyle w:val="Compact"/>
              <w:jc w:val="left"/>
            </w:pPr>
            <w:r>
              <w:rPr>
                <w:rFonts w:ascii="Arial" w:hAnsi="Arial" w:eastAsia="Arial"/>
                <w:sz w:val="16"/>
              </w:rPr>
              <w:t>REQUIRED</w:t>
            </w:r>
          </w:p>
        </w:tc>
        <w:tc>
          <w:tcPr>
            <w:vAlign w:val="top"/>
            <w:tcMar>
              <w:top w:w="70" w:type="dxa"/>
              <w:start w:w="80" w:type="dxa"/>
              <w:bottom w:w="70" w:type="dxa"/>
              <w:end w:w="80" w:type="dxa"/>
            </w:tcMar>
            <w:shd w:fill="D9EAF7"/>
          </w:tcPr>
          <w:p>
            <w:pPr>
              <w:pStyle w:val="Compact"/>
              <w:jc w:val="left"/>
            </w:pPr>
            <w:r>
              <w:rPr>
                <w:rFonts w:ascii="Arial" w:hAnsi="Arial" w:eastAsia="Arial"/>
                <w:sz w:val="16"/>
              </w:rPr>
              <w:t>REQUIRED with subgroup semantics</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TRC</w:t>
            </w:r>
          </w:p>
        </w:tc>
        <w:tc>
          <w:tcPr>
            <w:vAlign w:val="top"/>
            <w:tcMar>
              <w:top w:w="70" w:type="dxa"/>
              <w:start w:w="80" w:type="dxa"/>
              <w:bottom w:w="70" w:type="dxa"/>
              <w:end w:w="80" w:type="dxa"/>
            </w:tcMar>
            <w:shd w:fill="FFFFFF"/>
          </w:tcPr>
          <w:p>
            <w:pPr>
              <w:pStyle w:val="Compact"/>
              <w:jc w:val="left"/>
            </w:pPr>
            <w:r>
              <w:rPr>
                <w:rFonts w:ascii="Arial" w:hAnsi="Arial" w:eastAsia="Arial"/>
                <w:sz w:val="16"/>
              </w:rPr>
              <w:t>Optional qualitative screen</w:t>
            </w:r>
          </w:p>
        </w:tc>
        <w:tc>
          <w:tcPr>
            <w:vAlign w:val="top"/>
            <w:tcMar>
              <w:top w:w="70" w:type="dxa"/>
              <w:start w:w="80" w:type="dxa"/>
              <w:bottom w:w="70" w:type="dxa"/>
              <w:end w:w="80" w:type="dxa"/>
            </w:tcMar>
            <w:shd w:fill="FFFFFF"/>
          </w:tcPr>
          <w:p>
            <w:pPr>
              <w:pStyle w:val="Compact"/>
              <w:jc w:val="left"/>
            </w:pPr>
            <w:r>
              <w:rPr>
                <w:rFonts w:ascii="Arial" w:hAnsi="Arial" w:eastAsia="Arial"/>
                <w:sz w:val="16"/>
              </w:rPr>
              <w:t>REQUIRED when catastrophe relevance is plausible</w:t>
            </w:r>
          </w:p>
        </w:tc>
        <w:tc>
          <w:tcPr>
            <w:vAlign w:val="top"/>
            <w:tcMar>
              <w:top w:w="70" w:type="dxa"/>
              <w:start w:w="80" w:type="dxa"/>
              <w:bottom w:w="70" w:type="dxa"/>
              <w:end w:w="80" w:type="dxa"/>
            </w:tcMar>
            <w:shd w:fill="FFFFFF"/>
          </w:tcPr>
          <w:p>
            <w:pPr>
              <w:pStyle w:val="Compact"/>
              <w:jc w:val="left"/>
            </w:pPr>
            <w:r>
              <w:rPr>
                <w:rFonts w:ascii="Arial" w:hAnsi="Arial" w:eastAsia="Arial"/>
                <w:sz w:val="16"/>
              </w:rPr>
              <w:t>REQUIRED</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Scenario set size</w:t>
            </w:r>
          </w:p>
        </w:tc>
        <w:tc>
          <w:tcPr>
            <w:vAlign w:val="top"/>
            <w:tcMar>
              <w:top w:w="70" w:type="dxa"/>
              <w:start w:w="80" w:type="dxa"/>
              <w:bottom w:w="70" w:type="dxa"/>
              <w:end w:w="80" w:type="dxa"/>
            </w:tcMar>
            <w:shd w:fill="D9EAF7"/>
          </w:tcPr>
          <w:p>
            <w:pPr>
              <w:pStyle w:val="Compact"/>
              <w:jc w:val="left"/>
            </w:pPr>
            <w:r>
              <w:rPr>
                <w:rFonts w:ascii="Arial" w:hAnsi="Arial" w:eastAsia="Arial"/>
                <w:sz w:val="16"/>
              </w:rPr>
              <w:t>N/A</w:t>
            </w:r>
          </w:p>
        </w:tc>
        <w:tc>
          <w:tcPr>
            <w:vAlign w:val="top"/>
            <w:tcMar>
              <w:top w:w="70" w:type="dxa"/>
              <w:start w:w="80" w:type="dxa"/>
              <w:bottom w:w="70" w:type="dxa"/>
              <w:end w:w="80" w:type="dxa"/>
            </w:tcMar>
            <w:shd w:fill="D9EAF7"/>
          </w:tcPr>
          <w:p>
            <w:pPr>
              <w:pStyle w:val="Compact"/>
              <w:jc w:val="left"/>
            </w:pPr>
            <w:r>
              <w:rPr>
                <w:rFonts w:ascii="Arial" w:hAnsi="Arial" w:eastAsia="Arial"/>
                <w:sz w:val="16"/>
              </w:rPr>
              <w:t>5 minimum</w:t>
            </w:r>
          </w:p>
        </w:tc>
        <w:tc>
          <w:tcPr>
            <w:vAlign w:val="top"/>
            <w:tcMar>
              <w:top w:w="70" w:type="dxa"/>
              <w:start w:w="80" w:type="dxa"/>
              <w:bottom w:w="70" w:type="dxa"/>
              <w:end w:w="80" w:type="dxa"/>
            </w:tcMar>
            <w:shd w:fill="D9EAF7"/>
          </w:tcPr>
          <w:p>
            <w:pPr>
              <w:pStyle w:val="Compact"/>
              <w:jc w:val="left"/>
            </w:pPr>
            <w:r>
              <w:rPr>
                <w:rFonts w:ascii="Arial" w:hAnsi="Arial" w:eastAsia="Arial"/>
                <w:sz w:val="16"/>
              </w:rPr>
              <w:t>20 minimum</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Kernel propagation</w:t>
            </w:r>
          </w:p>
        </w:tc>
        <w:tc>
          <w:tcPr>
            <w:vAlign w:val="top"/>
            <w:tcMar>
              <w:top w:w="70" w:type="dxa"/>
              <w:start w:w="80" w:type="dxa"/>
              <w:bottom w:w="70" w:type="dxa"/>
              <w:end w:w="80" w:type="dxa"/>
            </w:tcMar>
            <w:shd w:fill="FFFFFF"/>
          </w:tcPr>
          <w:p>
            <w:pPr>
              <w:pStyle w:val="Compact"/>
              <w:jc w:val="left"/>
            </w:pPr>
            <w:r>
              <w:rPr>
                <w:rFonts w:ascii="Arial" w:hAnsi="Arial" w:eastAsia="Arial"/>
                <w:sz w:val="16"/>
              </w:rPr>
              <w:t>NONE</w:t>
            </w:r>
          </w:p>
        </w:tc>
        <w:tc>
          <w:tcPr>
            <w:vAlign w:val="top"/>
            <w:tcMar>
              <w:top w:w="70" w:type="dxa"/>
              <w:start w:w="80" w:type="dxa"/>
              <w:bottom w:w="70" w:type="dxa"/>
              <w:end w:w="80" w:type="dxa"/>
            </w:tcMar>
            <w:shd w:fill="FFFFFF"/>
          </w:tcPr>
          <w:p>
            <w:pPr>
              <w:pStyle w:val="Compact"/>
              <w:jc w:val="left"/>
            </w:pPr>
            <w:r>
              <w:rPr>
                <w:rFonts w:ascii="Arial" w:hAnsi="Arial" w:eastAsia="Arial"/>
                <w:sz w:val="16"/>
              </w:rPr>
              <w:t>NONE default; QUICK if KQS policy satisfied</w:t>
            </w:r>
          </w:p>
        </w:tc>
        <w:tc>
          <w:tcPr>
            <w:vAlign w:val="top"/>
            <w:tcMar>
              <w:top w:w="70" w:type="dxa"/>
              <w:start w:w="80" w:type="dxa"/>
              <w:bottom w:w="70" w:type="dxa"/>
              <w:end w:w="80" w:type="dxa"/>
            </w:tcMar>
            <w:shd w:fill="FFFFFF"/>
          </w:tcPr>
          <w:p>
            <w:pPr>
              <w:pStyle w:val="Compact"/>
              <w:jc w:val="left"/>
            </w:pPr>
            <w:r>
              <w:rPr>
                <w:rFonts w:ascii="Arial" w:hAnsi="Arial" w:eastAsia="Arial"/>
                <w:sz w:val="16"/>
              </w:rPr>
              <w:t>QUICK only if KQS policy satisfied plus sensitivity</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CSV qualification</w:t>
            </w:r>
          </w:p>
        </w:tc>
        <w:tc>
          <w:tcPr>
            <w:vAlign w:val="top"/>
            <w:tcMar>
              <w:top w:w="70" w:type="dxa"/>
              <w:start w:w="80" w:type="dxa"/>
              <w:bottom w:w="70" w:type="dxa"/>
              <w:end w:w="80" w:type="dxa"/>
            </w:tcMar>
            <w:shd w:fill="D9EAF7"/>
          </w:tcPr>
          <w:p>
            <w:pPr>
              <w:pStyle w:val="Compact"/>
              <w:jc w:val="left"/>
            </w:pPr>
            <w:r>
              <w:rPr>
                <w:rFonts w:ascii="Arial" w:hAnsi="Arial" w:eastAsia="Arial"/>
                <w:sz w:val="16"/>
              </w:rPr>
              <w:t>REQUIRED before any ordinary ranking/selection claim; qualitative screen or</w:t>
            </w:r>
            <w:r>
              <w:rPr>
                <w:rFonts w:ascii="Arial" w:hAnsi="Arial" w:eastAsia="Arial"/>
                <w:sz w:val="16"/>
              </w:rPr>
              <w:t xml:space="preserve"> </w:t>
            </w:r>
            <w:r>
              <w:rPr>
                <w:rStyle w:val="VerbatimChar"/>
                <w:rFonts w:ascii="Arial" w:hAnsi="Arial" w:eastAsia="Arial"/>
                <w:sz w:val="16"/>
              </w:rPr>
              <w:t>CSV_NOT_MATERIAL</w:t>
            </w:r>
            <w:r>
              <w:rPr>
                <w:rFonts w:ascii="Arial" w:hAnsi="Arial" w:eastAsia="Arial"/>
                <w:sz w:val="16"/>
              </w:rPr>
              <w:t xml:space="preserve"> </w:t>
            </w:r>
            <w:r>
              <w:rPr>
                <w:rFonts w:ascii="Arial" w:hAnsi="Arial" w:eastAsia="Arial"/>
                <w:sz w:val="16"/>
              </w:rPr>
              <w:t>rationale allowed</w:t>
            </w:r>
          </w:p>
        </w:tc>
        <w:tc>
          <w:tcPr>
            <w:vAlign w:val="top"/>
            <w:tcMar>
              <w:top w:w="70" w:type="dxa"/>
              <w:start w:w="80" w:type="dxa"/>
              <w:bottom w:w="70" w:type="dxa"/>
              <w:end w:w="80" w:type="dxa"/>
            </w:tcMar>
            <w:shd w:fill="D9EAF7"/>
          </w:tcPr>
          <w:p>
            <w:pPr>
              <w:pStyle w:val="Compact"/>
              <w:jc w:val="left"/>
            </w:pPr>
            <w:r>
              <w:rPr>
                <w:rFonts w:ascii="Arial" w:hAnsi="Arial" w:eastAsia="Arial"/>
                <w:sz w:val="16"/>
              </w:rPr>
              <w:t>REQUIRED proportional/assumption-bounded CSV result before RLS</w:t>
            </w:r>
          </w:p>
        </w:tc>
        <w:tc>
          <w:tcPr>
            <w:vAlign w:val="top"/>
            <w:tcMar>
              <w:top w:w="70" w:type="dxa"/>
              <w:start w:w="80" w:type="dxa"/>
              <w:bottom w:w="70" w:type="dxa"/>
              <w:end w:w="80" w:type="dxa"/>
            </w:tcMar>
            <w:shd w:fill="D9EAF7"/>
          </w:tcPr>
          <w:p>
            <w:pPr>
              <w:pStyle w:val="Compact"/>
              <w:jc w:val="left"/>
            </w:pPr>
            <w:r>
              <w:rPr>
                <w:rFonts w:ascii="Arial" w:hAnsi="Arial" w:eastAsia="Arial"/>
                <w:sz w:val="16"/>
              </w:rPr>
              <w:t>REQUIRED full and binding</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PCC</w:t>
            </w:r>
          </w:p>
        </w:tc>
        <w:tc>
          <w:tcPr>
            <w:vAlign w:val="top"/>
            <w:tcMar>
              <w:top w:w="70" w:type="dxa"/>
              <w:start w:w="80" w:type="dxa"/>
              <w:bottom w:w="70" w:type="dxa"/>
              <w:end w:w="80" w:type="dxa"/>
            </w:tcMar>
            <w:shd w:fill="FFFFFF"/>
          </w:tcPr>
          <w:p>
            <w:pPr>
              <w:pStyle w:val="Compact"/>
              <w:jc w:val="left"/>
            </w:pPr>
            <w:r>
              <w:rPr>
                <w:rFonts w:ascii="Arial" w:hAnsi="Arial" w:eastAsia="Arial"/>
                <w:sz w:val="16"/>
              </w:rPr>
              <w:t>Optional</w:t>
            </w:r>
          </w:p>
        </w:tc>
        <w:tc>
          <w:tcPr>
            <w:vAlign w:val="top"/>
            <w:tcMar>
              <w:top w:w="70" w:type="dxa"/>
              <w:start w:w="80" w:type="dxa"/>
              <w:bottom w:w="70" w:type="dxa"/>
              <w:end w:w="80" w:type="dxa"/>
            </w:tcMar>
            <w:shd w:fill="FFFFFF"/>
          </w:tcPr>
          <w:p>
            <w:pPr>
              <w:pStyle w:val="Compact"/>
              <w:jc w:val="left"/>
            </w:pPr>
            <w:r>
              <w:rPr>
                <w:rFonts w:ascii="Arial" w:hAnsi="Arial" w:eastAsia="Arial"/>
                <w:sz w:val="16"/>
              </w:rPr>
              <w:t>REQUIRED basic</w:t>
            </w:r>
          </w:p>
        </w:tc>
        <w:tc>
          <w:tcPr>
            <w:vAlign w:val="top"/>
            <w:tcMar>
              <w:top w:w="70" w:type="dxa"/>
              <w:start w:w="80" w:type="dxa"/>
              <w:bottom w:w="70" w:type="dxa"/>
              <w:end w:w="80" w:type="dxa"/>
            </w:tcMar>
            <w:shd w:fill="FFFFFF"/>
          </w:tcPr>
          <w:p>
            <w:pPr>
              <w:pStyle w:val="Compact"/>
              <w:jc w:val="left"/>
            </w:pPr>
            <w:r>
              <w:rPr>
                <w:rFonts w:ascii="Arial" w:hAnsi="Arial" w:eastAsia="Arial"/>
                <w:sz w:val="16"/>
              </w:rPr>
              <w:t>REQUIRED full</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Sensitivity analysis</w:t>
            </w:r>
          </w:p>
        </w:tc>
        <w:tc>
          <w:tcPr>
            <w:vAlign w:val="top"/>
            <w:tcMar>
              <w:top w:w="70" w:type="dxa"/>
              <w:start w:w="80" w:type="dxa"/>
              <w:bottom w:w="70" w:type="dxa"/>
              <w:end w:w="80" w:type="dxa"/>
            </w:tcMar>
            <w:shd w:fill="D9EAF7"/>
          </w:tcPr>
          <w:p>
            <w:pPr>
              <w:pStyle w:val="Compact"/>
              <w:jc w:val="left"/>
            </w:pPr>
            <w:r>
              <w:rPr>
                <w:rFonts w:ascii="Arial" w:hAnsi="Arial" w:eastAsia="Arial"/>
                <w:sz w:val="16"/>
              </w:rPr>
              <w:t>Optional</w:t>
            </w:r>
          </w:p>
        </w:tc>
        <w:tc>
          <w:tcPr>
            <w:vAlign w:val="top"/>
            <w:tcMar>
              <w:top w:w="70" w:type="dxa"/>
              <w:start w:w="80" w:type="dxa"/>
              <w:bottom w:w="70" w:type="dxa"/>
              <w:end w:w="80" w:type="dxa"/>
            </w:tcMar>
            <w:shd w:fill="D9EAF7"/>
          </w:tcPr>
          <w:p>
            <w:pPr>
              <w:pStyle w:val="Compact"/>
              <w:jc w:val="left"/>
            </w:pPr>
            <w:r>
              <w:rPr>
                <w:rFonts w:ascii="Arial" w:hAnsi="Arial" w:eastAsia="Arial"/>
                <w:sz w:val="16"/>
              </w:rPr>
              <w:t>Recommended</w:t>
            </w:r>
          </w:p>
        </w:tc>
        <w:tc>
          <w:tcPr>
            <w:vAlign w:val="top"/>
            <w:tcMar>
              <w:top w:w="70" w:type="dxa"/>
              <w:start w:w="80" w:type="dxa"/>
              <w:bottom w:w="70" w:type="dxa"/>
              <w:end w:w="80" w:type="dxa"/>
            </w:tcMar>
            <w:shd w:fill="D9EAF7"/>
          </w:tcPr>
          <w:p>
            <w:pPr>
              <w:pStyle w:val="Compact"/>
              <w:jc w:val="left"/>
            </w:pPr>
            <w:r>
              <w:rPr>
                <w:rFonts w:ascii="Arial" w:hAnsi="Arial" w:eastAsia="Arial"/>
                <w:sz w:val="16"/>
              </w:rPr>
              <w:t>REQUIRED</w:t>
            </w:r>
          </w:p>
        </w:tc>
      </w:tr>
    </w:tbl>
    <w:p>
      <w:pPr>
        <w:pStyle w:val="BodyText"/>
      </w:pPr>
      <w:r>
        <w:t>Tier 4 boundary. Tier 4 is a design target only in the current v12.3 release and MUST NOT be claimed until ProofPack is public and independently replayable.</w:t>
      </w:r>
    </w:p>
    <w:bookmarkEnd w:id="71"/>
    <w:bookmarkStart w:id="78" w:name="Xdc0760dd8856d604f937ae84b60cc69f35305fe"/>
    <w:p>
      <w:pPr>
        <w:pStyle w:val="Heading2"/>
      </w:pPr>
      <w:r>
        <w:t>4.9 Refusal Under Underdetermination (Normative)</w:t>
      </w:r>
    </w:p>
    <w:p>
      <w:pPr>
        <w:pStyle w:val="FirstParagraph"/>
      </w:pPr>
      <w:r>
        <w:t>Purpose. RippleLogic distinguishes gate failure from underdetermination. Gate failure occurs when a declared option uniquely violates NCRC, TRC, or CSV requirements. Refusal occurs when the framework cannot uniquely determine whether an option passes, fails, or can be selected from the declared inputs and projection rules.</w:t>
      </w:r>
    </w:p>
    <w:p>
      <w:pPr>
        <w:pStyle w:val="BodyText"/>
      </w:pPr>
      <w:r>
        <w:t>Refusal is not weakness, discretion, or rhetorical caution. It is a formal anti-overclaiming state. A run that enters Refusal MUST NOT claim that the relevant option is admissible, selectable, selected, aligned, safe, or RippleLogic-conformant for the unresolved claim.</w:t>
      </w:r>
    </w:p>
    <w:bookmarkStart w:id="72" w:name="Xbd453fae9e9b0f7def0786f8b80940156795a3b"/>
    <w:p>
      <w:pPr>
        <w:pStyle w:val="Heading3"/>
      </w:pPr>
      <w:r>
        <w:t>4.9.1 Refusal triggers (Normative)</w:t>
      </w:r>
    </w:p>
    <w:p>
      <w:pPr>
        <w:pStyle w:val="FirstParagraph"/>
      </w:pPr>
      <w:r>
        <w:t>R-1 Gate-critical unknown. A rights-covered cell, catastrophe cell, Containment indicator, or other gate-critical input remains UNKNOWN_IMPACT after the applicable evidence, phantom-instance, or conservative-default rule has been applied.</w:t>
      </w:r>
    </w:p>
    <w:p>
      <w:pPr>
        <w:pStyle w:val="BodyText"/>
      </w:pPr>
      <w:r>
        <w:t>R-2 Non-unique projection. The projection from stakeholder instances, subgroup evidence, scenario data, or scope mapping to a gate verdict admits two or more materially different admissibility interpretations under the same declared evidence.</w:t>
      </w:r>
    </w:p>
    <w:p>
      <w:pPr>
        <w:pStyle w:val="BodyText"/>
      </w:pPr>
      <w:r>
        <w:t>R-3 Material indistinguishability. Two or more options are observationally indistinguishable on available welfare evidence but materially different in possible rights exposure, tail-risk exposure, domination risk, or containment risk.</w:t>
      </w:r>
    </w:p>
    <w:p>
      <w:pPr>
        <w:pStyle w:val="BodyText"/>
      </w:pPr>
      <w:r>
        <w:t>R-4 Layer ambiguity. The run relies on a category collapse, including treating compliance as correctness, traceability as admissibility, psychological plausibility as evidence, mathematical elegance as validation, moral status as governance authority, or SGP welfare scalars as admissibility modifiers.</w:t>
      </w:r>
    </w:p>
    <w:p>
      <w:pPr>
        <w:pStyle w:val="BodyText"/>
      </w:pPr>
      <w:r>
        <w:t>R-5 Projection modification after observation. A ProjectionPreRegistration object, threshold, rights coverage set, catastrophe cell set, scenario set, weight rule, SGP MPS/FPP binding, or Containment trigger is materially modified after relevant decision evidence has been consulted, unless the run is voided and restarted.</w:t>
      </w:r>
    </w:p>
    <w:p>
      <w:pPr>
        <w:pStyle w:val="BodyText"/>
      </w:pPr>
      <w:r>
        <w:t>R-6 Claim-boundary mismatch. The evidence available may support a lower-tier, local, provisional, or exploratory claim but is insufficient for the stronger claim being attempted.</w:t>
      </w:r>
    </w:p>
    <w:bookmarkEnd w:id="72"/>
    <w:bookmarkStart w:id="73" w:name="X45f95298b3b07bfdda4a2fe70c4d7916b1d7998"/>
    <w:p>
      <w:pPr>
        <w:pStyle w:val="Heading3"/>
      </w:pPr>
      <w:r>
        <w:t>4.9.2 Refusal effects (Normative)</w:t>
      </w:r>
    </w:p>
    <w:p>
      <w:pPr>
        <w:pStyle w:val="FirstParagraph"/>
      </w:pPr>
      <w:r>
        <w:t>1. stop any claim of admissibility, selectability, selection, conformance, or alignment for the unresolved option or run;</w:t>
      </w:r>
    </w:p>
    <w:p>
      <w:pPr>
        <w:pStyle w:val="BodyText"/>
      </w:pPr>
      <w:r>
        <w:t>2. emit a PCC.RefusalRecord;</w:t>
      </w:r>
    </w:p>
    <w:p>
      <w:pPr>
        <w:pStyle w:val="BodyText"/>
      </w:pPr>
      <w:r>
        <w:t>3. identify the unresolved gate, scope, dimension, scenario, stakeholder class, or projection rule;</w:t>
      </w:r>
    </w:p>
    <w:p>
      <w:pPr>
        <w:pStyle w:val="BodyText"/>
      </w:pPr>
      <w:r>
        <w:t>4. state the minimum evidence or procedural condition required for re-run;</w:t>
      </w:r>
    </w:p>
    <w:p>
      <w:pPr>
        <w:pStyle w:val="BodyText"/>
      </w:pPr>
      <w:r>
        <w:t>5. route the decision to escalation, redesign, bounded provisional action, or no-action baseline review according to tier and stakes.</w:t>
      </w:r>
    </w:p>
    <w:bookmarkEnd w:id="73"/>
    <w:bookmarkStart w:id="74" w:name="X888030424d460e874b4439a1182c04a892908a8"/>
    <w:p>
      <w:pPr>
        <w:pStyle w:val="Heading3"/>
      </w:pPr>
      <w:r>
        <w:t>4.9.3 Emergency and provisional action (Normative)</w:t>
      </w:r>
    </w:p>
    <w:p>
      <w:pPr>
        <w:pStyle w:val="FirstParagraph"/>
      </w:pPr>
      <w:r>
        <w:t>Refusal blocks strong conformance claims. It does not automatically imply inaction in emergency contexts. Where delay itself creates material harm, a provisional action MAY proceed only if all of the following hold:</w:t>
      </w:r>
    </w:p>
    <w:p>
      <w:pPr>
        <w:pStyle w:val="BodyText"/>
      </w:pPr>
      <w:r>
        <w:t>1. the action is rights-preserving under the best available conservative screen;</w:t>
      </w:r>
    </w:p>
    <w:p>
      <w:pPr>
        <w:pStyle w:val="BodyText"/>
      </w:pPr>
      <w:r>
        <w:t>2. catastrophic tail-risk is not plausibly increased beyond the declared emergency corridor;</w:t>
      </w:r>
    </w:p>
    <w:p>
      <w:pPr>
        <w:pStyle w:val="BodyText"/>
      </w:pPr>
      <w:r>
        <w:t>3. the action is reversible, staged, or bounded where feasible;</w:t>
      </w:r>
    </w:p>
    <w:p>
      <w:pPr>
        <w:pStyle w:val="BodyText"/>
      </w:pPr>
      <w:r>
        <w:t>4. escalation and independent review are triggered;</w:t>
      </w:r>
    </w:p>
    <w:p>
      <w:pPr>
        <w:pStyle w:val="BodyText"/>
      </w:pPr>
      <w:r>
        <w:t>5. the PCC clearly marks the action as PROVISIONAL_UNDER_REFUSAL rather than admissible, selectable, or selected under normal conformance.</w:t>
      </w:r>
    </w:p>
    <w:bookmarkEnd w:id="74"/>
    <w:bookmarkStart w:id="75" w:name="X9d89d5f5696156f24790b2bf828f7843cdb6916"/>
    <w:p>
      <w:pPr>
        <w:pStyle w:val="Heading3"/>
      </w:pPr>
      <w:r>
        <w:t>4.9.4 Distinction from gate failure (Normative)</w:t>
      </w:r>
    </w:p>
    <w:p>
      <w:pPr>
        <w:pStyle w:val="FirstParagraph"/>
      </w:pPr>
      <w:r>
        <w:t>Gate failure is committed: NCRC violation, TRC corridor breach, or CSV failure produces inadmissibility or non-selectability under unique projection. Refusal is uncommitted: the framework cannot uniquely determine admissibility from the declared inputs. Implementations MUST NOT silently convert Refusal into gate failure, gate success, or RLS tie-break, and MUST NOT use Refusal to bypass any earlier gate.</w:t>
      </w:r>
    </w:p>
    <w:bookmarkEnd w:id="75"/>
    <w:bookmarkStart w:id="76" w:name="X020febb94585153370a096c6cdb4f3dc1f3118f"/>
    <w:p>
      <w:pPr>
        <w:pStyle w:val="Heading3"/>
      </w:pPr>
      <w:r>
        <w:t>4.9.5 PCC fields for Refusal (Normative)</w:t>
      </w:r>
    </w:p>
    <w:p>
      <w:pPr>
        <w:pStyle w:val="FirstParagraph"/>
      </w:pPr>
      <w:r>
        <w:t>The PCC.RefusalRecord SHALL include at minimum: trigger code R-1 through R-6; evidence basis with provenance; options affected; scopes and dimensions affected; rights, catastrophe, or containment cells affected; no-action baseline status where relevant; escalation route invoked; provisional-action status, if any; and conditions under which a re-run could resolve the Refusal.</w:t>
      </w:r>
    </w:p>
    <w:bookmarkEnd w:id="76"/>
    <w:bookmarkStart w:id="77" w:name="Xa61636e05eb23177f76bcf8c7bf5c7ec5ed9877"/>
    <w:p>
      <w:pPr>
        <w:pStyle w:val="Heading3"/>
      </w:pPr>
      <w:r>
        <w:t>4.9.6 Relation to ripple.md IND and NA (Informative)</w:t>
      </w:r>
    </w:p>
    <w:p>
      <w:pPr>
        <w:pStyle w:val="FirstParagraph"/>
      </w:pPr>
      <w:r>
        <w:t>In ripple.md wrapped deployments, IND maps to Refusal where the test applies but evidence, scope lock, target specification, constraint set, verification regime, or projection conditions are insufficient. NA means the test is genuinely not applicable under the declared scope. Implementations MUST NOT use NA where IND is the correct state.</w:t>
      </w:r>
    </w:p>
    <w:bookmarkEnd w:id="77"/>
    <w:bookmarkEnd w:id="78"/>
    <w:bookmarkStart w:id="79" w:name="Xacffe19f317ec1f64e364e404248d6402a2e4d8"/>
    <w:p>
      <w:pPr>
        <w:pStyle w:val="Heading2"/>
      </w:pPr>
      <w:r>
        <w:t>4.10 Consequence-tempo and responsibility-continuity interface (Normative routing)</w:t>
      </w:r>
    </w:p>
    <w:p>
      <w:pPr>
        <w:pStyle w:val="FirstParagraph"/>
      </w:pPr>
      <w:r>
        <w:t>Execution assurance must distinguish decision admissibility from the speed and ownership of implementation. For actions involving rapid propagation, material irreversibility, consequential automation, or material lock-in, the worst credible control critical path must be shorter than the time to an unacceptable adverse escalation threshold or irreversible stop-loss boundary. Where no runtime interruption window is technically possible, stronger ex ante assurance, bounded scope and rate, fail-safe design, and explicit residual-risk authorization are required. Delay must also be tested as a possible source of rights, ruin, or structural harm.</w:t>
      </w:r>
    </w:p>
    <w:p>
      <w:pPr>
        <w:pStyle w:val="BodyText"/>
      </w:pPr>
      <w:r>
        <w:t>Complexity may distribute work but must not dissolve answerability. Claim-bearing high-consequence runs SHALL preserve typed responsibility for evidence, analysis, decision authority, operation, execution, intervention, appeal, communication, remedy, and residual responsibility. Legal liability is not inferred unless separately established by law.</w:t>
      </w:r>
    </w:p>
    <w:p>
      <w:pPr>
        <w:pStyle w:val="BodyText"/>
      </w:pPr>
      <w:r>
        <w:t>These are cross-cutting assurance requirements routed through TRC and CSV and recorded through ripple.md v5.2 and Agent System v12.1. They are not a sixth gate and do not make a completed record proof of safety.</w:t>
      </w:r>
    </w:p>
    <w:bookmarkEnd w:id="79"/>
    <w:bookmarkEnd w:id="80"/>
    <w:bookmarkStart w:id="99" w:name="X47a6519c1d137a160de0f30c797ffe6d6d7016a"/>
    <w:p>
      <w:pPr>
        <w:pStyle w:val="Heading1"/>
      </w:pPr>
      <w:r>
        <w:t>SECTION 5: WELFARE IMPACT CONSTRUCTION (CALCULABLE)</w:t>
      </w:r>
    </w:p>
    <w:bookmarkStart w:id="82" w:name="Xd3bbb4f52f6babd99956db1c3246968c3d083be"/>
    <w:p>
      <w:pPr>
        <w:pStyle w:val="Heading2"/>
      </w:pPr>
      <w:r>
        <w:t>5.0 Purpose and Design Requirements (Normative)</w:t>
      </w:r>
    </w:p>
    <w:p>
      <w:pPr>
        <w:pStyle w:val="FirstParagraph"/>
      </w:pPr>
      <w:r>
        <w:t>This section specifies how RippleLogic converts real-world predictions and evidence into a computable welfare impact matrix for each option. A competent analyst MUST be able to compute all required impacts from (i) a declared baseline, (ii) a declared option, and (iii) a finite list of impact instances per cell, using only the equations and rules in this paper and appendices.</w:t>
      </w:r>
    </w:p>
    <w:p>
      <w:pPr>
        <w:pStyle w:val="BodyText"/>
      </w:pPr>
      <w:r>
        <w:t>Cell-meaning rule (Normative clarification). A cell score is a reviewable baseline-relative claim, not a preference expression. It SHALL be interpretable as an assertion about one Union Scope and one welfare dimension, with evidence and uncertainty disclosed according to tier requirements. Appendix AD provides the canonical interpretive dictionary for cell meanings, positive/negative movement, possible indicators, gate-relevance cues, examples, and reviewer checks.</w:t>
      </w:r>
    </w:p>
    <w:bookmarkStart w:id="81" w:name="Xd7724264e904b25ea507cb11552b31d4ca4c9d6"/>
    <w:p>
      <w:pPr>
        <w:pStyle w:val="Heading3"/>
      </w:pPr>
      <w:r>
        <w:t>5.0.1 Stakeholder Coverage Index (SCI) (Normative)</w:t>
      </w:r>
    </w:p>
    <w:p>
      <w:pPr>
        <w:pStyle w:val="FirstParagraph"/>
      </w:pPr>
      <w:r>
        <w:t>SCI is a tier-governed disclosure ladder describing the stakeholder coverage posture of a run. SCI does not change scoring formulas. It is an auditability and integrity signal that supports comparability and anti-theater enforcement.</w:t>
      </w:r>
    </w:p>
    <w:p>
      <w:pPr>
        <w:pStyle w:val="BodyText"/>
      </w:pPr>
      <w:r>
        <w:t>SCI levels (minimum definitions): SCI-0: no explicit stakeholder instance logging. SCI-1: instances logged at least for direct stakeholders and primary externality pathways. SCI-2: instances logged with explicit mapping to Union Scopes, including at least one challenger pass for omissions. SCI-3: evidence-backed instance mapping with explicit blind-spot declaration, escalation triggers, and redundancy handling disclosures where multi-scope mapping is used. SCI-4: high-coverage posture with structured discovery, third-party review or validated stakeholder registry linkage, and replay-ready traceability.</w:t>
      </w:r>
    </w:p>
    <w:p>
      <w:pPr>
        <w:pStyle w:val="BodyText"/>
      </w:pPr>
      <w:r>
        <w:t>Tier minima. Tier 2 runs MUST achieve at least SCI-1. Tier 3 runs MUST achieve at least SCI-2.</w:t>
      </w:r>
    </w:p>
    <w:p>
      <w:pPr>
        <w:pStyle w:val="BodyText"/>
      </w:pPr>
      <w:r>
        <w:t>Anti-theater ratchet. If SCI equals the tier minimum, the PCC MUST include a concrete Next-Run Upgrade action that would raise SCI by at least one level for the next comparable run. If SCI is below the tier minimum, the run MUST either (a) downgrade the declared tier to one whose SCI minimum is satisfied, or (b) rerun with enhanced stakeholder discovery to meet the SCI minimum for the claimed tier. In either case, the PCC MUST include a remediation plan specifying how SCI will be raised to the target level before the next comparable run. A remediation plan alone does not make the current run compliant at the originally claimed tier.</w:t>
      </w:r>
    </w:p>
    <w:bookmarkEnd w:id="81"/>
    <w:bookmarkEnd w:id="82"/>
    <w:bookmarkStart w:id="83" w:name="Xbf14a9403c76550b79d8d18e9770ba3632c40c6"/>
    <w:p>
      <w:pPr>
        <w:pStyle w:val="Heading2"/>
      </w:pPr>
      <w:r>
        <w:t>5.0A End-to-End Cell Computation Recipe (Informative)</w:t>
      </w:r>
    </w:p>
    <w:p>
      <w:pPr>
        <w:pStyle w:val="FirstParagraph"/>
      </w:pPr>
      <w:r>
        <w:t>This recipe is the minimal end-to-end spine for computing any welfare-cell impact in a Tier 1-3 run. It is informative, but the equations and constraints it references are normative in their home sections. For traceability, this recipe is listed in reverse order (8→1), reflecting the final artifact emission back to upstream inputs.</w:t>
      </w:r>
    </w:p>
    <w:p>
      <w:pPr>
        <w:pStyle w:val="BodyText"/>
      </w:pPr>
      <w:r>
        <w:t>8) Emit PCC: record parameters, ReachBasis, gate results, RLS summary, and the public 5SPR. If reduced-scope mode is used, include the required attestations and blind-spot statement.</w:t>
      </w:r>
    </w:p>
    <w:p>
      <w:pPr>
        <w:pStyle w:val="Compact"/>
        <w:numPr>
          <w:ilvl w:val="0"/>
          <w:numId w:val="1002"/>
        </w:numPr>
      </w:pPr>
      <w:r>
        <w:t>Run the formal method: RSG / Reality Grounding → RF / Rights Floor (formal NCRC) → TRC / Tail-Risk Bound → CSV / Containment and Structural Viability → RLS / RippleLogic Score. Treat UCI/HOI or equivalent structural diagnostics as CSV evidence when material, and as residual tie-break/monitoring evidence only when RLS is tied, close, uncertainty-overlapped, or non-decisive.</w:t>
      </w:r>
    </w:p>
    <w:p>
      <w:pPr>
        <w:pStyle w:val="FirstParagraph"/>
      </w:pPr>
      <w:r>
        <w:t>6) Apply kernel propagation only if declared: if KernelPropagation = QUICK, compute I_prop_welfare(u,d,a) per Section 6; else set I_prop_welfare = I_dir. (Redundancy handling such as EMERGENT/DEDUP/ALLOCATION is a separate instance/aggregation mechanism and MUST NOT be treated as a propagation mode.)</w:t>
      </w:r>
    </w:p>
    <w:p>
      <w:pPr>
        <w:pStyle w:val="BodyText"/>
      </w:pPr>
      <w:r>
        <w:t>5) Compute the direct contribution and accumulate to the cell: Ĩ_dir(u,d,a;h) = Σ_k ( μ_k · r_k · τ(t_k) · ℓ_k · c_k · e_k · h_k ) over k in that cell. Apply the canonical saturation (for example tanh) to obtain I_dir(u,d,a;h) ∈ [-1,+1]. Here h_k is a declared welfare-inclusion hypothesis coefficient, not an MPS score or moral-worth scalar.</w:t>
      </w:r>
    </w:p>
    <w:p>
      <w:pPr>
        <w:pStyle w:val="BodyText"/>
      </w:pPr>
      <w:r>
        <w:t>Stream note (Normative). For admissibility layers (NCRC, TRC, CSV), compute the Base stream with h_k:=1 for all impact instances. In the Welfare stream used for RLS, MPS evidence determines the required protection posture and hypothesis set, but the MPS band or interval MUST NOT be inserted directly as a cardinal multiplier. Human persons and FPP entities use h_k=1. For a non-FPP stakeholder whose welfare-bearing status is decision-material, the run MUST evaluate the governed inclusion hypotheses required by Section 12 and Appendix G, including h_k=1 and, where exclusion remains evidentially admissible, h_k=0. If the decision changes across the hypothesis set, the run returns MPS_HYPOTHESIS_SENSITIVE and may not conceal the sensitivity with a convenient intermediate value.</w:t>
      </w:r>
    </w:p>
    <w:p>
      <w:pPr>
        <w:pStyle w:val="BodyText"/>
      </w:pPr>
      <w:r>
        <w:t>4) For each impact instance k, declare its parameters inside canonical bounds: magnitude μ_k ∈ [-1,+1], reach r_k ∈ [0,1] with ReachBasis, time horizon t_k ∈ (0, ∞) years (used via τ(t_k)), likelihood ℓ_k ∈ [0,1], confidence c_k ∈ [0.1, 1], bounded adjustment multiplier e_k ≥ 0 (default 1.00; non-default use governed by Section 5.2 notes and PCC disclosure), and welfare-inclusion hypothesis h_k ∈ {0,1} unless a separately governed and validated welfare-attention profile authorizes additional bounded values. h_k is never inferred mechanically from an MPS interval. Every human person and FPP entity uses h_k=1 (Appendix G).</w:t>
      </w:r>
    </w:p>
    <w:p>
      <w:pPr>
        <w:pStyle w:val="BodyText"/>
      </w:pPr>
      <w:r>
        <w:t>Dual-baseline implementation note (Informative). In Appendix P, the worked run uses FLOOR_REFERENCE for gate-relevant cells and STATUS_QUO implicitly for welfare cells (since no dual-baseline exception is declared). The single-baseline posture is the default and recommended approach for most runs. A dual-baseline declaration is needed only when the governance context requires distinguishing a welfare-ranking baseline (e.g. current policy status quo) from a rights-gate baseline (e.g. the rights-safe floor reference) for the same cell. When a dual-baseline is used, the PCC MUST include a BaselineDualExceptionBlock per Appendix H, and the floor-reference value remains controlling for gate consistency. Implementations are encouraged to use the single-baseline (FLOOR_REFERENCE for all gate-relevant cells) approach unless a specific governance need for dual-baseline is documented.</w:t>
      </w:r>
    </w:p>
    <w:p>
      <w:pPr>
        <w:pStyle w:val="BodyText"/>
      </w:pPr>
      <w:r>
        <w:t>Note on evidence (Normative clarification): Evidence quality is recorded in PCC provenance fields and informs the choice of c_k. Evidence quality is not a separate multiplicative scalar in Ĩ_dir unless explicitly introduced by a future canonical revision.</w:t>
      </w:r>
    </w:p>
    <w:p>
      <w:pPr>
        <w:pStyle w:val="BodyText"/>
      </w:pPr>
      <w:r>
        <w:t>3) Construct Impact Instances k for each active welfare cell (u,d): each k must reference (a) a stakeholder instance, (b) a cell (u,d), and (c) a direct or indirect pathway description.</w:t>
      </w:r>
    </w:p>
    <w:p>
      <w:pPr>
        <w:pStyle w:val="BodyText"/>
      </w:pPr>
      <w:r>
        <w:t>2) Build the representation layer: SDP → Stakeholders → Stakeholder Instances (InstanceMap with union-scope coverage).</w:t>
      </w:r>
    </w:p>
    <w:p>
      <w:pPr>
        <w:pStyle w:val="BodyText"/>
      </w:pPr>
      <w:r>
        <w:t>1) Declare the run: option set A, unions U_run, welfare dimensions D, horizon window, and kernel propagation policy (NONE / QUICK). If effect-token redundancy handling is used, declare the redundancy mode (EMERGENT / DEDUP / ALLOCATION) and α budgets separately.</w:t>
      </w:r>
    </w:p>
    <w:bookmarkEnd w:id="83"/>
    <w:bookmarkStart w:id="84" w:name="Xf30e03af126d8d8bd60eb1000ae106163f17f8e"/>
    <w:p>
      <w:pPr>
        <w:pStyle w:val="Heading2"/>
      </w:pPr>
      <w:r>
        <w:t>5.0B WDBIP welfare-evidence interface (Normative when WDBIP conformance is claimed)</w:t>
      </w:r>
    </w:p>
    <w:p>
      <w:pPr>
        <w:pStyle w:val="FirstParagraph"/>
      </w:pPr>
      <w:r>
        <w:t>The Welfare Dimension Boundary and Interaction Protocol v1.3 is the Canon-subordinate companion for primary dimension assignment, token-level welfare pathways, dependence and cross-scope duplication disclosure, time-window and subgroup integrity, measurement uncertainty, and welfare-dimension validation planning.</w:t>
      </w:r>
    </w:p>
    <w:p>
      <w:pPr>
        <w:pStyle w:val="BodyText"/>
      </w:pPr>
      <w:r>
        <w:t>WDBIP does not alter the seven dimensions, Union Scopes, gate sequence, RLS equation, constitutional weights, or lawful authority. It cannot rescue failed RF/NCRC, TRC, or CSV. When WDBIP conformance is claimed, the exact WDBIP record, schema version, and content hash SHALL be attached to or immutably referenced from the PCC.</w:t>
      </w:r>
    </w:p>
    <w:p>
      <w:pPr>
        <w:pStyle w:val="BodyText"/>
      </w:pPr>
      <w:r>
        <w:t>The Canon owns effect-token definitions, Union Scope mapping, redundancy methods, allocation constraints, RLS weights, and gate routing. WDBIP consumes those objects by version and pointer and MUST NOT redefine them.</w:t>
      </w:r>
    </w:p>
    <w:bookmarkEnd w:id="84"/>
    <w:bookmarkStart w:id="85" w:name="X8761e760ad26b0e98ce60e0aa8152fa23551d4b"/>
    <w:p>
      <w:pPr>
        <w:pStyle w:val="Heading2"/>
      </w:pPr>
      <w:r>
        <w:t>5.1 Baseline-Zero Rule (Normative)</w:t>
      </w:r>
    </w:p>
    <w:p>
      <w:pPr>
        <w:pStyle w:val="FirstParagraph"/>
      </w:pPr>
      <w:r>
        <w:t>Semantic anchor (MUST): For all unions u, dimensions d, and options a:</w:t>
      </w:r>
    </w:p>
    <w:p>
      <w:pPr>
        <w:pStyle w:val="BodyText"/>
      </w:pPr>
      <w:r>
        <w:t>I(u,d,a) = 0 if and only if the predicted indicator state under option a equals the baseline indicator state.</w:t>
      </w:r>
    </w:p>
    <w:p>
      <w:pPr>
        <w:pStyle w:val="BodyText"/>
      </w:pPr>
      <w:r>
        <w:t>Interpretation: "0 means no change from baseline" is globally enforced. Any method that produces absolute levels MUST immediately convert them into baseline-relative deltas before entering RippleLogic impact scoring.</w:t>
      </w:r>
    </w:p>
    <w:p>
      <w:pPr>
        <w:pStyle w:val="BodyText"/>
      </w:pPr>
      <w:r>
        <w:t>Stream binding (Normative): Compute a Base stream and a Welfare stream. The Base stream fixes h_k := 1.0 and is used by TRC and CSV. RF/NCRC begins from the Base stream but MUST apply the rights-specific non-attenuation, categorical-prohibition, and severe-hazard rules in Section 7.4; adverse rights severity MUST NOT be reduced merely because duration is short or analyst confidence is low. The Welfare stream uses the governed welfare-inclusion hypothesis set defined by the SGP binding interface and is used only for RLS. MPS bands and intervals are evidence objects and protection triggers, not cardinal welfare weights. If ranking or selection changes across the hypothesis set, the PCC MUST report MPS_HYPOTHESIS_SENSITIVE and the run must seek evidence, apply a precautionary policy, narrow the claim, preserve multiple options, or refuse a definitive ranking.</w:t>
      </w:r>
    </w:p>
    <w:bookmarkEnd w:id="85"/>
    <w:bookmarkStart w:id="86" w:name="Xc0c805040a7ffde04907e3aa042a5632a537682"/>
    <w:p>
      <w:pPr>
        <w:pStyle w:val="Heading2"/>
      </w:pPr>
      <w:r>
        <w:t>5.1A Baseline Contract for Admissibility Layers (Normative)</w:t>
      </w:r>
    </w:p>
    <w:p>
      <w:pPr>
        <w:pStyle w:val="FirstParagraph"/>
      </w:pPr>
      <w:r>
        <w:t>Baseline scope (Normative). RippleLogic welfare impacts are baseline-relative by design (Baseline-Zero Rule). For admissibility layers (NCRC and TRC) and any containment checks that depend on gate-relevant cells, the baseline for any cell that is in a rights coverage set C_r or in the catastrophe set C_cat MUST represent a rights-safe / safe-corridor reference condition (a “floor baseline”), not merely the status quo.</w:t>
      </w:r>
    </w:p>
    <w:p>
      <w:pPr>
        <w:pStyle w:val="BodyText"/>
      </w:pPr>
      <w:r>
        <w:t>Floor-baseline requirement (Normative). For each active rights or catastrophe cell, the PCC MUST declare the floor baseline reference (indicator definition, target level, jurisdictional or governed source when available, and any conversion assumptions). An option that maintains a rights-violating status quo MUST therefore score below 0 on the gate-relevant baseline-delta scale, because the baseline for gating is the floor reference.</w:t>
      </w:r>
    </w:p>
    <w:p>
      <w:pPr>
        <w:pStyle w:val="BodyText"/>
      </w:pPr>
      <w:r>
        <w:t>PCC disclosure (Normative). The PCC MUST record BaselineType_Gates = FLOOR_REFERENCE for all cells in C_r ∪ C_cat, and MUST record BaselineType_Welfare for other cells. Allowed values: STATUS_QUO, FLOOR_REFERENCE, OTHER_DECLARED. If OTHER_DECLARED is used, the basis and rationale MUST be specified and MUST NOT weaken NCRC/TRC protection.</w:t>
      </w:r>
    </w:p>
    <w:bookmarkEnd w:id="86"/>
    <w:bookmarkStart w:id="88" w:name="Xc6537caf8b01aaf7457cf8b03e26a42a54ee425"/>
    <w:p>
      <w:pPr>
        <w:pStyle w:val="Heading2"/>
      </w:pPr>
      <w:r>
        <w:t>5.2 Impact Instances (Normative)</w:t>
      </w:r>
    </w:p>
    <w:p>
      <w:pPr>
        <w:pStyle w:val="FirstParagraph"/>
      </w:pPr>
      <w:r>
        <w:t>RippleLogic represents impacts in each active welfare cell (u,d) for option a as a finite set of impact instances K(u,d,a). Each instance captures one distinct causal pathway or measurable effect.</w:t>
      </w:r>
    </w:p>
    <w:p>
      <w:pPr>
        <w:pStyle w:val="BodyText"/>
      </w:pPr>
      <w:r>
        <w:t>InstanceMap vs Impact Instances Bridge (v9.0; Normative): InstanceMap (Section 2.2A) specifies who is represented (stakeholders-in-context). Impact instances k ∈ K(u,d,a) specify how impacts occur (pathways) within a Scope×Dimension cell. These are distinct objects and MUST NOT be conflated. Impact instances inherit scope mapping from the stakeholder instances they affect. Both are required for full auditability at Tier 3.</w:t>
      </w:r>
    </w:p>
    <w:p>
      <w:pPr>
        <w:pStyle w:val="BodyText"/>
      </w:pPr>
      <w:r>
        <w:t>Informative: Scopes × Dimensions form the welfare matrix. Instances feed the cells.</w:t>
      </w:r>
    </w:p>
    <w:bookmarkStart w:id="87" w:name="Xd4439fcee1fd93b89d3c283544029a0a1284337"/>
    <w:p>
      <w:pPr>
        <w:pStyle w:val="Heading3"/>
      </w:pPr>
      <w:r>
        <w:t>5.2.1 ReachBasis canon (Tier 2+ required) (Normative)</w:t>
      </w:r>
    </w:p>
    <w:p>
      <w:pPr>
        <w:pStyle w:val="FirstParagraph"/>
      </w:pPr>
      <w:r>
        <w:t>Definition (Normative). Reach r_k ∈ [0,1] is a scale term representing the fraction of the relevant reference class affected by impact instance k for the specified union scope u and welfare dimension d. r_k is not a moral weight and MUST NOT substitute for rights floors, TRC, or other gates.</w:t>
      </w:r>
    </w:p>
    <w:p>
      <w:pPr>
        <w:pStyle w:val="BodyText"/>
      </w:pPr>
      <w:r>
        <w:t>ReachBasisType (Normative). For each r_k, the PCC MUST record one ReachBasisType ∈ {POPULATION_FRACTION, ASSET_OR_FLOW_FRACTION, AREA_OR_VOLUME_FRACTION, OTHER_DECLARED}. If OTHER_DECLARED is used, the PCC MUST define the basis and the denominator unambiguously.</w:t>
      </w:r>
    </w:p>
    <w:p>
      <w:pPr>
        <w:pStyle w:val="BodyText"/>
      </w:pPr>
      <w:r>
        <w:t>Denominator rule (Normative). The denominator MUST match the union scope u and the decision boundary (Section 2.2A), and MUST be disclosed with units (for example: adult residents in district X; monthly platform active users; hectares of watershed; annual procurement spend).</w:t>
      </w:r>
    </w:p>
    <w:p>
      <w:pPr>
        <w:pStyle w:val="BodyText"/>
      </w:pPr>
      <w:r>
        <w:t>Estimator and bounds (Normative). The PCC MUST record the estimator method and source/provenance for the denominator and numerator, plus conservative bounds when uncertainty is material. If bounds are used, the PCC MUST record r_k_low and r_k_high and use the conservative bound in any gate-relevant analysis when reach uncertainty could affect admissibility or containment.</w:t>
      </w:r>
    </w:p>
    <w:p>
      <w:pPr>
        <w:pStyle w:val="BodyText"/>
      </w:pPr>
      <w:r>
        <w:t>Anti-inflation rule (Normative). If the denominator is uncertain or contestable, the PCC MUST choose a conservative denominator that biases r_k downward (reducing claimed reach) unless a stronger denominator is justified by evidence.</w:t>
      </w:r>
    </w:p>
    <w:p>
      <w:pPr>
        <w:pStyle w:val="BodyText"/>
      </w:pPr>
      <w:r>
        <w:t>Rights-specific reach semantics (Normative). For rights-covered impact instances used in NCRC evaluation, reach SHALL be defined relative to the materially exposed protected subgroup or another subgroup-exposed reference class that prevents attenuation by unaffected population fraction. Reach in rights-covered cells MUST NOT dilute severity by reference to the full union population when only a protected subgroup is exposed. The PCC MUST record the rights-specific denominator when it differs from the general welfare denominator.</w:t>
      </w:r>
    </w:p>
    <w:p>
      <w:pPr>
        <w:pStyle w:val="BodyText"/>
      </w:pPr>
      <w:r>
        <w:t>Table 5.1: Impact Instance Parameters (Canonical)</w:t>
      </w:r>
    </w:p>
    <w:tbl>
      <w:tblPr>
        <w:tblStyle w:val="Table"/>
        <w:tblW w:type="auto" w:w="0"/>
        <w:jc w:val="center"/>
        <w:tblLook w:firstRow="1" w:lastRow="0" w:firstColumn="0" w:lastColumn="0" w:noHBand="0" w:noVBand="0" w:val="0020"/>
      </w:tblPr>
      <w:tblGrid>
        <w:gridCol w:w="1980"/>
        <w:gridCol w:w="1980"/>
        <w:gridCol w:w="1980"/>
        <w:gridCol w:w="1980"/>
      </w:tblGrid>
      <w:tr>
        <w:trPr>
          <w:tblHeader w:val="on"/>
          <w:tblHeader w:val="true"/>
          <w:cantSplit/>
        </w:trPr>
        <w:tc>
          <w:tcPr>
            <w:vAlign w:val="top"/>
            <w:tcMar>
              <w:top w:w="70" w:type="dxa"/>
              <w:start w:w="80" w:type="dxa"/>
              <w:bottom w:w="70" w:type="dxa"/>
              <w:end w:w="80" w:type="dxa"/>
            </w:tcMar>
            <w:shd w:fill="1F4E78"/>
          </w:tcPr>
          <w:p>
            <w:pPr>
              <w:pStyle w:val="Compact"/>
              <w:jc w:val="left"/>
            </w:pPr>
            <w:r>
              <w:rPr>
                <w:rFonts w:ascii="Arial" w:hAnsi="Arial" w:eastAsia="Arial"/>
                <w:b/>
                <w:bCs/>
                <w:color w:val="FFFFFF"/>
                <w:sz w:val="16"/>
              </w:rPr>
              <w:t>Parameter</w:t>
            </w:r>
          </w:p>
        </w:tc>
        <w:tc>
          <w:tcPr>
            <w:vAlign w:val="top"/>
            <w:tcMar>
              <w:top w:w="70" w:type="dxa"/>
              <w:start w:w="80" w:type="dxa"/>
              <w:bottom w:w="70" w:type="dxa"/>
              <w:end w:w="80" w:type="dxa"/>
            </w:tcMar>
            <w:shd w:fill="1F4E78"/>
          </w:tcPr>
          <w:p>
            <w:pPr>
              <w:pStyle w:val="Compact"/>
              <w:jc w:val="left"/>
            </w:pPr>
            <w:r>
              <w:rPr>
                <w:rFonts w:ascii="Arial" w:hAnsi="Arial" w:eastAsia="Arial"/>
                <w:b/>
                <w:bCs/>
                <w:color w:val="FFFFFF"/>
                <w:sz w:val="16"/>
              </w:rPr>
              <w:t>Symbol</w:t>
            </w:r>
          </w:p>
        </w:tc>
        <w:tc>
          <w:tcPr>
            <w:vAlign w:val="top"/>
            <w:tcMar>
              <w:top w:w="70" w:type="dxa"/>
              <w:start w:w="80" w:type="dxa"/>
              <w:bottom w:w="70" w:type="dxa"/>
              <w:end w:w="80" w:type="dxa"/>
            </w:tcMar>
            <w:shd w:fill="1F4E78"/>
          </w:tcPr>
          <w:p>
            <w:pPr>
              <w:pStyle w:val="Compact"/>
              <w:jc w:val="left"/>
            </w:pPr>
            <w:r>
              <w:rPr>
                <w:rFonts w:ascii="Arial" w:hAnsi="Arial" w:eastAsia="Arial"/>
                <w:b/>
                <w:bCs/>
                <w:color w:val="FFFFFF"/>
                <w:sz w:val="16"/>
              </w:rPr>
              <w:t>Range</w:t>
            </w:r>
          </w:p>
        </w:tc>
        <w:tc>
          <w:tcPr>
            <w:vAlign w:val="top"/>
            <w:tcMar>
              <w:top w:w="70" w:type="dxa"/>
              <w:start w:w="80" w:type="dxa"/>
              <w:bottom w:w="70" w:type="dxa"/>
              <w:end w:w="80" w:type="dxa"/>
            </w:tcMar>
            <w:shd w:fill="1F4E78"/>
          </w:tcPr>
          <w:p>
            <w:pPr>
              <w:pStyle w:val="Compact"/>
              <w:jc w:val="left"/>
            </w:pPr>
            <w:r>
              <w:rPr>
                <w:rFonts w:ascii="Arial" w:hAnsi="Arial" w:eastAsia="Arial"/>
                <w:b/>
                <w:bCs/>
                <w:color w:val="FFFFFF"/>
                <w:sz w:val="16"/>
              </w:rPr>
              <w:t>Meaning</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Magnitude</w:t>
            </w:r>
          </w:p>
        </w:tc>
        <w:tc>
          <w:tcPr>
            <w:vAlign w:val="top"/>
            <w:tcMar>
              <w:top w:w="70" w:type="dxa"/>
              <w:start w:w="80" w:type="dxa"/>
              <w:bottom w:w="70" w:type="dxa"/>
              <w:end w:w="80" w:type="dxa"/>
            </w:tcMar>
            <w:shd w:fill="D9EAF7"/>
          </w:tcPr>
          <w:p>
            <w:pPr>
              <w:pStyle w:val="Compact"/>
              <w:jc w:val="left"/>
            </w:pPr>
            <w:r>
              <w:rPr>
                <w:rFonts w:ascii="Arial" w:hAnsi="Arial" w:eastAsia="Arial"/>
                <w:sz w:val="16"/>
              </w:rPr>
              <w:t>μ_k</w:t>
            </w:r>
          </w:p>
        </w:tc>
        <w:tc>
          <w:tcPr>
            <w:vAlign w:val="top"/>
            <w:tcMar>
              <w:top w:w="70" w:type="dxa"/>
              <w:start w:w="80" w:type="dxa"/>
              <w:bottom w:w="70" w:type="dxa"/>
              <w:end w:w="80" w:type="dxa"/>
            </w:tcMar>
            <w:shd w:fill="D9EAF7"/>
          </w:tcPr>
          <w:p>
            <w:pPr>
              <w:pStyle w:val="Compact"/>
              <w:jc w:val="left"/>
            </w:pPr>
            <w:r>
              <w:rPr>
                <w:rFonts w:ascii="Arial" w:hAnsi="Arial" w:eastAsia="Arial"/>
                <w:sz w:val="16"/>
              </w:rPr>
              <w:t>[-1,+1]</w:t>
            </w:r>
          </w:p>
        </w:tc>
        <w:tc>
          <w:tcPr>
            <w:vAlign w:val="top"/>
            <w:tcMar>
              <w:top w:w="70" w:type="dxa"/>
              <w:start w:w="80" w:type="dxa"/>
              <w:bottom w:w="70" w:type="dxa"/>
              <w:end w:w="80" w:type="dxa"/>
            </w:tcMar>
            <w:shd w:fill="D9EAF7"/>
          </w:tcPr>
          <w:p>
            <w:pPr>
              <w:pStyle w:val="Compact"/>
              <w:jc w:val="left"/>
            </w:pPr>
            <w:r>
              <w:rPr>
                <w:rFonts w:ascii="Arial" w:hAnsi="Arial" w:eastAsia="Arial"/>
                <w:sz w:val="16"/>
              </w:rPr>
              <w:t>Signed severity of welfare change (baseline-relative). Positive = improvement; negative = harm.</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Reach</w:t>
            </w:r>
          </w:p>
        </w:tc>
        <w:tc>
          <w:tcPr>
            <w:vAlign w:val="top"/>
            <w:tcMar>
              <w:top w:w="70" w:type="dxa"/>
              <w:start w:w="80" w:type="dxa"/>
              <w:bottom w:w="70" w:type="dxa"/>
              <w:end w:w="80" w:type="dxa"/>
            </w:tcMar>
            <w:shd w:fill="FFFFFF"/>
          </w:tcPr>
          <w:p>
            <w:pPr>
              <w:pStyle w:val="Compact"/>
              <w:jc w:val="left"/>
            </w:pPr>
            <w:r>
              <w:rPr>
                <w:rFonts w:ascii="Arial" w:hAnsi="Arial" w:eastAsia="Arial"/>
                <w:sz w:val="16"/>
              </w:rPr>
              <w:t>r_k</w:t>
            </w:r>
          </w:p>
        </w:tc>
        <w:tc>
          <w:tcPr>
            <w:vAlign w:val="top"/>
            <w:tcMar>
              <w:top w:w="70" w:type="dxa"/>
              <w:start w:w="80" w:type="dxa"/>
              <w:bottom w:w="70" w:type="dxa"/>
              <w:end w:w="80" w:type="dxa"/>
            </w:tcMar>
            <w:shd w:fill="FFFFFF"/>
          </w:tcPr>
          <w:p>
            <w:pPr>
              <w:pStyle w:val="Compact"/>
              <w:jc w:val="left"/>
            </w:pPr>
            <w:r>
              <w:rPr>
                <w:rFonts w:ascii="Arial" w:hAnsi="Arial" w:eastAsia="Arial"/>
                <w:sz w:val="16"/>
              </w:rPr>
              <w:t>[0,1]</w:t>
            </w:r>
          </w:p>
        </w:tc>
        <w:tc>
          <w:tcPr>
            <w:vAlign w:val="top"/>
            <w:tcMar>
              <w:top w:w="70" w:type="dxa"/>
              <w:start w:w="80" w:type="dxa"/>
              <w:bottom w:w="70" w:type="dxa"/>
              <w:end w:w="80" w:type="dxa"/>
            </w:tcMar>
            <w:shd w:fill="FFFFFF"/>
          </w:tcPr>
          <w:p>
            <w:pPr>
              <w:pStyle w:val="Compact"/>
              <w:jc w:val="left"/>
            </w:pPr>
            <w:r>
              <w:rPr>
                <w:rFonts w:ascii="Arial" w:hAnsi="Arial" w:eastAsia="Arial"/>
                <w:sz w:val="16"/>
              </w:rPr>
              <w:t>Fraction of the relevant stakeholder population materially affected.</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Time horizon</w:t>
            </w:r>
          </w:p>
        </w:tc>
        <w:tc>
          <w:tcPr>
            <w:vAlign w:val="top"/>
            <w:tcMar>
              <w:top w:w="70" w:type="dxa"/>
              <w:start w:w="80" w:type="dxa"/>
              <w:bottom w:w="70" w:type="dxa"/>
              <w:end w:w="80" w:type="dxa"/>
            </w:tcMar>
            <w:shd w:fill="D9EAF7"/>
          </w:tcPr>
          <w:p>
            <w:pPr>
              <w:pStyle w:val="Compact"/>
              <w:jc w:val="left"/>
            </w:pPr>
            <w:r>
              <w:rPr>
                <w:rFonts w:ascii="Arial" w:hAnsi="Arial" w:eastAsia="Arial"/>
                <w:sz w:val="16"/>
              </w:rPr>
              <w:t>t_k</w:t>
            </w:r>
          </w:p>
        </w:tc>
        <w:tc>
          <w:tcPr>
            <w:vAlign w:val="top"/>
            <w:tcMar>
              <w:top w:w="70" w:type="dxa"/>
              <w:start w:w="80" w:type="dxa"/>
              <w:bottom w:w="70" w:type="dxa"/>
              <w:end w:w="80" w:type="dxa"/>
            </w:tcMar>
            <w:shd w:fill="D9EAF7"/>
          </w:tcPr>
          <w:p>
            <w:pPr>
              <w:pStyle w:val="Compact"/>
              <w:jc w:val="left"/>
            </w:pPr>
            <w:r>
              <w:rPr>
                <w:rFonts w:ascii="Arial" w:hAnsi="Arial" w:eastAsia="Arial"/>
                <w:sz w:val="16"/>
              </w:rPr>
              <w:t>(0, ∞) years</w:t>
            </w:r>
          </w:p>
        </w:tc>
        <w:tc>
          <w:tcPr>
            <w:vAlign w:val="top"/>
            <w:tcMar>
              <w:top w:w="70" w:type="dxa"/>
              <w:start w:w="80" w:type="dxa"/>
              <w:bottom w:w="70" w:type="dxa"/>
              <w:end w:w="80" w:type="dxa"/>
            </w:tcMar>
            <w:shd w:fill="D9EAF7"/>
          </w:tcPr>
          <w:p>
            <w:pPr>
              <w:pStyle w:val="Compact"/>
              <w:jc w:val="left"/>
            </w:pPr>
            <w:r>
              <w:rPr>
                <w:rFonts w:ascii="Arial" w:hAnsi="Arial" w:eastAsia="Arial"/>
                <w:sz w:val="16"/>
              </w:rPr>
              <w:t>Duration over which the effect remains materially relevant.</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Likelihood</w:t>
            </w:r>
          </w:p>
        </w:tc>
        <w:tc>
          <w:tcPr>
            <w:vAlign w:val="top"/>
            <w:tcMar>
              <w:top w:w="70" w:type="dxa"/>
              <w:start w:w="80" w:type="dxa"/>
              <w:bottom w:w="70" w:type="dxa"/>
              <w:end w:w="80" w:type="dxa"/>
            </w:tcMar>
            <w:shd w:fill="FFFFFF"/>
          </w:tcPr>
          <w:p>
            <w:pPr>
              <w:pStyle w:val="Compact"/>
              <w:jc w:val="left"/>
            </w:pPr>
            <w:r>
              <w:rPr>
                <w:rFonts w:ascii="Arial" w:hAnsi="Arial" w:eastAsia="Arial"/>
                <w:sz w:val="16"/>
              </w:rPr>
              <w:t>ℓ_k</w:t>
            </w:r>
          </w:p>
        </w:tc>
        <w:tc>
          <w:tcPr>
            <w:vAlign w:val="top"/>
            <w:tcMar>
              <w:top w:w="70" w:type="dxa"/>
              <w:start w:w="80" w:type="dxa"/>
              <w:bottom w:w="70" w:type="dxa"/>
              <w:end w:w="80" w:type="dxa"/>
            </w:tcMar>
            <w:shd w:fill="FFFFFF"/>
          </w:tcPr>
          <w:p>
            <w:pPr>
              <w:pStyle w:val="Compact"/>
              <w:jc w:val="left"/>
            </w:pPr>
            <w:r>
              <w:rPr>
                <w:rFonts w:ascii="Arial" w:hAnsi="Arial" w:eastAsia="Arial"/>
                <w:sz w:val="16"/>
              </w:rPr>
              <w:t>[0,1]</w:t>
            </w:r>
          </w:p>
        </w:tc>
        <w:tc>
          <w:tcPr>
            <w:vAlign w:val="top"/>
            <w:tcMar>
              <w:top w:w="70" w:type="dxa"/>
              <w:start w:w="80" w:type="dxa"/>
              <w:bottom w:w="70" w:type="dxa"/>
              <w:end w:w="80" w:type="dxa"/>
            </w:tcMar>
            <w:shd w:fill="FFFFFF"/>
          </w:tcPr>
          <w:p>
            <w:pPr>
              <w:pStyle w:val="Compact"/>
              <w:jc w:val="left"/>
            </w:pPr>
            <w:r>
              <w:rPr>
                <w:rFonts w:ascii="Arial" w:hAnsi="Arial" w:eastAsia="Arial"/>
                <w:sz w:val="16"/>
              </w:rPr>
              <w:t>Conditional probability the instance occurs (conditional on scenario model, if used).</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Confidence</w:t>
            </w:r>
          </w:p>
        </w:tc>
        <w:tc>
          <w:tcPr>
            <w:vAlign w:val="top"/>
            <w:tcMar>
              <w:top w:w="70" w:type="dxa"/>
              <w:start w:w="80" w:type="dxa"/>
              <w:bottom w:w="70" w:type="dxa"/>
              <w:end w:w="80" w:type="dxa"/>
            </w:tcMar>
            <w:shd w:fill="D9EAF7"/>
          </w:tcPr>
          <w:p>
            <w:pPr>
              <w:pStyle w:val="Compact"/>
              <w:jc w:val="left"/>
            </w:pPr>
            <w:r>
              <w:rPr>
                <w:rFonts w:ascii="Arial" w:hAnsi="Arial" w:eastAsia="Arial"/>
                <w:sz w:val="16"/>
              </w:rPr>
              <w:t>c_k</w:t>
            </w:r>
          </w:p>
        </w:tc>
        <w:tc>
          <w:tcPr>
            <w:vAlign w:val="top"/>
            <w:tcMar>
              <w:top w:w="70" w:type="dxa"/>
              <w:start w:w="80" w:type="dxa"/>
              <w:bottom w:w="70" w:type="dxa"/>
              <w:end w:w="80" w:type="dxa"/>
            </w:tcMar>
            <w:shd w:fill="D9EAF7"/>
          </w:tcPr>
          <w:p>
            <w:pPr>
              <w:pStyle w:val="Compact"/>
              <w:jc w:val="left"/>
            </w:pPr>
            <w:r>
              <w:rPr>
                <w:rFonts w:ascii="Arial" w:hAnsi="Arial" w:eastAsia="Arial"/>
                <w:sz w:val="16"/>
              </w:rPr>
              <w:t>[0.1,1]</w:t>
            </w:r>
          </w:p>
        </w:tc>
        <w:tc>
          <w:tcPr>
            <w:vAlign w:val="top"/>
            <w:tcMar>
              <w:top w:w="70" w:type="dxa"/>
              <w:start w:w="80" w:type="dxa"/>
              <w:bottom w:w="70" w:type="dxa"/>
              <w:end w:w="80" w:type="dxa"/>
            </w:tcMar>
            <w:shd w:fill="D9EAF7"/>
          </w:tcPr>
          <w:p>
            <w:pPr>
              <w:pStyle w:val="Compact"/>
              <w:jc w:val="left"/>
            </w:pPr>
            <w:r>
              <w:rPr>
                <w:rFonts w:ascii="Arial" w:hAnsi="Arial" w:eastAsia="Arial"/>
                <w:sz w:val="16"/>
              </w:rPr>
              <w:t>Analyst confidence in the instance specification and mapping (floor prevents "zeroing out").</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Equity/resilience multiplier</w:t>
            </w:r>
          </w:p>
        </w:tc>
        <w:tc>
          <w:tcPr>
            <w:vAlign w:val="top"/>
            <w:tcMar>
              <w:top w:w="70" w:type="dxa"/>
              <w:start w:w="80" w:type="dxa"/>
              <w:bottom w:w="70" w:type="dxa"/>
              <w:end w:w="80" w:type="dxa"/>
            </w:tcMar>
            <w:shd w:fill="FFFFFF"/>
          </w:tcPr>
          <w:p>
            <w:pPr>
              <w:pStyle w:val="Compact"/>
              <w:jc w:val="left"/>
            </w:pPr>
            <w:r>
              <w:rPr>
                <w:rFonts w:ascii="Arial" w:hAnsi="Arial" w:eastAsia="Arial"/>
                <w:sz w:val="16"/>
              </w:rPr>
              <w:t>e_k</w:t>
            </w:r>
          </w:p>
        </w:tc>
        <w:tc>
          <w:tcPr>
            <w:vAlign w:val="top"/>
            <w:tcMar>
              <w:top w:w="70" w:type="dxa"/>
              <w:start w:w="80" w:type="dxa"/>
              <w:bottom w:w="70" w:type="dxa"/>
              <w:end w:w="80" w:type="dxa"/>
            </w:tcMar>
            <w:shd w:fill="FFFFFF"/>
          </w:tcPr>
          <w:p>
            <w:pPr>
              <w:pStyle w:val="Compact"/>
              <w:jc w:val="left"/>
            </w:pPr>
            <w:r>
              <w:rPr>
                <w:rFonts w:ascii="Arial" w:hAnsi="Arial" w:eastAsia="Arial"/>
                <w:sz w:val="16"/>
              </w:rPr>
              <w:t>Tier 2: 1.00 only unless named governed instrument; Tier 3: [0.75, 1.25] default 1.00</w:t>
            </w:r>
          </w:p>
        </w:tc>
        <w:tc>
          <w:tcPr>
            <w:vAlign w:val="top"/>
            <w:tcMar>
              <w:top w:w="70" w:type="dxa"/>
              <w:start w:w="80" w:type="dxa"/>
              <w:bottom w:w="70" w:type="dxa"/>
              <w:end w:w="80" w:type="dxa"/>
            </w:tcMar>
            <w:shd w:fill="FFFFFF"/>
          </w:tcPr>
          <w:p>
            <w:pPr>
              <w:pStyle w:val="Compact"/>
              <w:jc w:val="left"/>
            </w:pPr>
            <w:r>
              <w:rPr>
                <w:rFonts w:ascii="Arial" w:hAnsi="Arial" w:eastAsia="Arial"/>
                <w:sz w:val="16"/>
              </w:rPr>
              <w:t>Governed multiplier for declared equity/resilience/context corrections only; MUST NOT function as a hidden weight or sign-changing control.</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Welfare-inclusion hypothesis</w:t>
            </w:r>
          </w:p>
        </w:tc>
        <w:tc>
          <w:tcPr>
            <w:vAlign w:val="top"/>
            <w:tcMar>
              <w:top w:w="70" w:type="dxa"/>
              <w:start w:w="80" w:type="dxa"/>
              <w:bottom w:w="70" w:type="dxa"/>
              <w:end w:w="80" w:type="dxa"/>
            </w:tcMar>
            <w:shd w:fill="D9EAF7"/>
          </w:tcPr>
          <w:p>
            <w:pPr>
              <w:pStyle w:val="Compact"/>
              <w:jc w:val="left"/>
            </w:pPr>
            <w:r>
              <w:rPr>
                <w:rFonts w:ascii="Arial" w:hAnsi="Arial" w:eastAsia="Arial"/>
                <w:sz w:val="16"/>
              </w:rPr>
              <w:t>h_k</w:t>
            </w:r>
          </w:p>
        </w:tc>
        <w:tc>
          <w:tcPr>
            <w:vAlign w:val="top"/>
            <w:tcMar>
              <w:top w:w="70" w:type="dxa"/>
              <w:start w:w="80" w:type="dxa"/>
              <w:bottom w:w="70" w:type="dxa"/>
              <w:end w:w="80" w:type="dxa"/>
            </w:tcMar>
            <w:shd w:fill="D9EAF7"/>
          </w:tcPr>
          <w:p>
            <w:pPr>
              <w:pStyle w:val="Compact"/>
              <w:jc w:val="left"/>
            </w:pPr>
            <w:r>
              <w:rPr>
                <w:rFonts w:ascii="Arial" w:hAnsi="Arial" w:eastAsia="Arial"/>
                <w:sz w:val="16"/>
              </w:rPr>
              <w:t>Ordinarily 0 or 1; h_k=1 for every human person and FPP entity</w:t>
            </w:r>
          </w:p>
        </w:tc>
        <w:tc>
          <w:tcPr>
            <w:vAlign w:val="top"/>
            <w:tcMar>
              <w:top w:w="70" w:type="dxa"/>
              <w:start w:w="80" w:type="dxa"/>
              <w:bottom w:w="70" w:type="dxa"/>
              <w:end w:w="80" w:type="dxa"/>
            </w:tcMar>
            <w:shd w:fill="D9EAF7"/>
          </w:tcPr>
          <w:p>
            <w:pPr>
              <w:pStyle w:val="Compact"/>
              <w:jc w:val="left"/>
            </w:pPr>
            <w:r>
              <w:rPr>
                <w:rFonts w:ascii="Arial" w:hAnsi="Arial" w:eastAsia="Arial"/>
                <w:sz w:val="16"/>
              </w:rPr>
              <w:t>Declared welfare-accounting hypothesis used for robust RLS sensitivity. It is not an MPS score, probability of consciousness, quantity of experience, or measure of intrinsic worth. Additional bounded values require a separately governed and validated welfare-attention profile.</w:t>
            </w:r>
          </w:p>
        </w:tc>
      </w:tr>
    </w:tbl>
    <w:p>
      <w:pPr>
        <w:pStyle w:val="BodyText"/>
      </w:pPr>
      <w:r>
        <w:t>Normative notes:</w:t>
      </w:r>
    </w:p>
    <w:p>
      <w:pPr>
        <w:pStyle w:val="Compact"/>
        <w:numPr>
          <w:ilvl w:val="0"/>
          <w:numId w:val="1003"/>
        </w:numPr>
      </w:pPr>
      <w:r>
        <w:t>c_k has a floor of 0.1 to prevent omission-by-zeroing. In the residual Welfare stream, c_k is a governed evidence-support shrinkage coefficient toward the declared no-material-change prior; it is not the complete uncertainty model and it is not a claim that the unshrunk effect is absent. The PCC MUST separately report uncertainty under Section 10.3 and MUST test whether ranking changes under a governed unshrunk or adverse-bound sensitivity when low-confidence adverse impacts are material. In RF/NCRC, TRC, and material CSV use, the Gate-critical confidence guard below controls: low confidence cannot operate as a protective discount.</w:t>
      </w:r>
    </w:p>
    <w:p>
      <w:pPr>
        <w:pStyle w:val="FirstParagraph"/>
      </w:pPr>
      <w:r>
        <w:t>Gate-critical confidence guard (Normative). For an adverse gate-critical instance k in a rights coverage set C_r, catastrophe cell set C_cat, or material CSV indicator, define GateAdverseBound(k) deterministically before the run. If an admissible interval or scenario bound is available, GateAdverseBound(k) is the most adverse supported endpoint for harm claims and the least favourable supported endpoint for beneficial control, capacity, or mitigation claims. If only a point estimate and c_k are available, the adverse gate calculation removes confidence shrinkage by setting c_gate,k:=1, while a beneficial claim used to establish gate safety retains c_gate,k:=c_k. Likelihood and scenario probability remain separately represented and MUST NOT be double-counted. If no reproducible conservative bound can be justified and the gate outcome could change, the result is UNKNOWN, ESCALATE, NARROW, or REFUSE rather than PASS. The PCC MUST record the bound method, evidence source, endpoint, and disposition. Confidence MUST NOT launder severe but uncertain gate-critical harm into pass status.</w:t>
      </w:r>
    </w:p>
    <w:p>
      <w:pPr>
        <w:pStyle w:val="Compact"/>
        <w:numPr>
          <w:ilvl w:val="0"/>
          <w:numId w:val="1004"/>
        </w:numPr>
      </w:pPr>
      <w:r>
        <w:t>e_k is tightly governed. Tier 2 MUST set e_k = 1.00 for all impact instances unless a named governed instrument from PCC.EKRegistry is invoked explicitly. Tier 3 MAY use non-default e_k only from a pre-declared registry of allowed instruments, with each instrument carrying a declared purpose, source, allowed range, and replayable reason code. Unless a stricter charter rule exists, allowed non-default values are bounded to 0.75 ≤ e_k ≤ 1.25. e_k MUST NOT reverse sign, erase or dilute a rights-floor breach, function as a hidden weight, or be used asymmetrically across compared options without explicit justification and sensitivity disclosure. Any non-default e_k requires PCC justification, declared reason code, source or instrument note, stated bounds, default-counterfactual disclosure (what happens at e_k = 1.00), and tier-appropriate sensitivity if the non-default value could materially affect admissibility or selection.</w:t>
      </w:r>
    </w:p>
    <w:p>
      <w:pPr>
        <w:pStyle w:val="FirstParagraph"/>
      </w:pPr>
      <w:r>
        <w:t>Audit trigger (Normative). If a non-default e_k is used without declared rationale, source or instrument note, stated bounds, or the required sensitivity record for the claimed tier, implementations MUST set audit flag EK_PARAMETER_UNJUSTIFIED. EK_PARAMETER_UNJUSTIFIED is INVALID for Tier 2-3 claimability until corrected or downgraded.</w:t>
      </w:r>
    </w:p>
    <w:p>
      <w:pPr>
        <w:pStyle w:val="BodyText"/>
      </w:pPr>
      <w:r>
        <w:t>Registry omission rule (Normative clarification). PCC.EKRegistry MAY be omitted when all impact instances in the run use e_k = 1.00 and no Tier-2 named-instrument exception is invoked.</w:t>
      </w:r>
    </w:p>
    <w:p>
      <w:pPr>
        <w:pStyle w:val="BodyText"/>
      </w:pPr>
      <w:r>
        <w:t>Registry note (Normative clarification). Implementations SHOULD restrict non-default e_k uses to a small declared registry (for example EQ_CORR, RESILIENCE_CORR, CONTEXT_CORR, or OTHER_DECLARED) and MUST apply the declared rule symmetrically across compared options unless the asymmetry itself is the subject of evaluation.</w:t>
      </w:r>
    </w:p>
    <w:p>
      <w:pPr>
        <w:pStyle w:val="BodyText"/>
      </w:pPr>
      <w:r>
        <w:rPr>
          <w:b/>
          <w:bCs/>
        </w:rPr>
        <w:t>Confidence-versus-uncertainty distinction (Normative clarification).</w:t>
      </w:r>
      <w:r>
        <w:t xml:space="preserve"> </w:t>
      </w:r>
      <w:r>
        <w:t>The instance factor</w:t>
      </w:r>
      <w:r>
        <w:t xml:space="preserve"> </w:t>
      </w:r>
      <w:r>
        <w:rPr>
          <w:rStyle w:val="VerbatimChar"/>
        </w:rPr>
        <w:t>c_k</w:t>
      </w:r>
      <w:r>
        <w:t xml:space="preserve"> </w:t>
      </w:r>
      <w:r>
        <w:t>is a declared governance shrinkage operator used to construct a conservative point estimate; it is not itself the uncertainty interval or probability that the effect is true. Cell-level</w:t>
      </w:r>
      <w:r>
        <w:t xml:space="preserve"> </w:t>
      </w:r>
      <w:r>
        <w:rPr>
          <w:rStyle w:val="VerbatimChar"/>
        </w:rPr>
        <w:t>σ(u,d,a)</w:t>
      </w:r>
      <w:r>
        <w:t xml:space="preserve"> </w:t>
      </w:r>
      <w:r>
        <w:t>represents a separate uncertainty surface. When the combined use of shrinkage and uncertainty could change admissibility, ranking, or decisiveness, the PCC MUST report an unshrunk effect sensitivity or an equivalent interval/distributional treatment and explain why the two operators are not double-counting the same evidence weakness.</w:t>
      </w:r>
    </w:p>
    <w:p>
      <w:pPr>
        <w:pStyle w:val="Compact"/>
        <w:numPr>
          <w:ilvl w:val="0"/>
          <w:numId w:val="1005"/>
        </w:numPr>
      </w:pPr>
      <w:r>
        <w:t>SGP v8.2.1 MPS records may affect protection posture, evidence requirements, and the welfare-inclusion hypothesis set used for robust RLS sensitivity. They MUST NOT be inserted directly as cardinal welfare multipliers. Every human person and FPP entity uses h_k=1. For other SGP-aware cases, include h_k=1 whenever direct welfare is a realistic or credible possibility; include h_k=0 as an exclusion hypothesis only where supported by admissible evidence. MPS-NE requires both inclusion and exclusion hypotheses when decision-material. SGP outputs MUST NOT weaken protection or alter NCRC, TRC, or CSV (Section 12; Appendix G).</w:t>
      </w:r>
    </w:p>
    <w:bookmarkEnd w:id="87"/>
    <w:bookmarkEnd w:id="88"/>
    <w:bookmarkStart w:id="90" w:name="Xd361fa995de573e42e96567fdfc4112d74b3758"/>
    <w:p>
      <w:pPr>
        <w:pStyle w:val="Heading2"/>
      </w:pPr>
      <w:r>
        <w:t>5.3 Temporal Weighting (Normative)</w:t>
      </w:r>
    </w:p>
    <w:p>
      <w:pPr>
        <w:pStyle w:val="FirstParagraph"/>
      </w:pPr>
      <w:r>
        <w:t>τ(t) = min(1, ln(1 + max(t, t_min)) / ln(1 + T_ref))</w:t>
      </w:r>
    </w:p>
    <w:p>
      <w:pPr>
        <w:pStyle w:val="BodyText"/>
      </w:pPr>
      <w:r>
        <w:t>Intuition anchor (informative): τ(t) is the fraction of full governance-horizon weight an effect receives.</w:t>
      </w:r>
    </w:p>
    <w:p>
      <w:pPr>
        <w:pStyle w:val="BodyText"/>
      </w:pPr>
      <w:r>
        <w:t>Defaults:</w:t>
      </w:r>
    </w:p>
    <w:p>
      <w:pPr>
        <w:pStyle w:val="BodyText"/>
      </w:pPr>
      <w:r>
        <w:t>t_min = 0.083 years (approximately 1 month; prevents τ(0) = 0)</w:t>
      </w:r>
    </w:p>
    <w:p>
      <w:pPr>
        <w:pStyle w:val="BodyText"/>
      </w:pPr>
      <w:r>
        <w:t>T_ref = 25 years (governance reference horizon)</w:t>
      </w:r>
    </w:p>
    <w:p>
      <w:pPr>
        <w:pStyle w:val="BodyText"/>
      </w:pPr>
      <w:r>
        <w:t>Illustrative values (with defaults):</w:t>
      </w:r>
    </w:p>
    <w:p>
      <w:pPr>
        <w:pStyle w:val="BodyText"/>
      </w:pPr>
      <w:r>
        <w:t>Design rationale: Logarithmic weighting preserves intergenerational salience relative to exponential discounting, which aggressively devalues future generations. The cap at T_ref prevents the anomaly where distant-future effects receive more weight than the governance horizon itself. T_ref is a governed parameter: governance bodies may adjust it (with PCC documentation and sensitivity analysis) but MUST NOT set T_ref &lt; 10 years without charter-level justification, as this would effectively suppress long-horizon considerations.</w:t>
      </w:r>
    </w:p>
    <w:p>
      <w:pPr>
        <w:pStyle w:val="BodyText"/>
      </w:pPr>
      <w:r>
        <w:t>Sensitivity note (Tier 3): T_ref SHOULD be perturbed (for example, T_ref = 15 and T_ref = 50) as part of the sensitivity bundle. If selection changes under T_ref perturbation, the PCC MUST document this sensitivity.</w:t>
      </w:r>
    </w:p>
    <w:p>
      <w:pPr>
        <w:pStyle w:val="BodyText"/>
      </w:pPr>
      <w:r>
        <w:t>Historical change note (v7.5.0; carried forward unchanged in v9.0): This replaces the uncapped τ(t) = ln(1+t)/ln(1+T_ref) used in v7.4.5, which produced τ(50) ≈ 1.22. The capped version is normatively preferred because temporal weight beyond the governance horizon should not exceed the horizon weight. All prior PCCs computed under v7.4.5 remain valid as lineage material; recomputation is recommended for active decisions with t &gt; T_ref impacts.</w:t>
      </w:r>
    </w:p>
    <w:p>
      <w:pPr>
        <w:pStyle w:val="BodyText"/>
      </w:pPr>
      <w:r>
        <w:t>τ(100) = 1.00 (capped)</w:t>
      </w:r>
    </w:p>
    <w:p>
      <w:pPr>
        <w:pStyle w:val="BodyText"/>
      </w:pPr>
      <w:r>
        <w:t>τ(50) = 1.00 (capped: no bonus beyond T_ref)</w:t>
      </w:r>
    </w:p>
    <w:p>
      <w:pPr>
        <w:pStyle w:val="BodyText"/>
      </w:pPr>
      <w:r>
        <w:t>τ(25) = 1.00 (reference horizon: full weight)</w:t>
      </w:r>
    </w:p>
    <w:p>
      <w:pPr>
        <w:pStyle w:val="BodyText"/>
      </w:pPr>
      <w:r>
        <w:t>τ(10) ≈ 0.74 (10 years)</w:t>
      </w:r>
    </w:p>
    <w:p>
      <w:pPr>
        <w:pStyle w:val="BodyText"/>
      </w:pPr>
      <w:r>
        <w:t>τ(5) ≈ 0.55 (5 years)</w:t>
      </w:r>
    </w:p>
    <w:p>
      <w:pPr>
        <w:pStyle w:val="BodyText"/>
      </w:pPr>
      <w:r>
        <w:t>τ(1) ≈ 0.21 (1 year)</w:t>
      </w:r>
    </w:p>
    <w:p>
      <w:pPr>
        <w:pStyle w:val="BodyText"/>
      </w:pPr>
      <w:r>
        <w:t>τ(0.083) ≈ 0.025 (1 month: minimal but nonzero)</w:t>
      </w:r>
    </w:p>
    <w:p>
      <w:pPr>
        <w:pStyle w:val="BodyText"/>
      </w:pPr>
      <w:r>
        <w:t>The min(1, ·) cap ensures that no effect receives more temporal weight than the reference horizon. Effects at or beyond T_ref receive full weight (τ = 1.0); effects below T_ref receive proportionally less weight on a logarithmic curve. The t_min floor ensures that very short-term effects are not zeroed out.</w:t>
      </w:r>
    </w:p>
    <w:tbl>
      <w:tblPr>
        <w:tblStyle w:val="Table"/>
        <w:tblW w:type="auto" w:w="0"/>
        <w:jc w:val="center"/>
        <w:tblLook w:firstRow="1" w:lastRow="0" w:firstColumn="0" w:lastColumn="0" w:noHBand="0" w:noVBand="0" w:val="0020"/>
      </w:tblPr>
      <w:tblGrid>
        <w:gridCol w:w="3960"/>
        <w:gridCol w:w="3960"/>
      </w:tblGrid>
      <w:tr>
        <w:trPr>
          <w:tblHeader w:val="on"/>
          <w:tblHeader w:val="true"/>
          <w:cantSplit/>
        </w:trPr>
        <w:tc>
          <w:tcPr>
            <w:vAlign w:val="top"/>
            <w:tcMar>
              <w:top w:w="70" w:type="dxa"/>
              <w:start w:w="80" w:type="dxa"/>
              <w:bottom w:w="70" w:type="dxa"/>
              <w:end w:w="80" w:type="dxa"/>
            </w:tcMar>
            <w:shd w:fill="1F4E78"/>
          </w:tcPr>
          <w:p>
            <w:pPr>
              <w:pStyle w:val="Compact"/>
              <w:jc w:val="left"/>
            </w:pPr>
            <w:r>
              <w:rPr>
                <w:rFonts w:ascii="Arial" w:hAnsi="Arial" w:eastAsia="Arial"/>
                <w:b/>
                <w:bCs/>
                <w:color w:val="FFFFFF"/>
                <w:sz w:val="16"/>
              </w:rPr>
              <w:t>Time Horizon (years)</w:t>
            </w:r>
          </w:p>
        </w:tc>
        <w:tc>
          <w:tcPr>
            <w:vAlign w:val="top"/>
            <w:tcMar>
              <w:top w:w="70" w:type="dxa"/>
              <w:start w:w="80" w:type="dxa"/>
              <w:bottom w:w="70" w:type="dxa"/>
              <w:end w:w="80" w:type="dxa"/>
            </w:tcMar>
            <w:shd w:fill="1F4E78"/>
          </w:tcPr>
          <w:p>
            <w:pPr>
              <w:pStyle w:val="Compact"/>
              <w:jc w:val="left"/>
            </w:pPr>
            <w:r>
              <w:rPr>
                <w:rFonts w:ascii="Arial" w:hAnsi="Arial" w:eastAsia="Arial"/>
                <w:b/>
                <w:bCs/>
                <w:color w:val="FFFFFF"/>
                <w:sz w:val="16"/>
              </w:rPr>
              <w:t>τ(t) Value</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1</w:t>
            </w:r>
          </w:p>
        </w:tc>
        <w:tc>
          <w:tcPr>
            <w:vAlign w:val="top"/>
            <w:tcMar>
              <w:top w:w="70" w:type="dxa"/>
              <w:start w:w="80" w:type="dxa"/>
              <w:bottom w:w="70" w:type="dxa"/>
              <w:end w:w="80" w:type="dxa"/>
            </w:tcMar>
            <w:shd w:fill="D9EAF7"/>
          </w:tcPr>
          <w:p>
            <w:pPr>
              <w:pStyle w:val="Compact"/>
              <w:jc w:val="left"/>
            </w:pPr>
            <w:r>
              <w:rPr>
                <w:rFonts w:ascii="Arial" w:hAnsi="Arial" w:eastAsia="Arial"/>
                <w:sz w:val="16"/>
              </w:rPr>
              <w:t>≈ 0.21</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5</w:t>
            </w:r>
          </w:p>
        </w:tc>
        <w:tc>
          <w:tcPr>
            <w:vAlign w:val="top"/>
            <w:tcMar>
              <w:top w:w="70" w:type="dxa"/>
              <w:start w:w="80" w:type="dxa"/>
              <w:bottom w:w="70" w:type="dxa"/>
              <w:end w:w="80" w:type="dxa"/>
            </w:tcMar>
            <w:shd w:fill="FFFFFF"/>
          </w:tcPr>
          <w:p>
            <w:pPr>
              <w:pStyle w:val="Compact"/>
              <w:jc w:val="left"/>
            </w:pPr>
            <w:r>
              <w:rPr>
                <w:rFonts w:ascii="Arial" w:hAnsi="Arial" w:eastAsia="Arial"/>
                <w:sz w:val="16"/>
              </w:rPr>
              <w:t>≈ 0.55</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10</w:t>
            </w:r>
          </w:p>
        </w:tc>
        <w:tc>
          <w:tcPr>
            <w:vAlign w:val="top"/>
            <w:tcMar>
              <w:top w:w="70" w:type="dxa"/>
              <w:start w:w="80" w:type="dxa"/>
              <w:bottom w:w="70" w:type="dxa"/>
              <w:end w:w="80" w:type="dxa"/>
            </w:tcMar>
            <w:shd w:fill="D9EAF7"/>
          </w:tcPr>
          <w:p>
            <w:pPr>
              <w:pStyle w:val="Compact"/>
              <w:jc w:val="left"/>
            </w:pPr>
            <w:r>
              <w:rPr>
                <w:rFonts w:ascii="Arial" w:hAnsi="Arial" w:eastAsia="Arial"/>
                <w:sz w:val="16"/>
              </w:rPr>
              <w:t>≈ 0.74</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25</w:t>
            </w:r>
          </w:p>
        </w:tc>
        <w:tc>
          <w:tcPr>
            <w:vAlign w:val="top"/>
            <w:tcMar>
              <w:top w:w="70" w:type="dxa"/>
              <w:start w:w="80" w:type="dxa"/>
              <w:bottom w:w="70" w:type="dxa"/>
              <w:end w:w="80" w:type="dxa"/>
            </w:tcMar>
            <w:shd w:fill="FFFFFF"/>
          </w:tcPr>
          <w:p>
            <w:pPr>
              <w:pStyle w:val="Compact"/>
              <w:jc w:val="left"/>
            </w:pPr>
            <w:r>
              <w:rPr>
                <w:rFonts w:ascii="Arial" w:hAnsi="Arial" w:eastAsia="Arial"/>
                <w:sz w:val="16"/>
              </w:rPr>
              <w:t>1.00</w:t>
            </w:r>
          </w:p>
        </w:tc>
      </w:tr>
    </w:tbl>
    <w:bookmarkStart w:id="89" w:name="Xc7ab501d2f1b11b4f5ec87ebbd92872aa94e203"/>
    <w:p>
      <w:pPr>
        <w:pStyle w:val="Heading3"/>
      </w:pPr>
      <w:r>
        <w:t>5.3A Short-Duration Peak-Harm Diagnostic (Normative supplement)</w:t>
      </w:r>
    </w:p>
    <w:p>
      <w:pPr>
        <w:pStyle w:val="FirstParagraph"/>
      </w:pPr>
      <w:r>
        <w:t>Temporal weighting estimates duration-integrated welfare burden. It MUST NOT be interpreted as evidence that an intense short-duration harm is trivial. For every adverse non-rights instance with</w:t>
      </w:r>
      <w:r>
        <w:t xml:space="preserve"> </w:t>
      </w:r>
      <w:r>
        <w:rPr>
          <w:rStyle w:val="VerbatimChar"/>
        </w:rPr>
        <w:t>|μ_k| &gt;= 0.50</w:t>
      </w:r>
      <w:r>
        <w:t xml:space="preserve"> </w:t>
      </w:r>
      <w:r>
        <w:t>and</w:t>
      </w:r>
      <w:r>
        <w:t xml:space="preserve"> </w:t>
      </w:r>
      <w:r>
        <w:rPr>
          <w:rStyle w:val="VerbatimChar"/>
        </w:rPr>
        <w:t>τ(t_k) &lt; 0.10</w:t>
      </w:r>
      <w:r>
        <w:t>, the PCC MUST record a</w:t>
      </w:r>
      <w:r>
        <w:t xml:space="preserve"> </w:t>
      </w:r>
      <w:r>
        <w:rPr>
          <w:rStyle w:val="VerbatimChar"/>
        </w:rPr>
        <w:t>PeakHarmReview</w:t>
      </w:r>
      <w:r>
        <w:t xml:space="preserve"> </w:t>
      </w:r>
      <w:r>
        <w:t>containing unattenuated peak severity, affected subgroup, reversibility, recurrence risk, mitigation, and whether the harm should enter RF/NCRC, TRC, or CSV instead of remaining ordinary welfare. Tier 3 and high-stakes Tier 2 runs MUST include a sensitivity result that combines the ordinary duration-weighted contribution with a separately disclosed peak-severity diagnostic. This supplement does not convert every brief harm into a rights violation; it prevents duration weighting from hiding intense episodic burdens.</w:t>
      </w:r>
      <w:r>
        <w:t xml:space="preserve"> </w:t>
      </w:r>
      <w:r>
        <w:t>| 50 | 1.00 (capped) |</w:t>
      </w:r>
    </w:p>
    <w:bookmarkEnd w:id="89"/>
    <w:bookmarkEnd w:id="90"/>
    <w:bookmarkStart w:id="91" w:name="Xab3dfd5cd8a286f3d0036538fb86cf8ae0a7c19"/>
    <w:p>
      <w:pPr>
        <w:pStyle w:val="Heading2"/>
      </w:pPr>
      <w:r>
        <w:t>5.4 Pre-Saturation Direct Impact Aggregation (Normative)</w:t>
      </w:r>
    </w:p>
    <w:p>
      <w:pPr>
        <w:pStyle w:val="FirstParagraph"/>
      </w:pPr>
      <w:r>
        <w:t>For option a, union u, dimension d, define the pre-saturation direct impact per stream x ∈ {base, welfare}:</w:t>
      </w:r>
    </w:p>
    <w:p>
      <w:pPr>
        <w:pStyle w:val="BodyText"/>
      </w:pPr>
      <w:r>
        <w:t>Ĩ_dir,x(u,d,a) = Σ_{k ∈ K(u,d,a)} [r_k × τ(t_k) × ℓ_k × c_k × e_k × h_{k,x} × μ_k]</w:t>
      </w:r>
    </w:p>
    <w:p>
      <w:pPr>
        <w:pStyle w:val="BodyText"/>
      </w:pPr>
      <w:r>
        <w:t>where h_{k,base} := 1.0 for all impact instances. For the Welfare stream, each sensitivity evaluation j uses h_{k,welfare}^{(j)} from the governed welfare-inclusion hypothesis set permitted by Section 12 and Appendix G. MPS bands and intervals inform evidence posture and which hypotheses must be tested; they do not numerically set h_k. Every decision-material hypothesis endpoint MUST be evaluated. When the stream is clear from context, the shorthand Ĩ_dir(u,d,a) may be used. Appendix B controls the stream-separated equations.</w:t>
      </w:r>
    </w:p>
    <w:bookmarkEnd w:id="91"/>
    <w:bookmarkStart w:id="92" w:name="X899dd46cf844a454b963add008f642e1a007c53"/>
    <w:p>
      <w:pPr>
        <w:pStyle w:val="Heading2"/>
      </w:pPr>
      <w:r>
        <w:t>5.5 Saturation (Normative)</w:t>
      </w:r>
    </w:p>
    <w:p>
      <w:pPr>
        <w:pStyle w:val="FirstParagraph"/>
      </w:pPr>
      <w:r>
        <w:t>To ensure all direct impacts lie in [-1,+1] and avoid runaway totals, RippleLogic uses smooth saturation:</w:t>
      </w:r>
    </w:p>
    <w:p>
      <w:pPr>
        <w:pStyle w:val="BodyText"/>
      </w:pPr>
      <w:r>
        <w:t>I_dir(u,d,a) = tanh(β × Ĩ_dir(u,d,a))</w:t>
      </w:r>
    </w:p>
    <w:p>
      <w:pPr>
        <w:pStyle w:val="BodyText"/>
      </w:pPr>
      <w:r>
        <w:t>Default: β = 2.</w:t>
      </w:r>
    </w:p>
    <w:bookmarkEnd w:id="92"/>
    <w:bookmarkStart w:id="95" w:name="X7df25728a0c01132c329456cdb95b079a70490f"/>
    <w:p>
      <w:pPr>
        <w:pStyle w:val="Heading2"/>
      </w:pPr>
      <w:r>
        <w:t>5.6 Magnitude Construction μ_k: Canonical Anchoring Methods (Normative)</w:t>
      </w:r>
    </w:p>
    <w:p>
      <w:pPr>
        <w:pStyle w:val="FirstParagraph"/>
      </w:pPr>
      <w:r>
        <w:t>Magnitude μ_k MUST represent a baseline-relative change on the normalized [-1,+1] scale. RippleLogic permits two canonical anchoring families:</w:t>
      </w:r>
    </w:p>
    <w:bookmarkStart w:id="93" w:name="X797eacc5b11bd3cd425ee0d3428cbf22d0f354b"/>
    <w:p>
      <w:pPr>
        <w:pStyle w:val="Heading3"/>
      </w:pPr>
      <w:r>
        <w:t>5.6.1 Percentile Anchoring (Default for non-rights cells)</w:t>
      </w:r>
    </w:p>
    <w:p>
      <w:pPr>
        <w:pStyle w:val="FirstParagraph"/>
      </w:pPr>
      <w:r>
        <w:t>Let x be the raw indicator (higher-is-better unless specified). Let P₅, P₅₀, P₉₅ be the 5th, 50th, and 95th percentiles of x in a declared reference class.</w:t>
      </w:r>
    </w:p>
    <w:p>
      <w:pPr>
        <w:pStyle w:val="BodyText"/>
      </w:pPr>
      <w:r>
        <w:t>Define a bounded level score:</w:t>
      </w:r>
    </w:p>
    <w:p>
      <w:pPr>
        <w:pStyle w:val="BodyText"/>
      </w:pPr>
      <w:r>
        <w:t>If x ≥ P₅₀:</w:t>
      </w:r>
    </w:p>
    <w:p>
      <w:pPr>
        <w:pStyle w:val="BodyText"/>
      </w:pPr>
      <w:r>
        <w:t>S(x) = clip((x − P₅₀) / (P₉₅ − P₅₀), 0, +1)</w:t>
      </w:r>
    </w:p>
    <w:p>
      <w:pPr>
        <w:pStyle w:val="BodyText"/>
      </w:pPr>
      <w:r>
        <w:t>If x &lt; P₅₀:</w:t>
      </w:r>
    </w:p>
    <w:p>
      <w:pPr>
        <w:pStyle w:val="BodyText"/>
      </w:pPr>
      <w:r>
        <w:t>S(x) = clip((x − P₅₀) / (P₅₀ − P₅), −1, 0)</w:t>
      </w:r>
    </w:p>
    <w:p>
      <w:pPr>
        <w:pStyle w:val="BodyText"/>
      </w:pPr>
      <w:r>
        <w:t>Edge-case guard (Normative). If (P₉₅ − P₅₀) = 0 OR (P₅₀ − P₅) = 0 (or numerically indistinguishable), percentile anchoring is undefined. The analyst MUST either (a) change the declared reference class, (b) use an alternate canonical anchoring method with explicit PCC justification, or (c) mark the affected impact instances as UNKNOWN_IMPACT and treat the cell as phantom-active under the Phantom Instance Rule until repaired. A run MUST NOT silently divide by zero or substitute arbitrary epsilons without PCC disclosure.</w:t>
      </w:r>
    </w:p>
    <w:p>
      <w:pPr>
        <w:pStyle w:val="BodyText"/>
      </w:pPr>
      <w:r>
        <w:t>Then define magnitude as a baseline-relative delta:</w:t>
      </w:r>
    </w:p>
    <w:p>
      <w:pPr>
        <w:pStyle w:val="BodyText"/>
      </w:pPr>
      <w:r>
        <w:t>μ_k = clip(S(x_a) − S(x₀), -1, +1)</w:t>
      </w:r>
    </w:p>
    <w:p>
      <w:pPr>
        <w:pStyle w:val="BodyText"/>
      </w:pPr>
      <w:r>
        <w:t>Where x₀ is baseline indicator value, and x_a is the predicted value under option a.</w:t>
      </w:r>
    </w:p>
    <w:p>
      <w:pPr>
        <w:pStyle w:val="BodyText"/>
      </w:pPr>
      <w:r>
        <w:t>If higher values are worse (for example, mortality rate), use:</w:t>
      </w:r>
    </w:p>
    <w:p>
      <w:pPr>
        <w:pStyle w:val="BodyText"/>
      </w:pPr>
      <w:r>
        <w:t>S_worse(x) = −S(x)</w:t>
      </w:r>
    </w:p>
    <w:p>
      <w:pPr>
        <w:pStyle w:val="BodyText"/>
      </w:pPr>
      <w:r>
        <w:t>Normative requirement: The PCC MUST record the reference class and percentile values used.</w:t>
      </w:r>
    </w:p>
    <w:bookmarkEnd w:id="93"/>
    <w:bookmarkStart w:id="94" w:name="X1c1dc9d920ddcabe3972d7b505889fc2e5b7b9a"/>
    <w:p>
      <w:pPr>
        <w:pStyle w:val="Heading3"/>
      </w:pPr>
      <w:r>
        <w:t>5.6.2 Threshold Anchoring (Required for rights-covered cells unless invariant reference is declared)</w:t>
      </w:r>
    </w:p>
    <w:p>
      <w:pPr>
        <w:pStyle w:val="FirstParagraph"/>
      </w:pPr>
      <w:r>
        <w:t>For rights-covered cells (cells in any rights coverage set C_r), analysts MUST NOT use context-local percentile anchoring unless the reference class is declared invariant under governance.</w:t>
      </w:r>
    </w:p>
    <w:p>
      <w:pPr>
        <w:pStyle w:val="BodyText"/>
      </w:pPr>
      <w:r>
        <w:t>Default rule (Tier 1-3): Rights-covered magnitudes MUST be derived using threshold anchoring with explicit "good/bad" anchors so that rights semantics do not drift.</w:t>
      </w:r>
    </w:p>
    <w:p>
      <w:pPr>
        <w:pStyle w:val="BodyText"/>
      </w:pPr>
      <w:r>
        <w:t>Let x_good be the indicator level consistent with rights-safe conditions and x_bad be the indicator level representing a severe rights violation onset. Map to a bounded level score:</w:t>
      </w:r>
    </w:p>
    <w:p>
      <w:pPr>
        <w:pStyle w:val="BodyText"/>
      </w:pPr>
      <w:r>
        <w:t>For higher-is-better indicators: S(x) = clip((x − x_bad) / (x_good − x_bad), -1, +1)</w:t>
      </w:r>
    </w:p>
    <w:p>
      <w:pPr>
        <w:pStyle w:val="BodyText"/>
      </w:pPr>
      <w:r>
        <w:t>Edge-case guard (Normative). If (x_good − x_bad) = 0 (or anchors are otherwise degenerate), threshold anchoring is undefined. The analyst MUST either (a) repair anchors via governed reference conditions, or (b) mark the affected impacts as UNKNOWN_IMPACT and treat the cell as phantom-active under the Phantom Instance Rule until repaired. A run MUST NOT compute a finite score from degenerate anchors.</w:t>
      </w:r>
    </w:p>
    <w:p>
      <w:pPr>
        <w:pStyle w:val="BodyText"/>
      </w:pPr>
      <w:r>
        <w:t>For higher-is-worse indicators: S(x) = clip((x_bad − x) / (x_bad − x_good), -1, +1)</w:t>
      </w:r>
    </w:p>
    <w:p>
      <w:pPr>
        <w:pStyle w:val="BodyText"/>
      </w:pPr>
      <w:r>
        <w:t>Then compute baseline-delta magnitude:</w:t>
      </w:r>
    </w:p>
    <w:p>
      <w:pPr>
        <w:pStyle w:val="BodyText"/>
      </w:pPr>
      <w:r>
        <w:t>μ_k = clip(S(x_a) − S(x₀), -1, +1)</w:t>
      </w:r>
    </w:p>
    <w:p>
      <w:pPr>
        <w:pStyle w:val="BodyText"/>
      </w:pPr>
      <w:r>
        <w:t>Normative requirement: The PCC MUST record x_good, x_bad, indicator definition, and direction.</w:t>
      </w:r>
    </w:p>
    <w:p>
      <w:pPr>
        <w:pStyle w:val="BodyText"/>
      </w:pPr>
      <w:r>
        <w:t>Magnitude construction for rights-covered cells (C_r cells). For rights-covered cells, magnitudes MUST be derived using threshold anchoring with explicit reference conditions aligned to rights semantics (Section 7.1.1), preventing the context-local drift that percentile anchoring would permit. The PCC MUST record x_good, x_bad, indicator definition, direction, and the source/justification for the anchor values. This requirement applies to all tiers when rights-covered cells are quantitatively assessed.</w:t>
      </w:r>
    </w:p>
    <w:bookmarkEnd w:id="94"/>
    <w:bookmarkEnd w:id="95"/>
    <w:bookmarkStart w:id="96" w:name="X67ea088558c3acb63113efb8f8e0f8a56db0160"/>
    <w:p>
      <w:pPr>
        <w:pStyle w:val="Heading2"/>
      </w:pPr>
      <w:r>
        <w:t>5.7 Missing Data Rule (Ignorance Penalty) (Normative)</w:t>
      </w:r>
    </w:p>
    <w:p>
      <w:pPr>
        <w:pStyle w:val="FirstParagraph"/>
      </w:pPr>
      <w:r>
        <w:t>To prevent score inflation by omission:</w:t>
      </w:r>
    </w:p>
    <w:p>
      <w:pPr>
        <w:pStyle w:val="BodyText"/>
      </w:pPr>
      <w:r>
        <w:t>If a welfare cell (u,d) is active (required by tier context and not masked for RLS), but no defensible instances can be specified, the PCC MUST:</w:t>
      </w:r>
    </w:p>
    <w:p>
      <w:pPr>
        <w:pStyle w:val="Compact"/>
        <w:numPr>
          <w:ilvl w:val="0"/>
          <w:numId w:val="1006"/>
        </w:numPr>
      </w:pPr>
      <w:r>
        <w:t>Mark the cell as "UNKNOWN_IMPACT", and</w:t>
      </w:r>
    </w:p>
    <w:p>
      <w:pPr>
        <w:pStyle w:val="Compact"/>
        <w:numPr>
          <w:ilvl w:val="0"/>
          <w:numId w:val="1007"/>
        </w:numPr>
      </w:pPr>
      <w:r>
        <w:t>Include a phantom instance with canonical parameters:</w:t>
      </w:r>
    </w:p>
    <w:tbl>
      <w:tblPr>
        <w:tblStyle w:val="Table"/>
        <w:tblW w:type="auto" w:w="0"/>
        <w:jc w:val="center"/>
        <w:tblLook w:firstRow="1" w:lastRow="0" w:firstColumn="0" w:lastColumn="0" w:noHBand="0" w:noVBand="0" w:val="0020"/>
      </w:tblPr>
      <w:tblGrid>
        <w:gridCol w:w="3960"/>
        <w:gridCol w:w="3960"/>
      </w:tblGrid>
      <w:tr>
        <w:trPr>
          <w:tblHeader w:val="on"/>
          <w:tblHeader w:val="true"/>
          <w:cantSplit/>
        </w:trPr>
        <w:tc>
          <w:tcPr>
            <w:vAlign w:val="top"/>
            <w:tcMar>
              <w:top w:w="70" w:type="dxa"/>
              <w:start w:w="80" w:type="dxa"/>
              <w:bottom w:w="70" w:type="dxa"/>
              <w:end w:w="80" w:type="dxa"/>
            </w:tcMar>
            <w:shd w:fill="1F4E78"/>
          </w:tcPr>
          <w:p>
            <w:pPr>
              <w:pStyle w:val="Compact"/>
              <w:jc w:val="left"/>
            </w:pPr>
            <w:r>
              <w:rPr>
                <w:rFonts w:ascii="Arial" w:hAnsi="Arial" w:eastAsia="Arial"/>
                <w:b/>
                <w:bCs/>
                <w:color w:val="FFFFFF"/>
                <w:sz w:val="16"/>
              </w:rPr>
              <w:t>Parameter</w:t>
            </w:r>
          </w:p>
        </w:tc>
        <w:tc>
          <w:tcPr>
            <w:vAlign w:val="top"/>
            <w:tcMar>
              <w:top w:w="70" w:type="dxa"/>
              <w:start w:w="80" w:type="dxa"/>
              <w:bottom w:w="70" w:type="dxa"/>
              <w:end w:w="80" w:type="dxa"/>
            </w:tcMar>
            <w:shd w:fill="1F4E78"/>
          </w:tcPr>
          <w:p>
            <w:pPr>
              <w:pStyle w:val="Compact"/>
              <w:jc w:val="left"/>
            </w:pPr>
            <w:r>
              <w:rPr>
                <w:rFonts w:ascii="Arial" w:hAnsi="Arial" w:eastAsia="Arial"/>
                <w:b/>
                <w:bCs/>
                <w:color w:val="FFFFFF"/>
                <w:sz w:val="16"/>
              </w:rPr>
              <w:t>Phantom Value</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μ_phantom</w:t>
            </w:r>
          </w:p>
        </w:tc>
        <w:tc>
          <w:tcPr>
            <w:vAlign w:val="top"/>
            <w:tcMar>
              <w:top w:w="70" w:type="dxa"/>
              <w:start w:w="80" w:type="dxa"/>
              <w:bottom w:w="70" w:type="dxa"/>
              <w:end w:w="80" w:type="dxa"/>
            </w:tcMar>
            <w:shd w:fill="D9EAF7"/>
          </w:tcPr>
          <w:p>
            <w:pPr>
              <w:pStyle w:val="Compact"/>
              <w:jc w:val="left"/>
            </w:pPr>
            <w:r>
              <w:rPr>
                <w:rFonts w:ascii="Arial" w:hAnsi="Arial" w:eastAsia="Arial"/>
                <w:sz w:val="16"/>
              </w:rPr>
              <w:t>-0.10</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r</w:t>
            </w:r>
          </w:p>
        </w:tc>
        <w:tc>
          <w:tcPr>
            <w:vAlign w:val="top"/>
            <w:tcMar>
              <w:top w:w="70" w:type="dxa"/>
              <w:start w:w="80" w:type="dxa"/>
              <w:bottom w:w="70" w:type="dxa"/>
              <w:end w:w="80" w:type="dxa"/>
            </w:tcMar>
            <w:shd w:fill="FFFFFF"/>
          </w:tcPr>
          <w:p>
            <w:pPr>
              <w:pStyle w:val="Compact"/>
              <w:jc w:val="left"/>
            </w:pPr>
            <w:r>
              <w:rPr>
                <w:rFonts w:ascii="Arial" w:hAnsi="Arial" w:eastAsia="Arial"/>
                <w:sz w:val="16"/>
              </w:rPr>
              <w:t>1</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t</w:t>
            </w:r>
          </w:p>
        </w:tc>
        <w:tc>
          <w:tcPr>
            <w:vAlign w:val="top"/>
            <w:tcMar>
              <w:top w:w="70" w:type="dxa"/>
              <w:start w:w="80" w:type="dxa"/>
              <w:bottom w:w="70" w:type="dxa"/>
              <w:end w:w="80" w:type="dxa"/>
            </w:tcMar>
            <w:shd w:fill="D9EAF7"/>
          </w:tcPr>
          <w:p>
            <w:pPr>
              <w:pStyle w:val="Compact"/>
              <w:jc w:val="left"/>
            </w:pPr>
            <w:r>
              <w:rPr>
                <w:rFonts w:ascii="Arial" w:hAnsi="Arial" w:eastAsia="Arial"/>
                <w:sz w:val="16"/>
              </w:rPr>
              <w:t>T_ref (25 years)</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ℓ</w:t>
            </w:r>
          </w:p>
        </w:tc>
        <w:tc>
          <w:tcPr>
            <w:vAlign w:val="top"/>
            <w:tcMar>
              <w:top w:w="70" w:type="dxa"/>
              <w:start w:w="80" w:type="dxa"/>
              <w:bottom w:w="70" w:type="dxa"/>
              <w:end w:w="80" w:type="dxa"/>
            </w:tcMar>
            <w:shd w:fill="FFFFFF"/>
          </w:tcPr>
          <w:p>
            <w:pPr>
              <w:pStyle w:val="Compact"/>
              <w:jc w:val="left"/>
            </w:pPr>
            <w:r>
              <w:rPr>
                <w:rFonts w:ascii="Arial" w:hAnsi="Arial" w:eastAsia="Arial"/>
                <w:sz w:val="16"/>
              </w:rPr>
              <w:t>1</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c</w:t>
            </w:r>
          </w:p>
        </w:tc>
        <w:tc>
          <w:tcPr>
            <w:vAlign w:val="top"/>
            <w:tcMar>
              <w:top w:w="70" w:type="dxa"/>
              <w:start w:w="80" w:type="dxa"/>
              <w:bottom w:w="70" w:type="dxa"/>
              <w:end w:w="80" w:type="dxa"/>
            </w:tcMar>
            <w:shd w:fill="D9EAF7"/>
          </w:tcPr>
          <w:p>
            <w:pPr>
              <w:pStyle w:val="Compact"/>
              <w:jc w:val="left"/>
            </w:pPr>
            <w:r>
              <w:rPr>
                <w:rFonts w:ascii="Arial" w:hAnsi="Arial" w:eastAsia="Arial"/>
                <w:sz w:val="16"/>
              </w:rPr>
              <w:t>1</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e</w:t>
            </w:r>
          </w:p>
        </w:tc>
        <w:tc>
          <w:tcPr>
            <w:vAlign w:val="top"/>
            <w:tcMar>
              <w:top w:w="70" w:type="dxa"/>
              <w:start w:w="80" w:type="dxa"/>
              <w:bottom w:w="70" w:type="dxa"/>
              <w:end w:w="80" w:type="dxa"/>
            </w:tcMar>
            <w:shd w:fill="FFFFFF"/>
          </w:tcPr>
          <w:p>
            <w:pPr>
              <w:pStyle w:val="Compact"/>
              <w:jc w:val="left"/>
            </w:pPr>
            <w:r>
              <w:rPr>
                <w:rFonts w:ascii="Arial" w:hAnsi="Arial" w:eastAsia="Arial"/>
                <w:sz w:val="16"/>
              </w:rPr>
              <w:t>1</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s</w:t>
            </w:r>
          </w:p>
        </w:tc>
        <w:tc>
          <w:tcPr>
            <w:vAlign w:val="top"/>
            <w:tcMar>
              <w:top w:w="70" w:type="dxa"/>
              <w:start w:w="80" w:type="dxa"/>
              <w:bottom w:w="70" w:type="dxa"/>
              <w:end w:w="80" w:type="dxa"/>
            </w:tcMar>
            <w:shd w:fill="D9EAF7"/>
          </w:tcPr>
          <w:p>
            <w:pPr>
              <w:pStyle w:val="Compact"/>
              <w:jc w:val="left"/>
            </w:pPr>
            <w:r>
              <w:rPr>
                <w:rFonts w:ascii="Arial" w:hAnsi="Arial" w:eastAsia="Arial"/>
                <w:sz w:val="16"/>
              </w:rPr>
              <w:t>1</w:t>
            </w:r>
          </w:p>
        </w:tc>
      </w:tr>
    </w:tbl>
    <w:p>
      <w:pPr>
        <w:pStyle w:val="BodyText"/>
      </w:pPr>
      <w:r>
        <w:t>This yields a mild negative default rather than unjustified neutrality.</w:t>
      </w:r>
    </w:p>
    <w:p>
      <w:pPr>
        <w:pStyle w:val="BodyText"/>
      </w:pPr>
      <w:r>
        <w:t>Calibration rationale (Informative). The phantom magnitude mu_phantom = -0.10 is a governance prior set to satisfy two constraints simultaneously: it must be negative enough that omitting evidence is worse than reporting neutral impact (preventing score inflation by ignorance), and it must be small enough in absolute value that phantom instances do not dominate well-evidenced cells when multiple unknowns coexist in a run. At mu = -0.10 with default parameters (r=1, t=T_ref, l=1, c=1), the phantom produces a saturated direct impact of approximately -0.20 per cell. In a run with uniform weights across 49 cells, a single phantom cell contributes roughly 0.004 to the total RLS magnitude, which is detectable in audit but not decisive unless many cells are unknown simultaneously. If five or more cells carry phantom instances, the cumulative penalty becomes material (approximately -0.02 to -0.03 in RLS), creating a meaningful incentive to gather evidence. The value -0.10 is a governance prior, not an empirically validated optimum. It is explicitly challengeable under standard governance rules; any revision requires justification, version increment, and sensitivity analysis over a reference decision suite.</w:t>
      </w:r>
    </w:p>
    <w:p>
      <w:pPr>
        <w:pStyle w:val="BodyText"/>
      </w:pPr>
      <w:r>
        <w:t>Clarification: This rule does not apply to cells that are legitimately out of scope and properly masked with justification; it DOES apply to non-maskable cells and to any cell required by the tier's minimum coverage rules.</w:t>
      </w:r>
    </w:p>
    <w:p>
      <w:pPr>
        <w:pStyle w:val="BodyText"/>
      </w:pPr>
      <w:r>
        <w:t>Gate-Critical Unknown Rule (Normative). If a cell within C_r or C_cat is declared UNKNOWN_IMPACT, admissibility for that cell SHALL NOT be resolved using only the standard phantom-instance fallback. Default handling path: for rights-covered cells, the run MUST either (i) apply a governed conservative bound sufficient to preserve the rights gate, or (ii) treat the gate as unresolved and rerun, downgrade, or escalate. For catastrophe-covered cells, the run MUST either (i) apply a governed conservative scenario/cell bound sufficient to preserve TRC, or (ii) treat TRC as unresolved and rerun, downgrade, or escalate. Implementations MUST set RIGHTS_CELL_UNKNOWN_GATE_CRITICAL or CATASTROPHE_CELL_UNKNOWN_GATE_CRITICAL, as applicable, using only canonical severities defined in Section 14.3.</w:t>
      </w:r>
    </w:p>
    <w:bookmarkEnd w:id="96"/>
    <w:bookmarkStart w:id="97" w:name="X21d6aecf4677295fa1105ddf59bf12daa550447"/>
    <w:p>
      <w:pPr>
        <w:pStyle w:val="Heading2"/>
      </w:pPr>
      <w:r>
        <w:t>5.8 Scenario-Conditioned Impacts (Normative for TRC runs)</w:t>
      </w:r>
    </w:p>
    <w:p>
      <w:pPr>
        <w:pStyle w:val="FirstParagraph"/>
      </w:pPr>
      <w:r>
        <w:t>When TRC is in use (Tier 3 required; Tier 2 required when catastrophe relevance plausible), impacts MUST be scenario-conditioned at least for catastrophe cells:</w:t>
      </w:r>
    </w:p>
    <w:p>
      <w:pPr>
        <w:pStyle w:val="BodyText"/>
      </w:pPr>
      <w:r>
        <w:t>Scenario probabilities p_s are governed (Appendix D). Scenario conditioning enters through ℓ_k and/or instance presence, and through propagation if scenario-specific kernels are declared.</w:t>
      </w:r>
    </w:p>
    <w:bookmarkEnd w:id="97"/>
    <w:bookmarkStart w:id="98" w:name="X3251e1e214fb598573d0c1b10f370ce290d2600"/>
    <w:p>
      <w:pPr>
        <w:pStyle w:val="Heading2"/>
      </w:pPr>
      <w:r>
        <w:t>5.9 Worked Examples (Non-Normative, Computation-Illustrative)</w:t>
      </w:r>
    </w:p>
    <w:p>
      <w:pPr>
        <w:pStyle w:val="FirstParagraph"/>
      </w:pPr>
      <w:r>
        <w:t>Example 5.1: Direct impact, Community-Social cell</w:t>
      </w:r>
    </w:p>
    <w:p>
      <w:pPr>
        <w:pStyle w:val="BodyText"/>
      </w:pPr>
      <w:r>
        <w:t>Decision: Remote-work policy option a. Cell: u=3 (Community), d=3 (Social).</w:t>
      </w:r>
    </w:p>
    <w:p>
      <w:pPr>
        <w:pStyle w:val="BodyText"/>
      </w:pPr>
      <w:r>
        <w:t>Assume T_ref = 25, β = 2.</w:t>
      </w:r>
    </w:p>
    <w:p>
      <w:pPr>
        <w:pStyle w:val="BodyText"/>
      </w:pPr>
      <w:r>
        <w:t>Instance 1: Reduced in-person interaction</w:t>
      </w:r>
    </w:p>
    <w:p>
      <w:pPr>
        <w:pStyle w:val="Compact"/>
        <w:numPr>
          <w:ilvl w:val="0"/>
          <w:numId w:val="1008"/>
        </w:numPr>
      </w:pPr>
      <w:r>
        <w:t>μ₁ = -0.30, r₁ = 0.80, t₁ = 3 years, ℓ₁ = 0.90, c₁ = 0.70, e₁ = 1, s₁ = 1</w:t>
      </w:r>
    </w:p>
    <w:p>
      <w:pPr>
        <w:pStyle w:val="FirstParagraph"/>
      </w:pPr>
      <w:r>
        <w:t>Instance 2: Increased online community participation</w:t>
      </w:r>
    </w:p>
    <w:p>
      <w:pPr>
        <w:pStyle w:val="Compact"/>
        <w:numPr>
          <w:ilvl w:val="0"/>
          <w:numId w:val="1009"/>
        </w:numPr>
      </w:pPr>
      <w:r>
        <w:t>μ₂ = +0.15, r₂ = 0.50, t₂ = 5 years, ℓ₂ = 0.70, c₂ = 0.50, e₂ = 1, s₂ = 1</w:t>
      </w:r>
    </w:p>
    <w:p>
      <w:pPr>
        <w:pStyle w:val="FirstParagraph"/>
      </w:pPr>
      <w:r>
        <w:t>Compute temporal weights:</w:t>
      </w:r>
    </w:p>
    <w:p>
      <w:pPr>
        <w:pStyle w:val="Compact"/>
        <w:numPr>
          <w:ilvl w:val="0"/>
          <w:numId w:val="1010"/>
        </w:numPr>
      </w:pPr>
      <w:r>
        <w:t>τ(3) = ln(4)/ln(26) ≈ 0.43</w:t>
      </w:r>
    </w:p>
    <w:p>
      <w:pPr>
        <w:pStyle w:val="Compact"/>
        <w:numPr>
          <w:ilvl w:val="0"/>
          <w:numId w:val="1011"/>
        </w:numPr>
      </w:pPr>
      <w:r>
        <w:t>τ(5) = ln(6)/ln(26) ≈ 0.55</w:t>
      </w:r>
    </w:p>
    <w:p>
      <w:pPr>
        <w:pStyle w:val="FirstParagraph"/>
      </w:pPr>
      <w:r>
        <w:t>Compute contributions:</w:t>
      </w:r>
    </w:p>
    <w:p>
      <w:pPr>
        <w:pStyle w:val="Compact"/>
        <w:numPr>
          <w:ilvl w:val="0"/>
          <w:numId w:val="1012"/>
        </w:numPr>
      </w:pPr>
      <w:r>
        <w:t>Inst1: 0.80 × 0.43 × 0.90 × 0.70 × 1 × 1 × (-0.30) ≈ -0.065</w:t>
      </w:r>
    </w:p>
    <w:p>
      <w:pPr>
        <w:pStyle w:val="Compact"/>
        <w:numPr>
          <w:ilvl w:val="0"/>
          <w:numId w:val="1013"/>
        </w:numPr>
      </w:pPr>
      <w:r>
        <w:t>Inst2: 0.50 × 0.55 × 0.70 × 0.50 × 1 × 1 × (+0.15) ≈ +0.014</w:t>
      </w:r>
    </w:p>
    <w:p>
      <w:pPr>
        <w:pStyle w:val="FirstParagraph"/>
      </w:pPr>
      <w:r>
        <w:t>Aggregate pre-saturation:</w:t>
      </w:r>
    </w:p>
    <w:p>
      <w:pPr>
        <w:pStyle w:val="Compact"/>
        <w:numPr>
          <w:ilvl w:val="0"/>
          <w:numId w:val="1014"/>
        </w:numPr>
      </w:pPr>
      <w:r>
        <w:t>Ĩ_dir = -0.065 + 0.014 = -0.051</w:t>
      </w:r>
    </w:p>
    <w:p>
      <w:pPr>
        <w:pStyle w:val="FirstParagraph"/>
      </w:pPr>
      <w:r>
        <w:t>Saturate:</w:t>
      </w:r>
    </w:p>
    <w:p>
      <w:pPr>
        <w:pStyle w:val="Compact"/>
        <w:numPr>
          <w:ilvl w:val="0"/>
          <w:numId w:val="1015"/>
        </w:numPr>
      </w:pPr>
      <w:r>
        <w:t>I_dir(3,3,a) = tanh(2 × -0.051) = tanh(-0.102) ≈ -0.10</w:t>
      </w:r>
    </w:p>
    <w:p>
      <w:pPr>
        <w:pStyle w:val="FirstParagraph"/>
      </w:pPr>
      <w:r>
        <w:t>Example 5.2: Missing-data penalty</w:t>
      </w:r>
    </w:p>
    <w:p>
      <w:pPr>
        <w:pStyle w:val="BodyText"/>
      </w:pPr>
      <w:r>
        <w:t>Cell u=7 (Biosphere), d=7 (Environment) is active (non-maskable for environment-relevant decisions). Analyst lacks defensible estimates.</w:t>
      </w:r>
    </w:p>
    <w:p>
      <w:pPr>
        <w:pStyle w:val="BodyText"/>
      </w:pPr>
      <w:r>
        <w:t>Phantom instance yields:</w:t>
      </w:r>
    </w:p>
    <w:p>
      <w:pPr>
        <w:pStyle w:val="Compact"/>
        <w:numPr>
          <w:ilvl w:val="0"/>
          <w:numId w:val="1016"/>
        </w:numPr>
      </w:pPr>
      <w:r>
        <w:t>Ĩ_dir = 1 × 1 × 1 × 1 × 1 × 1 × (-0.10) = -0.10</w:t>
      </w:r>
    </w:p>
    <w:p>
      <w:pPr>
        <w:pStyle w:val="Compact"/>
        <w:numPr>
          <w:ilvl w:val="0"/>
          <w:numId w:val="1017"/>
        </w:numPr>
      </w:pPr>
      <w:r>
        <w:t>I_dir = tanh(2 × -0.10) ≈ -0.20</w:t>
      </w:r>
    </w:p>
    <w:p>
      <w:pPr>
        <w:pStyle w:val="FirstParagraph"/>
      </w:pPr>
      <w:r>
        <w:t>This enforces humility: missing evidence is mildly negative, not neutral.</w:t>
      </w:r>
    </w:p>
    <w:bookmarkEnd w:id="98"/>
    <w:bookmarkEnd w:id="99"/>
    <w:bookmarkStart w:id="110" w:name="X48a7ffb759511b287ff8303a6aff4e38228c667"/>
    <w:p>
      <w:pPr>
        <w:pStyle w:val="Heading1"/>
      </w:pPr>
      <w:r>
        <w:t>SECTION 6: RIPPLE PROPAGATION: KERNEL AND EPISTEMIC HUMILITY</w:t>
      </w:r>
    </w:p>
    <w:bookmarkStart w:id="100" w:name="Xa18ff76e6b61ef9ea7d672acf6eac39d28ad7a7"/>
    <w:p>
      <w:pPr>
        <w:pStyle w:val="Heading2"/>
      </w:pPr>
      <w:r>
        <w:t>6.0 Purpose (Normative)</w:t>
      </w:r>
    </w:p>
    <w:p>
      <w:pPr>
        <w:pStyle w:val="FirstParagraph"/>
      </w:pPr>
      <w:r>
        <w:t>Ripple propagation models how direct impacts in one cell causally and institutionally ripple into other cells across unions and dimensions. This makes cross-scale externalities explicit and auditable.</w:t>
      </w:r>
    </w:p>
    <w:p>
      <w:pPr>
        <w:pStyle w:val="BodyText"/>
      </w:pPr>
      <w:r>
        <w:t>Tier posture: Tier 1-3 permit NONE or QUICK propagation. FULL propagation is a Tier-4 design target only and MUST NOT be used for Tier 1-3 compliance claims.</w:t>
      </w:r>
    </w:p>
    <w:bookmarkEnd w:id="100"/>
    <w:bookmarkStart w:id="101" w:name="Xbbaa9f0013bc605d5b56b9ffb1a8326bf59efb4"/>
    <w:p>
      <w:pPr>
        <w:pStyle w:val="Heading2"/>
      </w:pPr>
      <w:r>
        <w:t>6.1 Kernel Definition and Convention (Normative)</w:t>
      </w:r>
    </w:p>
    <w:p>
      <w:pPr>
        <w:pStyle w:val="FirstParagraph"/>
      </w:pPr>
      <w:r>
        <w:t>Let the 49 welfare cells be indexed by i = φ(u,d) with φ(u,d) = 7(u-1) + d. The ripple kernel is a sparse matrix K ∈ ℝ^{49×49}.</w:t>
      </w:r>
    </w:p>
    <w:p>
      <w:pPr>
        <w:pStyle w:val="BodyText"/>
      </w:pPr>
      <w:r>
        <w:t>Kernel convention (MUST):</w:t>
      </w:r>
    </w:p>
    <w:p>
      <w:pPr>
        <w:pStyle w:val="Compact"/>
        <w:numPr>
          <w:ilvl w:val="0"/>
          <w:numId w:val="1018"/>
        </w:numPr>
      </w:pPr>
      <w:r>
        <w:t>K_{ij} maps effect from source cell j to target cell i (target-row, source-column).</w:t>
      </w:r>
    </w:p>
    <w:p>
      <w:pPr>
        <w:pStyle w:val="Compact"/>
        <w:numPr>
          <w:ilvl w:val="0"/>
          <w:numId w:val="1019"/>
        </w:numPr>
      </w:pPr>
      <w:r>
        <w:t>Propagation uses left multiplication: Ĩ_prop = I_dir + K × I_dir</w:t>
      </w:r>
    </w:p>
    <w:p>
      <w:pPr>
        <w:pStyle w:val="FirstParagraph"/>
      </w:pPr>
      <w:r>
        <w:t>Interpretation:</w:t>
      </w:r>
    </w:p>
    <w:p>
      <w:pPr>
        <w:pStyle w:val="BodyText"/>
      </w:pPr>
      <w:r>
        <w:t>Scale semantics and first-order propagation note (Normative clarification). The bounded cell impacts used by RippleLogic are governance scores anchored to declared indicators and baselines, not claims that dignity, liberty, or meaning are measured as cardinal utility in nature. The kernel K is a declared first-order propagation operator for bounded local approximation under the chosen decision horizon. It does not claim that all socio-technical dynamics are globally linear. Non-linearities and threshold behavior are handled elsewhere in the architecture through saturation, scenario branching, rights floors, tail-risk screening, containment, escalation, and versioned recalibration of K. Implementations MUST NOT present K as a proof of empirical linearity; they MAY present it as a transparent, auditable approximation layer governed by the PCC.</w:t>
      </w:r>
    </w:p>
    <w:p>
      <w:pPr>
        <w:pStyle w:val="Compact"/>
        <w:numPr>
          <w:ilvl w:val="0"/>
          <w:numId w:val="1020"/>
        </w:numPr>
      </w:pPr>
      <w:r>
        <w:t>κ &gt; 0: improving source j tends to improve target i.</w:t>
      </w:r>
    </w:p>
    <w:p>
      <w:pPr>
        <w:pStyle w:val="Compact"/>
        <w:numPr>
          <w:ilvl w:val="0"/>
          <w:numId w:val="1021"/>
        </w:numPr>
      </w:pPr>
      <w:r>
        <w:t>κ &lt; 0: improving source j tends to harm target i.</w:t>
      </w:r>
    </w:p>
    <w:p>
      <w:pPr>
        <w:pStyle w:val="Compact"/>
        <w:numPr>
          <w:ilvl w:val="0"/>
          <w:numId w:val="1022"/>
        </w:numPr>
      </w:pPr>
      <w:r>
        <w:t>κ = 0: no modeled pathway.</w:t>
      </w:r>
    </w:p>
    <w:bookmarkEnd w:id="101"/>
    <w:bookmarkStart w:id="102" w:name="X6e76b73b8f1a9f7318fb1915f69ebc2b265ce31"/>
    <w:p>
      <w:pPr>
        <w:pStyle w:val="Heading2"/>
      </w:pPr>
      <w:r>
        <w:t>6.2 Propagation Modes (Tier 1-3) (Normative)</w:t>
      </w:r>
    </w:p>
    <w:tbl>
      <w:tblPr>
        <w:tblStyle w:val="Table"/>
        <w:tblW w:type="auto" w:w="0"/>
        <w:jc w:val="center"/>
        <w:tblLook w:firstRow="1" w:lastRow="0" w:firstColumn="0" w:lastColumn="0" w:noHBand="0" w:noVBand="0" w:val="0020"/>
      </w:tblPr>
      <w:tblGrid>
        <w:gridCol w:w="2640"/>
        <w:gridCol w:w="2640"/>
        <w:gridCol w:w="2640"/>
      </w:tblGrid>
      <w:tr>
        <w:trPr>
          <w:tblHeader w:val="on"/>
          <w:tblHeader w:val="true"/>
          <w:cantSplit/>
        </w:trPr>
        <w:tc>
          <w:tcPr>
            <w:vAlign w:val="top"/>
            <w:tcMar>
              <w:top w:w="70" w:type="dxa"/>
              <w:start w:w="80" w:type="dxa"/>
              <w:bottom w:w="70" w:type="dxa"/>
              <w:end w:w="80" w:type="dxa"/>
            </w:tcMar>
            <w:shd w:fill="1F4E78"/>
          </w:tcPr>
          <w:p>
            <w:pPr>
              <w:pStyle w:val="Compact"/>
              <w:jc w:val="left"/>
            </w:pPr>
            <w:r>
              <w:rPr>
                <w:rFonts w:ascii="Arial" w:hAnsi="Arial" w:eastAsia="Arial"/>
                <w:b/>
                <w:bCs/>
                <w:color w:val="FFFFFF"/>
                <w:sz w:val="16"/>
              </w:rPr>
              <w:t>Mode</w:t>
            </w:r>
          </w:p>
        </w:tc>
        <w:tc>
          <w:tcPr>
            <w:vAlign w:val="top"/>
            <w:tcMar>
              <w:top w:w="70" w:type="dxa"/>
              <w:start w:w="80" w:type="dxa"/>
              <w:bottom w:w="70" w:type="dxa"/>
              <w:end w:w="80" w:type="dxa"/>
            </w:tcMar>
            <w:shd w:fill="1F4E78"/>
          </w:tcPr>
          <w:p>
            <w:pPr>
              <w:pStyle w:val="Compact"/>
              <w:jc w:val="left"/>
            </w:pPr>
            <w:r>
              <w:rPr>
                <w:rFonts w:ascii="Arial" w:hAnsi="Arial" w:eastAsia="Arial"/>
                <w:b/>
                <w:bCs/>
                <w:color w:val="FFFFFF"/>
                <w:sz w:val="16"/>
              </w:rPr>
              <w:t>Formula</w:t>
            </w:r>
          </w:p>
        </w:tc>
        <w:tc>
          <w:tcPr>
            <w:vAlign w:val="top"/>
            <w:tcMar>
              <w:top w:w="70" w:type="dxa"/>
              <w:start w:w="80" w:type="dxa"/>
              <w:bottom w:w="70" w:type="dxa"/>
              <w:end w:w="80" w:type="dxa"/>
            </w:tcMar>
            <w:shd w:fill="1F4E78"/>
          </w:tcPr>
          <w:p>
            <w:pPr>
              <w:pStyle w:val="Compact"/>
              <w:jc w:val="left"/>
            </w:pPr>
            <w:r>
              <w:rPr>
                <w:rFonts w:ascii="Arial" w:hAnsi="Arial" w:eastAsia="Arial"/>
                <w:b/>
                <w:bCs/>
                <w:color w:val="FFFFFF"/>
                <w:sz w:val="16"/>
              </w:rPr>
              <w:t>Use Case</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NONE (Direct-only)</w:t>
            </w:r>
          </w:p>
        </w:tc>
        <w:tc>
          <w:tcPr>
            <w:vAlign w:val="top"/>
            <w:tcMar>
              <w:top w:w="70" w:type="dxa"/>
              <w:start w:w="80" w:type="dxa"/>
              <w:bottom w:w="70" w:type="dxa"/>
              <w:end w:w="80" w:type="dxa"/>
            </w:tcMar>
            <w:shd w:fill="D9EAF7"/>
          </w:tcPr>
          <w:p>
            <w:pPr>
              <w:pStyle w:val="Compact"/>
              <w:jc w:val="left"/>
            </w:pPr>
            <w:r>
              <w:rPr>
                <w:rFonts w:ascii="Arial" w:hAnsi="Arial" w:eastAsia="Arial"/>
                <w:sz w:val="16"/>
              </w:rPr>
              <w:t>I_prop := I_dir</w:t>
            </w:r>
          </w:p>
        </w:tc>
        <w:tc>
          <w:tcPr>
            <w:vAlign w:val="top"/>
            <w:tcMar>
              <w:top w:w="70" w:type="dxa"/>
              <w:start w:w="80" w:type="dxa"/>
              <w:bottom w:w="70" w:type="dxa"/>
              <w:end w:w="80" w:type="dxa"/>
            </w:tcMar>
            <w:shd w:fill="D9EAF7"/>
          </w:tcPr>
          <w:p>
            <w:pPr>
              <w:pStyle w:val="Compact"/>
              <w:jc w:val="left"/>
            </w:pPr>
            <w:r>
              <w:rPr>
                <w:rFonts w:ascii="Arial" w:hAnsi="Arial" w:eastAsia="Arial"/>
                <w:sz w:val="16"/>
              </w:rPr>
              <w:t>Tier 1-2 default</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QUICK (First-order)</w:t>
            </w:r>
          </w:p>
        </w:tc>
        <w:tc>
          <w:tcPr>
            <w:vAlign w:val="top"/>
            <w:tcMar>
              <w:top w:w="70" w:type="dxa"/>
              <w:start w:w="80" w:type="dxa"/>
              <w:bottom w:w="70" w:type="dxa"/>
              <w:end w:w="80" w:type="dxa"/>
            </w:tcMar>
            <w:shd w:fill="FFFFFF"/>
          </w:tcPr>
          <w:p>
            <w:pPr>
              <w:pStyle w:val="Compact"/>
              <w:jc w:val="left"/>
            </w:pPr>
            <w:r>
              <w:rPr>
                <w:rFonts w:ascii="Arial" w:hAnsi="Arial" w:eastAsia="Arial"/>
                <w:sz w:val="16"/>
              </w:rPr>
              <w:t>Ĩ_prop = I_dir + K × I_dir</w:t>
            </w:r>
          </w:p>
        </w:tc>
        <w:tc>
          <w:tcPr>
            <w:vAlign w:val="top"/>
            <w:tcMar>
              <w:top w:w="70" w:type="dxa"/>
              <w:start w:w="80" w:type="dxa"/>
              <w:bottom w:w="70" w:type="dxa"/>
              <w:end w:w="80" w:type="dxa"/>
            </w:tcMar>
            <w:shd w:fill="FFFFFF"/>
          </w:tcPr>
          <w:p>
            <w:pPr>
              <w:pStyle w:val="Compact"/>
              <w:jc w:val="left"/>
            </w:pPr>
            <w:r>
              <w:rPr>
                <w:rFonts w:ascii="Arial" w:hAnsi="Arial" w:eastAsia="Arial"/>
                <w:sz w:val="16"/>
              </w:rPr>
              <w:t>Tier 3 with sensitivity</w:t>
            </w:r>
          </w:p>
        </w:tc>
      </w:tr>
    </w:tbl>
    <w:p>
      <w:pPr>
        <w:pStyle w:val="BodyText"/>
      </w:pPr>
      <w:r>
        <w:t>Stream note (Normative). Propagation is applied per stream x∈{base, welfare} as defined in Appendix B. In Section 6 (and any tables using shorthand), I_dir and I_prop are shorthand for I_dir,x and I_prop,x when the stream is clear from context. Admissibility gates (NCRC, TRC, CSV) use the Base stream; RLS uses the Welfare stream.</w:t>
      </w:r>
    </w:p>
    <w:p>
      <w:pPr>
        <w:pStyle w:val="BodyText"/>
      </w:pPr>
      <w:r>
        <w:t>Normative restriction: FULL propagation is PROHIBITED for Tier 1-3 claims in this v12.2 release line.</w:t>
      </w:r>
    </w:p>
    <w:bookmarkEnd w:id="102"/>
    <w:bookmarkStart w:id="103" w:name="X8b455f58987a36be15320959fcf34c99ca54283"/>
    <w:p>
      <w:pPr>
        <w:pStyle w:val="Heading2"/>
      </w:pPr>
      <w:r>
        <w:t>6.3 Post-Propagation Saturation (Normative)</w:t>
      </w:r>
    </w:p>
    <w:p>
      <w:pPr>
        <w:pStyle w:val="FirstParagraph"/>
      </w:pPr>
      <w:r>
        <w:t>Because propagation can push values outside [-1,+1], apply elementwise saturation:</w:t>
      </w:r>
    </w:p>
    <w:p>
      <w:pPr>
        <w:pStyle w:val="BodyText"/>
      </w:pPr>
      <w:r>
        <w:t>I_prop_x(u,d,a) = tanh(β_prop × Ĩ_prop_x(u,d,a))</w:t>
      </w:r>
    </w:p>
    <w:p>
      <w:pPr>
        <w:pStyle w:val="BodyText"/>
      </w:pPr>
      <w:r>
        <w:t>Notation: I_prop_base and I_prop_welfare denote the x=base and x=welfare outputs respectively.</w:t>
      </w:r>
    </w:p>
    <w:p>
      <w:pPr>
        <w:pStyle w:val="BodyText"/>
      </w:pPr>
      <w:r>
        <w:t>Default: β_prop = 1.</w:t>
      </w:r>
    </w:p>
    <w:bookmarkEnd w:id="103"/>
    <w:bookmarkStart w:id="104" w:name="X4596457785e73887171035f2e1d5cb69b15859d"/>
    <w:p>
      <w:pPr>
        <w:pStyle w:val="Heading2"/>
      </w:pPr>
      <w:r>
        <w:t>6.4 Stability Constraints and Humility Fallbacks (Normative)</w:t>
      </w:r>
    </w:p>
    <w:p>
      <w:pPr>
        <w:pStyle w:val="FirstParagraph"/>
      </w:pPr>
      <w:r>
        <w:t>Kernel stability guardrails (defaults; may be tightened by governance):</w:t>
      </w:r>
    </w:p>
    <w:p>
      <w:pPr>
        <w:pStyle w:val="Compact"/>
        <w:numPr>
          <w:ilvl w:val="0"/>
          <w:numId w:val="1023"/>
        </w:numPr>
      </w:pPr>
      <w:r>
        <w:t>Entry bound: |K_{ij}| ≤ κ_max, default κ_max = 0.5</w:t>
      </w:r>
    </w:p>
    <w:p>
      <w:pPr>
        <w:pStyle w:val="Compact"/>
        <w:numPr>
          <w:ilvl w:val="0"/>
          <w:numId w:val="1024"/>
        </w:numPr>
      </w:pPr>
      <w:r>
        <w:t>Absolute row-sum bound (required): ∥K∥∞ := max_i Σ_j |K_{ij}| ≤ ρ_max, default ρ_max = 0.9.</w:t>
      </w:r>
    </w:p>
    <w:p>
      <w:pPr>
        <w:pStyle w:val="Compact"/>
        <w:numPr>
          <w:ilvl w:val="0"/>
          <w:numId w:val="1025"/>
        </w:numPr>
      </w:pPr>
      <w:r>
        <w:t>Spectral radius constraint (satisfied by construction under the row-sum bound): If ∥K∥∞ &lt; 1, then ρ(K) &lt; 1 is treated as satisfied for Tier 1-3 purposes because ρ(K) ≤ ∥K∥∞. Implementations MUST NOT require additional spectral-radius computation to claim Tier 1-3 conformance when the row-sum bound holds.</w:t>
      </w:r>
    </w:p>
    <w:p>
      <w:pPr>
        <w:pStyle w:val="FirstParagraph"/>
      </w:pPr>
      <w:r>
        <w:t>Kernel stability verification rule (Normative). A Tier 1-3 implementation MUST compute and record (in PCC when kernel is used): (i) max_{ij} |K_{ij}| and (ii) ∥K∥∞. If either exceeds its bound (entry bound or row-sum bound), the run MUST execute the humility fallback (propagation_mode = NONE) and record KERNEL_HUMILITY_FALLBACK = TRUE.</w:t>
      </w:r>
    </w:p>
    <w:p>
      <w:pPr>
        <w:pStyle w:val="BodyText"/>
      </w:pPr>
      <w:r>
        <w:t>If the declared kernel violates entry bounds or row-sum bounds (and therefore fails the Tier 1-3 stability verification rule above), the run MUST:</w:t>
      </w:r>
    </w:p>
    <w:p>
      <w:pPr>
        <w:pStyle w:val="Compact"/>
        <w:numPr>
          <w:ilvl w:val="0"/>
          <w:numId w:val="1026"/>
        </w:numPr>
      </w:pPr>
      <w:r>
        <w:t>Set propagation_mode = NONE, and</w:t>
      </w:r>
    </w:p>
    <w:p>
      <w:pPr>
        <w:pStyle w:val="Compact"/>
        <w:numPr>
          <w:ilvl w:val="0"/>
          <w:numId w:val="1027"/>
        </w:numPr>
      </w:pPr>
      <w:r>
        <w:t>Record a PCC limitation: KERNEL_HUMILITY_FALLBACK = TRUE.</w:t>
      </w:r>
    </w:p>
    <w:p>
      <w:pPr>
        <w:pStyle w:val="FirstParagraph"/>
      </w:pPr>
      <w:r>
        <w:t>Rationale: An unstable or over-amplifying kernel is worse than no kernel; it creates false certainty and is easy to game.</w:t>
      </w:r>
    </w:p>
    <w:bookmarkEnd w:id="104"/>
    <w:bookmarkStart w:id="106" w:name="X144d3678ed7c80c91adb536afdf657a3688618f"/>
    <w:p>
      <w:pPr>
        <w:pStyle w:val="Heading2"/>
      </w:pPr>
      <w:r>
        <w:t>6.5 Kernel Quality Score (KQS) (Normative)</w:t>
      </w:r>
    </w:p>
    <w:p>
      <w:pPr>
        <w:pStyle w:val="FirstParagraph"/>
      </w:pPr>
      <w:r>
        <w:t>KQS summarizes readiness of the kernel for decision-relevant propagation:</w:t>
      </w:r>
    </w:p>
    <w:p>
      <w:pPr>
        <w:pStyle w:val="BodyText"/>
      </w:pPr>
      <w:r>
        <w:t>KQS = w_cov × C_cov + w_id × C_id + w_stab × C_stab + w_pred × C_pred</w:t>
      </w:r>
    </w:p>
    <w:p>
      <w:pPr>
        <w:pStyle w:val="BodyText"/>
      </w:pPr>
      <w:r>
        <w:t>Default component weights:</w:t>
      </w:r>
    </w:p>
    <w:tbl>
      <w:tblPr>
        <w:tblStyle w:val="Table"/>
        <w:tblW w:type="auto" w:w="0"/>
        <w:jc w:val="center"/>
        <w:tblLook w:firstRow="1" w:lastRow="0" w:firstColumn="0" w:lastColumn="0" w:noHBand="0" w:noVBand="0" w:val="0020"/>
      </w:tblPr>
      <w:tblGrid>
        <w:gridCol w:w="3960"/>
        <w:gridCol w:w="3960"/>
      </w:tblGrid>
      <w:tr>
        <w:trPr>
          <w:tblHeader w:val="on"/>
          <w:tblHeader w:val="true"/>
          <w:cantSplit/>
        </w:trPr>
        <w:tc>
          <w:tcPr>
            <w:vAlign w:val="top"/>
            <w:tcMar>
              <w:top w:w="70" w:type="dxa"/>
              <w:start w:w="80" w:type="dxa"/>
              <w:bottom w:w="70" w:type="dxa"/>
              <w:end w:w="80" w:type="dxa"/>
            </w:tcMar>
            <w:shd w:fill="1F4E78"/>
          </w:tcPr>
          <w:p>
            <w:pPr>
              <w:pStyle w:val="Compact"/>
              <w:jc w:val="left"/>
            </w:pPr>
            <w:r>
              <w:rPr>
                <w:rFonts w:ascii="Arial" w:hAnsi="Arial" w:eastAsia="Arial"/>
                <w:b/>
                <w:bCs/>
                <w:color w:val="FFFFFF"/>
                <w:sz w:val="16"/>
              </w:rPr>
              <w:t>Component</w:t>
            </w:r>
          </w:p>
        </w:tc>
        <w:tc>
          <w:tcPr>
            <w:vAlign w:val="top"/>
            <w:tcMar>
              <w:top w:w="70" w:type="dxa"/>
              <w:start w:w="80" w:type="dxa"/>
              <w:bottom w:w="70" w:type="dxa"/>
              <w:end w:w="80" w:type="dxa"/>
            </w:tcMar>
            <w:shd w:fill="1F4E78"/>
          </w:tcPr>
          <w:p>
            <w:pPr>
              <w:pStyle w:val="Compact"/>
              <w:jc w:val="left"/>
            </w:pPr>
            <w:r>
              <w:rPr>
                <w:rFonts w:ascii="Arial" w:hAnsi="Arial" w:eastAsia="Arial"/>
                <w:b/>
                <w:bCs/>
                <w:color w:val="FFFFFF"/>
                <w:sz w:val="16"/>
              </w:rPr>
              <w:t>Weight</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Coverage (C_cov)</w:t>
            </w:r>
          </w:p>
        </w:tc>
        <w:tc>
          <w:tcPr>
            <w:vAlign w:val="top"/>
            <w:tcMar>
              <w:top w:w="70" w:type="dxa"/>
              <w:start w:w="80" w:type="dxa"/>
              <w:bottom w:w="70" w:type="dxa"/>
              <w:end w:w="80" w:type="dxa"/>
            </w:tcMar>
            <w:shd w:fill="D9EAF7"/>
          </w:tcPr>
          <w:p>
            <w:pPr>
              <w:pStyle w:val="Compact"/>
              <w:jc w:val="left"/>
            </w:pPr>
            <w:r>
              <w:rPr>
                <w:rFonts w:ascii="Arial" w:hAnsi="Arial" w:eastAsia="Arial"/>
                <w:sz w:val="16"/>
              </w:rPr>
              <w:t>0.25</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Identifiability (C_id)</w:t>
            </w:r>
          </w:p>
        </w:tc>
        <w:tc>
          <w:tcPr>
            <w:vAlign w:val="top"/>
            <w:tcMar>
              <w:top w:w="70" w:type="dxa"/>
              <w:start w:w="80" w:type="dxa"/>
              <w:bottom w:w="70" w:type="dxa"/>
              <w:end w:w="80" w:type="dxa"/>
            </w:tcMar>
            <w:shd w:fill="FFFFFF"/>
          </w:tcPr>
          <w:p>
            <w:pPr>
              <w:pStyle w:val="Compact"/>
              <w:jc w:val="left"/>
            </w:pPr>
            <w:r>
              <w:rPr>
                <w:rFonts w:ascii="Arial" w:hAnsi="Arial" w:eastAsia="Arial"/>
                <w:sz w:val="16"/>
              </w:rPr>
              <w:t>0.30</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Stability (C_stab)</w:t>
            </w:r>
          </w:p>
        </w:tc>
        <w:tc>
          <w:tcPr>
            <w:vAlign w:val="top"/>
            <w:tcMar>
              <w:top w:w="70" w:type="dxa"/>
              <w:start w:w="80" w:type="dxa"/>
              <w:bottom w:w="70" w:type="dxa"/>
              <w:end w:w="80" w:type="dxa"/>
            </w:tcMar>
            <w:shd w:fill="D9EAF7"/>
          </w:tcPr>
          <w:p>
            <w:pPr>
              <w:pStyle w:val="Compact"/>
              <w:jc w:val="left"/>
            </w:pPr>
            <w:r>
              <w:rPr>
                <w:rFonts w:ascii="Arial" w:hAnsi="Arial" w:eastAsia="Arial"/>
                <w:sz w:val="16"/>
              </w:rPr>
              <w:t>0.20</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Prediction (C_pred)</w:t>
            </w:r>
          </w:p>
        </w:tc>
        <w:tc>
          <w:tcPr>
            <w:vAlign w:val="top"/>
            <w:tcMar>
              <w:top w:w="70" w:type="dxa"/>
              <w:start w:w="80" w:type="dxa"/>
              <w:bottom w:w="70" w:type="dxa"/>
              <w:end w:w="80" w:type="dxa"/>
            </w:tcMar>
            <w:shd w:fill="FFFFFF"/>
          </w:tcPr>
          <w:p>
            <w:pPr>
              <w:pStyle w:val="Compact"/>
              <w:jc w:val="left"/>
            </w:pPr>
            <w:r>
              <w:rPr>
                <w:rFonts w:ascii="Arial" w:hAnsi="Arial" w:eastAsia="Arial"/>
                <w:sz w:val="16"/>
              </w:rPr>
              <w:t>0.25</w:t>
            </w:r>
          </w:p>
        </w:tc>
      </w:tr>
    </w:tbl>
    <w:p>
      <w:pPr>
        <w:pStyle w:val="BodyText"/>
      </w:pPr>
      <w:r>
        <w:t>Component meanings (each in [0,1]):</w:t>
      </w:r>
    </w:p>
    <w:p>
      <w:pPr>
        <w:pStyle w:val="Compact"/>
        <w:numPr>
          <w:ilvl w:val="0"/>
          <w:numId w:val="1028"/>
        </w:numPr>
      </w:pPr>
      <w:r>
        <w:t>C_cov: coverage evidence proportion (share of relied-upon edges with cited evidence)</w:t>
      </w:r>
    </w:p>
    <w:p>
      <w:pPr>
        <w:pStyle w:val="Compact"/>
        <w:numPr>
          <w:ilvl w:val="0"/>
          <w:numId w:val="1029"/>
        </w:numPr>
      </w:pPr>
      <w:r>
        <w:t>C_id: identifiability (edges are specified with clear endpoints and sign; replayable)</w:t>
      </w:r>
    </w:p>
    <w:p>
      <w:pPr>
        <w:pStyle w:val="Compact"/>
        <w:numPr>
          <w:ilvl w:val="0"/>
          <w:numId w:val="1030"/>
        </w:numPr>
      </w:pPr>
      <w:r>
        <w:t>C_stab: stability margin (satisfies bounds with margin)</w:t>
      </w:r>
    </w:p>
    <w:p>
      <w:pPr>
        <w:pStyle w:val="Compact"/>
        <w:numPr>
          <w:ilvl w:val="0"/>
          <w:numId w:val="1031"/>
        </w:numPr>
      </w:pPr>
      <w:r>
        <w:t>C_pred: predictive accuracy (backtest/pilot performance where available; otherwise conservative prior)</w:t>
      </w:r>
    </w:p>
    <w:bookmarkStart w:id="105" w:name="Xfb32cef3fd1f0eb69c759a0781deadfd0e203b2"/>
    <w:p>
      <w:pPr>
        <w:pStyle w:val="Heading3"/>
      </w:pPr>
      <w:r>
        <w:t>6.5.1 Canonical KQS computation (Tier 1-3 deterministic) (Normative)</w:t>
      </w:r>
    </w:p>
    <w:p>
      <w:pPr>
        <w:pStyle w:val="FirstParagraph"/>
      </w:pPr>
      <w:r>
        <w:t>Definition (Normative). A 'relied-upon edge' is any kernel edge (i,j) with |K_ij| ≥ κ_use_min that touches at least one active cell (Section 10.3) or any non-maskable cell in C_r or C_cat. Default κ_use_min = 0.05 unless the PCC declares a stricter value.</w:t>
      </w:r>
    </w:p>
    <w:p>
      <w:pPr>
        <w:pStyle w:val="BodyText"/>
      </w:pPr>
      <w:r>
        <w:t>C_cov (Normative). Let E_use be the set of relied-upon edges. Let E_evid be those edges in E_use whose evidence fields include (i) an EvidenceClass ∈ {A,B,C} and (ii) a citation or provenance reference sufficient for retrieval. Then C_cov := |E_evid| / max(1, |E_use|).</w:t>
      </w:r>
    </w:p>
    <w:p>
      <w:pPr>
        <w:pStyle w:val="BodyText"/>
      </w:pPr>
      <w:r>
        <w:t>C_id (Normative). Let E_id be those edges in E_use with declared source union/dimension, target union/dimension, sign, and numeric magnitude fields present and within canonical bounds. Then C_id := |E_id| / max(1, |E_use|).</w:t>
      </w:r>
    </w:p>
    <w:p>
      <w:pPr>
        <w:pStyle w:val="BodyText"/>
      </w:pPr>
      <w:r>
        <w:t>C_stab (Normative). If QUICK is used, compute PCC.Kernel.RowSumAbsMax = ||K||_∞ and PCC.Kernel.EntryAbsMax = max_ij |K_ij| per Section 6.4. Set C_stab := 0 if any bound is violated; otherwise C_stab := clip((ρ_max - ||K||_∞)/ρ_max, 0, 1), with default ρ_max = 0.9.</w:t>
      </w:r>
    </w:p>
    <w:p>
      <w:pPr>
        <w:pStyle w:val="BodyText"/>
      </w:pPr>
      <w:r>
        <w:t>C_pred (Normative). If no backtest or pilot evidence exists for the decision domain, set C_pred := 0.30 (NO_EVIDENCE_DEFAULT) as already required. If empirical evidence exists, the PCC MUST declare the predictive metric used and compute C_pred as clip((MetricScore - MetricBaseline) / (MetricTarget - MetricBaseline), 0, 1) with all three values disclosed in PCC so an auditor can recompute.</w:t>
      </w:r>
    </w:p>
    <w:p>
      <w:pPr>
        <w:pStyle w:val="BodyText"/>
      </w:pPr>
      <w:r>
        <w:t>Disclosure rule (Normative). The PCC MUST record κ_use_min, the edge counts |E_use|, |E_evid|, |E_id|, and the computed component values C_cov, C_id, C_stab, C_pred used in the KQS calculation.</w:t>
      </w:r>
    </w:p>
    <w:p>
      <w:pPr>
        <w:pStyle w:val="BodyText"/>
      </w:pPr>
      <w:r>
        <w:t>Default C_pred prior (Normative). If no backtest/pilot evidence exists for the decision domain, set C_pred := 0.30 (NO_EVIDENCE_DEFAULT). The PCC MUST (i) mark this basis as NO_EVIDENCE_DEFAULT, and (ii) include a plan and timeline to obtain empirical validation evidence; until such evidence exists, C_pred SHALL NOT be reported as higher than the prior.</w:t>
      </w:r>
    </w:p>
    <w:p>
      <w:pPr>
        <w:pStyle w:val="BodyText"/>
      </w:pPr>
      <w:r>
        <w:t>KQS policy (MUST) for Tier 3:</w:t>
      </w:r>
    </w:p>
    <w:p>
      <w:pPr>
        <w:pStyle w:val="Compact"/>
        <w:numPr>
          <w:ilvl w:val="0"/>
          <w:numId w:val="1032"/>
        </w:numPr>
      </w:pPr>
      <w:r>
        <w:t>If KQS &lt; 0.40: Kernel MUST NOT be used; propagation_mode = NONE.</w:t>
      </w:r>
    </w:p>
    <w:p>
      <w:pPr>
        <w:pStyle w:val="Compact"/>
        <w:numPr>
          <w:ilvl w:val="0"/>
          <w:numId w:val="1033"/>
        </w:numPr>
      </w:pPr>
      <w:r>
        <w:t>If 0.40 ≤ KQS &lt; 0.50: QUICK allowed only with mandatory kernel sensitivity; otherwise use NONE.</w:t>
      </w:r>
    </w:p>
    <w:p>
      <w:pPr>
        <w:pStyle w:val="Compact"/>
        <w:numPr>
          <w:ilvl w:val="0"/>
          <w:numId w:val="1034"/>
        </w:numPr>
      </w:pPr>
      <w:r>
        <w:t>If KQS ≥ 0.50: Kernel use permitted with required sensitivity at Tier 3.</w:t>
      </w:r>
    </w:p>
    <w:p>
      <w:pPr>
        <w:pStyle w:val="FirstParagraph"/>
      </w:pPr>
      <w:r>
        <w:t>Tier 1-2 default: propagation_mode = NONE unless the PCC explicitly declares kernel use and its KQS.</w:t>
      </w:r>
    </w:p>
    <w:bookmarkEnd w:id="105"/>
    <w:bookmarkEnd w:id="106"/>
    <w:bookmarkStart w:id="107" w:name="X7790a2e5b99dd3a4bee3bb1ba09ef76d1108490"/>
    <w:p>
      <w:pPr>
        <w:pStyle w:val="Heading2"/>
      </w:pPr>
      <w:r>
        <w:t>6.6 Kernel Sensitivity Requirements (Normative for Tier 3 when QUICK is used)</w:t>
      </w:r>
    </w:p>
    <w:p>
      <w:pPr>
        <w:pStyle w:val="FirstParagraph"/>
      </w:pPr>
      <w:r>
        <w:t>When QUICK propagation is used at Tier 3, the PCC MUST include sensitivity analysis:</w:t>
      </w:r>
    </w:p>
    <w:p>
      <w:pPr>
        <w:pStyle w:val="Compact"/>
        <w:numPr>
          <w:ilvl w:val="0"/>
          <w:numId w:val="1035"/>
        </w:numPr>
      </w:pPr>
      <w:r>
        <w:t>Perturb each relied-upon edge in E_use (as defined in Section 6.5.1) by ±0.05 (or ±10% of its magnitude, whichever is larger; declare the rule).</w:t>
      </w:r>
    </w:p>
    <w:p>
      <w:pPr>
        <w:pStyle w:val="Compact"/>
        <w:numPr>
          <w:ilvl w:val="0"/>
          <w:numId w:val="1036"/>
        </w:numPr>
      </w:pPr>
      <w:r>
        <w:t>Recompute the cascade for each perturbation set (at minimum one-at-a-time).</w:t>
      </w:r>
    </w:p>
    <w:p>
      <w:pPr>
        <w:pStyle w:val="Compact"/>
        <w:numPr>
          <w:ilvl w:val="0"/>
          <w:numId w:val="1037"/>
        </w:numPr>
      </w:pPr>
      <w:r>
        <w:t>If admissibility outcomes (NCRC, TRC, CSV) or the selected option changes, set audit_flag = DECISION_FRAGILE_KERNEL and escalate per tier policy.</w:t>
      </w:r>
    </w:p>
    <w:bookmarkEnd w:id="107"/>
    <w:bookmarkStart w:id="108" w:name="X63237f469fe04a8089974e5bfd1ff38abf86317"/>
    <w:p>
      <w:pPr>
        <w:pStyle w:val="Heading2"/>
      </w:pPr>
      <w:r>
        <w:t>6.7 KOPS and Starter Kernel (Tier 2-3) (Normative plus Provisional Labeling)</w:t>
      </w:r>
    </w:p>
    <w:p>
      <w:pPr>
        <w:pStyle w:val="FirstParagraph"/>
      </w:pPr>
      <w:r>
        <w:t>RippleLogic permits a governed subset of kernel edges called the Key Operational Pathways Set (KOPS). KOPS is the set of "load-bearing" pathways that are documented with evidence notes, sign-checked against literature or backtests, and sensitivity-audited.</w:t>
      </w:r>
    </w:p>
    <w:p>
      <w:pPr>
        <w:pStyle w:val="BodyText"/>
      </w:pPr>
      <w:r>
        <w:t>A Starter KOPS may be provided (Appendix K) and MUST be labeled PROVISIONAL with evidence classes and a global shrink factor for elicited edges (default 0.35). If a starter kernel is used, the PCC MUST disclose this and MUST include kernel sensitivity.</w:t>
      </w:r>
    </w:p>
    <w:bookmarkEnd w:id="108"/>
    <w:bookmarkStart w:id="109" w:name="X6f00188e2dd85b06c06fc2609b4b461021c0d70"/>
    <w:p>
      <w:pPr>
        <w:pStyle w:val="Heading2"/>
      </w:pPr>
      <w:r>
        <w:t>6.8 Scenario-Conditioned Propagation (Tier 1-3 Default Rule)</w:t>
      </w:r>
    </w:p>
    <w:p>
      <w:pPr>
        <w:pStyle w:val="FirstParagraph"/>
      </w:pPr>
      <w:r>
        <w:t>Default: Kernel is not scenario-conditioned; scenario enters via instance likelihoods ℓ_k and scenario-specific instance activation. Scenario-conditioned kernels K_s may be used only with explicit PCC justification and must carry KQS and sensitivity per scenario class.</w:t>
      </w:r>
    </w:p>
    <w:bookmarkEnd w:id="109"/>
    <w:bookmarkEnd w:id="110"/>
    <w:bookmarkStart w:id="129" w:name="X5a0d83b91cd58284c513865880458f3920e19ba"/>
    <w:p>
      <w:pPr>
        <w:pStyle w:val="Heading1"/>
      </w:pPr>
      <w:r>
        <w:t>SECTION 7: RIGHTS LAYER: NON-COMPENSATORY RIGHTS CONSTRAINT (NCRC)</w:t>
      </w:r>
    </w:p>
    <w:bookmarkStart w:id="111" w:name="X251a100b436a3593ecd279e32f9bf977efd7de3"/>
    <w:p>
      <w:pPr>
        <w:pStyle w:val="Heading2"/>
      </w:pPr>
      <w:r>
        <w:t>7.0 Purpose and Union-Based Ethics Rationale (Normative)</w:t>
      </w:r>
    </w:p>
    <w:p>
      <w:pPr>
        <w:pStyle w:val="FirstParagraph"/>
      </w:pPr>
      <w:r>
        <w:t>RippleLogic enforces non-compensability: certain harms are not permitted to be "paid for" by aggregate benefits elsewhere. NCRC operationalizes this by removing rights-violating options prior to any welfare optimization.</w:t>
      </w:r>
    </w:p>
    <w:p>
      <w:pPr>
        <w:pStyle w:val="BodyText"/>
      </w:pPr>
      <w:r>
        <w:t>Union-Based Ethics (UBE) justification: Under UBR, harms propagate across layered and intersecting analytical scopes and dependency paths; without a rights-first constraint, local optimization systematically externalizes costs onto vulnerable subgroups and future stakeholders. NCRC is therefore a structural safeguard against value scalarization and moral laundering (Rawls, 1971; Sen, 2009).</w:t>
      </w:r>
    </w:p>
    <w:bookmarkEnd w:id="111"/>
    <w:bookmarkStart w:id="113" w:name="Xe5b1086145c9f708ae1f7d278b11d3c0cab0388"/>
    <w:p>
      <w:pPr>
        <w:pStyle w:val="Heading2"/>
      </w:pPr>
      <w:r>
        <w:t>7.1 Canonical Rights Set (Normative)</w:t>
      </w:r>
    </w:p>
    <w:p>
      <w:pPr>
        <w:pStyle w:val="FirstParagraph"/>
      </w:pPr>
      <w:r>
        <w:t>RippleLogic defines eight core rights as feasibility floors:</w:t>
      </w:r>
    </w:p>
    <w:p>
      <w:pPr>
        <w:pStyle w:val="BodyText"/>
      </w:pPr>
      <w:r>
        <w:t>Table 7.1: Canonical Rights Thresholds (Normative)</w:t>
      </w:r>
    </w:p>
    <w:tbl>
      <w:tblPr>
        <w:tblStyle w:val="Table"/>
        <w:tblW w:type="auto" w:w="0"/>
        <w:jc w:val="center"/>
        <w:tblLook w:firstRow="1" w:lastRow="0" w:firstColumn="0" w:lastColumn="0" w:noHBand="0" w:noVBand="0" w:val="0020"/>
      </w:tblPr>
      <w:tblGrid>
        <w:gridCol w:w="1980"/>
        <w:gridCol w:w="1980"/>
        <w:gridCol w:w="1980"/>
        <w:gridCol w:w="1980"/>
      </w:tblGrid>
      <w:tr>
        <w:trPr>
          <w:tblHeader w:val="on"/>
          <w:tblHeader w:val="true"/>
          <w:cantSplit/>
        </w:trPr>
        <w:tc>
          <w:tcPr>
            <w:vAlign w:val="top"/>
            <w:tcMar>
              <w:top w:w="70" w:type="dxa"/>
              <w:start w:w="80" w:type="dxa"/>
              <w:bottom w:w="70" w:type="dxa"/>
              <w:end w:w="80" w:type="dxa"/>
            </w:tcMar>
            <w:shd w:fill="1F4E78"/>
          </w:tcPr>
          <w:p>
            <w:pPr>
              <w:pStyle w:val="Compact"/>
              <w:jc w:val="left"/>
            </w:pPr>
            <w:r>
              <w:rPr>
                <w:rFonts w:ascii="Arial" w:hAnsi="Arial" w:eastAsia="Arial"/>
                <w:b/>
                <w:bCs/>
                <w:color w:val="FFFFFF"/>
                <w:sz w:val="16"/>
              </w:rPr>
              <w:t>Right</w:t>
            </w:r>
          </w:p>
        </w:tc>
        <w:tc>
          <w:tcPr>
            <w:vAlign w:val="top"/>
            <w:tcMar>
              <w:top w:w="70" w:type="dxa"/>
              <w:start w:w="80" w:type="dxa"/>
              <w:bottom w:w="70" w:type="dxa"/>
              <w:end w:w="80" w:type="dxa"/>
            </w:tcMar>
            <w:shd w:fill="1F4E78"/>
          </w:tcPr>
          <w:p>
            <w:pPr>
              <w:pStyle w:val="Compact"/>
              <w:jc w:val="left"/>
            </w:pPr>
            <w:r>
              <w:rPr>
                <w:rFonts w:ascii="Arial" w:hAnsi="Arial" w:eastAsia="Arial"/>
                <w:b/>
                <w:bCs/>
                <w:color w:val="FFFFFF"/>
                <w:sz w:val="16"/>
              </w:rPr>
              <w:t>Code</w:t>
            </w:r>
          </w:p>
        </w:tc>
        <w:tc>
          <w:tcPr>
            <w:vAlign w:val="top"/>
            <w:tcMar>
              <w:top w:w="70" w:type="dxa"/>
              <w:start w:w="80" w:type="dxa"/>
              <w:bottom w:w="70" w:type="dxa"/>
              <w:end w:w="80" w:type="dxa"/>
            </w:tcMar>
            <w:shd w:fill="1F4E78"/>
          </w:tcPr>
          <w:p>
            <w:pPr>
              <w:pStyle w:val="Compact"/>
              <w:jc w:val="left"/>
            </w:pPr>
            <w:r>
              <w:rPr>
                <w:rFonts w:ascii="Arial" w:hAnsi="Arial" w:eastAsia="Arial"/>
                <w:b/>
                <w:bCs/>
                <w:color w:val="FFFFFF"/>
                <w:sz w:val="16"/>
              </w:rPr>
              <w:t>Threshold θ_r</w:t>
            </w:r>
          </w:p>
        </w:tc>
        <w:tc>
          <w:tcPr>
            <w:vAlign w:val="top"/>
            <w:tcMar>
              <w:top w:w="70" w:type="dxa"/>
              <w:start w:w="80" w:type="dxa"/>
              <w:bottom w:w="70" w:type="dxa"/>
              <w:end w:w="80" w:type="dxa"/>
            </w:tcMar>
            <w:shd w:fill="1F4E78"/>
          </w:tcPr>
          <w:p>
            <w:pPr>
              <w:pStyle w:val="Compact"/>
              <w:jc w:val="left"/>
            </w:pPr>
            <w:r>
              <w:rPr>
                <w:rFonts w:ascii="Arial" w:hAnsi="Arial" w:eastAsia="Arial"/>
                <w:b/>
                <w:bCs/>
                <w:color w:val="FFFFFF"/>
                <w:sz w:val="16"/>
              </w:rPr>
              <w:t>Normative Anchor</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Life</w:t>
            </w:r>
          </w:p>
        </w:tc>
        <w:tc>
          <w:tcPr>
            <w:vAlign w:val="top"/>
            <w:tcMar>
              <w:top w:w="70" w:type="dxa"/>
              <w:start w:w="80" w:type="dxa"/>
              <w:bottom w:w="70" w:type="dxa"/>
              <w:end w:w="80" w:type="dxa"/>
            </w:tcMar>
            <w:shd w:fill="D9EAF7"/>
          </w:tcPr>
          <w:p>
            <w:pPr>
              <w:pStyle w:val="Compact"/>
              <w:jc w:val="left"/>
            </w:pPr>
            <w:r>
              <w:rPr>
                <w:rFonts w:ascii="Arial" w:hAnsi="Arial" w:eastAsia="Arial"/>
                <w:sz w:val="16"/>
              </w:rPr>
              <w:t>LIFE</w:t>
            </w:r>
          </w:p>
        </w:tc>
        <w:tc>
          <w:tcPr>
            <w:vAlign w:val="top"/>
            <w:tcMar>
              <w:top w:w="70" w:type="dxa"/>
              <w:start w:w="80" w:type="dxa"/>
              <w:bottom w:w="70" w:type="dxa"/>
              <w:end w:w="80" w:type="dxa"/>
            </w:tcMar>
            <w:shd w:fill="D9EAF7"/>
          </w:tcPr>
          <w:p>
            <w:pPr>
              <w:pStyle w:val="Compact"/>
              <w:jc w:val="left"/>
            </w:pPr>
            <w:r>
              <w:rPr>
                <w:rFonts w:ascii="Arial" w:hAnsi="Arial" w:eastAsia="Arial"/>
                <w:sz w:val="16"/>
              </w:rPr>
              <w:t>-0.90</w:t>
            </w:r>
          </w:p>
        </w:tc>
        <w:tc>
          <w:tcPr>
            <w:vAlign w:val="top"/>
            <w:tcMar>
              <w:top w:w="70" w:type="dxa"/>
              <w:start w:w="80" w:type="dxa"/>
              <w:bottom w:w="70" w:type="dxa"/>
              <w:end w:w="80" w:type="dxa"/>
            </w:tcMar>
            <w:shd w:fill="D9EAF7"/>
          </w:tcPr>
          <w:p>
            <w:pPr>
              <w:pStyle w:val="Compact"/>
              <w:jc w:val="left"/>
            </w:pPr>
            <w:r>
              <w:rPr>
                <w:rFonts w:ascii="Arial" w:hAnsi="Arial" w:eastAsia="Arial"/>
                <w:sz w:val="16"/>
              </w:rPr>
              <w:t>Near-certain or highly probable death or lethal exposure</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Bodily Integrity</w:t>
            </w:r>
          </w:p>
        </w:tc>
        <w:tc>
          <w:tcPr>
            <w:vAlign w:val="top"/>
            <w:tcMar>
              <w:top w:w="70" w:type="dxa"/>
              <w:start w:w="80" w:type="dxa"/>
              <w:bottom w:w="70" w:type="dxa"/>
              <w:end w:w="80" w:type="dxa"/>
            </w:tcMar>
            <w:shd w:fill="FFFFFF"/>
          </w:tcPr>
          <w:p>
            <w:pPr>
              <w:pStyle w:val="Compact"/>
              <w:jc w:val="left"/>
            </w:pPr>
            <w:r>
              <w:rPr>
                <w:rFonts w:ascii="Arial" w:hAnsi="Arial" w:eastAsia="Arial"/>
                <w:sz w:val="16"/>
              </w:rPr>
              <w:t>BODY</w:t>
            </w:r>
          </w:p>
        </w:tc>
        <w:tc>
          <w:tcPr>
            <w:vAlign w:val="top"/>
            <w:tcMar>
              <w:top w:w="70" w:type="dxa"/>
              <w:start w:w="80" w:type="dxa"/>
              <w:bottom w:w="70" w:type="dxa"/>
              <w:end w:w="80" w:type="dxa"/>
            </w:tcMar>
            <w:shd w:fill="FFFFFF"/>
          </w:tcPr>
          <w:p>
            <w:pPr>
              <w:pStyle w:val="Compact"/>
              <w:jc w:val="left"/>
            </w:pPr>
            <w:r>
              <w:rPr>
                <w:rFonts w:ascii="Arial" w:hAnsi="Arial" w:eastAsia="Arial"/>
                <w:sz w:val="16"/>
              </w:rPr>
              <w:t>-0.70</w:t>
            </w:r>
          </w:p>
        </w:tc>
        <w:tc>
          <w:tcPr>
            <w:vAlign w:val="top"/>
            <w:tcMar>
              <w:top w:w="70" w:type="dxa"/>
              <w:start w:w="80" w:type="dxa"/>
              <w:bottom w:w="70" w:type="dxa"/>
              <w:end w:w="80" w:type="dxa"/>
            </w:tcMar>
            <w:shd w:fill="FFFFFF"/>
          </w:tcPr>
          <w:p>
            <w:pPr>
              <w:pStyle w:val="Compact"/>
              <w:jc w:val="left"/>
            </w:pPr>
            <w:r>
              <w:rPr>
                <w:rFonts w:ascii="Arial" w:hAnsi="Arial" w:eastAsia="Arial"/>
                <w:sz w:val="16"/>
              </w:rPr>
              <w:t>Severe injury, disability, torture, serious bodily violation</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Liberty</w:t>
            </w:r>
          </w:p>
        </w:tc>
        <w:tc>
          <w:tcPr>
            <w:vAlign w:val="top"/>
            <w:tcMar>
              <w:top w:w="70" w:type="dxa"/>
              <w:start w:w="80" w:type="dxa"/>
              <w:bottom w:w="70" w:type="dxa"/>
              <w:end w:w="80" w:type="dxa"/>
            </w:tcMar>
            <w:shd w:fill="D9EAF7"/>
          </w:tcPr>
          <w:p>
            <w:pPr>
              <w:pStyle w:val="Compact"/>
              <w:jc w:val="left"/>
            </w:pPr>
            <w:r>
              <w:rPr>
                <w:rFonts w:ascii="Arial" w:hAnsi="Arial" w:eastAsia="Arial"/>
                <w:sz w:val="16"/>
              </w:rPr>
              <w:t>LBTY</w:t>
            </w:r>
          </w:p>
        </w:tc>
        <w:tc>
          <w:tcPr>
            <w:vAlign w:val="top"/>
            <w:tcMar>
              <w:top w:w="70" w:type="dxa"/>
              <w:start w:w="80" w:type="dxa"/>
              <w:bottom w:w="70" w:type="dxa"/>
              <w:end w:w="80" w:type="dxa"/>
            </w:tcMar>
            <w:shd w:fill="D9EAF7"/>
          </w:tcPr>
          <w:p>
            <w:pPr>
              <w:pStyle w:val="Compact"/>
              <w:jc w:val="left"/>
            </w:pPr>
            <w:r>
              <w:rPr>
                <w:rFonts w:ascii="Arial" w:hAnsi="Arial" w:eastAsia="Arial"/>
                <w:sz w:val="16"/>
              </w:rPr>
              <w:t>-0.65</w:t>
            </w:r>
          </w:p>
        </w:tc>
        <w:tc>
          <w:tcPr>
            <w:vAlign w:val="top"/>
            <w:tcMar>
              <w:top w:w="70" w:type="dxa"/>
              <w:start w:w="80" w:type="dxa"/>
              <w:bottom w:w="70" w:type="dxa"/>
              <w:end w:w="80" w:type="dxa"/>
            </w:tcMar>
            <w:shd w:fill="D9EAF7"/>
          </w:tcPr>
          <w:p>
            <w:pPr>
              <w:pStyle w:val="Compact"/>
              <w:jc w:val="left"/>
            </w:pPr>
            <w:r>
              <w:rPr>
                <w:rFonts w:ascii="Arial" w:hAnsi="Arial" w:eastAsia="Arial"/>
                <w:sz w:val="16"/>
              </w:rPr>
              <w:t>Arbitrary detention, forced labor, coercive confinement</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Basic Needs</w:t>
            </w:r>
          </w:p>
        </w:tc>
        <w:tc>
          <w:tcPr>
            <w:vAlign w:val="top"/>
            <w:tcMar>
              <w:top w:w="70" w:type="dxa"/>
              <w:start w:w="80" w:type="dxa"/>
              <w:bottom w:w="70" w:type="dxa"/>
              <w:end w:w="80" w:type="dxa"/>
            </w:tcMar>
            <w:shd w:fill="FFFFFF"/>
          </w:tcPr>
          <w:p>
            <w:pPr>
              <w:pStyle w:val="Compact"/>
              <w:jc w:val="left"/>
            </w:pPr>
            <w:r>
              <w:rPr>
                <w:rFonts w:ascii="Arial" w:hAnsi="Arial" w:eastAsia="Arial"/>
                <w:sz w:val="16"/>
              </w:rPr>
              <w:t>NEED</w:t>
            </w:r>
          </w:p>
        </w:tc>
        <w:tc>
          <w:tcPr>
            <w:vAlign w:val="top"/>
            <w:tcMar>
              <w:top w:w="70" w:type="dxa"/>
              <w:start w:w="80" w:type="dxa"/>
              <w:bottom w:w="70" w:type="dxa"/>
              <w:end w:w="80" w:type="dxa"/>
            </w:tcMar>
            <w:shd w:fill="FFFFFF"/>
          </w:tcPr>
          <w:p>
            <w:pPr>
              <w:pStyle w:val="Compact"/>
              <w:jc w:val="left"/>
            </w:pPr>
            <w:r>
              <w:rPr>
                <w:rFonts w:ascii="Arial" w:hAnsi="Arial" w:eastAsia="Arial"/>
                <w:sz w:val="16"/>
              </w:rPr>
              <w:t>-0.50</w:t>
            </w:r>
          </w:p>
        </w:tc>
        <w:tc>
          <w:tcPr>
            <w:vAlign w:val="top"/>
            <w:tcMar>
              <w:top w:w="70" w:type="dxa"/>
              <w:start w:w="80" w:type="dxa"/>
              <w:bottom w:w="70" w:type="dxa"/>
              <w:end w:w="80" w:type="dxa"/>
            </w:tcMar>
            <w:shd w:fill="FFFFFF"/>
          </w:tcPr>
          <w:p>
            <w:pPr>
              <w:pStyle w:val="Compact"/>
              <w:jc w:val="left"/>
            </w:pPr>
            <w:r>
              <w:rPr>
                <w:rFonts w:ascii="Arial" w:hAnsi="Arial" w:eastAsia="Arial"/>
                <w:sz w:val="16"/>
              </w:rPr>
              <w:t>Severe deprivation: food insecurity, homelessness, loss of basic subsistence</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Dignity</w:t>
            </w:r>
          </w:p>
        </w:tc>
        <w:tc>
          <w:tcPr>
            <w:vAlign w:val="top"/>
            <w:tcMar>
              <w:top w:w="70" w:type="dxa"/>
              <w:start w:w="80" w:type="dxa"/>
              <w:bottom w:w="70" w:type="dxa"/>
              <w:end w:w="80" w:type="dxa"/>
            </w:tcMar>
            <w:shd w:fill="D9EAF7"/>
          </w:tcPr>
          <w:p>
            <w:pPr>
              <w:pStyle w:val="Compact"/>
              <w:jc w:val="left"/>
            </w:pPr>
            <w:r>
              <w:rPr>
                <w:rFonts w:ascii="Arial" w:hAnsi="Arial" w:eastAsia="Arial"/>
                <w:sz w:val="16"/>
              </w:rPr>
              <w:t>DIGN</w:t>
            </w:r>
          </w:p>
        </w:tc>
        <w:tc>
          <w:tcPr>
            <w:vAlign w:val="top"/>
            <w:tcMar>
              <w:top w:w="70" w:type="dxa"/>
              <w:start w:w="80" w:type="dxa"/>
              <w:bottom w:w="70" w:type="dxa"/>
              <w:end w:w="80" w:type="dxa"/>
            </w:tcMar>
            <w:shd w:fill="D9EAF7"/>
          </w:tcPr>
          <w:p>
            <w:pPr>
              <w:pStyle w:val="Compact"/>
              <w:jc w:val="left"/>
            </w:pPr>
            <w:r>
              <w:rPr>
                <w:rFonts w:ascii="Arial" w:hAnsi="Arial" w:eastAsia="Arial"/>
                <w:sz w:val="16"/>
              </w:rPr>
              <w:t>-0.55</w:t>
            </w:r>
          </w:p>
        </w:tc>
        <w:tc>
          <w:tcPr>
            <w:vAlign w:val="top"/>
            <w:tcMar>
              <w:top w:w="70" w:type="dxa"/>
              <w:start w:w="80" w:type="dxa"/>
              <w:bottom w:w="70" w:type="dxa"/>
              <w:end w:w="80" w:type="dxa"/>
            </w:tcMar>
            <w:shd w:fill="D9EAF7"/>
          </w:tcPr>
          <w:p>
            <w:pPr>
              <w:pStyle w:val="Compact"/>
              <w:jc w:val="left"/>
            </w:pPr>
            <w:r>
              <w:rPr>
                <w:rFonts w:ascii="Arial" w:hAnsi="Arial" w:eastAsia="Arial"/>
                <w:sz w:val="16"/>
              </w:rPr>
              <w:t>Systematic humiliation, dehumanization, targeted degradation</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Due Process</w:t>
            </w:r>
          </w:p>
        </w:tc>
        <w:tc>
          <w:tcPr>
            <w:vAlign w:val="top"/>
            <w:tcMar>
              <w:top w:w="70" w:type="dxa"/>
              <w:start w:w="80" w:type="dxa"/>
              <w:bottom w:w="70" w:type="dxa"/>
              <w:end w:w="80" w:type="dxa"/>
            </w:tcMar>
            <w:shd w:fill="FFFFFF"/>
          </w:tcPr>
          <w:p>
            <w:pPr>
              <w:pStyle w:val="Compact"/>
              <w:jc w:val="left"/>
            </w:pPr>
            <w:r>
              <w:rPr>
                <w:rFonts w:ascii="Arial" w:hAnsi="Arial" w:eastAsia="Arial"/>
                <w:sz w:val="16"/>
              </w:rPr>
              <w:t>PROC</w:t>
            </w:r>
          </w:p>
        </w:tc>
        <w:tc>
          <w:tcPr>
            <w:vAlign w:val="top"/>
            <w:tcMar>
              <w:top w:w="70" w:type="dxa"/>
              <w:start w:w="80" w:type="dxa"/>
              <w:bottom w:w="70" w:type="dxa"/>
              <w:end w:w="80" w:type="dxa"/>
            </w:tcMar>
            <w:shd w:fill="FFFFFF"/>
          </w:tcPr>
          <w:p>
            <w:pPr>
              <w:pStyle w:val="Compact"/>
              <w:jc w:val="left"/>
            </w:pPr>
            <w:r>
              <w:rPr>
                <w:rFonts w:ascii="Arial" w:hAnsi="Arial" w:eastAsia="Arial"/>
                <w:sz w:val="16"/>
              </w:rPr>
              <w:t>-0.45</w:t>
            </w:r>
          </w:p>
        </w:tc>
        <w:tc>
          <w:tcPr>
            <w:vAlign w:val="top"/>
            <w:tcMar>
              <w:top w:w="70" w:type="dxa"/>
              <w:start w:w="80" w:type="dxa"/>
              <w:bottom w:w="70" w:type="dxa"/>
              <w:end w:w="80" w:type="dxa"/>
            </w:tcMar>
            <w:shd w:fill="FFFFFF"/>
          </w:tcPr>
          <w:p>
            <w:pPr>
              <w:pStyle w:val="Compact"/>
              <w:jc w:val="left"/>
            </w:pPr>
            <w:r>
              <w:rPr>
                <w:rFonts w:ascii="Arial" w:hAnsi="Arial" w:eastAsia="Arial"/>
                <w:sz w:val="16"/>
              </w:rPr>
              <w:t>Denial of fair hearing, non-transparent coercive procedure</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Information</w:t>
            </w:r>
          </w:p>
        </w:tc>
        <w:tc>
          <w:tcPr>
            <w:vAlign w:val="top"/>
            <w:tcMar>
              <w:top w:w="70" w:type="dxa"/>
              <w:start w:w="80" w:type="dxa"/>
              <w:bottom w:w="70" w:type="dxa"/>
              <w:end w:w="80" w:type="dxa"/>
            </w:tcMar>
            <w:shd w:fill="D9EAF7"/>
          </w:tcPr>
          <w:p>
            <w:pPr>
              <w:pStyle w:val="Compact"/>
              <w:jc w:val="left"/>
            </w:pPr>
            <w:r>
              <w:rPr>
                <w:rFonts w:ascii="Arial" w:hAnsi="Arial" w:eastAsia="Arial"/>
                <w:sz w:val="16"/>
              </w:rPr>
              <w:t>INFO</w:t>
            </w:r>
          </w:p>
        </w:tc>
        <w:tc>
          <w:tcPr>
            <w:vAlign w:val="top"/>
            <w:tcMar>
              <w:top w:w="70" w:type="dxa"/>
              <w:start w:w="80" w:type="dxa"/>
              <w:bottom w:w="70" w:type="dxa"/>
              <w:end w:w="80" w:type="dxa"/>
            </w:tcMar>
            <w:shd w:fill="D9EAF7"/>
          </w:tcPr>
          <w:p>
            <w:pPr>
              <w:pStyle w:val="Compact"/>
              <w:jc w:val="left"/>
            </w:pPr>
            <w:r>
              <w:rPr>
                <w:rFonts w:ascii="Arial" w:hAnsi="Arial" w:eastAsia="Arial"/>
                <w:sz w:val="16"/>
              </w:rPr>
              <w:t>-0.40</w:t>
            </w:r>
          </w:p>
        </w:tc>
        <w:tc>
          <w:tcPr>
            <w:vAlign w:val="top"/>
            <w:tcMar>
              <w:top w:w="70" w:type="dxa"/>
              <w:start w:w="80" w:type="dxa"/>
              <w:bottom w:w="70" w:type="dxa"/>
              <w:end w:w="80" w:type="dxa"/>
            </w:tcMar>
            <w:shd w:fill="D9EAF7"/>
          </w:tcPr>
          <w:p>
            <w:pPr>
              <w:pStyle w:val="Compact"/>
              <w:jc w:val="left"/>
            </w:pPr>
            <w:r>
              <w:rPr>
                <w:rFonts w:ascii="Arial" w:hAnsi="Arial" w:eastAsia="Arial"/>
                <w:sz w:val="16"/>
              </w:rPr>
              <w:t>Systematic censorship, epistemic coercion, pervasive disinformation constraints</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Ecological Integrity</w:t>
            </w:r>
          </w:p>
        </w:tc>
        <w:tc>
          <w:tcPr>
            <w:vAlign w:val="top"/>
            <w:tcMar>
              <w:top w:w="70" w:type="dxa"/>
              <w:start w:w="80" w:type="dxa"/>
              <w:bottom w:w="70" w:type="dxa"/>
              <w:end w:w="80" w:type="dxa"/>
            </w:tcMar>
            <w:shd w:fill="FFFFFF"/>
          </w:tcPr>
          <w:p>
            <w:pPr>
              <w:pStyle w:val="Compact"/>
              <w:jc w:val="left"/>
            </w:pPr>
            <w:r>
              <w:rPr>
                <w:rFonts w:ascii="Arial" w:hAnsi="Arial" w:eastAsia="Arial"/>
                <w:sz w:val="16"/>
              </w:rPr>
              <w:t>ECOL</w:t>
            </w:r>
          </w:p>
        </w:tc>
        <w:tc>
          <w:tcPr>
            <w:vAlign w:val="top"/>
            <w:tcMar>
              <w:top w:w="70" w:type="dxa"/>
              <w:start w:w="80" w:type="dxa"/>
              <w:bottom w:w="70" w:type="dxa"/>
              <w:end w:w="80" w:type="dxa"/>
            </w:tcMar>
            <w:shd w:fill="FFFFFF"/>
          </w:tcPr>
          <w:p>
            <w:pPr>
              <w:pStyle w:val="Compact"/>
              <w:jc w:val="left"/>
            </w:pPr>
            <w:r>
              <w:rPr>
                <w:rFonts w:ascii="Arial" w:hAnsi="Arial" w:eastAsia="Arial"/>
                <w:sz w:val="16"/>
              </w:rPr>
              <w:t>-0.65</w:t>
            </w:r>
          </w:p>
        </w:tc>
        <w:tc>
          <w:tcPr>
            <w:vAlign w:val="top"/>
            <w:tcMar>
              <w:top w:w="70" w:type="dxa"/>
              <w:start w:w="80" w:type="dxa"/>
              <w:bottom w:w="70" w:type="dxa"/>
              <w:end w:w="80" w:type="dxa"/>
            </w:tcMar>
            <w:shd w:fill="FFFFFF"/>
          </w:tcPr>
          <w:p>
            <w:pPr>
              <w:pStyle w:val="Compact"/>
              <w:jc w:val="left"/>
            </w:pPr>
            <w:r>
              <w:rPr>
                <w:rFonts w:ascii="Arial" w:hAnsi="Arial" w:eastAsia="Arial"/>
                <w:sz w:val="16"/>
              </w:rPr>
              <w:t>Material biosphere integrity breach or planetary boundary transgression corridor</w:t>
            </w:r>
          </w:p>
        </w:tc>
      </w:tr>
    </w:tbl>
    <w:p>
      <w:pPr>
        <w:pStyle w:val="BodyText"/>
      </w:pPr>
      <w:r>
        <w:t>Ecological Integrity boundary. ECOL is a MathGov non-compensatory enabling-condition protection for biosphere integrity and life-supporting ecological conditions. It may overlap with legal environmental rights where recognized, but this Canon does not claim universal legal status by itself.</w:t>
      </w:r>
    </w:p>
    <w:p>
      <w:pPr>
        <w:pStyle w:val="BodyText"/>
      </w:pPr>
      <w:r>
        <w:t>Normative interpretation rule: Thresholds θ_r are admissibility floors, not weights. They do not represent "how important" a right is; they represent the minimum allowable protection level.</w:t>
      </w:r>
    </w:p>
    <w:p>
      <w:pPr>
        <w:pStyle w:val="BodyText"/>
      </w:pPr>
      <w:r>
        <w:t>Threshold governance. All thresholds are explicitly challengeable. Revisions require justification, version increment, PCC documentation preserving prior values, and sensitivity outcomes over a reference decision suite.</w:t>
      </w:r>
    </w:p>
    <w:p>
      <w:pPr>
        <w:pStyle w:val="BodyText"/>
      </w:pPr>
      <w:r>
        <w:t>Threshold epistemic boundary. Rights thresholds are versioned governance priors, not discovered empirical constants or jurisdiction-specific legal conclusions. They may be challenged, localized, stress-tested, and revised under governed update rules, but they remain non-compensatory while active in a run.</w:t>
      </w:r>
    </w:p>
    <w:p>
      <w:pPr>
        <w:pStyle w:val="BodyText"/>
      </w:pPr>
      <w:r>
        <w:t>Sensitivity requirement. In Tier 3 runs, each θ_r MUST be perturbed by ±0.05 and the cascade recomputed. If admissibility changes for any option under perturbation, the decision is flagged as threshold-sensitive and the PCC MUST document which rights are near-binding, which options are affected, and how the final selection responds to that near-binding status.</w:t>
      </w:r>
    </w:p>
    <w:p>
      <w:pPr>
        <w:pStyle w:val="BodyText"/>
      </w:pPr>
      <w:r>
        <w:t>Proxy disclaimer. Governance indices (such as press freedom or rule-of-law indices) may be used as operational proxies for anchoring reference conditions, but are not treated as moral ground truth and MUST be accompanied by documented limitations in the PCC.</w:t>
      </w:r>
    </w:p>
    <w:p>
      <w:pPr>
        <w:pStyle w:val="BodyText"/>
      </w:pPr>
      <w:r>
        <w:t>Right INFO (θ = -0.40). Normative anchor: systematic censorship, epistemic coercion, or deliberate degradation of the information environment such that agents cannot form informed preferences. Example anchors: systematic media control and censorship per RSF Press Freedom Index "Very Serious Situation" (score below 40); persistent large-scale disinformation operations affecting public health, safety, or governance; surveillance-driven chilling effects that measurably suppress information seeking or expression.</w:t>
      </w:r>
    </w:p>
    <w:p>
      <w:pPr>
        <w:pStyle w:val="BodyText"/>
      </w:pPr>
      <w:r>
        <w:t>Right PROC (θ = -0.45). Normative anchor: denial of fair hearing, non-transparent coercive procedure, or absence of meaningful recourse against institutional power. Example anchors: no meaningful access to justice or independent review per WJP Rule of Law Index bottom quintile; consequential automated decisions without explanation, appeal, or human review; systematic procedural exclusion; coercive institutional action without proportionality review.</w:t>
      </w:r>
    </w:p>
    <w:p>
      <w:pPr>
        <w:pStyle w:val="BodyText"/>
      </w:pPr>
      <w:r>
        <w:t>Right NEED (θ = -0.50). Normative anchor: severe deprivation of material conditions necessary for survival and minimally adequate functioning. Example anchors: sustained severe food insecurity at IPC Phase 3 or above; homelessness or severe housing deprivation per UN-Habitat standards; lack of safe water and sanitation; denial of essential healthcare access such that treatable conditions become severe or lethal.</w:t>
      </w:r>
    </w:p>
    <w:p>
      <w:pPr>
        <w:pStyle w:val="BodyText"/>
      </w:pPr>
      <w:r>
        <w:t>Right DIGN (θ = -0.55). Normative anchor: systematic humiliation, dehumanization, or targeted degradation that denies inherent worth and equal standing. Example anchors: institutionalized dehumanization of groups per the UN Framework of Analysis for Atrocity Crimes; degrading treatment per ECHR Article 3; systematic exclusion from participation in social and civic life; discriminatory institutions that deny equal standing below capability thresholds (Nussbaum, 2011).</w:t>
      </w:r>
    </w:p>
    <w:p>
      <w:pPr>
        <w:pStyle w:val="BodyText"/>
      </w:pPr>
      <w:r>
        <w:t>Right ECOL (θ = -0.65). Normative anchor: breach of biosphere integrity or entry into high-risk Earth-system transgression corridors that threaten enabling conditions for continued life. Example anchors: actions that materially increase probability of crossing critical climate or ecosystem tipping elements per Lenton et al. (2008); ecosystem regime shifts effectively irreversible on human-relevant timescales; depletion of foundational natural capital (aquifers, soils, fisheries) beyond recharge capacity; biodiversity loss sufficient to undermine ecosystem services.</w:t>
      </w:r>
    </w:p>
    <w:p>
      <w:pPr>
        <w:pStyle w:val="BodyText"/>
      </w:pPr>
      <w:r>
        <w:t>Right LBTY (θ = -0.65). Normative anchor: arbitrary detention, forced labor, coercive confinement, or systematic deprivation of freedom of movement and association. Example anchors: deprivation of liberty without legal basis or review per ICCPR Article 9; forced labor patterns consistent with ILO indicator bundles (restriction of movement, debt bondage, retention of identity documents, isolation); coercive confinement not justified by legitimate, proportionate public safety measures.</w:t>
      </w:r>
    </w:p>
    <w:p>
      <w:pPr>
        <w:pStyle w:val="BodyText"/>
      </w:pPr>
      <w:r>
        <w:t>Right BODY (θ = -0.70). Normative anchor: severe injury, disability, torture, or serious violation of bodily autonomy falling short of lethality but constituting fundamental harm to physical and psychological functioning. Example anchors: torture or cruel treatment as defined by the UN Convention Against Torture; serious bodily injury resulting in permanent disability or substantial loss of function per WHO disability classification frameworks (ICF; WHODAS 2.0); forced medical procedures or systematic bodily violations; sustained exposure to hazards expected to cause serious chronic illness.</w:t>
      </w:r>
    </w:p>
    <w:p>
      <w:pPr>
        <w:pStyle w:val="BodyText"/>
      </w:pPr>
      <w:r>
        <w:t>Right LIFE (θ = -0.90). Normative anchor: near-certain or highly probable death, lethal exposure, or elimination of conditions necessary for continued biological existence for the worst-off subgroup. Example anchors: direct lethal violence or exposure; catastrophic deprivation conditions such as IPC Phase 5 famine (≥20% extreme food gaps, crude death rate &gt;2 per 10,000 per day); collapse of life-sustaining infrastructure (water, sanitation, shelter) without viable alternatives; mass-casualty disaster exposures. The threshold is set above -1.0 because -1.0 corresponds to guaranteed death for all affected persons, a theoretical maximum rarely achieved even in extreme scenarios.</w:t>
      </w:r>
    </w:p>
    <w:bookmarkStart w:id="112" w:name="X8a4c407ca39128818e8126500b2d5173b56b9de"/>
    <w:p>
      <w:pPr>
        <w:pStyle w:val="Heading3"/>
      </w:pPr>
      <w:r>
        <w:t>7.1.1 Threshold Calibration Protocol (Normative)</w:t>
      </w:r>
    </w:p>
    <w:p>
      <w:pPr>
        <w:pStyle w:val="FirstParagraph"/>
      </w:pPr>
      <w:r>
        <w:t>The eight canonical rights thresholds are normative governance priors, not empirically derived frequencies. Each threshold encodes a severity level on the normalized impact scale [-1, +1] at which a predicted impact is treated as a rights-floor violation that cannot be traded away for aggregate benefit elsewhere.</w:t>
      </w:r>
    </w:p>
    <w:p>
      <w:pPr>
        <w:pStyle w:val="BodyText"/>
      </w:pPr>
      <w:r>
        <w:t>Calibration follows two principles:</w:t>
      </w:r>
    </w:p>
    <w:p>
      <w:pPr>
        <w:pStyle w:val="BodyText"/>
      </w:pPr>
      <w:r>
        <w:t>First, thresholds are placed relative to the semantics of the impact scale: -1.0 denotes an extreme, worst-case welfare decrement in the relevant domain; +1.0 denotes an extreme improvement.</w:t>
      </w:r>
    </w:p>
    <w:p>
      <w:pPr>
        <w:pStyle w:val="BodyText"/>
      </w:pPr>
      <w:r>
        <w:t>Second, the ordering of thresholds reflects both a severity gradient and an enabling-conditions logic: rights protecting against lethal and bodily harms sit closer to the floor, while rights protecting procedural and epistemic conditions are set closer to zero because their violation can enable cascading downstream rights failures. When information environments are degraded or due process is absent, communities lose the epistemic and procedural capacity to detect and contest violations of life, bodily integrity, and liberty.</w:t>
      </w:r>
    </w:p>
    <w:p>
      <w:pPr>
        <w:pStyle w:val="BodyText"/>
      </w:pPr>
      <w:r>
        <w:t>Operationally, a threshold is justified by two to four anchor conditions per right, a mapping rule from anchors to the [-1, +1] scale using threshold anchoring (Section 5.6.2), and a mandatory sensitivity sweep.</w:t>
      </w:r>
    </w:p>
    <w:bookmarkEnd w:id="112"/>
    <w:bookmarkEnd w:id="113"/>
    <w:bookmarkStart w:id="114" w:name="X0eba022227f4077be112b62cc64327d48ecc689"/>
    <w:p>
      <w:pPr>
        <w:pStyle w:val="Heading2"/>
      </w:pPr>
      <w:r>
        <w:t>7.2 Rights Coverage Sets C_r (Normative)</w:t>
      </w:r>
    </w:p>
    <w:p>
      <w:pPr>
        <w:pStyle w:val="FirstParagraph"/>
      </w:pPr>
      <w:r>
        <w:t>Each right applies to a defined subset of welfare cells C_r. NCRC evaluates each right across its coverage set and uses the worst-off subgroup for rights-covered cells.</w:t>
      </w:r>
    </w:p>
    <w:p>
      <w:pPr>
        <w:pStyle w:val="BodyText"/>
      </w:pPr>
      <w:r>
        <w:t>Canonical coverage sets (authoritative):</w:t>
      </w:r>
    </w:p>
    <w:p>
      <w:pPr>
        <w:pStyle w:val="BodyText"/>
      </w:pPr>
      <w:r>
        <w:t>Coverage note (Normative clarification). ECOL is scoped to capture enabling-conditions harms to the biosphere and to humanity’s life-support systems. Canonically this is implemented via Environment-dimension cells in the Humanity / Global Coordination and Biosphere unions (and any additional declared cells via governed extension). Implementations MAY extend ECOL coverage to additional cells only by explicit governance declaration in the PCC, and MUST NOT silently re-scope ECOL between runs.</w:t>
      </w:r>
    </w:p>
    <w:tbl>
      <w:tblPr>
        <w:tblStyle w:val="Table"/>
        <w:tblW w:type="auto" w:w="0"/>
        <w:jc w:val="center"/>
        <w:tblLook w:firstRow="1" w:lastRow="0" w:firstColumn="0" w:lastColumn="0" w:noHBand="0" w:noVBand="0" w:val="0020"/>
      </w:tblPr>
      <w:tblGrid>
        <w:gridCol w:w="3960"/>
        <w:gridCol w:w="3960"/>
      </w:tblGrid>
      <w:tr>
        <w:trPr>
          <w:tblHeader w:val="on"/>
          <w:tblHeader w:val="true"/>
          <w:cantSplit/>
        </w:trPr>
        <w:tc>
          <w:tcPr>
            <w:vAlign w:val="top"/>
            <w:tcMar>
              <w:top w:w="70" w:type="dxa"/>
              <w:start w:w="80" w:type="dxa"/>
              <w:bottom w:w="70" w:type="dxa"/>
              <w:end w:w="80" w:type="dxa"/>
            </w:tcMar>
            <w:shd w:fill="1F4E78"/>
          </w:tcPr>
          <w:p>
            <w:pPr>
              <w:pStyle w:val="Compact"/>
              <w:jc w:val="left"/>
            </w:pPr>
            <w:r>
              <w:rPr>
                <w:rFonts w:ascii="Arial" w:hAnsi="Arial" w:eastAsia="Arial"/>
                <w:b/>
                <w:bCs/>
                <w:color w:val="FFFFFF"/>
                <w:sz w:val="16"/>
              </w:rPr>
              <w:t>Right</w:t>
            </w:r>
          </w:p>
        </w:tc>
        <w:tc>
          <w:tcPr>
            <w:vAlign w:val="top"/>
            <w:tcMar>
              <w:top w:w="70" w:type="dxa"/>
              <w:start w:w="80" w:type="dxa"/>
              <w:bottom w:w="70" w:type="dxa"/>
              <w:end w:w="80" w:type="dxa"/>
            </w:tcMar>
            <w:shd w:fill="1F4E78"/>
          </w:tcPr>
          <w:p>
            <w:pPr>
              <w:pStyle w:val="Compact"/>
              <w:jc w:val="left"/>
            </w:pPr>
            <w:r>
              <w:rPr>
                <w:rFonts w:ascii="Arial" w:hAnsi="Arial" w:eastAsia="Arial"/>
                <w:b/>
                <w:bCs/>
                <w:color w:val="FFFFFF"/>
                <w:sz w:val="16"/>
              </w:rPr>
              <w:t>Coverage Set C_r</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LIFE</w:t>
            </w:r>
          </w:p>
        </w:tc>
        <w:tc>
          <w:tcPr>
            <w:vAlign w:val="top"/>
            <w:tcMar>
              <w:top w:w="70" w:type="dxa"/>
              <w:start w:w="80" w:type="dxa"/>
              <w:bottom w:w="70" w:type="dxa"/>
              <w:end w:w="80" w:type="dxa"/>
            </w:tcMar>
            <w:shd w:fill="D9EAF7"/>
          </w:tcPr>
          <w:p>
            <w:pPr>
              <w:pStyle w:val="Compact"/>
              <w:jc w:val="left"/>
            </w:pPr>
            <w:r>
              <w:rPr>
                <w:rFonts w:ascii="Arial" w:hAnsi="Arial" w:eastAsia="Arial"/>
                <w:sz w:val="16"/>
              </w:rPr>
              <w:t>{(u, Health): u ∈ {1,2,3,4,5,6}} ∪ {(6, Environment)}</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BODY</w:t>
            </w:r>
          </w:p>
        </w:tc>
        <w:tc>
          <w:tcPr>
            <w:vAlign w:val="top"/>
            <w:tcMar>
              <w:top w:w="70" w:type="dxa"/>
              <w:start w:w="80" w:type="dxa"/>
              <w:bottom w:w="70" w:type="dxa"/>
              <w:end w:w="80" w:type="dxa"/>
            </w:tcMar>
            <w:shd w:fill="FFFFFF"/>
          </w:tcPr>
          <w:p>
            <w:pPr>
              <w:pStyle w:val="Compact"/>
              <w:jc w:val="left"/>
            </w:pPr>
            <w:r>
              <w:rPr>
                <w:rFonts w:ascii="Arial" w:hAnsi="Arial" w:eastAsia="Arial"/>
                <w:sz w:val="16"/>
              </w:rPr>
              <w:t>{(u, Health): u ∈ {1,2,3,4,5,6}}</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LBTY</w:t>
            </w:r>
          </w:p>
        </w:tc>
        <w:tc>
          <w:tcPr>
            <w:vAlign w:val="top"/>
            <w:tcMar>
              <w:top w:w="70" w:type="dxa"/>
              <w:start w:w="80" w:type="dxa"/>
              <w:bottom w:w="70" w:type="dxa"/>
              <w:end w:w="80" w:type="dxa"/>
            </w:tcMar>
            <w:shd w:fill="D9EAF7"/>
          </w:tcPr>
          <w:p>
            <w:pPr>
              <w:pStyle w:val="Compact"/>
              <w:jc w:val="left"/>
            </w:pPr>
            <w:r>
              <w:rPr>
                <w:rFonts w:ascii="Arial" w:hAnsi="Arial" w:eastAsia="Arial"/>
                <w:sz w:val="16"/>
              </w:rPr>
              <w:t>{(u, Agency): u ∈ {1,2,3,4,5,6}} ∪ {(u, Social): u ∈ {3,4,5,6}}</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NEED</w:t>
            </w:r>
          </w:p>
        </w:tc>
        <w:tc>
          <w:tcPr>
            <w:vAlign w:val="top"/>
            <w:tcMar>
              <w:top w:w="70" w:type="dxa"/>
              <w:start w:w="80" w:type="dxa"/>
              <w:bottom w:w="70" w:type="dxa"/>
              <w:end w:w="80" w:type="dxa"/>
            </w:tcMar>
            <w:shd w:fill="FFFFFF"/>
          </w:tcPr>
          <w:p>
            <w:pPr>
              <w:pStyle w:val="Compact"/>
              <w:jc w:val="left"/>
            </w:pPr>
            <w:r>
              <w:rPr>
                <w:rFonts w:ascii="Arial" w:hAnsi="Arial" w:eastAsia="Arial"/>
                <w:sz w:val="16"/>
              </w:rPr>
              <w:t>{(u, Material): u ∈ {1,2,3,4,5,6}} ∪ {(u, Health): u ∈ {1,2,3,4,5,6}}</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DIGN</w:t>
            </w:r>
          </w:p>
        </w:tc>
        <w:tc>
          <w:tcPr>
            <w:vAlign w:val="top"/>
            <w:tcMar>
              <w:top w:w="70" w:type="dxa"/>
              <w:start w:w="80" w:type="dxa"/>
              <w:bottom w:w="70" w:type="dxa"/>
              <w:end w:w="80" w:type="dxa"/>
            </w:tcMar>
            <w:shd w:fill="D9EAF7"/>
          </w:tcPr>
          <w:p>
            <w:pPr>
              <w:pStyle w:val="Compact"/>
              <w:jc w:val="left"/>
            </w:pPr>
            <w:r>
              <w:rPr>
                <w:rFonts w:ascii="Arial" w:hAnsi="Arial" w:eastAsia="Arial"/>
                <w:sz w:val="16"/>
              </w:rPr>
              <w:t>{(u, Social): u ∈ {1,2,3,4,5,6}} ∪ {(u, Agency): u ∈ {1,2,3,4,5,6}}</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PROC</w:t>
            </w:r>
          </w:p>
        </w:tc>
        <w:tc>
          <w:tcPr>
            <w:vAlign w:val="top"/>
            <w:tcMar>
              <w:top w:w="70" w:type="dxa"/>
              <w:start w:w="80" w:type="dxa"/>
              <w:bottom w:w="70" w:type="dxa"/>
              <w:end w:w="80" w:type="dxa"/>
            </w:tcMar>
            <w:shd w:fill="FFFFFF"/>
          </w:tcPr>
          <w:p>
            <w:pPr>
              <w:pStyle w:val="Compact"/>
              <w:jc w:val="left"/>
            </w:pPr>
            <w:r>
              <w:rPr>
                <w:rFonts w:ascii="Arial" w:hAnsi="Arial" w:eastAsia="Arial"/>
                <w:sz w:val="16"/>
              </w:rPr>
              <w:t>{(u, Agency): u ∈ {4,5,6}} ∪ {(u, Knowledge): u ∈ {4,5,6}} ∪ {(u, Social): u ∈ {4,5,6}}</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INFO</w:t>
            </w:r>
          </w:p>
        </w:tc>
        <w:tc>
          <w:tcPr>
            <w:vAlign w:val="top"/>
            <w:tcMar>
              <w:top w:w="70" w:type="dxa"/>
              <w:start w:w="80" w:type="dxa"/>
              <w:bottom w:w="70" w:type="dxa"/>
              <w:end w:w="80" w:type="dxa"/>
            </w:tcMar>
            <w:shd w:fill="D9EAF7"/>
          </w:tcPr>
          <w:p>
            <w:pPr>
              <w:pStyle w:val="Compact"/>
              <w:jc w:val="left"/>
            </w:pPr>
            <w:r>
              <w:rPr>
                <w:rFonts w:ascii="Arial" w:hAnsi="Arial" w:eastAsia="Arial"/>
                <w:sz w:val="16"/>
              </w:rPr>
              <w:t>{(u, Knowledge): u ∈ {1,2,3,4,5,6}} ∪ {(u, Agency): u ∈ {1,2,3,4,5,6}}</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ECOL</w:t>
            </w:r>
          </w:p>
        </w:tc>
        <w:tc>
          <w:tcPr>
            <w:vAlign w:val="top"/>
            <w:tcMar>
              <w:top w:w="70" w:type="dxa"/>
              <w:start w:w="80" w:type="dxa"/>
              <w:bottom w:w="70" w:type="dxa"/>
              <w:end w:w="80" w:type="dxa"/>
            </w:tcMar>
            <w:shd w:fill="FFFFFF"/>
          </w:tcPr>
          <w:p>
            <w:pPr>
              <w:pStyle w:val="Compact"/>
              <w:jc w:val="left"/>
            </w:pPr>
            <w:r>
              <w:rPr>
                <w:rFonts w:ascii="Arial" w:hAnsi="Arial" w:eastAsia="Arial"/>
                <w:sz w:val="16"/>
              </w:rPr>
              <w:t>{(6, Environment), (7, Environment)}</w:t>
            </w:r>
          </w:p>
        </w:tc>
      </w:tr>
    </w:tbl>
    <w:bookmarkEnd w:id="114"/>
    <w:bookmarkStart w:id="117" w:name="X51f4a67324fd7a6362512a06b56a53b650dfa29"/>
    <w:p>
      <w:pPr>
        <w:pStyle w:val="Heading2"/>
      </w:pPr>
      <w:r>
        <w:t>7.3 Worst-Off Subgroup Semantics (Normative)</w:t>
      </w:r>
    </w:p>
    <w:p>
      <w:pPr>
        <w:pStyle w:val="FirstParagraph"/>
      </w:pPr>
      <w:r>
        <w:t>Rights cannot be averaged away. For every rights-covered cell (u,d) in any C_r, define:</w:t>
      </w:r>
    </w:p>
    <w:p>
      <w:pPr>
        <w:pStyle w:val="BodyText"/>
      </w:pPr>
      <w:r>
        <w:t>I_rights(u,d,a) = min_{g ∈ G_{u,d}} I_prop_base(u,d,a|g)</w:t>
      </w:r>
    </w:p>
    <w:p>
      <w:pPr>
        <w:pStyle w:val="BodyText"/>
      </w:pPr>
      <w:r>
        <w:t>Where G_{u,d} is the set of protected subgroups relevant to that cell.</w:t>
      </w:r>
    </w:p>
    <w:p>
      <w:pPr>
        <w:pStyle w:val="BodyText"/>
      </w:pPr>
      <w:r>
        <w:t>Tier requirements:</w:t>
      </w:r>
    </w:p>
    <w:p>
      <w:pPr>
        <w:pStyle w:val="Compact"/>
        <w:numPr>
          <w:ilvl w:val="0"/>
          <w:numId w:val="1038"/>
        </w:numPr>
      </w:pPr>
      <w:r>
        <w:t>Tier 3: Subgroup enumeration is REQUIRED for rights-covered cells (Appendix H PCC requirements).</w:t>
      </w:r>
    </w:p>
    <w:p>
      <w:pPr>
        <w:pStyle w:val="Compact"/>
        <w:numPr>
          <w:ilvl w:val="0"/>
          <w:numId w:val="1039"/>
        </w:numPr>
      </w:pPr>
      <w:r>
        <w:t>Tier 2 (strict posture): Subgroup enumeration is REQUIRED at least for directly affected populations in rights-covered cells; when infeasible, the PCC MUST record SUBGROUP_LIMITATION and apply a conservative bound rule (Section 7.3.2).</w:t>
      </w:r>
    </w:p>
    <w:bookmarkStart w:id="115" w:name="X39d0047e6eeb655931cd543785c41ea4ba97db2"/>
    <w:p>
      <w:pPr>
        <w:pStyle w:val="Heading3"/>
      </w:pPr>
      <w:r>
        <w:t>7.3.1 Minimum subgroup categories (Normative minimum)</w:t>
      </w:r>
    </w:p>
    <w:p>
      <w:pPr>
        <w:pStyle w:val="FirstParagraph"/>
      </w:pPr>
      <w:r>
        <w:t>At minimum, when applicable and feasible, G_{u,d} SHOULD include subgroups defined by:</w:t>
      </w:r>
    </w:p>
    <w:p>
      <w:pPr>
        <w:pStyle w:val="Compact"/>
        <w:numPr>
          <w:ilvl w:val="0"/>
          <w:numId w:val="1040"/>
        </w:numPr>
      </w:pPr>
      <w:r>
        <w:t>Age (children; elderly)</w:t>
      </w:r>
    </w:p>
    <w:p>
      <w:pPr>
        <w:pStyle w:val="Compact"/>
        <w:numPr>
          <w:ilvl w:val="0"/>
          <w:numId w:val="1041"/>
        </w:numPr>
      </w:pPr>
      <w:r>
        <w:t>Disability status</w:t>
      </w:r>
    </w:p>
    <w:p>
      <w:pPr>
        <w:pStyle w:val="Compact"/>
        <w:numPr>
          <w:ilvl w:val="0"/>
          <w:numId w:val="1042"/>
        </w:numPr>
      </w:pPr>
      <w:r>
        <w:t>Legally protected characteristics relevant in jurisdiction</w:t>
      </w:r>
    </w:p>
    <w:p>
      <w:pPr>
        <w:pStyle w:val="Compact"/>
        <w:numPr>
          <w:ilvl w:val="0"/>
          <w:numId w:val="1043"/>
        </w:numPr>
      </w:pPr>
      <w:r>
        <w:t>Economic vulnerability (for example, bottom income quintile)</w:t>
      </w:r>
    </w:p>
    <w:p>
      <w:pPr>
        <w:pStyle w:val="Compact"/>
        <w:numPr>
          <w:ilvl w:val="0"/>
          <w:numId w:val="1044"/>
        </w:numPr>
      </w:pPr>
      <w:r>
        <w:t>Geographic exposure (for example, high-risk locations)</w:t>
      </w:r>
    </w:p>
    <w:p>
      <w:pPr>
        <w:pStyle w:val="Compact"/>
        <w:numPr>
          <w:ilvl w:val="0"/>
          <w:numId w:val="1045"/>
        </w:numPr>
      </w:pPr>
      <w:r>
        <w:t>Domain-specific protected groups (for example, patients, detainees, precarious workers, indigenous communities)</w:t>
      </w:r>
    </w:p>
    <w:bookmarkEnd w:id="115"/>
    <w:bookmarkStart w:id="116" w:name="Xeb6e7943885dcac122a0e553ca0b702f6ba8779"/>
    <w:p>
      <w:pPr>
        <w:pStyle w:val="Heading3"/>
      </w:pPr>
      <w:r>
        <w:t>7.3.2 Conservative fallback when subgroup disaggregation is infeasible (Tier 2-3) (Normative)</w:t>
      </w:r>
    </w:p>
    <w:p>
      <w:pPr>
        <w:pStyle w:val="FirstParagraph"/>
      </w:pPr>
      <w:r>
        <w:t>If subgroup impacts I_prop_base(u,d,a|g) cannot be produced for a rights-covered cell, the run MUST:</w:t>
      </w:r>
    </w:p>
    <w:p>
      <w:pPr>
        <w:pStyle w:val="Compact"/>
        <w:numPr>
          <w:ilvl w:val="0"/>
          <w:numId w:val="1046"/>
        </w:numPr>
      </w:pPr>
      <w:r>
        <w:t>Record SUBGROUP_LIMITATION in the PCC, and</w:t>
      </w:r>
    </w:p>
    <w:p>
      <w:pPr>
        <w:pStyle w:val="Compact"/>
        <w:numPr>
          <w:ilvl w:val="0"/>
          <w:numId w:val="1047"/>
        </w:numPr>
      </w:pPr>
      <w:r>
        <w:t>Apply a conservative rights bound for that cell:</w:t>
      </w:r>
    </w:p>
    <w:p>
      <w:pPr>
        <w:pStyle w:val="FirstParagraph"/>
      </w:pPr>
      <w:r>
        <w:t>Let γ_subgroup be a conservatism factor (default γ_subgroup = 1.5). Then define:</w:t>
      </w:r>
    </w:p>
    <w:p>
      <w:pPr>
        <w:pStyle w:val="Compact"/>
        <w:numPr>
          <w:ilvl w:val="0"/>
          <w:numId w:val="1048"/>
        </w:numPr>
      </w:pPr>
      <w:r>
        <w:t>If I_prop_base(u,d,a) &lt; 0, set I_rights(u,d,a) = max(-1, γ_subgroup × I_prop_base(u,d,a))</w:t>
      </w:r>
    </w:p>
    <w:p>
      <w:pPr>
        <w:pStyle w:val="Compact"/>
        <w:numPr>
          <w:ilvl w:val="0"/>
          <w:numId w:val="1049"/>
        </w:numPr>
      </w:pPr>
      <w:r>
        <w:t>Else set I_rights(u,d,a) = I_prop_base(u,d,a)</w:t>
      </w:r>
    </w:p>
    <w:p>
      <w:pPr>
        <w:pStyle w:val="FirstParagraph"/>
      </w:pPr>
      <w:r>
        <w:t>This bound applies only for NCRC checking, not for RLS scoring.</w:t>
      </w:r>
    </w:p>
    <w:p>
      <w:pPr>
        <w:pStyle w:val="BodyText"/>
      </w:pPr>
      <w:r>
        <w:t>Calibration note (Normative guidance). The default γ_subgroup = 1.5 is a conservative governance prior rather than an empirically estimated constant. The value is set as a moderate worst-off uplift between the identity case (γ_subgroup = 1.0) and stronger stress-test settings used to examine subgroup vulnerability under uncertainty. It is intended to reduce subgroup erasure without asserting a precise empirical constant across domains. Tier 3 deployments SHOULD review γ_subgroup against their reference decision suite at least annually or after a material accumulation of rights-sensitive runs. Any non-default γ_subgroup MUST be declared in the PCC, justified, and accompanied by sensitivity reruns over the reference suite. The sensitivity sweep for γ_subgroup SHOULD include at minimum γ_subgroup ∈ {1.0, 1.3, 1.5, 2.0} to test whether admissibility outcomes or selection change materially.</w:t>
      </w:r>
    </w:p>
    <w:bookmarkEnd w:id="116"/>
    <w:bookmarkEnd w:id="117"/>
    <w:bookmarkStart w:id="122" w:name="X1902d601e0e19a1b48a588c8d34e52a771e5703"/>
    <w:p>
      <w:pPr>
        <w:pStyle w:val="Heading2"/>
      </w:pPr>
      <w:r>
        <w:t>7.4 Rights-Specific Severity, Hazard, and NCRC Admissibility (Normative)</w:t>
      </w:r>
    </w:p>
    <w:bookmarkStart w:id="118" w:name="X90a1da8b86f9bb513da9ce09fd6b867db8f1cdc"/>
    <w:p>
      <w:pPr>
        <w:pStyle w:val="Heading3"/>
      </w:pPr>
      <w:r>
        <w:t>7.4.1 Rights-floor impact channel (Normative)</w:t>
      </w:r>
    </w:p>
    <w:p>
      <w:pPr>
        <w:pStyle w:val="FirstParagraph"/>
      </w:pPr>
      <w:r>
        <w:t>The welfare-impact stream is not by itself sufficient to decide rights admissibility. For every adverse impact instance k that is material to a protected right r, the run MUST construct a rights-floor instance using the exposed protected subgroup as the reach denominator.</w:t>
      </w:r>
    </w:p>
    <w:p>
      <w:pPr>
        <w:pStyle w:val="BodyText"/>
      </w:pPr>
      <w:r>
        <w:t>For adverse rights-floor instances, set the rights temporal factor τ_RF(t_k) := 1.0. Duration remains recorded and may aggravate severity, remedy, and emergency comparison, but short duration MUST NOT attenuate a categorical or severe rights violation into admissibility. Analyst confidence c_k is evidence metadata rather than a protective discount: low confidence MUST trigger conservative bounding, evidence collection, narrowing, escalation, or refusal, not a weaker rights check.</w:t>
      </w:r>
    </w:p>
    <w:p>
      <w:pPr>
        <w:pStyle w:val="BodyText"/>
      </w:pPr>
      <w:r>
        <w:t>Let ℓ_k^U be the declared conservative upper likelihood bound for the rights event. The rights-floor contribution is:</w:t>
      </w:r>
    </w:p>
    <w:p>
      <w:pPr>
        <w:pStyle w:val="BodyText"/>
      </w:pPr>
      <w:r>
        <w:t>x_RF(k,r,a) = μ_k · r_k^R · ℓ_k^U · e_k</w:t>
      </w:r>
    </w:p>
    <w:p>
      <w:pPr>
        <w:pStyle w:val="BodyText"/>
      </w:pPr>
      <w:r>
        <w:t>where r_k^R uses rights-specific exposed-subgroup reach. Aggregate and saturate the adverse rights-floor contributions into I_RF(u,d,a) ∈ [-1,+1], then apply the worst-off subgroup rule from Section 7.3 to obtain I_rights(u,d,a).</w:t>
      </w:r>
    </w:p>
    <w:bookmarkEnd w:id="118"/>
    <w:bookmarkStart w:id="119" w:name="X339a00ec04e1d78f19ed8513386ef500f210baf"/>
    <w:p>
      <w:pPr>
        <w:pStyle w:val="Heading3"/>
      </w:pPr>
      <w:r>
        <w:t>7.4.2 Categorical-prohibition channel (Normative)</w:t>
      </w:r>
    </w:p>
    <w:p>
      <w:pPr>
        <w:pStyle w:val="FirstParagraph"/>
      </w:pPr>
      <w:r>
        <w:t>For each material rights instance, declare z_k,r ∈ {0,1}, where z_k,r = 1 means the option authorizes, requires, or knowingly imposes a categorical rights violation under the declared rights profile. Examples may include torture, intentional killing outside a lawful protective exception, non-consensual invasive medical intervention, arbitrary detention, deliberate deprivation below a basic-needs floor, or another prohibition explicitly declared by the governing profile.</w:t>
      </w:r>
    </w:p>
    <w:p>
      <w:pPr>
        <w:pStyle w:val="BodyText"/>
      </w:pPr>
      <w:r>
        <w:t>A categorical flag is profile-governed and challengeable. It MUST NOT be inferred merely from rhetoric, and it MUST NOT be removed because the event is brief, affects a small protected subgroup, or produces benefits elsewhere.</w:t>
      </w:r>
    </w:p>
    <w:bookmarkEnd w:id="119"/>
    <w:bookmarkStart w:id="120" w:name="X106f5201a513d0d1447c8757a1bab9b6ee0a944"/>
    <w:p>
      <w:pPr>
        <w:pStyle w:val="Heading3"/>
      </w:pPr>
      <w:r>
        <w:t>7.4.3 Severe rights-hazard channel (Normative)</w:t>
      </w:r>
    </w:p>
    <w:p>
      <w:pPr>
        <w:pStyle w:val="FirstParagraph"/>
      </w:pPr>
      <w:r>
        <w:t>The severe-rights-hazard channel is distinct from the ordinary rights-floor threshold. It is activated by either a governed event class or a separate hazard-activation threshold.</w:t>
      </w:r>
    </w:p>
    <w:p>
      <w:pPr>
        <w:pStyle w:val="BodyText"/>
      </w:pPr>
      <w:r>
        <w:t>For impact instance k and right r, define:</w:t>
      </w:r>
    </w:p>
    <w:p>
      <w:pPr>
        <w:pStyle w:val="BodyText"/>
      </w:pPr>
      <w:r>
        <w:t>SevereRightsHazardActive(k,r) := (EventClass_k ∈ C_severe,r) OR (h_sev,k,r ≥ η_r).</w:t>
      </w:r>
    </w:p>
    <w:p>
      <w:pPr>
        <w:pStyle w:val="BodyText"/>
      </w:pPr>
      <w:r>
        <w:t>Canonical default: η_r := min(0.50, |θ_r|). Domain profiles MAY tighten η_r but MUST NOT set it above 0.50 or disable a canonical event-class trigger.</w:t>
      </w:r>
    </w:p>
    <w:p>
      <w:pPr>
        <w:pStyle w:val="BodyText"/>
      </w:pPr>
      <w:r>
        <w:t>C_severe,r includes, where applicable: credible fatality pathways; torture or cruel, inhuman, or degrading treatment; serious bodily injury or forced invasive intervention; arbitrary detention or confinement; deprivation of basic subsistence; collapse of due process or remedy; severe information coercion or manipulation; and irreversible or severe ecological destruction affecting protected life-support conditions.</w:t>
      </w:r>
    </w:p>
    <w:p>
      <w:pPr>
        <w:pStyle w:val="BodyText"/>
      </w:pPr>
      <w:r>
        <w:t>When the channel is active, the run MUST separately declare intrinsic severity conditional on occurrence, likelihood or scenario probability, reversibility, consent/authority status, worst-affected subgroup, evidence status, and the governed tolerance or prohibition. The ordinary temporally weighted welfare product does not determine whether the hazard is reviewed. Missing gate-critical evidence produces NCRC_UNKNOWN, escalation, or refusal rather than an implied pass.</w:t>
      </w:r>
    </w:p>
    <w:bookmarkEnd w:id="120"/>
    <w:bookmarkStart w:id="121" w:name="X6f5447af78a526f68607fc939979baaf73a1a6c"/>
    <w:p>
      <w:pPr>
        <w:pStyle w:val="Heading3"/>
      </w:pPr>
      <w:r>
        <w:t>7.4.4 Violation components and predicate (Normative)</w:t>
      </w:r>
    </w:p>
    <w:p>
      <w:pPr>
        <w:pStyle w:val="FirstParagraph"/>
      </w:pPr>
      <w:r>
        <w:t>For each right r, define:</w:t>
      </w:r>
    </w:p>
    <w:p>
      <w:pPr>
        <w:pStyle w:val="BodyText"/>
      </w:pPr>
      <w:r>
        <w:t>v_r^floor(a) = max_(u,d in C_r) (θ_r - I_rights(u,d,a))^+</w:t>
      </w:r>
    </w:p>
    <w:p>
      <w:pPr>
        <w:pStyle w:val="BodyText"/>
      </w:pPr>
      <w:r>
        <w:t>v_r^cat(a) = max_(k in K_r(a)) z_k,r</w:t>
      </w:r>
    </w:p>
    <w:p>
      <w:pPr>
        <w:pStyle w:val="BodyText"/>
      </w:pPr>
      <w:r>
        <w:t>v_r^risk(a) = max_(k in K_r(a): h_k,r ≥ |θ_r|) (p_k,r^U - ρ_r)^+</w:t>
      </w:r>
    </w:p>
    <w:p>
      <w:pPr>
        <w:pStyle w:val="BodyText"/>
      </w:pPr>
      <w:r>
        <w:t>where (x)^+ = max(x,0). If a required severe-hazard field is missing, set the rights evidence status to UNKNOWN rather than zero.</w:t>
      </w:r>
    </w:p>
    <w:p>
      <w:pPr>
        <w:pStyle w:val="BodyText"/>
      </w:pPr>
      <w:r>
        <w:t>NCRC(a) = TRUE if and only if, for every right r:</w:t>
      </w:r>
    </w:p>
    <w:p>
      <w:pPr>
        <w:pStyle w:val="Compact"/>
        <w:numPr>
          <w:ilvl w:val="0"/>
          <w:numId w:val="1050"/>
        </w:numPr>
      </w:pPr>
      <w:r>
        <w:t>v_r^floor(a) = 0;</w:t>
      </w:r>
    </w:p>
    <w:p>
      <w:pPr>
        <w:pStyle w:val="Compact"/>
        <w:numPr>
          <w:ilvl w:val="0"/>
          <w:numId w:val="1050"/>
        </w:numPr>
      </w:pPr>
      <w:r>
        <w:t>v_r^cat(a) = 0;</w:t>
      </w:r>
    </w:p>
    <w:p>
      <w:pPr>
        <w:pStyle w:val="Compact"/>
        <w:numPr>
          <w:ilvl w:val="0"/>
          <w:numId w:val="1050"/>
        </w:numPr>
      </w:pPr>
      <w:r>
        <w:t>v_r^risk(a) = 0; and</w:t>
      </w:r>
    </w:p>
    <w:p>
      <w:pPr>
        <w:pStyle w:val="Compact"/>
        <w:numPr>
          <w:ilvl w:val="0"/>
          <w:numId w:val="1050"/>
        </w:numPr>
      </w:pPr>
      <w:r>
        <w:t>no material rights evidence field is unresolved.</w:t>
      </w:r>
    </w:p>
    <w:p>
      <w:pPr>
        <w:pStyle w:val="FirstParagraph"/>
      </w:pPr>
      <w:r>
        <w:t>The NCRC-passing set is:</w:t>
      </w:r>
    </w:p>
    <w:p>
      <w:pPr>
        <w:pStyle w:val="BodyText"/>
      </w:pPr>
      <w:r>
        <w:t>A_NCRC = {a in O : NCRC(a) = TRUE}</w:t>
      </w:r>
    </w:p>
    <w:p>
      <w:pPr>
        <w:pStyle w:val="BodyText"/>
      </w:pPr>
      <w:r>
        <w:t>Interpretation: a short-duration or low-confidence rights violation cannot pass merely because welfare-style temporal or confidence multipliers are small. Rights-floor impact, categorical prohibition, and severe-hazard exposure are tested separately and non-compensatorily.</w:t>
      </w:r>
    </w:p>
    <w:bookmarkEnd w:id="121"/>
    <w:bookmarkEnd w:id="122"/>
    <w:bookmarkStart w:id="127" w:name="X2943439575d8569646383bedb1fb5005db93244"/>
    <w:p>
      <w:pPr>
        <w:pStyle w:val="Heading2"/>
      </w:pPr>
      <w:r>
        <w:t>7.5 Emergency Mode (Rights-Failure Handling) (Normative)</w:t>
      </w:r>
    </w:p>
    <w:p>
      <w:pPr>
        <w:pStyle w:val="FirstParagraph"/>
      </w:pPr>
      <w:r>
        <w:t>If A_NCRC = ∅ (no option passes rights), RippleLogic enters Emergency Mode. Emergency Mode is not a loophole; it is a controlled failure protocol.</w:t>
      </w:r>
    </w:p>
    <w:bookmarkStart w:id="123" w:name="X8a4c8ec4f8902ac34e1143b9cdb409025bd61be"/>
    <w:p>
      <w:pPr>
        <w:pStyle w:val="Heading3"/>
      </w:pPr>
      <w:r>
        <w:t>7.5.1 Emergency Mode rights priority order (Normative)</w:t>
      </w:r>
    </w:p>
    <w:p>
      <w:pPr>
        <w:pStyle w:val="FirstParagraph"/>
      </w:pPr>
      <w:r>
        <w:t>Rights are ordered lexicographically by the canonical emergency priority:</w:t>
      </w:r>
    </w:p>
    <w:p>
      <w:pPr>
        <w:pStyle w:val="BodyText"/>
      </w:pPr>
      <w:r>
        <w:t>[LIFE, BODY, ECOL, LBTY, NEED, DIGN, PROC, INFO]</w:t>
      </w:r>
    </w:p>
    <w:p>
      <w:pPr>
        <w:pStyle w:val="BodyText"/>
      </w:pPr>
      <w:r>
        <w:t>This ordering MUST be used exactly.</w:t>
      </w:r>
    </w:p>
    <w:bookmarkEnd w:id="123"/>
    <w:bookmarkStart w:id="124" w:name="X79d04667074de093d35186af21846841a688934"/>
    <w:p>
      <w:pPr>
        <w:pStyle w:val="Heading3"/>
      </w:pPr>
      <w:r>
        <w:t>7.5.2 Emergency Mode selection rule (Normative)</w:t>
      </w:r>
    </w:p>
    <w:p>
      <w:pPr>
        <w:pStyle w:val="FirstParagraph"/>
      </w:pPr>
      <w:r>
        <w:t>Construct a compound violation tuple for each right r:</w:t>
      </w:r>
    </w:p>
    <w:p>
      <w:pPr>
        <w:pStyle w:val="BodyText"/>
      </w:pPr>
      <w:r>
        <w:t>q_r(a) = (v_r^cat(a), v_r^risk(a), v_r^floor(a))</w:t>
      </w:r>
    </w:p>
    <w:p>
      <w:pPr>
        <w:pStyle w:val="BodyText"/>
      </w:pPr>
      <w:r>
        <w:t>and the option vector:</w:t>
      </w:r>
    </w:p>
    <w:p>
      <w:pPr>
        <w:pStyle w:val="BodyText"/>
      </w:pPr>
      <w:r>
        <w:t>q(a) = (q_LIFE(a), q_BODY(a), q_ECOL(a), q_LBTY(a), q_NEED(a), q_DIGN(a), q_PROC(a), q_INFO(a))</w:t>
      </w:r>
    </w:p>
    <w:p>
      <w:pPr>
        <w:pStyle w:val="BodyText"/>
      </w:pPr>
      <w:r>
        <w:t>Select the option that lexicographically minimizes q(a), so categorical prohibition is considered before severe-hazard excess and floor depth within each right. If tied:</w:t>
      </w:r>
    </w:p>
    <w:p>
      <w:pPr>
        <w:pStyle w:val="Compact"/>
        <w:numPr>
          <w:ilvl w:val="0"/>
          <w:numId w:val="1051"/>
        </w:numPr>
      </w:pPr>
      <w:r>
        <w:t>Minimize TRC CVaR (if TRC scenarios exist or are rapidly constructed), then</w:t>
      </w:r>
    </w:p>
    <w:p>
      <w:pPr>
        <w:pStyle w:val="Compact"/>
        <w:numPr>
          <w:ilvl w:val="0"/>
          <w:numId w:val="1052"/>
        </w:numPr>
      </w:pPr>
      <w:r>
        <w:t>If at least one tied emergency candidate passes TRC, compare residual welfare only among those tied TRC-passing candidates. If every tied candidate also fails TRC, apply Section 8.8 Tail Emergency Mode and do not use ordinary RLS ranking.</w:t>
      </w:r>
    </w:p>
    <w:bookmarkEnd w:id="124"/>
    <w:bookmarkStart w:id="125" w:name="X3a2d25d13b5de8ec45d6a5be81ce5762b4271d2"/>
    <w:p>
      <w:pPr>
        <w:pStyle w:val="Heading3"/>
      </w:pPr>
      <w:r>
        <w:t>7.5.3 Independent Challenger Requirement (Normative)</w:t>
      </w:r>
    </w:p>
    <w:p>
      <w:pPr>
        <w:pStyle w:val="FirstParagraph"/>
      </w:pPr>
      <w:r>
        <w:t>Before Emergency Mode can be invoked, an independent challenger MUST propose at least one alternative option.</w:t>
      </w:r>
    </w:p>
    <w:p>
      <w:pPr>
        <w:pStyle w:val="BodyText"/>
      </w:pPr>
      <w:r>
        <w:t>Independence requirements (MUST):</w:t>
      </w:r>
    </w:p>
    <w:p>
      <w:pPr>
        <w:pStyle w:val="Compact"/>
        <w:numPr>
          <w:ilvl w:val="0"/>
          <w:numId w:val="1053"/>
        </w:numPr>
      </w:pPr>
      <w:r>
        <w:t>No reporting relationship to decision owner</w:t>
      </w:r>
    </w:p>
    <w:p>
      <w:pPr>
        <w:pStyle w:val="Compact"/>
        <w:numPr>
          <w:ilvl w:val="0"/>
          <w:numId w:val="1054"/>
        </w:numPr>
      </w:pPr>
      <w:r>
        <w:t>No material interest in decision outcome</w:t>
      </w:r>
    </w:p>
    <w:p>
      <w:pPr>
        <w:pStyle w:val="Compact"/>
        <w:numPr>
          <w:ilvl w:val="0"/>
          <w:numId w:val="1055"/>
        </w:numPr>
      </w:pPr>
      <w:r>
        <w:t>Access to the same information set</w:t>
      </w:r>
    </w:p>
    <w:p>
      <w:pPr>
        <w:pStyle w:val="FirstParagraph"/>
      </w:pPr>
      <w:r>
        <w:t>Minimum challenger effort:</w:t>
      </w:r>
    </w:p>
    <w:p>
      <w:pPr>
        <w:pStyle w:val="Compact"/>
        <w:numPr>
          <w:ilvl w:val="0"/>
          <w:numId w:val="1056"/>
        </w:numPr>
      </w:pPr>
      <w:r>
        <w:t>Tier 2: ≥30 minutes active option generation</w:t>
      </w:r>
    </w:p>
    <w:p>
      <w:pPr>
        <w:pStyle w:val="Compact"/>
        <w:numPr>
          <w:ilvl w:val="0"/>
          <w:numId w:val="1057"/>
        </w:numPr>
      </w:pPr>
      <w:r>
        <w:t>Tier 3: ≥2 hours active option generation</w:t>
      </w:r>
    </w:p>
    <w:p>
      <w:pPr>
        <w:pStyle w:val="FirstParagraph"/>
      </w:pPr>
      <w:r>
        <w:t>If time pressure prevents this, PCC MUST record CHALLENGE_DEFERRED_EMERGENCY and a retrospective challenge review MUST occur within 24 hours (or earliest feasible time) with an addendum PCC.</w:t>
      </w:r>
    </w:p>
    <w:bookmarkEnd w:id="125"/>
    <w:bookmarkStart w:id="126" w:name="X9fcf31bbe3a4e6ec9c73631f6d69ca7db9df5cf"/>
    <w:p>
      <w:pPr>
        <w:pStyle w:val="Heading3"/>
      </w:pPr>
      <w:r>
        <w:t>7.5.4 Emergency documentation requirements (Normative)</w:t>
      </w:r>
    </w:p>
    <w:p>
      <w:pPr>
        <w:pStyle w:val="FirstParagraph"/>
      </w:pPr>
      <w:r>
        <w:t>PCC MUST include:</w:t>
      </w:r>
    </w:p>
    <w:p>
      <w:pPr>
        <w:pStyle w:val="Compact"/>
        <w:numPr>
          <w:ilvl w:val="0"/>
          <w:numId w:val="1058"/>
        </w:numPr>
      </w:pPr>
      <w:r>
        <w:t>Emergency declaration and trigger conditions</w:t>
      </w:r>
    </w:p>
    <w:p>
      <w:pPr>
        <w:pStyle w:val="Compact"/>
        <w:numPr>
          <w:ilvl w:val="0"/>
          <w:numId w:val="1059"/>
        </w:numPr>
      </w:pPr>
      <w:r>
        <w:t>v_r(a) for each option</w:t>
      </w:r>
    </w:p>
    <w:p>
      <w:pPr>
        <w:pStyle w:val="Compact"/>
        <w:numPr>
          <w:ilvl w:val="0"/>
          <w:numId w:val="1060"/>
        </w:numPr>
      </w:pPr>
      <w:r>
        <w:t>Lexicographic comparison trace</w:t>
      </w:r>
    </w:p>
    <w:p>
      <w:pPr>
        <w:pStyle w:val="Compact"/>
        <w:numPr>
          <w:ilvl w:val="0"/>
          <w:numId w:val="1061"/>
        </w:numPr>
      </w:pPr>
      <w:r>
        <w:t>Mitigation/remediation plan</w:t>
      </w:r>
    </w:p>
    <w:p>
      <w:pPr>
        <w:pStyle w:val="Compact"/>
        <w:numPr>
          <w:ilvl w:val="0"/>
          <w:numId w:val="1062"/>
        </w:numPr>
      </w:pPr>
      <w:r>
        <w:t>Review cadence and return-to-normal triggers</w:t>
      </w:r>
    </w:p>
    <w:bookmarkEnd w:id="126"/>
    <w:bookmarkEnd w:id="127"/>
    <w:bookmarkStart w:id="128" w:name="X8704c7918a079e8312e1fd8a8aa3536e1596b87"/>
    <w:p>
      <w:pPr>
        <w:pStyle w:val="Heading2"/>
      </w:pPr>
      <w:r>
        <w:t>7.6 Anti-Gaming Rules Specific to NCRC (Normative)</w:t>
      </w:r>
    </w:p>
    <w:p>
      <w:pPr>
        <w:pStyle w:val="Compact"/>
        <w:numPr>
          <w:ilvl w:val="0"/>
          <w:numId w:val="1063"/>
        </w:numPr>
      </w:pPr>
      <w:r>
        <w:t>Rights-covered cells MUST NOT be masked out of RLS aggregation if they are non-maskable by policy (Appendix H audit flags).</w:t>
      </w:r>
    </w:p>
    <w:p>
      <w:pPr>
        <w:pStyle w:val="Compact"/>
        <w:numPr>
          <w:ilvl w:val="0"/>
          <w:numId w:val="1064"/>
        </w:numPr>
      </w:pPr>
      <w:r>
        <w:t>Rights checks MUST use worst-off subgroup semantics and must not be evaluated on averages.</w:t>
      </w:r>
    </w:p>
    <w:p>
      <w:pPr>
        <w:pStyle w:val="Compact"/>
        <w:numPr>
          <w:ilvl w:val="0"/>
          <w:numId w:val="1065"/>
        </w:numPr>
      </w:pPr>
      <w:r>
        <w:t>"Unknown" data MUST NOT be treated as neutral; missing data triggers ignorance penalties (Section 5.7).</w:t>
      </w:r>
    </w:p>
    <w:p>
      <w:pPr>
        <w:pStyle w:val="Compact"/>
        <w:numPr>
          <w:ilvl w:val="0"/>
          <w:numId w:val="1066"/>
        </w:numPr>
      </w:pPr>
      <w:r>
        <w:t>Emergency Mode MUST NOT be used without challenger protocol and remediation plan.</w:t>
      </w:r>
    </w:p>
    <w:bookmarkEnd w:id="128"/>
    <w:bookmarkEnd w:id="129"/>
    <w:bookmarkStart w:id="145" w:name="X1c1ef2bcfd94fb93dbb2f42d9d5882e949b77ee"/>
    <w:p>
      <w:pPr>
        <w:pStyle w:val="Heading1"/>
      </w:pPr>
      <w:r>
        <w:t>SECTION 8: CATASTROPHIC RISK LAYER: TAIL-RISK CONSTRAINT (TRC)</w:t>
      </w:r>
    </w:p>
    <w:bookmarkStart w:id="130" w:name="X6a88aecbee246d514a3fda0e56212041ec5bf44"/>
    <w:p>
      <w:pPr>
        <w:pStyle w:val="Heading2"/>
      </w:pPr>
      <w:r>
        <w:t>8.0 Purpose and UBE Rationale (Normative)</w:t>
      </w:r>
    </w:p>
    <w:p>
      <w:pPr>
        <w:pStyle w:val="FirstParagraph"/>
      </w:pPr>
      <w:r>
        <w:t>Even when rights floors are respected in expectation, a decision can carry non-trivial probability of catastrophic harm to Humanity / Global Coordination or the Biosphere. Under UBE, catastrophe avoidance is lexicographically prior to welfare optimization because catastrophic outcomes can eliminate future choice across unions and collapse enabling conditions.</w:t>
      </w:r>
    </w:p>
    <w:p>
      <w:pPr>
        <w:pStyle w:val="BodyText"/>
      </w:pPr>
      <w:r>
        <w:t>TRC therefore bounds catastrophic exposure using CVaR, a coherent tail-risk measure (Artzner et al., 1999; Rockafellar &amp; Uryasev, 2000). This posture is motivated by ruin dynamics under deep uncertainty (Taleb, 2012) and by Earth-system research indicating that destabilization of life-support conditions can occur through tipping cascades and boundary transgression corridors with multi-scale downstream harms (Rockström et al., 2009, 2023; Steffen et al., 2015; IPCC, 2023).</w:t>
      </w:r>
    </w:p>
    <w:p>
      <w:pPr>
        <w:pStyle w:val="BodyText"/>
      </w:pPr>
      <w:r>
        <w:t>Modeled-safety interpretation (Normative clarification). Passing TRC demonstrates compliance with the declared scenario library, probability policy, catastrophe-cell construction, and corridor threshold for the run. It does not prove empirical invulnerability outside the modeled scenario set. Implementations MUST NOT present TRC passage as a guarantee that no catastrophic pathway exists; it is a governance-grade bound within the declared scenario model.</w:t>
      </w:r>
    </w:p>
    <w:bookmarkEnd w:id="130"/>
    <w:bookmarkStart w:id="132" w:name="Xb05991c647e7c26376f4d13cc09ef921093f440"/>
    <w:p>
      <w:pPr>
        <w:pStyle w:val="Heading2"/>
      </w:pPr>
      <w:r>
        <w:t>8.1 Tier Requirements for TRC (Normative; strict posture)</w:t>
      </w:r>
    </w:p>
    <w:tbl>
      <w:tblPr>
        <w:tblStyle w:val="Table"/>
        <w:tblW w:type="auto" w:w="0"/>
        <w:jc w:val="center"/>
        <w:tblLook w:firstRow="1" w:lastRow="0" w:firstColumn="0" w:lastColumn="0" w:noHBand="0" w:noVBand="0" w:val="0020"/>
      </w:tblPr>
      <w:tblGrid>
        <w:gridCol w:w="2640"/>
        <w:gridCol w:w="2640"/>
        <w:gridCol w:w="2640"/>
      </w:tblGrid>
      <w:tr>
        <w:trPr>
          <w:tblHeader w:val="on"/>
          <w:tblHeader w:val="true"/>
          <w:cantSplit/>
        </w:trPr>
        <w:tc>
          <w:tcPr>
            <w:vAlign w:val="top"/>
            <w:tcMar>
              <w:top w:w="70" w:type="dxa"/>
              <w:start w:w="80" w:type="dxa"/>
              <w:bottom w:w="70" w:type="dxa"/>
              <w:end w:w="80" w:type="dxa"/>
            </w:tcMar>
            <w:shd w:fill="1F4E78"/>
          </w:tcPr>
          <w:p>
            <w:pPr>
              <w:pStyle w:val="Compact"/>
              <w:jc w:val="left"/>
            </w:pPr>
            <w:r>
              <w:rPr>
                <w:rFonts w:ascii="Arial" w:hAnsi="Arial" w:eastAsia="Arial"/>
                <w:b/>
                <w:color w:val="FFFFFF"/>
                <w:sz w:val="16"/>
              </w:rPr>
              <w:t>Tier</w:t>
            </w:r>
          </w:p>
        </w:tc>
        <w:tc>
          <w:tcPr>
            <w:vAlign w:val="top"/>
            <w:tcMar>
              <w:top w:w="70" w:type="dxa"/>
              <w:start w:w="80" w:type="dxa"/>
              <w:bottom w:w="70" w:type="dxa"/>
              <w:end w:w="80" w:type="dxa"/>
            </w:tcMar>
            <w:shd w:fill="1F4E78"/>
          </w:tcPr>
          <w:p>
            <w:pPr>
              <w:pStyle w:val="Compact"/>
              <w:jc w:val="left"/>
            </w:pPr>
            <w:r>
              <w:rPr>
                <w:rFonts w:ascii="Arial" w:hAnsi="Arial" w:eastAsia="Arial"/>
                <w:b/>
                <w:color w:val="FFFFFF"/>
                <w:sz w:val="16"/>
              </w:rPr>
              <w:t>TRC Required?</w:t>
            </w:r>
          </w:p>
        </w:tc>
        <w:tc>
          <w:tcPr>
            <w:vAlign w:val="top"/>
            <w:tcMar>
              <w:top w:w="70" w:type="dxa"/>
              <w:start w:w="80" w:type="dxa"/>
              <w:bottom w:w="70" w:type="dxa"/>
              <w:end w:w="80" w:type="dxa"/>
            </w:tcMar>
            <w:shd w:fill="1F4E78"/>
          </w:tcPr>
          <w:p>
            <w:pPr>
              <w:pStyle w:val="Compact"/>
              <w:jc w:val="left"/>
            </w:pPr>
            <w:r>
              <w:rPr>
                <w:rFonts w:ascii="Arial" w:hAnsi="Arial" w:eastAsia="Arial"/>
                <w:b/>
                <w:color w:val="FFFFFF"/>
                <w:sz w:val="16"/>
              </w:rPr>
              <w:t>Minimum</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Tier 1</w:t>
            </w:r>
          </w:p>
        </w:tc>
        <w:tc>
          <w:tcPr>
            <w:vAlign w:val="top"/>
            <w:tcMar>
              <w:top w:w="70" w:type="dxa"/>
              <w:start w:w="80" w:type="dxa"/>
              <w:bottom w:w="70" w:type="dxa"/>
              <w:end w:w="80" w:type="dxa"/>
            </w:tcMar>
            <w:shd w:fill="D9EAF7"/>
          </w:tcPr>
          <w:p>
            <w:pPr>
              <w:pStyle w:val="Compact"/>
              <w:jc w:val="left"/>
            </w:pPr>
            <w:r>
              <w:rPr>
                <w:rFonts w:ascii="Arial" w:hAnsi="Arial" w:eastAsia="Arial"/>
                <w:sz w:val="16"/>
              </w:rPr>
              <w:t>Optional (qualitative tail screen when plausible)</w:t>
            </w:r>
          </w:p>
        </w:tc>
        <w:tc>
          <w:tcPr>
            <w:vAlign w:val="top"/>
            <w:tcMar>
              <w:top w:w="70" w:type="dxa"/>
              <w:start w:w="80" w:type="dxa"/>
              <w:bottom w:w="70" w:type="dxa"/>
              <w:end w:w="80" w:type="dxa"/>
            </w:tcMar>
            <w:shd w:fill="D9EAF7"/>
          </w:tcPr>
          <w:p>
            <w:pPr>
              <w:pStyle w:val="Compact"/>
              <w:jc w:val="left"/>
            </w:pPr>
            <w:r>
              <w:rPr>
                <w:rFonts w:ascii="Arial" w:hAnsi="Arial" w:eastAsia="Arial"/>
                <w:sz w:val="16"/>
              </w:rPr>
              <w:t>N/A</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Tier 2</w:t>
            </w:r>
          </w:p>
        </w:tc>
        <w:tc>
          <w:tcPr>
            <w:vAlign w:val="top"/>
            <w:tcMar>
              <w:top w:w="70" w:type="dxa"/>
              <w:start w:w="80" w:type="dxa"/>
              <w:bottom w:w="70" w:type="dxa"/>
              <w:end w:w="80" w:type="dxa"/>
            </w:tcMar>
            <w:shd w:fill="FFFFFF"/>
          </w:tcPr>
          <w:p>
            <w:pPr>
              <w:pStyle w:val="Compact"/>
              <w:jc w:val="left"/>
            </w:pPr>
            <w:r>
              <w:rPr>
                <w:rFonts w:ascii="Arial" w:hAnsi="Arial" w:eastAsia="Arial"/>
                <w:sz w:val="16"/>
              </w:rPr>
              <w:t>REQUIRED when catastrophe relevance plausible</w:t>
            </w:r>
          </w:p>
        </w:tc>
        <w:tc>
          <w:tcPr>
            <w:vAlign w:val="top"/>
            <w:tcMar>
              <w:top w:w="70" w:type="dxa"/>
              <w:start w:w="80" w:type="dxa"/>
              <w:bottom w:w="70" w:type="dxa"/>
              <w:end w:w="80" w:type="dxa"/>
            </w:tcMar>
            <w:shd w:fill="FFFFFF"/>
          </w:tcPr>
          <w:p>
            <w:pPr>
              <w:pStyle w:val="Compact"/>
              <w:jc w:val="left"/>
            </w:pPr>
            <w:r>
              <w:rPr>
                <w:rFonts w:ascii="Arial" w:hAnsi="Arial" w:eastAsia="Arial"/>
                <w:sz w:val="16"/>
              </w:rPr>
              <w:t>≥5 minimum</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Tier 3</w:t>
            </w:r>
          </w:p>
        </w:tc>
        <w:tc>
          <w:tcPr>
            <w:vAlign w:val="top"/>
            <w:tcMar>
              <w:top w:w="70" w:type="dxa"/>
              <w:start w:w="80" w:type="dxa"/>
              <w:bottom w:w="70" w:type="dxa"/>
              <w:end w:w="80" w:type="dxa"/>
            </w:tcMar>
            <w:shd w:fill="D9EAF7"/>
          </w:tcPr>
          <w:p>
            <w:pPr>
              <w:pStyle w:val="Compact"/>
              <w:jc w:val="left"/>
            </w:pPr>
            <w:r>
              <w:rPr>
                <w:rFonts w:ascii="Arial" w:hAnsi="Arial" w:eastAsia="Arial"/>
                <w:sz w:val="16"/>
              </w:rPr>
              <w:t>REQUIRED</w:t>
            </w:r>
          </w:p>
        </w:tc>
        <w:tc>
          <w:tcPr>
            <w:vAlign w:val="top"/>
            <w:tcMar>
              <w:top w:w="70" w:type="dxa"/>
              <w:start w:w="80" w:type="dxa"/>
              <w:bottom w:w="70" w:type="dxa"/>
              <w:end w:w="80" w:type="dxa"/>
            </w:tcMar>
            <w:shd w:fill="D9EAF7"/>
          </w:tcPr>
          <w:p>
            <w:pPr>
              <w:pStyle w:val="Compact"/>
              <w:jc w:val="left"/>
            </w:pPr>
            <w:r>
              <w:rPr>
                <w:rFonts w:ascii="Arial" w:hAnsi="Arial" w:eastAsia="Arial"/>
                <w:sz w:val="16"/>
              </w:rPr>
              <w:t>≥20 minimum</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Tier 4</w:t>
            </w:r>
          </w:p>
        </w:tc>
        <w:tc>
          <w:tcPr>
            <w:vAlign w:val="top"/>
            <w:tcMar>
              <w:top w:w="70" w:type="dxa"/>
              <w:start w:w="80" w:type="dxa"/>
              <w:bottom w:w="70" w:type="dxa"/>
              <w:end w:w="80" w:type="dxa"/>
            </w:tcMar>
            <w:shd w:fill="FFFFFF"/>
          </w:tcPr>
          <w:p>
            <w:pPr>
              <w:pStyle w:val="Compact"/>
              <w:jc w:val="left"/>
            </w:pPr>
            <w:r>
              <w:rPr>
                <w:rFonts w:ascii="Arial" w:hAnsi="Arial" w:eastAsia="Arial"/>
                <w:sz w:val="16"/>
              </w:rPr>
              <w:t>Design target only (claim prohibited in this release line)</w:t>
            </w:r>
          </w:p>
        </w:tc>
        <w:tc>
          <w:tcPr>
            <w:vAlign w:val="top"/>
            <w:tcMar>
              <w:top w:w="70" w:type="dxa"/>
              <w:start w:w="80" w:type="dxa"/>
              <w:bottom w:w="70" w:type="dxa"/>
              <w:end w:w="80" w:type="dxa"/>
            </w:tcMar>
            <w:shd w:fill="FFFFFF"/>
          </w:tcPr>
          <w:p>
            <w:pPr>
              <w:pStyle w:val="Compact"/>
              <w:jc w:val="left"/>
            </w:pPr>
            <w:r>
              <w:rPr>
                <w:rFonts w:ascii="Arial" w:hAnsi="Arial" w:eastAsia="Arial"/>
                <w:sz w:val="16"/>
              </w:rPr>
              <w:t>N/A</w:t>
            </w:r>
          </w:p>
        </w:tc>
      </w:tr>
    </w:tbl>
    <w:bookmarkStart w:id="131" w:name="X6463f55c19217d83f4d2d9c1917010061b3d2eb"/>
    <w:p>
      <w:pPr>
        <w:pStyle w:val="Heading3"/>
      </w:pPr>
      <w:r>
        <w:t>8.1.1 Catastrophe relevance trigger (Normative)</w:t>
      </w:r>
    </w:p>
    <w:p>
      <w:pPr>
        <w:pStyle w:val="FirstParagraph"/>
      </w:pPr>
      <w:r>
        <w:t>Catastrophe relevance is plausible if any of the following are true:</w:t>
      </w:r>
    </w:p>
    <w:p>
      <w:pPr>
        <w:pStyle w:val="Compact"/>
        <w:numPr>
          <w:ilvl w:val="0"/>
          <w:numId w:val="1067"/>
        </w:numPr>
      </w:pPr>
      <w:r>
        <w:t>The decision materially affects any catastrophe cell in C_cat (Section 8.2), OR</w:t>
      </w:r>
    </w:p>
    <w:p>
      <w:pPr>
        <w:pStyle w:val="Compact"/>
        <w:numPr>
          <w:ilvl w:val="0"/>
          <w:numId w:val="1068"/>
        </w:numPr>
      </w:pPr>
      <w:r>
        <w:t>The decision has plausible pathways to tipping cascades (climate, bio, conflict, infrastructure, financial), OR</w:t>
      </w:r>
    </w:p>
    <w:p>
      <w:pPr>
        <w:pStyle w:val="Compact"/>
        <w:numPr>
          <w:ilvl w:val="0"/>
          <w:numId w:val="1069"/>
        </w:numPr>
      </w:pPr>
      <w:r>
        <w:t>The decision is materially irreversible or creates lock-in at Polity/CMIU/Biosphere scales, OR</w:t>
      </w:r>
    </w:p>
    <w:p>
      <w:pPr>
        <w:pStyle w:val="Compact"/>
        <w:numPr>
          <w:ilvl w:val="0"/>
          <w:numId w:val="1070"/>
        </w:numPr>
      </w:pPr>
      <w:r>
        <w:t>Credible challengers identify a plausible catastrophic failure mode even if decision owners prefer not to model it.</w:t>
      </w:r>
    </w:p>
    <w:p>
      <w:pPr>
        <w:pStyle w:val="FirstParagraph"/>
      </w:pPr>
      <w:r>
        <w:t>If triggered, TRC MUST be executed at the tier's required rigor.</w:t>
      </w:r>
    </w:p>
    <w:bookmarkEnd w:id="131"/>
    <w:bookmarkEnd w:id="132"/>
    <w:bookmarkStart w:id="133" w:name="Xa51b79218c139bf43f3b63b3335663465b433e7"/>
    <w:p>
      <w:pPr>
        <w:pStyle w:val="Heading2"/>
      </w:pPr>
      <w:r>
        <w:t>8.2 Catastrophe Cell Set C_cat (Normative)</w:t>
      </w:r>
    </w:p>
    <w:p>
      <w:pPr>
        <w:pStyle w:val="FirstParagraph"/>
      </w:pPr>
      <w:r>
        <w:t>Base catastrophe cell set:</w:t>
      </w:r>
    </w:p>
    <w:p>
      <w:pPr>
        <w:pStyle w:val="BodyText"/>
      </w:pPr>
      <w:r>
        <w:t>C_cat_base = {(6, Health), (6, Environment), (7, Environment)}</w:t>
      </w:r>
    </w:p>
    <w:p>
      <w:pPr>
        <w:pStyle w:val="BodyText"/>
      </w:pPr>
      <w:r>
        <w:t>These correspond to:</w:t>
      </w:r>
    </w:p>
    <w:p>
      <w:pPr>
        <w:pStyle w:val="Compact"/>
        <w:numPr>
          <w:ilvl w:val="0"/>
          <w:numId w:val="1071"/>
        </w:numPr>
      </w:pPr>
      <w:r>
        <w:t>Humanity / Global Coordination-Health: Global-scale health viability (pandemic mortality, mass disability, collapse of health capacity)</w:t>
      </w:r>
    </w:p>
    <w:p>
      <w:pPr>
        <w:pStyle w:val="Compact"/>
        <w:numPr>
          <w:ilvl w:val="0"/>
          <w:numId w:val="1072"/>
        </w:numPr>
      </w:pPr>
      <w:r>
        <w:t>Humanity / Global Coordination-Environment: Environment-as-civilization-condition (habitability, agricultural stability, climate-driven displacement)</w:t>
      </w:r>
    </w:p>
    <w:p>
      <w:pPr>
        <w:pStyle w:val="Compact"/>
        <w:numPr>
          <w:ilvl w:val="0"/>
          <w:numId w:val="1073"/>
        </w:numPr>
      </w:pPr>
      <w:r>
        <w:t>Biosphere-Environment: Earth-system integrity (planetary boundaries, biodiversity, biogeochemical stability)</w:t>
      </w:r>
    </w:p>
    <w:p>
      <w:pPr>
        <w:pStyle w:val="FirstParagraph"/>
      </w:pPr>
      <w:r>
        <w:t>The base set explicitly includes biosphere integrity and civilization-scale habitability conditions because "safe operating space" and "safe and just boundaries" analyses identify global environmental corridors as central determinants of long-run human and ecological viability (Rockström et al., 2009, 2023).</w:t>
      </w:r>
    </w:p>
    <w:p>
      <w:pPr>
        <w:pStyle w:val="BodyText"/>
      </w:pPr>
      <w:r>
        <w:t>Extensions: Tier 1-3 MAY extend C_cat only with explicit PCC justification and MUST apply the same set to all compared options.</w:t>
      </w:r>
    </w:p>
    <w:p>
      <w:pPr>
        <w:pStyle w:val="BodyText"/>
      </w:pPr>
      <w:r>
        <w:t>Clarification (Normative). C_cat_base is the default habitability/civilization catastrophe proxy. It cleanly captures biosphere degradation and civilization-scale health/environment collapse. Governance lock-in, coercive surveillance, procedural collapse, information-ecosystem capture, or other agency-destroying catastrophes are catastrophe-relevant and SHALL NOT be treated as rhetorically covered by the base triplet alone. When any governance-lock-in trigger is plausible, including surveillance normalization, emergency-power persistence, due-process suspension, information-ecosystem capture, irreversible dependency lock-in, or concentrated arbitrary control over critical infrastructure, the run MUST activate the default governance-lock-in extension profile defined in Appendix D.1A, unless a stricter governed profile is declared in the PCC. The chosen profile MUST be applied symmetrically across all compared options and recorded in the PCC.</w:t>
      </w:r>
    </w:p>
    <w:p>
      <w:pPr>
        <w:pStyle w:val="BodyText"/>
      </w:pPr>
      <w:r>
        <w:t>WTSL-AIX / governance-lock-in tail category is mandatory when AI deployment or governance-lock-in triggers are plausible, including surveillance normalization, emergency-power persistence, due-process suspension, information-ecosystem capture, irreversible dependency lock-in, or concentrated arbitrary control. AI_DEPLOYMENT=YES is sufficient but not necessary.</w:t>
      </w:r>
    </w:p>
    <w:bookmarkEnd w:id="133"/>
    <w:bookmarkStart w:id="137" w:name="X325d5cbb75ec059f5d8a981c08f9c5d1f4a6f95"/>
    <w:p>
      <w:pPr>
        <w:pStyle w:val="Heading2"/>
      </w:pPr>
      <w:r>
        <w:t>8.3 Scenario Governance (Normative)</w:t>
      </w:r>
    </w:p>
    <w:p>
      <w:pPr>
        <w:pStyle w:val="FirstParagraph"/>
      </w:pPr>
      <w:r>
        <w:t>TRC is evaluated over a governed scenario set S with probabilities p_s such that p_s ≥ 0 and Σ_s p_s = 1.</w:t>
      </w:r>
    </w:p>
    <w:bookmarkStart w:id="134" w:name="Xf43b5ee6a21b89b50414133d9cf71a8b11115ca"/>
    <w:p>
      <w:pPr>
        <w:pStyle w:val="Heading3"/>
      </w:pPr>
      <w:r>
        <w:t>8.3.1 Mandatory Tail Scenario Categories (Normative)</w:t>
      </w:r>
    </w:p>
    <w:p>
      <w:pPr>
        <w:pStyle w:val="FirstParagraph"/>
      </w:pPr>
      <w:r>
        <w:t>The scenario set MUST include the following tail categories unless explicitly justified as not plausible for the decision context. Governance / lock-in catastrophe is a mandatory tail category if and only if the governance-lock-in extension profile in D.1A is active; otherwise it is recommended but not mandatory. When that profile is active, the scenario set MUST include at least one governance-lock-in tail category with category probability floor p_floor ≥ 0.02.</w:t>
      </w:r>
    </w:p>
    <w:p>
      <w:pPr>
        <w:pStyle w:val="Compact"/>
        <w:numPr>
          <w:ilvl w:val="0"/>
          <w:numId w:val="1074"/>
        </w:numPr>
      </w:pPr>
      <w:r>
        <w:t>Pandemic/biological disruption</w:t>
      </w:r>
    </w:p>
    <w:p>
      <w:pPr>
        <w:pStyle w:val="Compact"/>
        <w:numPr>
          <w:ilvl w:val="0"/>
          <w:numId w:val="1075"/>
        </w:numPr>
      </w:pPr>
      <w:r>
        <w:t>Climate tipping cascade</w:t>
      </w:r>
    </w:p>
    <w:p>
      <w:pPr>
        <w:pStyle w:val="Compact"/>
        <w:numPr>
          <w:ilvl w:val="0"/>
          <w:numId w:val="1076"/>
        </w:numPr>
      </w:pPr>
      <w:r>
        <w:t>Financial system collapse</w:t>
      </w:r>
    </w:p>
    <w:p>
      <w:pPr>
        <w:pStyle w:val="Compact"/>
        <w:numPr>
          <w:ilvl w:val="0"/>
          <w:numId w:val="1077"/>
        </w:numPr>
      </w:pPr>
      <w:r>
        <w:t>Major conflict escalation</w:t>
      </w:r>
    </w:p>
    <w:p>
      <w:pPr>
        <w:pStyle w:val="Compact"/>
        <w:numPr>
          <w:ilvl w:val="0"/>
          <w:numId w:val="1078"/>
        </w:numPr>
      </w:pPr>
      <w:r>
        <w:t>Critical infrastructure failure</w:t>
      </w:r>
    </w:p>
    <w:p>
      <w:pPr>
        <w:pStyle w:val="FirstParagraph"/>
      </w:pPr>
      <w:r>
        <w:t>Governance / lock-in catastrophe</w:t>
      </w:r>
    </w:p>
    <w:p>
      <w:pPr>
        <w:pStyle w:val="BodyText"/>
      </w:pPr>
      <w:r>
        <w:t>Minimum probability floor per category: p_floor ≥ 0.02</w:t>
      </w:r>
    </w:p>
    <w:p>
      <w:pPr>
        <w:pStyle w:val="BodyText"/>
      </w:pPr>
      <w:r>
        <w:t>This prevents "include but set near-zero probability" gaming.</w:t>
      </w:r>
    </w:p>
    <w:p>
      <w:pPr>
        <w:pStyle w:val="BodyText"/>
      </w:pPr>
      <w:r>
        <w:t>Probability-floor epistemic boundary. The p_floor value is an anti-omission governance prior, not a calibrated empirical frequency estimate. It prevents mandatory tail classes from being made invisible by arbitrary near-zero assignment and must be sensitivity-tested where decision-material.</w:t>
      </w:r>
    </w:p>
    <w:p>
      <w:pPr>
        <w:pStyle w:val="BodyText"/>
      </w:pPr>
      <w:r>
        <w:rPr>
          <w:b/>
          <w:bCs/>
        </w:rPr>
        <w:t>Scenario partition and dependence rule (Normative).</w:t>
      </w:r>
      <w:r>
        <w:t xml:space="preserve"> </w:t>
      </w:r>
      <w:r>
        <w:t>Tail categories are coverage labels, not automatically mutually exclusive events. The PCC MUST declare whether scenarios form a mutually exclusive partition, overlap, or belong to dependence clusters. Overlapping category floors MUST NOT be summed as though independent. Tier 3 and decision-material Tier 2 runs MUST either construct mutually exclusive scenarios, use bounded probability intervals/sets, or run a robust CVaR sensitivity over plausible probability assignments. Correlated compound scenarios and shared causal drivers MUST be tagged so probability mass is not double-counted and independence is not silently assumed.</w:t>
      </w:r>
    </w:p>
    <w:p>
      <w:pPr>
        <w:pStyle w:val="BodyText"/>
      </w:pPr>
      <w:r>
        <w:t>Rejected-scenario log. Tier 3 runs and high-stakes Tier 2 runs MUST record any material tail category or challenger scenario rejected as implausible, including the rejection rationale, evidence basis, reviewer status, and whether the rejection would change if the reality surface, probability floor, or time horizon changed.</w:t>
      </w:r>
    </w:p>
    <w:p>
      <w:pPr>
        <w:pStyle w:val="BodyText"/>
      </w:pPr>
      <w:r>
        <w:t>These mandatory tail categories are not intended as exhaustive; they are a minimal governance floor reflecting cross-domain systemic risk exposure in tightly coupled global systems, including climate-driven boundary cascades (Rockström et al., 2009, 2023; Steffen et al., 2015; IPCC, 2023).</w:t>
      </w:r>
    </w:p>
    <w:bookmarkEnd w:id="134"/>
    <w:bookmarkStart w:id="135" w:name="X77c5dbcfab993198cd47726e512e03cc82cd19d"/>
    <w:p>
      <w:pPr>
        <w:pStyle w:val="Heading3"/>
      </w:pPr>
      <w:r>
        <w:t>8.3.2 Implausibility test for exempting mandatory tail categories (Normative)</w:t>
      </w:r>
    </w:p>
    <w:p>
      <w:pPr>
        <w:pStyle w:val="FirstParagraph"/>
      </w:pPr>
      <w:r>
        <w:t>If a deployment wishes to exempt a mandatory tail category as "implausible," the exemption requires:</w:t>
      </w:r>
    </w:p>
    <w:p>
      <w:pPr>
        <w:pStyle w:val="BodyText"/>
      </w:pPr>
      <w:r>
        <w:t>(i) Written justification in the PCC explaining why the category is implausible for this specific decision context</w:t>
      </w:r>
    </w:p>
    <w:p>
      <w:pPr>
        <w:pStyle w:val="BodyText"/>
      </w:pPr>
      <w:r>
        <w:t>(ii) Independent reviewer sign-off (Tier 3 required; Tier 2 recommended)</w:t>
      </w:r>
    </w:p>
    <w:p>
      <w:pPr>
        <w:pStyle w:val="BodyText"/>
      </w:pPr>
      <w:r>
        <w:t>(iii) Recording in PCC with audit flag MANDATORY_TAIL_CATEGORY_MISSING_WITH_JUSTIFICATION</w:t>
      </w:r>
    </w:p>
    <w:p>
      <w:pPr>
        <w:pStyle w:val="BodyText"/>
      </w:pPr>
      <w:r>
        <w:t>The burden of proof is on omission, not inclusion. This preserves UBE.</w:t>
      </w:r>
    </w:p>
    <w:bookmarkEnd w:id="135"/>
    <w:bookmarkStart w:id="136" w:name="X9e8fb8a5267de55e238d27a0171e8df071823ec"/>
    <w:p>
      <w:pPr>
        <w:pStyle w:val="Heading3"/>
      </w:pPr>
      <w:r>
        <w:t>8.3.3 Scenario set size minima (Normative)</w:t>
      </w:r>
    </w:p>
    <w:tbl>
      <w:tblPr>
        <w:tblStyle w:val="Table"/>
        <w:tblW w:type="auto" w:w="0"/>
        <w:jc w:val="center"/>
        <w:tblLook w:firstRow="1" w:lastRow="0" w:firstColumn="0" w:lastColumn="0" w:noHBand="0" w:noVBand="0" w:val="0020"/>
      </w:tblPr>
      <w:tblGrid>
        <w:gridCol w:w="3960"/>
        <w:gridCol w:w="3960"/>
      </w:tblGrid>
      <w:tr>
        <w:trPr>
          <w:tblHeader w:val="on"/>
          <w:tblHeader w:val="true"/>
          <w:cantSplit/>
        </w:trPr>
        <w:tc>
          <w:tcPr>
            <w:vAlign w:val="top"/>
            <w:tcMar>
              <w:top w:w="70" w:type="dxa"/>
              <w:start w:w="80" w:type="dxa"/>
              <w:bottom w:w="70" w:type="dxa"/>
              <w:end w:w="80" w:type="dxa"/>
            </w:tcMar>
            <w:shd w:fill="1F4E78"/>
          </w:tcPr>
          <w:p>
            <w:pPr>
              <w:pStyle w:val="Compact"/>
              <w:jc w:val="left"/>
            </w:pPr>
            <w:r>
              <w:rPr>
                <w:rFonts w:ascii="Arial" w:hAnsi="Arial" w:eastAsia="Arial"/>
                <w:b/>
                <w:color w:val="FFFFFF"/>
                <w:sz w:val="16"/>
              </w:rPr>
              <w:t>Tier</w:t>
            </w:r>
          </w:p>
        </w:tc>
        <w:tc>
          <w:tcPr>
            <w:vAlign w:val="top"/>
            <w:tcMar>
              <w:top w:w="70" w:type="dxa"/>
              <w:start w:w="80" w:type="dxa"/>
              <w:bottom w:w="70" w:type="dxa"/>
              <w:end w:w="80" w:type="dxa"/>
            </w:tcMar>
            <w:shd w:fill="1F4E78"/>
          </w:tcPr>
          <w:p>
            <w:pPr>
              <w:pStyle w:val="Compact"/>
              <w:jc w:val="left"/>
            </w:pPr>
            <w:r>
              <w:rPr>
                <w:rFonts w:ascii="Arial" w:hAnsi="Arial" w:eastAsia="Arial"/>
                <w:b/>
                <w:color w:val="FFFFFF"/>
                <w:sz w:val="16"/>
              </w:rPr>
              <w:t>Minimum</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Tier 2 (when TRC required)</w:t>
            </w:r>
          </w:p>
        </w:tc>
        <w:tc>
          <w:tcPr>
            <w:vAlign w:val="top"/>
            <w:tcMar>
              <w:top w:w="70" w:type="dxa"/>
              <w:start w:w="80" w:type="dxa"/>
              <w:bottom w:w="70" w:type="dxa"/>
              <w:end w:w="80" w:type="dxa"/>
            </w:tcMar>
            <w:shd w:fill="D9EAF7"/>
          </w:tcPr>
          <w:p>
            <w:pPr>
              <w:pStyle w:val="Compact"/>
              <w:jc w:val="left"/>
            </w:pPr>
            <w:r>
              <w:rPr>
                <w:rFonts w:ascii="Arial" w:hAnsi="Arial" w:eastAsia="Arial"/>
                <w:sz w:val="16"/>
              </w:rPr>
              <w:t>≥5 minimum</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Tier 3</w:t>
            </w:r>
          </w:p>
        </w:tc>
        <w:tc>
          <w:tcPr>
            <w:vAlign w:val="top"/>
            <w:tcMar>
              <w:top w:w="70" w:type="dxa"/>
              <w:start w:w="80" w:type="dxa"/>
              <w:bottom w:w="70" w:type="dxa"/>
              <w:end w:w="80" w:type="dxa"/>
            </w:tcMar>
            <w:shd w:fill="FFFFFF"/>
          </w:tcPr>
          <w:p>
            <w:pPr>
              <w:pStyle w:val="Compact"/>
              <w:jc w:val="left"/>
            </w:pPr>
            <w:r>
              <w:rPr>
                <w:rFonts w:ascii="Arial" w:hAnsi="Arial" w:eastAsia="Arial"/>
                <w:sz w:val="16"/>
              </w:rPr>
              <w:t>≥20 minimum</w:t>
            </w:r>
          </w:p>
        </w:tc>
      </w:tr>
    </w:tbl>
    <w:p>
      <w:pPr>
        <w:pStyle w:val="BodyText"/>
      </w:pPr>
      <w:r>
        <w:t>If a tier cannot meet its minimum scenario count, the run MUST NOT claim tier compliance for TRC coverage and MUST record audit_flag SCENARIO_LIBRARY_MIN_EXCEPTION in the PCC, including written justification and a remediation plan to reach the minimum scenario count for the next comparable run.</w:t>
      </w:r>
    </w:p>
    <w:bookmarkEnd w:id="136"/>
    <w:bookmarkEnd w:id="137"/>
    <w:bookmarkStart w:id="139" w:name="Xc83375c8dd8ca8277448160bbacd27efbc0e7ca"/>
    <w:p>
      <w:pPr>
        <w:pStyle w:val="Heading2"/>
      </w:pPr>
      <w:r>
        <w:t>8.4 Loss Construction (Tier 1-3: Bounded-Impact TRC) (Normative)</w:t>
      </w:r>
    </w:p>
    <w:p>
      <w:pPr>
        <w:pStyle w:val="FirstParagraph"/>
      </w:pPr>
      <w:r>
        <w:t>Tier 1-3 TRC uses bounded-impact loss based on propagated Base-stream impacts in catastrophe cells.</w:t>
      </w:r>
    </w:p>
    <w:p>
      <w:pPr>
        <w:pStyle w:val="BodyText"/>
      </w:pPr>
      <w:r>
        <w:t>Domain constraint: All propagated impacts are bounded: I_prop_base,c(a|s) ∈ [-1, +1].</w:t>
      </w:r>
    </w:p>
    <w:p>
      <w:pPr>
        <w:pStyle w:val="BodyText"/>
      </w:pPr>
      <w:r>
        <w:t>For each scenario s, define scenario loss:</w:t>
      </w:r>
    </w:p>
    <w:p>
      <w:pPr>
        <w:pStyle w:val="BodyText"/>
      </w:pPr>
      <w:r>
        <w:t>L(a,s) = Σ_{c ∈ C_cat} ω_c × max(0, −I_prop_base,c(a|s))</w:t>
      </w:r>
    </w:p>
    <w:p>
      <w:pPr>
        <w:pStyle w:val="BodyText"/>
      </w:pPr>
      <w:r>
        <w:t>Normative stream binding (Design A): TRC MUST be computed from the Base stream (I_prop_base). TRC MUST NOT use Welfare-stream (sentience-weighted) impacts.</w:t>
      </w:r>
    </w:p>
    <w:p>
      <w:pPr>
        <w:pStyle w:val="BodyText"/>
      </w:pPr>
      <w:r>
        <w:t>Where:</w:t>
      </w:r>
    </w:p>
    <w:p>
      <w:pPr>
        <w:pStyle w:val="Compact"/>
        <w:numPr>
          <w:ilvl w:val="0"/>
          <w:numId w:val="1079"/>
        </w:numPr>
      </w:pPr>
      <w:r>
        <w:t>ω_c ≥ 0, Σ_{c ∈ C_cat} ω_c = 1 (catastrophe weights are normalized)</w:t>
      </w:r>
    </w:p>
    <w:p>
      <w:pPr>
        <w:pStyle w:val="Compact"/>
        <w:numPr>
          <w:ilvl w:val="0"/>
          <w:numId w:val="1080"/>
        </w:numPr>
      </w:pPr>
      <w:r>
        <w:t>max(0, x) returns x if x &gt; 0, otherwise 0 (only negative impacts contribute)</w:t>
      </w:r>
    </w:p>
    <w:p>
      <w:pPr>
        <w:pStyle w:val="Compact"/>
        <w:numPr>
          <w:ilvl w:val="0"/>
          <w:numId w:val="1081"/>
        </w:numPr>
      </w:pPr>
      <w:r>
        <w:t>I_prop_base,c(a|s) is the propagated impact in catastrophe cell c under scenario s</w:t>
      </w:r>
    </w:p>
    <w:p>
      <w:pPr>
        <w:pStyle w:val="FirstParagraph"/>
      </w:pPr>
      <w:r>
        <w:t>Default catastrophe weights (if not otherwise governed): Uniform weights over C_cat.</w:t>
      </w:r>
    </w:p>
    <w:p>
      <w:pPr>
        <w:pStyle w:val="BodyText"/>
      </w:pPr>
      <w:r>
        <w:t>Interpretation:</w:t>
      </w:r>
    </w:p>
    <w:p>
      <w:pPr>
        <w:pStyle w:val="Compact"/>
        <w:numPr>
          <w:ilvl w:val="0"/>
          <w:numId w:val="1082"/>
        </w:numPr>
      </w:pPr>
      <w:r>
        <w:t>Only negative impacts in catastrophe cells contribute to loss.</w:t>
      </w:r>
    </w:p>
    <w:p>
      <w:pPr>
        <w:pStyle w:val="Compact"/>
        <w:numPr>
          <w:ilvl w:val="0"/>
          <w:numId w:val="1083"/>
        </w:numPr>
      </w:pPr>
      <w:r>
        <w:t>Loss is bounded in [0,1] because weights are normalized and impacts lie in [-1,+1].</w:t>
      </w:r>
    </w:p>
    <w:p>
      <w:pPr>
        <w:pStyle w:val="Compact"/>
        <w:numPr>
          <w:ilvl w:val="0"/>
          <w:numId w:val="1084"/>
        </w:numPr>
      </w:pPr>
      <w:r>
        <w:t>Positive impacts in catastrophe cells (improvements) do not offset losses; they simply contribute zero to the loss function.</w:t>
      </w:r>
    </w:p>
    <w:p>
      <w:pPr>
        <w:pStyle w:val="FirstParagraph"/>
      </w:pPr>
      <w:r>
        <w:t>Example: If C_cat = {(6, Health), (6, Environment), (7, Environment)} with uniform weights (ω_c = 1/3 each), and under scenario s the propagated impacts are:</w:t>
      </w:r>
    </w:p>
    <w:p>
      <w:pPr>
        <w:pStyle w:val="Compact"/>
        <w:numPr>
          <w:ilvl w:val="0"/>
          <w:numId w:val="1085"/>
        </w:numPr>
      </w:pPr>
      <w:r>
        <w:t>I_prop_base(6,Health,a|s) = -0.30 → contributes 1/3 × 0.30 = 0.10</w:t>
      </w:r>
    </w:p>
    <w:p>
      <w:pPr>
        <w:pStyle w:val="Compact"/>
        <w:numPr>
          <w:ilvl w:val="0"/>
          <w:numId w:val="1086"/>
        </w:numPr>
      </w:pPr>
      <w:r>
        <w:t>I_prop_base(6,Environment,a|s) = +0.10 → contributes 1/3 × max(0, -0.10) = 0</w:t>
      </w:r>
    </w:p>
    <w:p>
      <w:pPr>
        <w:pStyle w:val="Compact"/>
        <w:numPr>
          <w:ilvl w:val="0"/>
          <w:numId w:val="1087"/>
        </w:numPr>
      </w:pPr>
      <w:r>
        <w:t>I_prop_base(7,Environment,a|s) = -0.60 → contributes 1/3 × 0.60 = 0.20</w:t>
      </w:r>
    </w:p>
    <w:p>
      <w:pPr>
        <w:pStyle w:val="FirstParagraph"/>
      </w:pPr>
      <w:r>
        <w:t>Then L(a,s) = 0.10 + 0 + 0.20 = 0.30</w:t>
      </w:r>
    </w:p>
    <w:bookmarkStart w:id="138" w:name="X7112169eeb9eac2e1373237a4a42fd235aeb882"/>
    <w:p>
      <w:pPr>
        <w:pStyle w:val="Heading3"/>
      </w:pPr>
      <w:r>
        <w:t>8.4A Catastrophe Severity-Class Overlay (Normative)</w:t>
      </w:r>
    </w:p>
    <w:p>
      <w:pPr>
        <w:pStyle w:val="FirstParagraph"/>
      </w:pPr>
      <w:r>
        <w:t>Bounded loss supports stable computation but can compress materially different catastrophe classes near the same ceiling. Every TRC scenario MUST therefore declare one severity class in addition to</w:t>
      </w:r>
      <w:r>
        <w:t xml:space="preserve"> </w:t>
      </w:r>
      <w:r>
        <w:rPr>
          <w:rStyle w:val="VerbatimChar"/>
        </w:rPr>
        <w:t>L(a,s)</w:t>
      </w:r>
      <w:r>
        <w:t>:</w:t>
      </w:r>
      <w:r>
        <w:t xml:space="preserve"> </w:t>
      </w:r>
      <w:r>
        <w:rPr>
          <w:rStyle w:val="VerbatimChar"/>
        </w:rPr>
        <w:t>C1_SEVERE</w:t>
      </w:r>
      <w:r>
        <w:t>,</w:t>
      </w:r>
      <w:r>
        <w:t xml:space="preserve"> </w:t>
      </w:r>
      <w:r>
        <w:rPr>
          <w:rStyle w:val="VerbatimChar"/>
        </w:rPr>
        <w:t>C2_SYSTEMIC</w:t>
      </w:r>
      <w:r>
        <w:t>,</w:t>
      </w:r>
      <w:r>
        <w:t xml:space="preserve"> </w:t>
      </w:r>
      <w:r>
        <w:rPr>
          <w:rStyle w:val="VerbatimChar"/>
        </w:rPr>
        <w:t>C3_CIVILIZATION_THREATENING</w:t>
      </w:r>
      <w:r>
        <w:t>, or</w:t>
      </w:r>
      <w:r>
        <w:t xml:space="preserve"> </w:t>
      </w:r>
      <w:r>
        <w:rPr>
          <w:rStyle w:val="VerbatimChar"/>
        </w:rPr>
        <w:t>C4_EXISTENTIAL</w:t>
      </w:r>
      <w:r>
        <w:t>. The class is evidence-governed and challengeable; it is not inferred from rhetoric or from the bounded loss number alone.</w:t>
      </w:r>
    </w:p>
    <w:p>
      <w:pPr>
        <w:pStyle w:val="Compact"/>
        <w:numPr>
          <w:ilvl w:val="0"/>
          <w:numId w:val="1088"/>
        </w:numPr>
      </w:pPr>
      <w:r>
        <w:rPr>
          <w:rStyle w:val="VerbatimChar"/>
        </w:rPr>
        <w:t>C1_SEVERE</w:t>
      </w:r>
      <w:r>
        <w:t>: large but bounded harm with functioning recovery institutions.</w:t>
      </w:r>
    </w:p>
    <w:p>
      <w:pPr>
        <w:pStyle w:val="Compact"/>
        <w:numPr>
          <w:ilvl w:val="0"/>
          <w:numId w:val="1088"/>
        </w:numPr>
      </w:pPr>
      <w:r>
        <w:rPr>
          <w:rStyle w:val="VerbatimChar"/>
        </w:rPr>
        <w:t>C2_SYSTEMIC</w:t>
      </w:r>
      <w:r>
        <w:t>: multi-system or cross-polity disruption with major recovery burden.</w:t>
      </w:r>
    </w:p>
    <w:p>
      <w:pPr>
        <w:pStyle w:val="Compact"/>
        <w:numPr>
          <w:ilvl w:val="0"/>
          <w:numId w:val="1088"/>
        </w:numPr>
      </w:pPr>
      <w:r>
        <w:rPr>
          <w:rStyle w:val="VerbatimChar"/>
        </w:rPr>
        <w:t>C3_CIVILIZATION_THREATENING</w:t>
      </w:r>
      <w:r>
        <w:t>: plausible loss of durable civilizational capacity, global coordination, or planetary habitability conditions.</w:t>
      </w:r>
    </w:p>
    <w:p>
      <w:pPr>
        <w:pStyle w:val="Compact"/>
        <w:numPr>
          <w:ilvl w:val="0"/>
          <w:numId w:val="1088"/>
        </w:numPr>
      </w:pPr>
      <w:r>
        <w:rPr>
          <w:rStyle w:val="VerbatimChar"/>
        </w:rPr>
        <w:t>C4_EXISTENTIAL</w:t>
      </w:r>
      <w:r>
        <w:t>: plausible permanent destruction of humanity or comparable foreclosure of future moral patients.</w:t>
      </w:r>
    </w:p>
    <w:p>
      <w:pPr>
        <w:pStyle w:val="FirstParagraph"/>
      </w:pPr>
      <w:r>
        <w:t>A governed profile MAY set class-specific probability caps or stricter corridors. Until such a profile is declared, any material</w:t>
      </w:r>
      <w:r>
        <w:t xml:space="preserve"> </w:t>
      </w:r>
      <w:r>
        <w:rPr>
          <w:rStyle w:val="VerbatimChar"/>
        </w:rPr>
        <w:t>C4_EXISTENTIAL</w:t>
      </w:r>
      <w:r>
        <w:t xml:space="preserve"> </w:t>
      </w:r>
      <w:r>
        <w:t>pathway prevents an ordinary TRC pass unless its conservative upper probability bound is shown to be below an explicitly governed existential-risk tolerance. A</w:t>
      </w:r>
      <w:r>
        <w:t xml:space="preserve"> </w:t>
      </w:r>
      <w:r>
        <w:rPr>
          <w:rStyle w:val="VerbatimChar"/>
        </w:rPr>
        <w:t>C3_CIVILIZATION_THREATENING</w:t>
      </w:r>
      <w:r>
        <w:t xml:space="preserve"> </w:t>
      </w:r>
      <w:r>
        <w:t>pathway requires independent challenge, class-specific monitoring/controls, and sensitivity to a stricter corridor. This is an overlay inside TRC, not a sixth gate, and it prevents a bounded scalar from erasing the qualitative difference between severe, systemic, civilization-threatening, and existential outcomes.</w:t>
      </w:r>
    </w:p>
    <w:bookmarkEnd w:id="138"/>
    <w:bookmarkEnd w:id="139"/>
    <w:bookmarkStart w:id="140" w:name="X98af315cbf3d2923aeaf1a152398444624e4148"/>
    <w:p>
      <w:pPr>
        <w:pStyle w:val="Heading2"/>
      </w:pPr>
      <w:r>
        <w:t>8.5 CVaR Computation (Normative)</w:t>
      </w:r>
    </w:p>
    <w:p>
      <w:pPr>
        <w:pStyle w:val="FirstParagraph"/>
      </w:pPr>
      <w:r>
        <w:t>Let L(a) be the random loss induced by scenarios s with probabilities p_s.</w:t>
      </w:r>
    </w:p>
    <w:p>
      <w:pPr>
        <w:pStyle w:val="BodyText"/>
      </w:pPr>
      <w:r>
        <w:t>Value-at-Risk: VaR_α[L(a)] = inf{z : P(L(a) ≤ z) ≥ α}</w:t>
      </w:r>
    </w:p>
    <w:p>
      <w:pPr>
        <w:pStyle w:val="BodyText"/>
      </w:pPr>
      <w:r>
        <w:t>CVaR operational definition (Tier 1-3). For RippleLogic Tier 1-3 discrete scenario libraries, CVaR_α[L(a)] is the probability-weighted average loss over the worst β = 1−α probability mass, computed by the canonical discrete algorithm in Appendix D.7.</w:t>
      </w:r>
    </w:p>
    <w:p>
      <w:pPr>
        <w:pStyle w:val="BodyText"/>
      </w:pPr>
      <w:r>
        <w:t>Continuous-case shorthand. In continuous loss distributions without probability mass at VaR, this corresponds to the familiar expression E[L(a) | L(a) ≥ VaR_α[L(a)]]. In discrete scenario sets with atoms at the VaR boundary, that shorthand is not controlling and MUST NOT override Appendix D.7.</w:t>
      </w:r>
    </w:p>
    <w:p>
      <w:pPr>
        <w:pStyle w:val="BodyText"/>
      </w:pPr>
      <w:r>
        <w:t>The Appendix D.7 discrete tail-mass algorithm is normative, audit-replayable, and controlling for all finite Tier 1-3 scenario sets, including partial mass at the boundary scenario when required.</w:t>
      </w:r>
    </w:p>
    <w:bookmarkEnd w:id="140"/>
    <w:bookmarkStart w:id="141" w:name="X3d1ab33649a0fb1a3701cf844e0a728c6868d81"/>
    <w:p>
      <w:pPr>
        <w:pStyle w:val="Heading2"/>
      </w:pPr>
      <w:r>
        <w:t>8.6 TRC Admissibility Predicate (Normative)</w:t>
      </w:r>
    </w:p>
    <w:p>
      <w:pPr>
        <w:pStyle w:val="FirstParagraph"/>
      </w:pPr>
      <w:r>
        <w:t>An option passes TRC if and only if:</w:t>
      </w:r>
    </w:p>
    <w:p>
      <w:pPr>
        <w:pStyle w:val="BodyText"/>
      </w:pPr>
      <w:r>
        <w:rPr>
          <w:rStyle w:val="VerbatimChar"/>
        </w:rPr>
        <w:t>CVaR_alpha[L(a)] &lt;= tau_TRC</w:t>
      </w:r>
      <w:r>
        <w:t>, and every active class-specific cap or tolerance under Section 8.4A is satisfied, with no unresolved material</w:t>
      </w:r>
      <w:r>
        <w:t xml:space="preserve"> </w:t>
      </w:r>
      <w:r>
        <w:rPr>
          <w:rStyle w:val="VerbatimChar"/>
        </w:rPr>
        <w:t>C3</w:t>
      </w:r>
      <w:r>
        <w:t xml:space="preserve"> </w:t>
      </w:r>
      <w:r>
        <w:t>or</w:t>
      </w:r>
      <w:r>
        <w:t xml:space="preserve"> </w:t>
      </w:r>
      <w:r>
        <w:rPr>
          <w:rStyle w:val="VerbatimChar"/>
        </w:rPr>
        <w:t>C4</w:t>
      </w:r>
      <w:r>
        <w:t xml:space="preserve"> </w:t>
      </w:r>
      <w:r>
        <w:t>field.</w:t>
      </w:r>
    </w:p>
    <w:p>
      <w:pPr>
        <w:pStyle w:val="BodyText"/>
      </w:pPr>
      <w:r>
        <w:t>Define:</w:t>
      </w:r>
    </w:p>
    <w:p>
      <w:pPr>
        <w:pStyle w:val="BodyText"/>
      </w:pPr>
      <w:r>
        <w:t>A_adm = {a ∈ A_NCRC : TRC(a) = TRUE}</w:t>
      </w:r>
    </w:p>
    <w:bookmarkEnd w:id="141"/>
    <w:bookmarkStart w:id="142" w:name="Xba143578307a83d114abbb24bda34e1e21f18b7"/>
    <w:p>
      <w:pPr>
        <w:pStyle w:val="Heading2"/>
      </w:pPr>
      <w:r>
        <w:t>8.7 Default TRC Parameters by Context (Normative Defaults)</w:t>
      </w:r>
    </w:p>
    <w:p>
      <w:pPr>
        <w:pStyle w:val="FirstParagraph"/>
      </w:pPr>
      <w:r>
        <w:t>These are defaults; governance may tighten them. Loosening requires explicit governance justification and PCC recording.</w:t>
      </w:r>
    </w:p>
    <w:tbl>
      <w:tblPr>
        <w:tblStyle w:val="Table"/>
        <w:tblW w:type="auto" w:w="0"/>
        <w:jc w:val="center"/>
        <w:tblLook w:firstRow="1" w:lastRow="0" w:firstColumn="0" w:lastColumn="0" w:noHBand="0" w:noVBand="0" w:val="0020"/>
      </w:tblPr>
      <w:tblGrid>
        <w:gridCol w:w="2640"/>
        <w:gridCol w:w="2640"/>
        <w:gridCol w:w="2640"/>
      </w:tblGrid>
      <w:tr>
        <w:trPr>
          <w:tblHeader w:val="on"/>
          <w:tblHeader w:val="true"/>
          <w:cantSplit/>
        </w:trPr>
        <w:tc>
          <w:tcPr>
            <w:vAlign w:val="top"/>
            <w:tcMar>
              <w:top w:w="70" w:type="dxa"/>
              <w:start w:w="80" w:type="dxa"/>
              <w:bottom w:w="70" w:type="dxa"/>
              <w:end w:w="80" w:type="dxa"/>
            </w:tcMar>
            <w:shd w:fill="1F4E78"/>
          </w:tcPr>
          <w:p>
            <w:pPr>
              <w:pStyle w:val="Compact"/>
              <w:jc w:val="left"/>
            </w:pPr>
            <w:r>
              <w:rPr>
                <w:rFonts w:ascii="Arial" w:hAnsi="Arial" w:eastAsia="Arial"/>
                <w:b/>
                <w:bCs/>
                <w:color w:val="FFFFFF"/>
                <w:sz w:val="16"/>
              </w:rPr>
              <w:t>Context</w:t>
            </w:r>
          </w:p>
        </w:tc>
        <w:tc>
          <w:tcPr>
            <w:vAlign w:val="top"/>
            <w:tcMar>
              <w:top w:w="70" w:type="dxa"/>
              <w:start w:w="80" w:type="dxa"/>
              <w:bottom w:w="70" w:type="dxa"/>
              <w:end w:w="80" w:type="dxa"/>
            </w:tcMar>
            <w:shd w:fill="1F4E78"/>
          </w:tcPr>
          <w:p>
            <w:pPr>
              <w:pStyle w:val="Compact"/>
              <w:jc w:val="left"/>
            </w:pPr>
            <w:r>
              <w:rPr>
                <w:rFonts w:ascii="Arial" w:hAnsi="Arial" w:eastAsia="Arial"/>
                <w:b/>
                <w:bCs/>
                <w:color w:val="FFFFFF"/>
                <w:sz w:val="16"/>
              </w:rPr>
              <w:t>α (tail level)</w:t>
            </w:r>
          </w:p>
        </w:tc>
        <w:tc>
          <w:tcPr>
            <w:vAlign w:val="top"/>
            <w:tcMar>
              <w:top w:w="70" w:type="dxa"/>
              <w:start w:w="80" w:type="dxa"/>
              <w:bottom w:w="70" w:type="dxa"/>
              <w:end w:w="80" w:type="dxa"/>
            </w:tcMar>
            <w:shd w:fill="1F4E78"/>
          </w:tcPr>
          <w:p>
            <w:pPr>
              <w:pStyle w:val="Compact"/>
              <w:jc w:val="left"/>
            </w:pPr>
            <w:r>
              <w:rPr>
                <w:rFonts w:ascii="Arial" w:hAnsi="Arial" w:eastAsia="Arial"/>
                <w:b/>
                <w:bCs/>
                <w:color w:val="FFFFFF"/>
                <w:sz w:val="16"/>
              </w:rPr>
              <w:t>τ_TRC (corridor threshold)</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Personal</w:t>
            </w:r>
          </w:p>
        </w:tc>
        <w:tc>
          <w:tcPr>
            <w:vAlign w:val="top"/>
            <w:tcMar>
              <w:top w:w="70" w:type="dxa"/>
              <w:start w:w="80" w:type="dxa"/>
              <w:bottom w:w="70" w:type="dxa"/>
              <w:end w:w="80" w:type="dxa"/>
            </w:tcMar>
            <w:shd w:fill="D9EAF7"/>
          </w:tcPr>
          <w:p>
            <w:pPr>
              <w:pStyle w:val="Compact"/>
              <w:jc w:val="left"/>
            </w:pPr>
            <w:r>
              <w:rPr>
                <w:rFonts w:ascii="Arial" w:hAnsi="Arial" w:eastAsia="Arial"/>
                <w:sz w:val="16"/>
              </w:rPr>
              <w:t>0.90</w:t>
            </w:r>
          </w:p>
        </w:tc>
        <w:tc>
          <w:tcPr>
            <w:vAlign w:val="top"/>
            <w:tcMar>
              <w:top w:w="70" w:type="dxa"/>
              <w:start w:w="80" w:type="dxa"/>
              <w:bottom w:w="70" w:type="dxa"/>
              <w:end w:w="80" w:type="dxa"/>
            </w:tcMar>
            <w:shd w:fill="D9EAF7"/>
          </w:tcPr>
          <w:p>
            <w:pPr>
              <w:pStyle w:val="Compact"/>
              <w:jc w:val="left"/>
            </w:pPr>
            <w:r>
              <w:rPr>
                <w:rFonts w:ascii="Arial" w:hAnsi="Arial" w:eastAsia="Arial"/>
                <w:sz w:val="16"/>
              </w:rPr>
              <w:t>0.30</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Organizational</w:t>
            </w:r>
          </w:p>
        </w:tc>
        <w:tc>
          <w:tcPr>
            <w:vAlign w:val="top"/>
            <w:tcMar>
              <w:top w:w="70" w:type="dxa"/>
              <w:start w:w="80" w:type="dxa"/>
              <w:bottom w:w="70" w:type="dxa"/>
              <w:end w:w="80" w:type="dxa"/>
            </w:tcMar>
            <w:shd w:fill="FFFFFF"/>
          </w:tcPr>
          <w:p>
            <w:pPr>
              <w:pStyle w:val="Compact"/>
              <w:jc w:val="left"/>
            </w:pPr>
            <w:r>
              <w:rPr>
                <w:rFonts w:ascii="Arial" w:hAnsi="Arial" w:eastAsia="Arial"/>
                <w:sz w:val="16"/>
              </w:rPr>
              <w:t>0.95</w:t>
            </w:r>
          </w:p>
        </w:tc>
        <w:tc>
          <w:tcPr>
            <w:vAlign w:val="top"/>
            <w:tcMar>
              <w:top w:w="70" w:type="dxa"/>
              <w:start w:w="80" w:type="dxa"/>
              <w:bottom w:w="70" w:type="dxa"/>
              <w:end w:w="80" w:type="dxa"/>
            </w:tcMar>
            <w:shd w:fill="FFFFFF"/>
          </w:tcPr>
          <w:p>
            <w:pPr>
              <w:pStyle w:val="Compact"/>
              <w:jc w:val="left"/>
            </w:pPr>
            <w:r>
              <w:rPr>
                <w:rFonts w:ascii="Arial" w:hAnsi="Arial" w:eastAsia="Arial"/>
                <w:sz w:val="16"/>
              </w:rPr>
              <w:t>0.20</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Reversible policy</w:t>
            </w:r>
          </w:p>
        </w:tc>
        <w:tc>
          <w:tcPr>
            <w:vAlign w:val="top"/>
            <w:tcMar>
              <w:top w:w="70" w:type="dxa"/>
              <w:start w:w="80" w:type="dxa"/>
              <w:bottom w:w="70" w:type="dxa"/>
              <w:end w:w="80" w:type="dxa"/>
            </w:tcMar>
            <w:shd w:fill="D9EAF7"/>
          </w:tcPr>
          <w:p>
            <w:pPr>
              <w:pStyle w:val="Compact"/>
              <w:jc w:val="left"/>
            </w:pPr>
            <w:r>
              <w:rPr>
                <w:rFonts w:ascii="Arial" w:hAnsi="Arial" w:eastAsia="Arial"/>
                <w:sz w:val="16"/>
              </w:rPr>
              <w:t>0.95</w:t>
            </w:r>
          </w:p>
        </w:tc>
        <w:tc>
          <w:tcPr>
            <w:vAlign w:val="top"/>
            <w:tcMar>
              <w:top w:w="70" w:type="dxa"/>
              <w:start w:w="80" w:type="dxa"/>
              <w:bottom w:w="70" w:type="dxa"/>
              <w:end w:w="80" w:type="dxa"/>
            </w:tcMar>
            <w:shd w:fill="D9EAF7"/>
          </w:tcPr>
          <w:p>
            <w:pPr>
              <w:pStyle w:val="Compact"/>
              <w:jc w:val="left"/>
            </w:pPr>
            <w:r>
              <w:rPr>
                <w:rFonts w:ascii="Arial" w:hAnsi="Arial" w:eastAsia="Arial"/>
                <w:sz w:val="16"/>
              </w:rPr>
              <w:t>0.15</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Irreversible policy</w:t>
            </w:r>
          </w:p>
        </w:tc>
        <w:tc>
          <w:tcPr>
            <w:vAlign w:val="top"/>
            <w:tcMar>
              <w:top w:w="70" w:type="dxa"/>
              <w:start w:w="80" w:type="dxa"/>
              <w:bottom w:w="70" w:type="dxa"/>
              <w:end w:w="80" w:type="dxa"/>
            </w:tcMar>
            <w:shd w:fill="FFFFFF"/>
          </w:tcPr>
          <w:p>
            <w:pPr>
              <w:pStyle w:val="Compact"/>
              <w:jc w:val="left"/>
            </w:pPr>
            <w:r>
              <w:rPr>
                <w:rFonts w:ascii="Arial" w:hAnsi="Arial" w:eastAsia="Arial"/>
                <w:sz w:val="16"/>
              </w:rPr>
              <w:t>0.99</w:t>
            </w:r>
          </w:p>
        </w:tc>
        <w:tc>
          <w:tcPr>
            <w:vAlign w:val="top"/>
            <w:tcMar>
              <w:top w:w="70" w:type="dxa"/>
              <w:start w:w="80" w:type="dxa"/>
              <w:bottom w:w="70" w:type="dxa"/>
              <w:end w:w="80" w:type="dxa"/>
            </w:tcMar>
            <w:shd w:fill="FFFFFF"/>
          </w:tcPr>
          <w:p>
            <w:pPr>
              <w:pStyle w:val="Compact"/>
              <w:jc w:val="left"/>
            </w:pPr>
            <w:r>
              <w:rPr>
                <w:rFonts w:ascii="Arial" w:hAnsi="Arial" w:eastAsia="Arial"/>
                <w:sz w:val="16"/>
              </w:rPr>
              <w:t>0.10</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Existential risk</w:t>
            </w:r>
          </w:p>
        </w:tc>
        <w:tc>
          <w:tcPr>
            <w:vAlign w:val="top"/>
            <w:tcMar>
              <w:top w:w="70" w:type="dxa"/>
              <w:start w:w="80" w:type="dxa"/>
              <w:bottom w:w="70" w:type="dxa"/>
              <w:end w:w="80" w:type="dxa"/>
            </w:tcMar>
            <w:shd w:fill="D9EAF7"/>
          </w:tcPr>
          <w:p>
            <w:pPr>
              <w:pStyle w:val="Compact"/>
              <w:jc w:val="left"/>
            </w:pPr>
            <w:r>
              <w:rPr>
                <w:rFonts w:ascii="Arial" w:hAnsi="Arial" w:eastAsia="Arial"/>
                <w:sz w:val="16"/>
              </w:rPr>
              <w:t>0.999</w:t>
            </w:r>
          </w:p>
        </w:tc>
        <w:tc>
          <w:tcPr>
            <w:vAlign w:val="top"/>
            <w:tcMar>
              <w:top w:w="70" w:type="dxa"/>
              <w:start w:w="80" w:type="dxa"/>
              <w:bottom w:w="70" w:type="dxa"/>
              <w:end w:w="80" w:type="dxa"/>
            </w:tcMar>
            <w:shd w:fill="D9EAF7"/>
          </w:tcPr>
          <w:p>
            <w:pPr>
              <w:pStyle w:val="Compact"/>
              <w:jc w:val="left"/>
            </w:pPr>
            <w:r>
              <w:rPr>
                <w:rFonts w:ascii="Arial" w:hAnsi="Arial" w:eastAsia="Arial"/>
                <w:sz w:val="16"/>
              </w:rPr>
              <w:t>0.05</w:t>
            </w:r>
          </w:p>
        </w:tc>
      </w:tr>
    </w:tbl>
    <w:bookmarkEnd w:id="142"/>
    <w:bookmarkStart w:id="143" w:name="X6021c0437d0eb899b8c36399e8820a9d781f80f"/>
    <w:p>
      <w:pPr>
        <w:pStyle w:val="Heading2"/>
      </w:pPr>
      <w:r>
        <w:t>8.8 Tail Emergency Mode (Normative; replaces automatic TRC fallback)</w:t>
      </w:r>
    </w:p>
    <w:p>
      <w:pPr>
        <w:pStyle w:val="FirstParagraph"/>
      </w:pPr>
      <w:r>
        <w:t>If A_NCRC is non-empty but no rights-admissible option passes TRC, the ordinary selectable set is empty. The default response is redesign, delay, escalation, no-action review, or refusal. A least-CVaR option MUST NOT be automatically promoted into ordinary selection.</w:t>
      </w:r>
    </w:p>
    <w:p>
      <w:pPr>
        <w:pStyle w:val="BodyText"/>
      </w:pPr>
      <w:r>
        <w:t>Tail Emergency Mode MAY be invoked only when the PCC demonstrates all of the following:</w:t>
      </w:r>
    </w:p>
    <w:p>
      <w:pPr>
        <w:pStyle w:val="Compact"/>
        <w:numPr>
          <w:ilvl w:val="0"/>
          <w:numId w:val="1089"/>
        </w:numPr>
      </w:pPr>
      <w:r>
        <w:t>redesign and materially safer alternatives have been actively attempted;</w:t>
      </w:r>
    </w:p>
    <w:p>
      <w:pPr>
        <w:pStyle w:val="Compact"/>
        <w:numPr>
          <w:ilvl w:val="0"/>
          <w:numId w:val="1089"/>
        </w:numPr>
      </w:pPr>
      <w:r>
        <w:t>delay, refusal, or no-action is unavailable or is evidenced to create equal or greater ruin exposure;</w:t>
      </w:r>
    </w:p>
    <w:p>
      <w:pPr>
        <w:pStyle w:val="Compact"/>
        <w:numPr>
          <w:ilvl w:val="0"/>
          <w:numId w:val="1089"/>
        </w:numPr>
      </w:pPr>
      <w:r>
        <w:t>an independent challenger has reviewed the emergency claim and proposed alternatives;</w:t>
      </w:r>
    </w:p>
    <w:p>
      <w:pPr>
        <w:pStyle w:val="Compact"/>
        <w:numPr>
          <w:ilvl w:val="0"/>
          <w:numId w:val="1089"/>
        </w:numPr>
      </w:pPr>
      <w:r>
        <w:t>a governed absolute maximum exposure τ_TRC_max has been declared and the provisional option does not exceed it;</w:t>
      </w:r>
    </w:p>
    <w:p>
      <w:pPr>
        <w:pStyle w:val="Compact"/>
        <w:numPr>
          <w:ilvl w:val="0"/>
          <w:numId w:val="1089"/>
        </w:numPr>
      </w:pPr>
      <w:r>
        <w:t>the action is time-bounded, scope-bounded, reversible where possible, and paired with mitigation, monitoring, shutoff, remedy/redress, and explicit exit criteria;</w:t>
      </w:r>
    </w:p>
    <w:p>
      <w:pPr>
        <w:pStyle w:val="Compact"/>
        <w:numPr>
          <w:ilvl w:val="0"/>
          <w:numId w:val="1089"/>
        </w:numPr>
      </w:pPr>
      <w:r>
        <w:t>one-tier-higher approval and lawful authority are recorded; and</w:t>
      </w:r>
    </w:p>
    <w:p>
      <w:pPr>
        <w:pStyle w:val="Compact"/>
        <w:numPr>
          <w:ilvl w:val="0"/>
          <w:numId w:val="1089"/>
        </w:numPr>
      </w:pPr>
      <w:r>
        <w:t>the decision will be reopened on a declared review cadence or immediately when a safer option becomes available.</w:t>
      </w:r>
    </w:p>
    <w:p>
      <w:pPr>
        <w:pStyle w:val="FirstParagraph"/>
      </w:pPr>
      <w:r>
        <w:t>Within the emergency candidate set that satisfies these conditions, choose the provisional option with minimum CVaR_alpha. Record TAIL_EMERGENCY_MODE_INVOKED, the CVaR deficit above τ_TRC, the absolute-cap margin, the necessity evidence, challenger record, controls, burden bearers, and return-to-normal trigger.</w:t>
      </w:r>
    </w:p>
    <w:p>
      <w:pPr>
        <w:pStyle w:val="BodyText"/>
      </w:pPr>
      <w:r>
        <w:t>The result is TAIL_EMERGENCY_PROVISIONAL_ACTION. It is not TRC_PASS, SELECT, aligned, safe, or ordinarily admissible. Ordinary RLS ranking is prohibited in Tail Emergency Mode.</w:t>
      </w:r>
    </w:p>
    <w:p>
      <w:pPr>
        <w:pStyle w:val="BodyText"/>
      </w:pPr>
      <w:r>
        <w:t>If no candidate remains below τ_TRC_max, RippleLogic MUST refuse the stronger action claim unless a separately authorized rights-and-tail emergency protocol with stricter public-law or domain controls governs the case. If both NCRC and TRC fail for every option, Section 7.5 rights priority governs first, while the Tail Emergency conditions in this section remain binding for any option that also exceeds the ruin corridor.</w:t>
      </w:r>
    </w:p>
    <w:bookmarkEnd w:id="143"/>
    <w:bookmarkStart w:id="144" w:name="Xeb3759f5c80a01f807c55a12a4e0bc6b4c4af2d"/>
    <w:p>
      <w:pPr>
        <w:pStyle w:val="Heading2"/>
      </w:pPr>
      <w:r>
        <w:t>8.9 Anti-Gaming Requirements for TRC (Normative)</w:t>
      </w:r>
    </w:p>
    <w:p>
      <w:pPr>
        <w:pStyle w:val="Compact"/>
        <w:numPr>
          <w:ilvl w:val="0"/>
          <w:numId w:val="1090"/>
        </w:numPr>
      </w:pPr>
      <w:r>
        <w:t>Mandatory tail categories cannot be omitted without explicit implausibility justification per Section 8.3.2.</w:t>
      </w:r>
    </w:p>
    <w:p>
      <w:pPr>
        <w:pStyle w:val="Compact"/>
        <w:numPr>
          <w:ilvl w:val="0"/>
          <w:numId w:val="1091"/>
        </w:numPr>
      </w:pPr>
      <w:r>
        <w:t>Probability floors apply per category; they cannot be silently violated.</w:t>
      </w:r>
    </w:p>
    <w:p>
      <w:pPr>
        <w:pStyle w:val="Compact"/>
        <w:numPr>
          <w:ilvl w:val="0"/>
          <w:numId w:val="1092"/>
        </w:numPr>
      </w:pPr>
      <w:r>
        <w:t>Scenario sets must be comparable across options (same S, same p_s).</w:t>
      </w:r>
    </w:p>
    <w:p>
      <w:pPr>
        <w:pStyle w:val="Compact"/>
        <w:numPr>
          <w:ilvl w:val="0"/>
          <w:numId w:val="1093"/>
        </w:numPr>
      </w:pPr>
      <w:r>
        <w:t>PCC must record scenario provenance and how probabilities were assigned.</w:t>
      </w:r>
    </w:p>
    <w:p>
      <w:pPr>
        <w:pStyle w:val="Compact"/>
        <w:numPr>
          <w:ilvl w:val="0"/>
          <w:numId w:val="1094"/>
        </w:numPr>
      </w:pPr>
      <w:r>
        <w:t>Tier 2-3: if probabilities are highly uncertain, the PCC SHOULD include sensitivity over p_s (Tier 3 required).</w:t>
      </w:r>
    </w:p>
    <w:bookmarkEnd w:id="144"/>
    <w:bookmarkEnd w:id="145"/>
    <w:bookmarkStart w:id="164" w:name="X7e1ae06708f919bccd5193fe67cf34d1788df76"/>
    <w:p>
      <w:pPr>
        <w:pStyle w:val="Heading1"/>
      </w:pPr>
      <w:r>
        <w:t>SECTION 9: CSV GATE: CONTAINMENT AND STRUCTURAL VIABILITY</w:t>
      </w:r>
    </w:p>
    <w:bookmarkStart w:id="146" w:name="Xc9ee422cc94d8c9046ad347e279739d2edf883d"/>
    <w:p>
      <w:pPr>
        <w:pStyle w:val="Heading2"/>
      </w:pPr>
      <w:r>
        <w:t>9.0 Purpose and UBE Rationale (Normative)</w:t>
      </w:r>
    </w:p>
    <w:p>
      <w:pPr>
        <w:pStyle w:val="FirstParagraph"/>
      </w:pPr>
      <w:r>
        <w:t>CSV means Containment and Structural Viability. CSV is the strengthened fourth public level in the five-level RippleLogic cascade inside the MathGov framework:</w:t>
      </w:r>
    </w:p>
    <w:p>
      <w:pPr>
        <w:pStyle w:val="BodyText"/>
      </w:pPr>
      <w:r>
        <w:t>RG -&gt; RF -&gt; TRC -&gt; CSV -&gt; RLS</w:t>
      </w:r>
    </w:p>
    <w:p>
      <w:pPr>
        <w:pStyle w:val="BodyText"/>
      </w:pPr>
      <w:r>
        <w:t>Public-language mnemonic:</w:t>
      </w:r>
    </w:p>
    <w:p>
      <w:pPr>
        <w:pStyle w:val="BodyText"/>
      </w:pPr>
      <w:r>
        <w:t>Ground -&gt; Protect -&gt; Bound -&gt; Contain/Verify -&gt; Score</w:t>
      </w:r>
    </w:p>
    <w:p>
      <w:pPr>
        <w:pStyle w:val="BodyText"/>
      </w:pPr>
      <w:r>
        <w:t>CSV prevents a core failure mode under Union-Based Reality: a local option can look beneficial for a sub-union while quietly degrading the larger system, capacity, relation, ecological support, institutional trust, or future choice-space that makes the benefit possible. Under Union-Based Ethics, such "gains" are not counted as system-level improvement when they materially degrade, hollow out, overload, or exploit their containing systems beyond tolerance.</w:t>
      </w:r>
    </w:p>
    <w:p>
      <w:pPr>
        <w:pStyle w:val="BodyText"/>
      </w:pPr>
      <w:r>
        <w:t>CSV is therefore the selectability gate applied after NCRC and TRC and before final RLS ranking. CSV is not a sixth public level. It is the upgraded fourth level, replacing the older public label "Containment" with the more complete label "Containment and Structural Viability." Structural Viability is no longer merely a quiet subcheck; it is explicitly visible inside CSV.</w:t>
      </w:r>
    </w:p>
    <w:p>
      <w:pPr>
        <w:pStyle w:val="BodyText"/>
      </w:pPr>
      <w:r>
        <w:t>Core question:</w:t>
      </w:r>
    </w:p>
    <w:p>
      <w:pPr>
        <w:pStyle w:val="BodyText"/>
      </w:pPr>
      <w:r>
        <w:t>Can this option deliver its claimed good without secretly breaking, hollowing, overloading, exploiting, or depending on the systems that make the good possible?</w:t>
      </w:r>
    </w:p>
    <w:p>
      <w:pPr>
        <w:pStyle w:val="BodyText"/>
      </w:pPr>
      <w:r>
        <w:t>Plain-language rule:</w:t>
      </w:r>
    </w:p>
    <w:p>
      <w:pPr>
        <w:pStyle w:val="BodyText"/>
      </w:pPr>
      <w:r>
        <w:t>CSV is not a purity filter. CSV is a reality-integrity filter.</w:t>
      </w:r>
    </w:p>
    <w:bookmarkEnd w:id="146"/>
    <w:bookmarkStart w:id="147" w:name="X2c80a2a8322d83f3702ef9213c8daaaeb346648"/>
    <w:p>
      <w:pPr>
        <w:pStyle w:val="Heading2"/>
      </w:pPr>
      <w:r>
        <w:t>9.1 CSV Non-Purity Rule (Normative)</w:t>
      </w:r>
    </w:p>
    <w:p>
      <w:pPr>
        <w:pStyle w:val="FirstParagraph"/>
      </w:pPr>
      <w:r>
        <w:t>A negative ripple is not automatically a CSV failure. Every real action carries some cost, burden, risk, or tradeoff. CSV MUST distinguish between detected harm, material residual harm, conditionable harm, redesign-trigger harm, and gate-failing harm.</w:t>
      </w:r>
    </w:p>
    <w:p>
      <w:pPr>
        <w:pStyle w:val="BodyText"/>
      </w:pPr>
      <w:r>
        <w:t>CSV SHALL NOT demand zero harm. CSV SHALL demand that harms are not hidden, unbounded, structurally degrading, rights-adjacent without review, irreversible without authorization, dependency-producing without transition, or unjustly externalized onto affected unions.</w:t>
      </w:r>
    </w:p>
    <w:p>
      <w:pPr>
        <w:pStyle w:val="BodyText"/>
      </w:pPr>
      <w:r>
        <w:t>Status categories:</w:t>
      </w:r>
    </w:p>
    <w:tbl>
      <w:tblPr>
        <w:tblStyle w:val="Table"/>
        <w:tblW w:type="auto" w:w="0"/>
        <w:jc w:val="center"/>
        <w:tblLook w:firstRow="1" w:lastRow="0" w:firstColumn="0" w:lastColumn="0" w:noHBand="0" w:noVBand="0" w:val="0020"/>
      </w:tblPr>
      <w:tblGrid>
        <w:gridCol w:w="2640"/>
        <w:gridCol w:w="2640"/>
        <w:gridCol w:w="2640"/>
      </w:tblGrid>
      <w:tr>
        <w:trPr>
          <w:tblHeader w:val="on"/>
          <w:tblHeader w:val="true"/>
          <w:cantSplit/>
        </w:trPr>
        <w:tc>
          <w:tcPr>
            <w:vAlign w:val="top"/>
            <w:tcMar>
              <w:top w:w="70" w:type="dxa"/>
              <w:start w:w="80" w:type="dxa"/>
              <w:bottom w:w="70" w:type="dxa"/>
              <w:end w:w="80" w:type="dxa"/>
            </w:tcMar>
            <w:shd w:fill="1F4E78"/>
          </w:tcPr>
          <w:p>
            <w:pPr>
              <w:pStyle w:val="Compact"/>
              <w:jc w:val="left"/>
            </w:pPr>
            <w:r>
              <w:rPr>
                <w:rFonts w:ascii="Arial" w:hAnsi="Arial" w:eastAsia="Arial"/>
                <w:b/>
                <w:color w:val="FFFFFF"/>
                <w:sz w:val="16"/>
              </w:rPr>
              <w:t>Status</w:t>
            </w:r>
          </w:p>
        </w:tc>
        <w:tc>
          <w:tcPr>
            <w:vAlign w:val="top"/>
            <w:tcMar>
              <w:top w:w="70" w:type="dxa"/>
              <w:start w:w="80" w:type="dxa"/>
              <w:bottom w:w="70" w:type="dxa"/>
              <w:end w:w="80" w:type="dxa"/>
            </w:tcMar>
            <w:shd w:fill="1F4E78"/>
          </w:tcPr>
          <w:p>
            <w:pPr>
              <w:pStyle w:val="Compact"/>
              <w:jc w:val="left"/>
            </w:pPr>
            <w:r>
              <w:rPr>
                <w:rFonts w:ascii="Arial" w:hAnsi="Arial" w:eastAsia="Arial"/>
                <w:b/>
                <w:color w:val="FFFFFF"/>
                <w:sz w:val="16"/>
              </w:rPr>
              <w:t>Meaning</w:t>
            </w:r>
          </w:p>
        </w:tc>
        <w:tc>
          <w:tcPr>
            <w:vAlign w:val="top"/>
            <w:tcMar>
              <w:top w:w="70" w:type="dxa"/>
              <w:start w:w="80" w:type="dxa"/>
              <w:bottom w:w="70" w:type="dxa"/>
              <w:end w:w="80" w:type="dxa"/>
            </w:tcMar>
            <w:shd w:fill="1F4E78"/>
          </w:tcPr>
          <w:p>
            <w:pPr>
              <w:pStyle w:val="Compact"/>
              <w:jc w:val="left"/>
            </w:pPr>
            <w:r>
              <w:rPr>
                <w:rFonts w:ascii="Arial" w:hAnsi="Arial" w:eastAsia="Arial"/>
                <w:b/>
                <w:color w:val="FFFFFF"/>
                <w:sz w:val="16"/>
              </w:rPr>
              <w:t>Result</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DETECTED_HARM</w:t>
            </w:r>
          </w:p>
        </w:tc>
        <w:tc>
          <w:tcPr>
            <w:vAlign w:val="top"/>
            <w:tcMar>
              <w:top w:w="70" w:type="dxa"/>
              <w:start w:w="80" w:type="dxa"/>
              <w:bottom w:w="70" w:type="dxa"/>
              <w:end w:w="80" w:type="dxa"/>
            </w:tcMar>
            <w:shd w:fill="D9EAF7"/>
          </w:tcPr>
          <w:p>
            <w:pPr>
              <w:pStyle w:val="Compact"/>
              <w:jc w:val="left"/>
            </w:pPr>
            <w:r>
              <w:rPr>
                <w:rFonts w:ascii="Arial" w:hAnsi="Arial" w:eastAsia="Arial"/>
                <w:sz w:val="16"/>
              </w:rPr>
              <w:t>A negative effect exists.</w:t>
            </w:r>
          </w:p>
        </w:tc>
        <w:tc>
          <w:tcPr>
            <w:vAlign w:val="top"/>
            <w:tcMar>
              <w:top w:w="70" w:type="dxa"/>
              <w:start w:w="80" w:type="dxa"/>
              <w:bottom w:w="70" w:type="dxa"/>
              <w:end w:w="80" w:type="dxa"/>
            </w:tcMar>
            <w:shd w:fill="D9EAF7"/>
          </w:tcPr>
          <w:p>
            <w:pPr>
              <w:pStyle w:val="Compact"/>
              <w:jc w:val="left"/>
            </w:pPr>
            <w:r>
              <w:rPr>
                <w:rFonts w:ascii="Arial" w:hAnsi="Arial" w:eastAsia="Arial"/>
                <w:sz w:val="16"/>
              </w:rPr>
              <w:t>Must be recorded and routed to the correct layer.</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RESIDUAL_HARM</w:t>
            </w:r>
          </w:p>
        </w:tc>
        <w:tc>
          <w:tcPr>
            <w:vAlign w:val="top"/>
            <w:tcMar>
              <w:top w:w="70" w:type="dxa"/>
              <w:start w:w="80" w:type="dxa"/>
              <w:bottom w:w="70" w:type="dxa"/>
              <w:end w:w="80" w:type="dxa"/>
            </w:tcMar>
            <w:shd w:fill="FFFFFF"/>
          </w:tcPr>
          <w:p>
            <w:pPr>
              <w:pStyle w:val="Compact"/>
              <w:jc w:val="left"/>
            </w:pPr>
            <w:r>
              <w:rPr>
                <w:rFonts w:ascii="Arial" w:hAnsi="Arial" w:eastAsia="Arial"/>
                <w:sz w:val="16"/>
              </w:rPr>
              <w:t>Harm is material but bounded, visible, and below CSV failure threshold.</w:t>
            </w:r>
          </w:p>
        </w:tc>
        <w:tc>
          <w:tcPr>
            <w:vAlign w:val="top"/>
            <w:tcMar>
              <w:top w:w="70" w:type="dxa"/>
              <w:start w:w="80" w:type="dxa"/>
              <w:bottom w:w="70" w:type="dxa"/>
              <w:end w:w="80" w:type="dxa"/>
            </w:tcMar>
            <w:shd w:fill="FFFFFF"/>
          </w:tcPr>
          <w:p>
            <w:pPr>
              <w:pStyle w:val="Compact"/>
              <w:jc w:val="left"/>
            </w:pPr>
            <w:r>
              <w:rPr>
                <w:rFonts w:ascii="Arial" w:hAnsi="Arial" w:eastAsia="Arial"/>
                <w:sz w:val="16"/>
              </w:rPr>
              <w:t>Carries into RLS as a welfare cost.</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CONDITIONABLE_HARM</w:t>
            </w:r>
          </w:p>
        </w:tc>
        <w:tc>
          <w:tcPr>
            <w:vAlign w:val="top"/>
            <w:tcMar>
              <w:top w:w="70" w:type="dxa"/>
              <w:start w:w="80" w:type="dxa"/>
              <w:bottom w:w="70" w:type="dxa"/>
              <w:end w:w="80" w:type="dxa"/>
            </w:tcMar>
            <w:shd w:fill="D9EAF7"/>
          </w:tcPr>
          <w:p>
            <w:pPr>
              <w:pStyle w:val="Compact"/>
              <w:jc w:val="left"/>
            </w:pPr>
            <w:r>
              <w:rPr>
                <w:rFonts w:ascii="Arial" w:hAnsi="Arial" w:eastAsia="Arial"/>
                <w:sz w:val="16"/>
              </w:rPr>
              <w:t>Harm is acceptable only with controls.</w:t>
            </w:r>
          </w:p>
        </w:tc>
        <w:tc>
          <w:tcPr>
            <w:vAlign w:val="top"/>
            <w:tcMar>
              <w:top w:w="70" w:type="dxa"/>
              <w:start w:w="80" w:type="dxa"/>
              <w:bottom w:w="70" w:type="dxa"/>
              <w:end w:w="80" w:type="dxa"/>
            </w:tcMar>
            <w:shd w:fill="D9EAF7"/>
          </w:tcPr>
          <w:p>
            <w:pPr>
              <w:pStyle w:val="Compact"/>
              <w:jc w:val="left"/>
            </w:pPr>
            <w:r>
              <w:rPr>
                <w:rFonts w:ascii="Arial" w:hAnsi="Arial" w:eastAsia="Arial"/>
                <w:sz w:val="16"/>
              </w:rPr>
              <w:t>CSV_PASS_WITH_CONTROLS if controls are binding.</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REDESIGN_TRIGGER</w:t>
            </w:r>
          </w:p>
        </w:tc>
        <w:tc>
          <w:tcPr>
            <w:vAlign w:val="top"/>
            <w:tcMar>
              <w:top w:w="70" w:type="dxa"/>
              <w:start w:w="80" w:type="dxa"/>
              <w:bottom w:w="70" w:type="dxa"/>
              <w:end w:w="80" w:type="dxa"/>
            </w:tcMar>
            <w:shd w:fill="FFFFFF"/>
          </w:tcPr>
          <w:p>
            <w:pPr>
              <w:pStyle w:val="Compact"/>
              <w:jc w:val="left"/>
            </w:pPr>
            <w:r>
              <w:rPr>
                <w:rFonts w:ascii="Arial" w:hAnsi="Arial" w:eastAsia="Arial"/>
                <w:sz w:val="16"/>
              </w:rPr>
              <w:t>Harm is too high as specified but plausibly fixable.</w:t>
            </w:r>
          </w:p>
        </w:tc>
        <w:tc>
          <w:tcPr>
            <w:vAlign w:val="top"/>
            <w:tcMar>
              <w:top w:w="70" w:type="dxa"/>
              <w:start w:w="80" w:type="dxa"/>
              <w:bottom w:w="70" w:type="dxa"/>
              <w:end w:w="80" w:type="dxa"/>
            </w:tcMar>
            <w:shd w:fill="FFFFFF"/>
          </w:tcPr>
          <w:p>
            <w:pPr>
              <w:pStyle w:val="Compact"/>
              <w:jc w:val="left"/>
            </w:pPr>
            <w:r>
              <w:rPr>
                <w:rFonts w:ascii="Arial" w:hAnsi="Arial" w:eastAsia="Arial"/>
                <w:sz w:val="16"/>
              </w:rPr>
              <w:t>CSV_REDESIGN_REQUIRED; option is not selectable as specified.</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CSV_FAILURE</w:t>
            </w:r>
          </w:p>
        </w:tc>
        <w:tc>
          <w:tcPr>
            <w:vAlign w:val="top"/>
            <w:tcMar>
              <w:top w:w="70" w:type="dxa"/>
              <w:start w:w="80" w:type="dxa"/>
              <w:bottom w:w="70" w:type="dxa"/>
              <w:end w:w="80" w:type="dxa"/>
            </w:tcMar>
            <w:shd w:fill="D9EAF7"/>
          </w:tcPr>
          <w:p>
            <w:pPr>
              <w:pStyle w:val="Compact"/>
              <w:jc w:val="left"/>
            </w:pPr>
            <w:r>
              <w:rPr>
                <w:rFonts w:ascii="Arial" w:hAnsi="Arial" w:eastAsia="Arial"/>
                <w:sz w:val="16"/>
              </w:rPr>
              <w:t>Harm is uncontained, structurally degrading, non-viable, unjustly externalized, or lock-in producing beyond tolerance.</w:t>
            </w:r>
          </w:p>
        </w:tc>
        <w:tc>
          <w:tcPr>
            <w:vAlign w:val="top"/>
            <w:tcMar>
              <w:top w:w="70" w:type="dxa"/>
              <w:start w:w="80" w:type="dxa"/>
              <w:bottom w:w="70" w:type="dxa"/>
              <w:end w:w="80" w:type="dxa"/>
            </w:tcMar>
            <w:shd w:fill="D9EAF7"/>
          </w:tcPr>
          <w:p>
            <w:pPr>
              <w:pStyle w:val="Compact"/>
              <w:jc w:val="left"/>
            </w:pPr>
            <w:r>
              <w:rPr>
                <w:rFonts w:ascii="Arial" w:hAnsi="Arial" w:eastAsia="Arial"/>
                <w:sz w:val="16"/>
              </w:rPr>
              <w:t>CSV_FAIL; option is not selectable.</w:t>
            </w:r>
          </w:p>
        </w:tc>
      </w:tr>
    </w:tbl>
    <w:p>
      <w:pPr>
        <w:pStyle w:val="BodyText"/>
      </w:pPr>
      <w:r>
        <w:t>Normative consequence:</w:t>
      </w:r>
    </w:p>
    <w:p>
      <w:pPr>
        <w:pStyle w:val="BodyText"/>
      </w:pPr>
      <w:r>
        <w:t>RLS may rank ordinary residual tradeoffs among selectable options. RLS MUST NOT rescue an option that fails CSV.</w:t>
      </w:r>
    </w:p>
    <w:bookmarkEnd w:id="147"/>
    <w:bookmarkStart w:id="149" w:name="Xc84095801be3de05d5499ff7548fbfe44494423"/>
    <w:p>
      <w:pPr>
        <w:pStyle w:val="Heading2"/>
      </w:pPr>
      <w:r>
        <w:t>9.2 CSV Status Ladder (Normative)</w:t>
      </w:r>
    </w:p>
    <w:p>
      <w:pPr>
        <w:pStyle w:val="FirstParagraph"/>
      </w:pPr>
      <w:r>
        <w:t>CSV outputs one of the following status values:</w:t>
      </w:r>
    </w:p>
    <w:tbl>
      <w:tblPr>
        <w:tblStyle w:val="Table"/>
        <w:tblW w:type="auto" w:w="0"/>
        <w:jc w:val="center"/>
        <w:tblLook w:firstRow="1" w:lastRow="0" w:firstColumn="0" w:lastColumn="0" w:noHBand="0" w:noVBand="0" w:val="0020"/>
      </w:tblPr>
      <w:tblGrid>
        <w:gridCol w:w="2640"/>
        <w:gridCol w:w="2640"/>
        <w:gridCol w:w="2640"/>
      </w:tblGrid>
      <w:tr>
        <w:trPr>
          <w:tblHeader w:val="on"/>
          <w:tblHeader w:val="true"/>
          <w:cantSplit/>
        </w:trPr>
        <w:tc>
          <w:tcPr>
            <w:vAlign w:val="top"/>
            <w:tcMar>
              <w:top w:w="70" w:type="dxa"/>
              <w:start w:w="80" w:type="dxa"/>
              <w:bottom w:w="70" w:type="dxa"/>
              <w:end w:w="80" w:type="dxa"/>
            </w:tcMar>
            <w:shd w:fill="1F4E78"/>
          </w:tcPr>
          <w:p>
            <w:pPr>
              <w:pStyle w:val="Compact"/>
              <w:jc w:val="left"/>
            </w:pPr>
            <w:r>
              <w:rPr>
                <w:rFonts w:ascii="Arial" w:hAnsi="Arial" w:eastAsia="Arial"/>
                <w:b/>
                <w:color w:val="FFFFFF"/>
                <w:sz w:val="16"/>
              </w:rPr>
              <w:t>CSV status</w:t>
            </w:r>
          </w:p>
        </w:tc>
        <w:tc>
          <w:tcPr>
            <w:vAlign w:val="top"/>
            <w:tcMar>
              <w:top w:w="70" w:type="dxa"/>
              <w:start w:w="80" w:type="dxa"/>
              <w:bottom w:w="70" w:type="dxa"/>
              <w:end w:w="80" w:type="dxa"/>
            </w:tcMar>
            <w:shd w:fill="1F4E78"/>
          </w:tcPr>
          <w:p>
            <w:pPr>
              <w:pStyle w:val="Compact"/>
              <w:jc w:val="left"/>
            </w:pPr>
            <w:r>
              <w:rPr>
                <w:rFonts w:ascii="Arial" w:hAnsi="Arial" w:eastAsia="Arial"/>
                <w:b/>
                <w:color w:val="FFFFFF"/>
                <w:sz w:val="16"/>
              </w:rPr>
              <w:t>Meaning</w:t>
            </w:r>
          </w:p>
        </w:tc>
        <w:tc>
          <w:tcPr>
            <w:vAlign w:val="top"/>
            <w:tcMar>
              <w:top w:w="70" w:type="dxa"/>
              <w:start w:w="80" w:type="dxa"/>
              <w:bottom w:w="70" w:type="dxa"/>
              <w:end w:w="80" w:type="dxa"/>
            </w:tcMar>
            <w:shd w:fill="1F4E78"/>
          </w:tcPr>
          <w:p>
            <w:pPr>
              <w:pStyle w:val="Compact"/>
              <w:jc w:val="left"/>
            </w:pPr>
            <w:r>
              <w:rPr>
                <w:rFonts w:ascii="Arial" w:hAnsi="Arial" w:eastAsia="Arial"/>
                <w:b/>
                <w:color w:val="FFFFFF"/>
                <w:sz w:val="16"/>
              </w:rPr>
              <w:t>Selection consequence</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CSV_PASS</w:t>
            </w:r>
          </w:p>
        </w:tc>
        <w:tc>
          <w:tcPr>
            <w:vAlign w:val="top"/>
            <w:tcMar>
              <w:top w:w="70" w:type="dxa"/>
              <w:start w:w="80" w:type="dxa"/>
              <w:bottom w:w="70" w:type="dxa"/>
              <w:end w:w="80" w:type="dxa"/>
            </w:tcMar>
            <w:shd w:fill="D9EAF7"/>
          </w:tcPr>
          <w:p>
            <w:pPr>
              <w:pStyle w:val="Compact"/>
              <w:jc w:val="left"/>
            </w:pPr>
            <w:r>
              <w:rPr>
                <w:rFonts w:ascii="Arial" w:hAnsi="Arial" w:eastAsia="Arial"/>
                <w:sz w:val="16"/>
              </w:rPr>
              <w:t>Harms are contained, structural viability is adequate, and residual burdens may be carried into RLS.</w:t>
            </w:r>
          </w:p>
        </w:tc>
        <w:tc>
          <w:tcPr>
            <w:vAlign w:val="top"/>
            <w:tcMar>
              <w:top w:w="70" w:type="dxa"/>
              <w:start w:w="80" w:type="dxa"/>
              <w:bottom w:w="70" w:type="dxa"/>
              <w:end w:w="80" w:type="dxa"/>
            </w:tcMar>
            <w:shd w:fill="D9EAF7"/>
          </w:tcPr>
          <w:p>
            <w:pPr>
              <w:pStyle w:val="Compact"/>
              <w:jc w:val="left"/>
            </w:pPr>
            <w:r>
              <w:rPr>
                <w:rFonts w:ascii="Arial" w:hAnsi="Arial" w:eastAsia="Arial"/>
                <w:sz w:val="16"/>
              </w:rPr>
              <w:t>Option may proceed to RLS if NCRC and TRC passed.</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CSV_PASS_WITH_CONTROLS</w:t>
            </w:r>
          </w:p>
        </w:tc>
        <w:tc>
          <w:tcPr>
            <w:vAlign w:val="top"/>
            <w:tcMar>
              <w:top w:w="70" w:type="dxa"/>
              <w:start w:w="80" w:type="dxa"/>
              <w:bottom w:w="70" w:type="dxa"/>
              <w:end w:w="80" w:type="dxa"/>
            </w:tcMar>
            <w:shd w:fill="FFFFFF"/>
          </w:tcPr>
          <w:p>
            <w:pPr>
              <w:pStyle w:val="Compact"/>
              <w:jc w:val="left"/>
            </w:pPr>
            <w:r>
              <w:rPr>
                <w:rFonts w:ascii="Arial" w:hAnsi="Arial" w:eastAsia="Arial"/>
                <w:sz w:val="16"/>
              </w:rPr>
              <w:t>Option is selectable only if declared controls, mitigations, monitoring, or limits are binding.</w:t>
            </w:r>
          </w:p>
        </w:tc>
        <w:tc>
          <w:tcPr>
            <w:vAlign w:val="top"/>
            <w:tcMar>
              <w:top w:w="70" w:type="dxa"/>
              <w:start w:w="80" w:type="dxa"/>
              <w:bottom w:w="70" w:type="dxa"/>
              <w:end w:w="80" w:type="dxa"/>
            </w:tcMar>
            <w:shd w:fill="FFFFFF"/>
          </w:tcPr>
          <w:p>
            <w:pPr>
              <w:pStyle w:val="Compact"/>
              <w:jc w:val="left"/>
            </w:pPr>
            <w:r>
              <w:rPr>
                <w:rFonts w:ascii="Arial" w:hAnsi="Arial" w:eastAsia="Arial"/>
                <w:sz w:val="16"/>
              </w:rPr>
              <w:t>Option may proceed to RLS as the controlled version only.</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CSV_REDESIGN_REQUIRED</w:t>
            </w:r>
          </w:p>
        </w:tc>
        <w:tc>
          <w:tcPr>
            <w:vAlign w:val="top"/>
            <w:tcMar>
              <w:top w:w="70" w:type="dxa"/>
              <w:start w:w="80" w:type="dxa"/>
              <w:bottom w:w="70" w:type="dxa"/>
              <w:end w:w="80" w:type="dxa"/>
            </w:tcMar>
            <w:shd w:fill="D9EAF7"/>
          </w:tcPr>
          <w:p>
            <w:pPr>
              <w:pStyle w:val="Compact"/>
              <w:jc w:val="left"/>
            </w:pPr>
            <w:r>
              <w:rPr>
                <w:rFonts w:ascii="Arial" w:hAnsi="Arial" w:eastAsia="Arial"/>
                <w:sz w:val="16"/>
              </w:rPr>
              <w:t>Option is not selectable as specified, but a redesigned version may be evaluated.</w:t>
            </w:r>
          </w:p>
        </w:tc>
        <w:tc>
          <w:tcPr>
            <w:vAlign w:val="top"/>
            <w:tcMar>
              <w:top w:w="70" w:type="dxa"/>
              <w:start w:w="80" w:type="dxa"/>
              <w:bottom w:w="70" w:type="dxa"/>
              <w:end w:w="80" w:type="dxa"/>
            </w:tcMar>
            <w:shd w:fill="D9EAF7"/>
          </w:tcPr>
          <w:p>
            <w:pPr>
              <w:pStyle w:val="Compact"/>
              <w:jc w:val="left"/>
            </w:pPr>
            <w:r>
              <w:rPr>
                <w:rFonts w:ascii="Arial" w:hAnsi="Arial" w:eastAsia="Arial"/>
                <w:sz w:val="16"/>
              </w:rPr>
              <w:t>Original option excluded; redesigned option may re-enter RG/cascade.</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CSV_ESCALATE</w:t>
            </w:r>
          </w:p>
        </w:tc>
        <w:tc>
          <w:tcPr>
            <w:vAlign w:val="top"/>
            <w:tcMar>
              <w:top w:w="70" w:type="dxa"/>
              <w:start w:w="80" w:type="dxa"/>
              <w:bottom w:w="70" w:type="dxa"/>
              <w:end w:w="80" w:type="dxa"/>
            </w:tcMar>
            <w:shd w:fill="FFFFFF"/>
          </w:tcPr>
          <w:p>
            <w:pPr>
              <w:pStyle w:val="Compact"/>
              <w:jc w:val="left"/>
            </w:pPr>
            <w:r>
              <w:rPr>
                <w:rFonts w:ascii="Arial" w:hAnsi="Arial" w:eastAsia="Arial"/>
                <w:sz w:val="16"/>
              </w:rPr>
              <w:t>Stakes, uncertainty, missing evidence, or governance sensitivity require higher review.</w:t>
            </w:r>
          </w:p>
        </w:tc>
        <w:tc>
          <w:tcPr>
            <w:vAlign w:val="top"/>
            <w:tcMar>
              <w:top w:w="70" w:type="dxa"/>
              <w:start w:w="80" w:type="dxa"/>
              <w:bottom w:w="70" w:type="dxa"/>
              <w:end w:w="80" w:type="dxa"/>
            </w:tcMar>
            <w:shd w:fill="FFFFFF"/>
          </w:tcPr>
          <w:p>
            <w:pPr>
              <w:pStyle w:val="Compact"/>
              <w:jc w:val="left"/>
            </w:pPr>
            <w:r>
              <w:rPr>
                <w:rFonts w:ascii="Arial" w:hAnsi="Arial" w:eastAsia="Arial"/>
                <w:sz w:val="16"/>
              </w:rPr>
              <w:t>No final selection until escalation is resolved.</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CSV_FAIL</w:t>
            </w:r>
          </w:p>
        </w:tc>
        <w:tc>
          <w:tcPr>
            <w:vAlign w:val="top"/>
            <w:tcMar>
              <w:top w:w="70" w:type="dxa"/>
              <w:start w:w="80" w:type="dxa"/>
              <w:bottom w:w="70" w:type="dxa"/>
              <w:end w:w="80" w:type="dxa"/>
            </w:tcMar>
            <w:shd w:fill="D9EAF7"/>
          </w:tcPr>
          <w:p>
            <w:pPr>
              <w:pStyle w:val="Compact"/>
              <w:jc w:val="left"/>
            </w:pPr>
            <w:r>
              <w:rPr>
                <w:rFonts w:ascii="Arial" w:hAnsi="Arial" w:eastAsia="Arial"/>
                <w:sz w:val="16"/>
              </w:rPr>
              <w:t>Option unacceptably damages, hollows, overloads, exploits, or depends on containing systems beyond tolerance, or is structurally non-viable.</w:t>
            </w:r>
          </w:p>
        </w:tc>
        <w:tc>
          <w:tcPr>
            <w:vAlign w:val="top"/>
            <w:tcMar>
              <w:top w:w="70" w:type="dxa"/>
              <w:start w:w="80" w:type="dxa"/>
              <w:bottom w:w="70" w:type="dxa"/>
              <w:end w:w="80" w:type="dxa"/>
            </w:tcMar>
            <w:shd w:fill="D9EAF7"/>
          </w:tcPr>
          <w:p>
            <w:pPr>
              <w:pStyle w:val="Compact"/>
              <w:jc w:val="left"/>
            </w:pPr>
            <w:r>
              <w:rPr>
                <w:rFonts w:ascii="Arial" w:hAnsi="Arial" w:eastAsia="Arial"/>
                <w:sz w:val="16"/>
              </w:rPr>
              <w:t>Option is not selectable.</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CSV_EMERGENCY_PROVISIONAL</w:t>
            </w:r>
          </w:p>
        </w:tc>
        <w:tc>
          <w:tcPr>
            <w:vAlign w:val="top"/>
            <w:tcMar>
              <w:top w:w="70" w:type="dxa"/>
              <w:start w:w="80" w:type="dxa"/>
              <w:bottom w:w="70" w:type="dxa"/>
              <w:end w:w="80" w:type="dxa"/>
            </w:tcMar>
            <w:shd w:fill="FFFFFF"/>
          </w:tcPr>
          <w:p>
            <w:pPr>
              <w:pStyle w:val="Compact"/>
              <w:jc w:val="left"/>
            </w:pPr>
            <w:r>
              <w:rPr>
                <w:rFonts w:ascii="Arial" w:hAnsi="Arial" w:eastAsia="Arial"/>
                <w:sz w:val="16"/>
              </w:rPr>
              <w:t>Temporary selection under necessity where no better feasible option currently exists and strict emergency controls are declared.</w:t>
            </w:r>
          </w:p>
        </w:tc>
        <w:tc>
          <w:tcPr>
            <w:vAlign w:val="top"/>
            <w:tcMar>
              <w:top w:w="70" w:type="dxa"/>
              <w:start w:w="80" w:type="dxa"/>
              <w:bottom w:w="70" w:type="dxa"/>
              <w:end w:w="80" w:type="dxa"/>
            </w:tcMar>
            <w:shd w:fill="FFFFFF"/>
          </w:tcPr>
          <w:p>
            <w:pPr>
              <w:pStyle w:val="Compact"/>
              <w:jc w:val="left"/>
            </w:pPr>
            <w:r>
              <w:rPr>
                <w:rFonts w:ascii="Arial" w:hAnsi="Arial" w:eastAsia="Arial"/>
                <w:sz w:val="16"/>
              </w:rPr>
              <w:t>Time-bounded provisional selection only; no unqualified alignment claim.</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CSV_NOT_MATERIAL</w:t>
            </w:r>
          </w:p>
        </w:tc>
        <w:tc>
          <w:tcPr>
            <w:vAlign w:val="top"/>
            <w:tcMar>
              <w:top w:w="70" w:type="dxa"/>
              <w:start w:w="80" w:type="dxa"/>
              <w:bottom w:w="70" w:type="dxa"/>
              <w:end w:w="80" w:type="dxa"/>
            </w:tcMar>
            <w:shd w:fill="D9EAF7"/>
          </w:tcPr>
          <w:p>
            <w:pPr>
              <w:pStyle w:val="Compact"/>
              <w:jc w:val="left"/>
            </w:pPr>
            <w:r>
              <w:rPr>
                <w:rFonts w:ascii="Arial" w:hAnsi="Arial" w:eastAsia="Arial"/>
                <w:sz w:val="16"/>
              </w:rPr>
              <w:t>CSV burden is not material for this run, with rationale.</w:t>
            </w:r>
          </w:p>
        </w:tc>
        <w:tc>
          <w:tcPr>
            <w:vAlign w:val="top"/>
            <w:tcMar>
              <w:top w:w="70" w:type="dxa"/>
              <w:start w:w="80" w:type="dxa"/>
              <w:bottom w:w="70" w:type="dxa"/>
              <w:end w:w="80" w:type="dxa"/>
            </w:tcMar>
            <w:shd w:fill="D9EAF7"/>
          </w:tcPr>
          <w:p>
            <w:pPr>
              <w:pStyle w:val="Compact"/>
              <w:jc w:val="left"/>
            </w:pPr>
            <w:r>
              <w:rPr>
                <w:rFonts w:ascii="Arial" w:hAnsi="Arial" w:eastAsia="Arial"/>
                <w:sz w:val="16"/>
              </w:rPr>
              <w:t>Option may proceed if other gates pass, but rationale is recorded.</w:t>
            </w:r>
          </w:p>
        </w:tc>
      </w:tr>
    </w:tbl>
    <w:p>
      <w:pPr>
        <w:pStyle w:val="BodyText"/>
      </w:pPr>
      <w:r>
        <w:t>A CSV_PASS_WITH_CONTROLS is a pass only for the controlled option. If controls are removed, expire, fail, or are materially altered, CSV MUST be rerun.</w:t>
      </w:r>
    </w:p>
    <w:p>
      <w:pPr>
        <w:pStyle w:val="BodyText"/>
      </w:pPr>
      <w:r>
        <w:t>A CSV_EMERGENCY_PROVISIONAL disposition MUST include a time limit, harm cap, monitoring plan, review trigger, and transition or remediation plan. It MUST NOT be marketed as full alignment, ordinary selectability, deployment certification, or Tier 4 validation.</w:t>
      </w:r>
    </w:p>
    <w:bookmarkStart w:id="148" w:name="X1acd77b6a48bf1f0d84af89a1f78a086e5cc248"/>
    <w:p>
      <w:pPr>
        <w:pStyle w:val="Heading3"/>
      </w:pPr>
      <w:r>
        <w:t>9.2A CSV status resolver guide (Normative for Tier 3; recommended for Tier 2)</w:t>
      </w:r>
    </w:p>
    <w:p>
      <w:pPr>
        <w:pStyle w:val="FirstParagraph"/>
      </w:pPr>
      <w:r>
        <w:t>The following resolver constrains how evidence and diagnostics map into CSV statuses. It does not eliminate reviewer judgment, but reviewer judgment must be recorded against these routing rules.</w:t>
      </w:r>
    </w:p>
    <w:tbl>
      <w:tblPr>
        <w:tblStyle w:val="Table"/>
        <w:tblW w:type="auto" w:w="0"/>
        <w:jc w:val="center"/>
        <w:tblLook w:firstRow="1" w:lastRow="0" w:firstColumn="0" w:lastColumn="0" w:noHBand="0" w:noVBand="0" w:val="0020"/>
      </w:tblPr>
      <w:tblGrid>
        <w:gridCol w:w="3960"/>
        <w:gridCol w:w="3960"/>
      </w:tblGrid>
      <w:tr>
        <w:trPr>
          <w:tblHeader w:val="on"/>
          <w:tblHeader w:val="true"/>
          <w:cantSplit/>
        </w:trPr>
        <w:tc>
          <w:tcPr>
            <w:vAlign w:val="top"/>
            <w:tcMar>
              <w:top w:w="70" w:type="dxa"/>
              <w:start w:w="80" w:type="dxa"/>
              <w:bottom w:w="70" w:type="dxa"/>
              <w:end w:w="80" w:type="dxa"/>
            </w:tcMar>
            <w:shd w:fill="1F4E78"/>
          </w:tcPr>
          <w:p>
            <w:pPr>
              <w:pStyle w:val="Compact"/>
              <w:jc w:val="left"/>
            </w:pPr>
            <w:r>
              <w:rPr>
                <w:rFonts w:ascii="Arial" w:hAnsi="Arial" w:eastAsia="Arial"/>
                <w:b/>
                <w:color w:val="FFFFFF"/>
                <w:sz w:val="16"/>
              </w:rPr>
              <w:t>Evidence / diagnostic condition</w:t>
            </w:r>
          </w:p>
        </w:tc>
        <w:tc>
          <w:tcPr>
            <w:vAlign w:val="top"/>
            <w:tcMar>
              <w:top w:w="70" w:type="dxa"/>
              <w:start w:w="80" w:type="dxa"/>
              <w:bottom w:w="70" w:type="dxa"/>
              <w:end w:w="80" w:type="dxa"/>
            </w:tcMar>
            <w:shd w:fill="1F4E78"/>
          </w:tcPr>
          <w:p>
            <w:pPr>
              <w:pStyle w:val="Compact"/>
              <w:jc w:val="left"/>
            </w:pPr>
            <w:r>
              <w:rPr>
                <w:rFonts w:ascii="Arial" w:hAnsi="Arial" w:eastAsia="Arial"/>
                <w:b/>
                <w:color w:val="FFFFFF"/>
                <w:sz w:val="16"/>
              </w:rPr>
              <w:t>Required CSV routing</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Any material CSV diagnostic is level 4, or the option creates uncontained, structurally degrading, unjustly externalized, non-viable, hidden, lock-in-producing, unmonitored, or beyond-tolerance harm</w:t>
            </w:r>
          </w:p>
        </w:tc>
        <w:tc>
          <w:tcPr>
            <w:vAlign w:val="top"/>
            <w:tcMar>
              <w:top w:w="70" w:type="dxa"/>
              <w:start w:w="80" w:type="dxa"/>
              <w:bottom w:w="70" w:type="dxa"/>
              <w:end w:w="80" w:type="dxa"/>
            </w:tcMar>
            <w:shd w:fill="D9EAF7"/>
          </w:tcPr>
          <w:p>
            <w:pPr>
              <w:pStyle w:val="Compact"/>
              <w:jc w:val="left"/>
            </w:pPr>
            <w:r>
              <w:rPr>
                <w:rFonts w:ascii="Arial" w:hAnsi="Arial" w:eastAsia="Arial"/>
                <w:sz w:val="16"/>
              </w:rPr>
              <w:t>CSV_FAIL</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Any Structural Viability subcheck materially fails and the failure is not time-bounded, controlled, or redesignable</w:t>
            </w:r>
          </w:p>
        </w:tc>
        <w:tc>
          <w:tcPr>
            <w:vAlign w:val="top"/>
            <w:tcMar>
              <w:top w:w="70" w:type="dxa"/>
              <w:start w:w="80" w:type="dxa"/>
              <w:bottom w:w="70" w:type="dxa"/>
              <w:end w:w="80" w:type="dxa"/>
            </w:tcMar>
            <w:shd w:fill="FFFFFF"/>
          </w:tcPr>
          <w:p>
            <w:pPr>
              <w:pStyle w:val="Compact"/>
              <w:jc w:val="left"/>
            </w:pPr>
            <w:r>
              <w:rPr>
                <w:rFonts w:ascii="Arial" w:hAnsi="Arial" w:eastAsia="Arial"/>
                <w:sz w:val="16"/>
              </w:rPr>
              <w:t>CSV_FAIL</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Any Structural Viability subcheck materially fails but a plausible redesigned option could repair it</w:t>
            </w:r>
          </w:p>
        </w:tc>
        <w:tc>
          <w:tcPr>
            <w:vAlign w:val="top"/>
            <w:tcMar>
              <w:top w:w="70" w:type="dxa"/>
              <w:start w:w="80" w:type="dxa"/>
              <w:bottom w:w="70" w:type="dxa"/>
              <w:end w:w="80" w:type="dxa"/>
            </w:tcMar>
            <w:shd w:fill="D9EAF7"/>
          </w:tcPr>
          <w:p>
            <w:pPr>
              <w:pStyle w:val="Compact"/>
              <w:jc w:val="left"/>
            </w:pPr>
            <w:r>
              <w:rPr>
                <w:rFonts w:ascii="Arial" w:hAnsi="Arial" w:eastAsia="Arial"/>
                <w:sz w:val="16"/>
              </w:rPr>
              <w:t>CSV_REDESIGN_REQUIRED</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Gate-material CSV evidence is missing, stale, contested, or insufficient to support selectability</w:t>
            </w:r>
          </w:p>
        </w:tc>
        <w:tc>
          <w:tcPr>
            <w:vAlign w:val="top"/>
            <w:tcMar>
              <w:top w:w="70" w:type="dxa"/>
              <w:start w:w="80" w:type="dxa"/>
              <w:bottom w:w="70" w:type="dxa"/>
              <w:end w:w="80" w:type="dxa"/>
            </w:tcMar>
            <w:shd w:fill="FFFFFF"/>
          </w:tcPr>
          <w:p>
            <w:pPr>
              <w:pStyle w:val="Compact"/>
              <w:jc w:val="left"/>
            </w:pPr>
            <w:r>
              <w:rPr>
                <w:rFonts w:ascii="Arial" w:hAnsi="Arial" w:eastAsia="Arial"/>
                <w:sz w:val="16"/>
              </w:rPr>
              <w:t>CSV_ESCALATE, claim-narrowing, or refusal of the stronger selection claim</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Any material diagnostic is level 3</w:t>
            </w:r>
          </w:p>
        </w:tc>
        <w:tc>
          <w:tcPr>
            <w:vAlign w:val="top"/>
            <w:tcMar>
              <w:top w:w="70" w:type="dxa"/>
              <w:start w:w="80" w:type="dxa"/>
              <w:bottom w:w="70" w:type="dxa"/>
              <w:end w:w="80" w:type="dxa"/>
            </w:tcMar>
            <w:shd w:fill="D9EAF7"/>
          </w:tcPr>
          <w:p>
            <w:pPr>
              <w:pStyle w:val="Compact"/>
              <w:jc w:val="left"/>
            </w:pPr>
            <w:r>
              <w:rPr>
                <w:rFonts w:ascii="Arial" w:hAnsi="Arial" w:eastAsia="Arial"/>
                <w:sz w:val="16"/>
              </w:rPr>
              <w:t>CSV_REDESIGN_REQUIRED or CSV_ESCALATE, with rationale</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A material diagnostic is level 2 and binding controls, owners, monitoring, review triggers, and failure consequences are declared</w:t>
            </w:r>
          </w:p>
        </w:tc>
        <w:tc>
          <w:tcPr>
            <w:vAlign w:val="top"/>
            <w:tcMar>
              <w:top w:w="70" w:type="dxa"/>
              <w:start w:w="80" w:type="dxa"/>
              <w:bottom w:w="70" w:type="dxa"/>
              <w:end w:w="80" w:type="dxa"/>
            </w:tcMar>
            <w:shd w:fill="FFFFFF"/>
          </w:tcPr>
          <w:p>
            <w:pPr>
              <w:pStyle w:val="Compact"/>
              <w:jc w:val="left"/>
            </w:pPr>
            <w:r>
              <w:rPr>
                <w:rFonts w:ascii="Arial" w:hAnsi="Arial" w:eastAsia="Arial"/>
                <w:sz w:val="16"/>
              </w:rPr>
              <w:t>CSV_PASS_WITH_CONTROLS</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A material diagnostic is level 2 without binding controls</w:t>
            </w:r>
          </w:p>
        </w:tc>
        <w:tc>
          <w:tcPr>
            <w:vAlign w:val="top"/>
            <w:tcMar>
              <w:top w:w="70" w:type="dxa"/>
              <w:start w:w="80" w:type="dxa"/>
              <w:bottom w:w="70" w:type="dxa"/>
              <w:end w:w="80" w:type="dxa"/>
            </w:tcMar>
            <w:shd w:fill="D9EAF7"/>
          </w:tcPr>
          <w:p>
            <w:pPr>
              <w:pStyle w:val="Compact"/>
              <w:jc w:val="left"/>
            </w:pPr>
            <w:r>
              <w:rPr>
                <w:rFonts w:ascii="Arial" w:hAnsi="Arial" w:eastAsia="Arial"/>
                <w:sz w:val="16"/>
              </w:rPr>
              <w:t>CSV_REDESIGN_REQUIRED</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All material diagnostics are level 0-1 and structural viability subchecks pass</w:t>
            </w:r>
          </w:p>
        </w:tc>
        <w:tc>
          <w:tcPr>
            <w:vAlign w:val="top"/>
            <w:tcMar>
              <w:top w:w="70" w:type="dxa"/>
              <w:start w:w="80" w:type="dxa"/>
              <w:bottom w:w="70" w:type="dxa"/>
              <w:end w:w="80" w:type="dxa"/>
            </w:tcMar>
            <w:shd w:fill="FFFFFF"/>
          </w:tcPr>
          <w:p>
            <w:pPr>
              <w:pStyle w:val="Compact"/>
              <w:jc w:val="left"/>
            </w:pPr>
            <w:r>
              <w:rPr>
                <w:rFonts w:ascii="Arial" w:hAnsi="Arial" w:eastAsia="Arial"/>
                <w:sz w:val="16"/>
              </w:rPr>
              <w:t>CSV_PASS</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CSV burden is genuinely not material to the declared claim boundary and the PCC records why</w:t>
            </w:r>
          </w:p>
        </w:tc>
        <w:tc>
          <w:tcPr>
            <w:vAlign w:val="top"/>
            <w:tcMar>
              <w:top w:w="70" w:type="dxa"/>
              <w:start w:w="80" w:type="dxa"/>
              <w:bottom w:w="70" w:type="dxa"/>
              <w:end w:w="80" w:type="dxa"/>
            </w:tcMar>
            <w:shd w:fill="D9EAF7"/>
          </w:tcPr>
          <w:p>
            <w:pPr>
              <w:pStyle w:val="Compact"/>
              <w:jc w:val="left"/>
            </w:pPr>
            <w:r>
              <w:rPr>
                <w:rFonts w:ascii="Arial" w:hAnsi="Arial" w:eastAsia="Arial"/>
                <w:sz w:val="16"/>
              </w:rPr>
              <w:t>CSV_NOT_MATERIAL</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Necessity is documented, no better feasible option is available, controls are time-bounded, harm caps are declared, monitoring is active, and a transition/remediation path exists</w:t>
            </w:r>
          </w:p>
        </w:tc>
        <w:tc>
          <w:tcPr>
            <w:vAlign w:val="top"/>
            <w:tcMar>
              <w:top w:w="70" w:type="dxa"/>
              <w:start w:w="80" w:type="dxa"/>
              <w:bottom w:w="70" w:type="dxa"/>
              <w:end w:w="80" w:type="dxa"/>
            </w:tcMar>
            <w:shd w:fill="FFFFFF"/>
          </w:tcPr>
          <w:p>
            <w:pPr>
              <w:pStyle w:val="Compact"/>
              <w:jc w:val="left"/>
            </w:pPr>
            <w:r>
              <w:rPr>
                <w:rFonts w:ascii="Arial" w:hAnsi="Arial" w:eastAsia="Arial"/>
                <w:sz w:val="16"/>
              </w:rPr>
              <w:t>CSV_EMERGENCY_PROVISIONAL</w:t>
            </w:r>
          </w:p>
        </w:tc>
      </w:tr>
    </w:tbl>
    <w:p>
      <w:pPr>
        <w:pStyle w:val="BodyText"/>
      </w:pPr>
      <w:r>
        <w:t>CSV maturity boundary. CSV may be binding in Tier 3 run-level conformance using declared provisional structural indicators, but this does not imply cross-domain validated UCI/HOI measurement, ProofPack readiness, or machine-verifiable structural truth. UCI/HOI remain diagnostics unless and until separate validation artifacts establish stronger measurement status.</w:t>
      </w:r>
    </w:p>
    <w:bookmarkEnd w:id="148"/>
    <w:bookmarkEnd w:id="149"/>
    <w:bookmarkStart w:id="155" w:name="Xe800e8e91f04a9ee60f4f900a6798e34c4b4dad"/>
    <w:p>
      <w:pPr>
        <w:pStyle w:val="Heading2"/>
      </w:pPr>
      <w:r>
        <w:t>9.3 CSV Core Tools (Normative)</w:t>
      </w:r>
    </w:p>
    <w:p>
      <w:pPr>
        <w:pStyle w:val="FirstParagraph"/>
      </w:pPr>
      <w:r>
        <w:t>CSV uses five core tools. Implementations MAY add domain-specific tools, but MUST preserve the five core functions when material.</w:t>
      </w:r>
    </w:p>
    <w:bookmarkStart w:id="150" w:name="X3808165072122f4c72920e17c5df4323a5c88d4"/>
    <w:p>
      <w:pPr>
        <w:pStyle w:val="Heading3"/>
      </w:pPr>
      <w:r>
        <w:t>9.3.1 Containing-System Map</w:t>
      </w:r>
    </w:p>
    <w:p>
      <w:pPr>
        <w:pStyle w:val="FirstParagraph"/>
      </w:pPr>
      <w:r>
        <w:t>Identify the systems that hold, sustain, receive, or absorb the option's consequences. Relevant systems MAY include persons, households, communities, organizations, institutions, infrastructure, ecology, attention, trust, labor capacity, knowledge systems, public legitimacy, supply chains, financial reserves, legal authority, and future option-space.</w:t>
      </w:r>
    </w:p>
    <w:p>
      <w:pPr>
        <w:pStyle w:val="BodyText"/>
      </w:pPr>
      <w:r>
        <w:t>Minimum questions:</w:t>
      </w:r>
    </w:p>
    <w:p>
      <w:pPr>
        <w:pStyle w:val="Compact"/>
        <w:numPr>
          <w:ilvl w:val="0"/>
          <w:numId w:val="1095"/>
        </w:numPr>
      </w:pPr>
      <w:r>
        <w:t>What local good is the option claiming?</w:t>
      </w:r>
    </w:p>
    <w:p>
      <w:pPr>
        <w:pStyle w:val="Compact"/>
        <w:numPr>
          <w:ilvl w:val="0"/>
          <w:numId w:val="1095"/>
        </w:numPr>
      </w:pPr>
      <w:r>
        <w:t>Which union receives the local gain?</w:t>
      </w:r>
    </w:p>
    <w:p>
      <w:pPr>
        <w:pStyle w:val="Compact"/>
        <w:numPr>
          <w:ilvl w:val="0"/>
          <w:numId w:val="1095"/>
        </w:numPr>
      </w:pPr>
      <w:r>
        <w:t>Which larger unions contain or sustain that gain?</w:t>
      </w:r>
    </w:p>
    <w:p>
      <w:pPr>
        <w:pStyle w:val="Compact"/>
        <w:numPr>
          <w:ilvl w:val="0"/>
          <w:numId w:val="1095"/>
        </w:numPr>
      </w:pPr>
      <w:r>
        <w:t>What capacities, relations, resources, and ecological supports does the option depend on?</w:t>
      </w:r>
    </w:p>
    <w:p>
      <w:pPr>
        <w:pStyle w:val="Compact"/>
        <w:numPr>
          <w:ilvl w:val="0"/>
          <w:numId w:val="1095"/>
        </w:numPr>
      </w:pPr>
      <w:r>
        <w:t>What systems receive spillover costs?</w:t>
      </w:r>
    </w:p>
    <w:p>
      <w:pPr>
        <w:pStyle w:val="Compact"/>
        <w:numPr>
          <w:ilvl w:val="0"/>
          <w:numId w:val="1095"/>
        </w:numPr>
      </w:pPr>
      <w:r>
        <w:t>Which affected groups can contest, consent, or recover?</w:t>
      </w:r>
    </w:p>
    <w:bookmarkEnd w:id="150"/>
    <w:bookmarkStart w:id="151" w:name="X550d4e761e6c8483d4ea2b28b39204626a08629"/>
    <w:p>
      <w:pPr>
        <w:pStyle w:val="Heading3"/>
      </w:pPr>
      <w:r>
        <w:t>9.3.2 Structural Viability Check</w:t>
      </w:r>
    </w:p>
    <w:p>
      <w:pPr>
        <w:pStyle w:val="FirstParagraph"/>
      </w:pPr>
      <w:r>
        <w:t>Structural Viability asks whether the option can actually stand in the declared reality surface. Ethical attractiveness is not enough. A desirable option may be a design target while still failing current execution viability.</w:t>
      </w:r>
    </w:p>
    <w:p>
      <w:pPr>
        <w:pStyle w:val="BodyText"/>
      </w:pPr>
      <w:r>
        <w:t>Minimum subchecks:</w:t>
      </w:r>
    </w:p>
    <w:tbl>
      <w:tblPr>
        <w:tblStyle w:val="Table"/>
        <w:tblW w:type="auto" w:w="0"/>
        <w:jc w:val="center"/>
        <w:tblLook w:firstRow="1" w:lastRow="0" w:firstColumn="0" w:lastColumn="0" w:noHBand="0" w:noVBand="0" w:val="0020"/>
      </w:tblPr>
      <w:tblGrid>
        <w:gridCol w:w="2640"/>
        <w:gridCol w:w="2640"/>
        <w:gridCol w:w="2640"/>
      </w:tblGrid>
      <w:tr>
        <w:trPr>
          <w:tblHeader w:val="on"/>
          <w:tblHeader w:val="true"/>
          <w:cantSplit/>
        </w:trPr>
        <w:tc>
          <w:tcPr>
            <w:vAlign w:val="top"/>
            <w:tcMar>
              <w:top w:w="70" w:type="dxa"/>
              <w:start w:w="80" w:type="dxa"/>
              <w:bottom w:w="70" w:type="dxa"/>
              <w:end w:w="80" w:type="dxa"/>
            </w:tcMar>
            <w:shd w:fill="1F4E78"/>
          </w:tcPr>
          <w:p>
            <w:pPr>
              <w:pStyle w:val="Compact"/>
              <w:jc w:val="left"/>
            </w:pPr>
            <w:r>
              <w:rPr>
                <w:rFonts w:ascii="Arial" w:hAnsi="Arial" w:eastAsia="Arial"/>
                <w:b/>
                <w:color w:val="FFFFFF"/>
                <w:sz w:val="16"/>
              </w:rPr>
              <w:t>Code</w:t>
            </w:r>
          </w:p>
        </w:tc>
        <w:tc>
          <w:tcPr>
            <w:vAlign w:val="top"/>
            <w:tcMar>
              <w:top w:w="70" w:type="dxa"/>
              <w:start w:w="80" w:type="dxa"/>
              <w:bottom w:w="70" w:type="dxa"/>
              <w:end w:w="80" w:type="dxa"/>
            </w:tcMar>
            <w:shd w:fill="1F4E78"/>
          </w:tcPr>
          <w:p>
            <w:pPr>
              <w:pStyle w:val="Compact"/>
              <w:jc w:val="left"/>
            </w:pPr>
            <w:r>
              <w:rPr>
                <w:rFonts w:ascii="Arial" w:hAnsi="Arial" w:eastAsia="Arial"/>
                <w:b/>
                <w:color w:val="FFFFFF"/>
                <w:sz w:val="16"/>
              </w:rPr>
              <w:t>Subcheck</w:t>
            </w:r>
          </w:p>
        </w:tc>
        <w:tc>
          <w:tcPr>
            <w:vAlign w:val="top"/>
            <w:tcMar>
              <w:top w:w="70" w:type="dxa"/>
              <w:start w:w="80" w:type="dxa"/>
              <w:bottom w:w="70" w:type="dxa"/>
              <w:end w:w="80" w:type="dxa"/>
            </w:tcMar>
            <w:shd w:fill="1F4E78"/>
          </w:tcPr>
          <w:p>
            <w:pPr>
              <w:pStyle w:val="Compact"/>
              <w:jc w:val="left"/>
            </w:pPr>
            <w:r>
              <w:rPr>
                <w:rFonts w:ascii="Arial" w:hAnsi="Arial" w:eastAsia="Arial"/>
                <w:b/>
                <w:color w:val="FFFFFF"/>
                <w:sz w:val="16"/>
              </w:rPr>
              <w:t>Question</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SV-1</w:t>
            </w:r>
          </w:p>
        </w:tc>
        <w:tc>
          <w:tcPr>
            <w:vAlign w:val="top"/>
            <w:tcMar>
              <w:top w:w="70" w:type="dxa"/>
              <w:start w:w="80" w:type="dxa"/>
              <w:bottom w:w="70" w:type="dxa"/>
              <w:end w:w="80" w:type="dxa"/>
            </w:tcMar>
            <w:shd w:fill="D9EAF7"/>
          </w:tcPr>
          <w:p>
            <w:pPr>
              <w:pStyle w:val="Compact"/>
              <w:jc w:val="left"/>
            </w:pPr>
            <w:r>
              <w:rPr>
                <w:rFonts w:ascii="Arial" w:hAnsi="Arial" w:eastAsia="Arial"/>
                <w:sz w:val="16"/>
              </w:rPr>
              <w:t>Resource closure</w:t>
            </w:r>
          </w:p>
        </w:tc>
        <w:tc>
          <w:tcPr>
            <w:vAlign w:val="top"/>
            <w:tcMar>
              <w:top w:w="70" w:type="dxa"/>
              <w:start w:w="80" w:type="dxa"/>
              <w:bottom w:w="70" w:type="dxa"/>
              <w:end w:w="80" w:type="dxa"/>
            </w:tcMar>
            <w:shd w:fill="D9EAF7"/>
          </w:tcPr>
          <w:p>
            <w:pPr>
              <w:pStyle w:val="Compact"/>
              <w:jc w:val="left"/>
            </w:pPr>
            <w:r>
              <w:rPr>
                <w:rFonts w:ascii="Arial" w:hAnsi="Arial" w:eastAsia="Arial"/>
                <w:sz w:val="16"/>
              </w:rPr>
              <w:t>Are budget, time, people, compute, energy, materials, attention, and authority sufficient?</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SV-2</w:t>
            </w:r>
          </w:p>
        </w:tc>
        <w:tc>
          <w:tcPr>
            <w:vAlign w:val="top"/>
            <w:tcMar>
              <w:top w:w="70" w:type="dxa"/>
              <w:start w:w="80" w:type="dxa"/>
              <w:bottom w:w="70" w:type="dxa"/>
              <w:end w:w="80" w:type="dxa"/>
            </w:tcMar>
            <w:shd w:fill="FFFFFF"/>
          </w:tcPr>
          <w:p>
            <w:pPr>
              <w:pStyle w:val="Compact"/>
              <w:jc w:val="left"/>
            </w:pPr>
            <w:r>
              <w:rPr>
                <w:rFonts w:ascii="Arial" w:hAnsi="Arial" w:eastAsia="Arial"/>
                <w:sz w:val="16"/>
              </w:rPr>
              <w:t>Dependency closure</w:t>
            </w:r>
          </w:p>
        </w:tc>
        <w:tc>
          <w:tcPr>
            <w:vAlign w:val="top"/>
            <w:tcMar>
              <w:top w:w="70" w:type="dxa"/>
              <w:start w:w="80" w:type="dxa"/>
              <w:bottom w:w="70" w:type="dxa"/>
              <w:end w:w="80" w:type="dxa"/>
            </w:tcMar>
            <w:shd w:fill="FFFFFF"/>
          </w:tcPr>
          <w:p>
            <w:pPr>
              <w:pStyle w:val="Compact"/>
              <w:jc w:val="left"/>
            </w:pPr>
            <w:r>
              <w:rPr>
                <w:rFonts w:ascii="Arial" w:hAnsi="Arial" w:eastAsia="Arial"/>
                <w:sz w:val="16"/>
              </w:rPr>
              <w:t>Are prerequisites satisfied or assigned to credible owners and timelines?</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SV-3</w:t>
            </w:r>
          </w:p>
        </w:tc>
        <w:tc>
          <w:tcPr>
            <w:vAlign w:val="top"/>
            <w:tcMar>
              <w:top w:w="70" w:type="dxa"/>
              <w:start w:w="80" w:type="dxa"/>
              <w:bottom w:w="70" w:type="dxa"/>
              <w:end w:w="80" w:type="dxa"/>
            </w:tcMar>
            <w:shd w:fill="D9EAF7"/>
          </w:tcPr>
          <w:p>
            <w:pPr>
              <w:pStyle w:val="Compact"/>
              <w:jc w:val="left"/>
            </w:pPr>
            <w:r>
              <w:rPr>
                <w:rFonts w:ascii="Arial" w:hAnsi="Arial" w:eastAsia="Arial"/>
                <w:sz w:val="16"/>
              </w:rPr>
              <w:t>Reversibility / endpoint coherence</w:t>
            </w:r>
          </w:p>
        </w:tc>
        <w:tc>
          <w:tcPr>
            <w:vAlign w:val="top"/>
            <w:tcMar>
              <w:top w:w="70" w:type="dxa"/>
              <w:start w:w="80" w:type="dxa"/>
              <w:bottom w:w="70" w:type="dxa"/>
              <w:end w:w="80" w:type="dxa"/>
            </w:tcMar>
            <w:shd w:fill="D9EAF7"/>
          </w:tcPr>
          <w:p>
            <w:pPr>
              <w:pStyle w:val="Compact"/>
              <w:jc w:val="left"/>
            </w:pPr>
            <w:r>
              <w:rPr>
                <w:rFonts w:ascii="Arial" w:hAnsi="Arial" w:eastAsia="Arial"/>
                <w:sz w:val="16"/>
              </w:rPr>
              <w:t>Is rollback, endpoint, or irreversibility status declared and coherent?</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SV-4</w:t>
            </w:r>
          </w:p>
        </w:tc>
        <w:tc>
          <w:tcPr>
            <w:vAlign w:val="top"/>
            <w:tcMar>
              <w:top w:w="70" w:type="dxa"/>
              <w:start w:w="80" w:type="dxa"/>
              <w:bottom w:w="70" w:type="dxa"/>
              <w:end w:w="80" w:type="dxa"/>
            </w:tcMar>
            <w:shd w:fill="FFFFFF"/>
          </w:tcPr>
          <w:p>
            <w:pPr>
              <w:pStyle w:val="Compact"/>
              <w:jc w:val="left"/>
            </w:pPr>
            <w:r>
              <w:rPr>
                <w:rFonts w:ascii="Arial" w:hAnsi="Arial" w:eastAsia="Arial"/>
                <w:sz w:val="16"/>
              </w:rPr>
              <w:t>Capacity non-exceedance</w:t>
            </w:r>
          </w:p>
        </w:tc>
        <w:tc>
          <w:tcPr>
            <w:vAlign w:val="top"/>
            <w:tcMar>
              <w:top w:w="70" w:type="dxa"/>
              <w:start w:w="80" w:type="dxa"/>
              <w:bottom w:w="70" w:type="dxa"/>
              <w:end w:w="80" w:type="dxa"/>
            </w:tcMar>
            <w:shd w:fill="FFFFFF"/>
          </w:tcPr>
          <w:p>
            <w:pPr>
              <w:pStyle w:val="Compact"/>
              <w:jc w:val="left"/>
            </w:pPr>
            <w:r>
              <w:rPr>
                <w:rFonts w:ascii="Arial" w:hAnsi="Arial" w:eastAsia="Arial"/>
                <w:sz w:val="16"/>
              </w:rPr>
              <w:t>Does execution stay within operational, institutional, technical, and enforcement capacity?</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SV-5</w:t>
            </w:r>
          </w:p>
        </w:tc>
        <w:tc>
          <w:tcPr>
            <w:vAlign w:val="top"/>
            <w:tcMar>
              <w:top w:w="70" w:type="dxa"/>
              <w:start w:w="80" w:type="dxa"/>
              <w:bottom w:w="70" w:type="dxa"/>
              <w:end w:w="80" w:type="dxa"/>
            </w:tcMar>
            <w:shd w:fill="D9EAF7"/>
          </w:tcPr>
          <w:p>
            <w:pPr>
              <w:pStyle w:val="Compact"/>
              <w:jc w:val="left"/>
            </w:pPr>
            <w:r>
              <w:rPr>
                <w:rFonts w:ascii="Arial" w:hAnsi="Arial" w:eastAsia="Arial"/>
                <w:sz w:val="16"/>
              </w:rPr>
              <w:t>Internal non-contradiction</w:t>
            </w:r>
          </w:p>
        </w:tc>
        <w:tc>
          <w:tcPr>
            <w:vAlign w:val="top"/>
            <w:tcMar>
              <w:top w:w="70" w:type="dxa"/>
              <w:start w:w="80" w:type="dxa"/>
              <w:bottom w:w="70" w:type="dxa"/>
              <w:end w:w="80" w:type="dxa"/>
            </w:tcMar>
            <w:shd w:fill="D9EAF7"/>
          </w:tcPr>
          <w:p>
            <w:pPr>
              <w:pStyle w:val="Compact"/>
              <w:jc w:val="left"/>
            </w:pPr>
            <w:r>
              <w:rPr>
                <w:rFonts w:ascii="Arial" w:hAnsi="Arial" w:eastAsia="Arial"/>
                <w:sz w:val="16"/>
              </w:rPr>
              <w:t>Does the option avoid mutually incompatible requirements or declare a grounded reconciliation mechanism?</w:t>
            </w:r>
          </w:p>
        </w:tc>
      </w:tr>
    </w:tbl>
    <w:p>
      <w:pPr>
        <w:pStyle w:val="BodyText"/>
      </w:pPr>
      <w:r>
        <w:t>An option with material SVC failure is not selectable for current execution, regardless of RLS rank.</w:t>
      </w:r>
    </w:p>
    <w:bookmarkEnd w:id="151"/>
    <w:bookmarkStart w:id="152" w:name="X219135b840305be90c9cee25256185e6e7afe67"/>
    <w:p>
      <w:pPr>
        <w:pStyle w:val="Heading3"/>
      </w:pPr>
      <w:r>
        <w:t>9.3.3 Externality Containment Ledger</w:t>
      </w:r>
    </w:p>
    <w:p>
      <w:pPr>
        <w:pStyle w:val="FirstParagraph"/>
      </w:pPr>
      <w:r>
        <w:t>CSV MUST make spillovers visible. For material runs, the PCC SHOULD include an ExternalityContainmentLedger with at least:</w:t>
      </w:r>
    </w:p>
    <w:tbl>
      <w:tblPr>
        <w:tblStyle w:val="Table"/>
        <w:tblW w:type="auto" w:w="0"/>
        <w:jc w:val="center"/>
        <w:tblLook w:firstRow="1" w:lastRow="0" w:firstColumn="0" w:lastColumn="0" w:noHBand="0" w:noVBand="0" w:val="0020"/>
      </w:tblPr>
      <w:tblGrid>
        <w:gridCol w:w="3960"/>
        <w:gridCol w:w="3960"/>
      </w:tblGrid>
      <w:tr>
        <w:trPr>
          <w:tblHeader w:val="on"/>
          <w:tblHeader w:val="true"/>
          <w:cantSplit/>
        </w:trPr>
        <w:tc>
          <w:tcPr>
            <w:vAlign w:val="top"/>
            <w:tcMar>
              <w:top w:w="70" w:type="dxa"/>
              <w:start w:w="80" w:type="dxa"/>
              <w:bottom w:w="70" w:type="dxa"/>
              <w:end w:w="80" w:type="dxa"/>
            </w:tcMar>
            <w:shd w:fill="1F4E78"/>
          </w:tcPr>
          <w:p>
            <w:pPr>
              <w:pStyle w:val="Compact"/>
              <w:jc w:val="left"/>
            </w:pPr>
            <w:r>
              <w:rPr>
                <w:rFonts w:ascii="Arial" w:hAnsi="Arial" w:eastAsia="Arial"/>
                <w:b/>
                <w:color w:val="FFFFFF"/>
                <w:sz w:val="16"/>
              </w:rPr>
              <w:t>Field</w:t>
            </w:r>
          </w:p>
        </w:tc>
        <w:tc>
          <w:tcPr>
            <w:vAlign w:val="top"/>
            <w:tcMar>
              <w:top w:w="70" w:type="dxa"/>
              <w:start w:w="80" w:type="dxa"/>
              <w:bottom w:w="70" w:type="dxa"/>
              <w:end w:w="80" w:type="dxa"/>
            </w:tcMar>
            <w:shd w:fill="1F4E78"/>
          </w:tcPr>
          <w:p>
            <w:pPr>
              <w:pStyle w:val="Compact"/>
              <w:jc w:val="left"/>
            </w:pPr>
            <w:r>
              <w:rPr>
                <w:rFonts w:ascii="Arial" w:hAnsi="Arial" w:eastAsia="Arial"/>
                <w:b/>
                <w:color w:val="FFFFFF"/>
                <w:sz w:val="16"/>
              </w:rPr>
              <w:t>Required content</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Spillover</w:t>
            </w:r>
          </w:p>
        </w:tc>
        <w:tc>
          <w:tcPr>
            <w:vAlign w:val="top"/>
            <w:tcMar>
              <w:top w:w="70" w:type="dxa"/>
              <w:start w:w="80" w:type="dxa"/>
              <w:bottom w:w="70" w:type="dxa"/>
              <w:end w:w="80" w:type="dxa"/>
            </w:tcMar>
            <w:shd w:fill="D9EAF7"/>
          </w:tcPr>
          <w:p>
            <w:pPr>
              <w:pStyle w:val="Compact"/>
              <w:jc w:val="left"/>
            </w:pPr>
            <w:r>
              <w:rPr>
                <w:rFonts w:ascii="Arial" w:hAnsi="Arial" w:eastAsia="Arial"/>
                <w:sz w:val="16"/>
              </w:rPr>
              <w:t>Smoke, noise, labor burden, dependency, extraction, attention harm, ecological stress, etc.</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Receiver</w:t>
            </w:r>
          </w:p>
        </w:tc>
        <w:tc>
          <w:tcPr>
            <w:vAlign w:val="top"/>
            <w:tcMar>
              <w:top w:w="70" w:type="dxa"/>
              <w:start w:w="80" w:type="dxa"/>
              <w:bottom w:w="70" w:type="dxa"/>
              <w:end w:w="80" w:type="dxa"/>
            </w:tcMar>
            <w:shd w:fill="FFFFFF"/>
          </w:tcPr>
          <w:p>
            <w:pPr>
              <w:pStyle w:val="Compact"/>
              <w:jc w:val="left"/>
            </w:pPr>
            <w:r>
              <w:rPr>
                <w:rFonts w:ascii="Arial" w:hAnsi="Arial" w:eastAsia="Arial"/>
                <w:sz w:val="16"/>
              </w:rPr>
              <w:t>Which union, subgroup, system, or future condition receives the burden.</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Severity</w:t>
            </w:r>
          </w:p>
        </w:tc>
        <w:tc>
          <w:tcPr>
            <w:vAlign w:val="top"/>
            <w:tcMar>
              <w:top w:w="70" w:type="dxa"/>
              <w:start w:w="80" w:type="dxa"/>
              <w:bottom w:w="70" w:type="dxa"/>
              <w:end w:w="80" w:type="dxa"/>
            </w:tcMar>
            <w:shd w:fill="D9EAF7"/>
          </w:tcPr>
          <w:p>
            <w:pPr>
              <w:pStyle w:val="Compact"/>
              <w:jc w:val="left"/>
            </w:pPr>
            <w:r>
              <w:rPr>
                <w:rFonts w:ascii="Arial" w:hAnsi="Arial" w:eastAsia="Arial"/>
                <w:sz w:val="16"/>
              </w:rPr>
              <w:t>Normalized severity or qualitative tier.</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Duration</w:t>
            </w:r>
          </w:p>
        </w:tc>
        <w:tc>
          <w:tcPr>
            <w:vAlign w:val="top"/>
            <w:tcMar>
              <w:top w:w="70" w:type="dxa"/>
              <w:start w:w="80" w:type="dxa"/>
              <w:bottom w:w="70" w:type="dxa"/>
              <w:end w:w="80" w:type="dxa"/>
            </w:tcMar>
            <w:shd w:fill="FFFFFF"/>
          </w:tcPr>
          <w:p>
            <w:pPr>
              <w:pStyle w:val="Compact"/>
              <w:jc w:val="left"/>
            </w:pPr>
            <w:r>
              <w:rPr>
                <w:rFonts w:ascii="Arial" w:hAnsi="Arial" w:eastAsia="Arial"/>
                <w:sz w:val="16"/>
              </w:rPr>
              <w:t>Acute, temporary, recurring, chronic, permanent, or irreversible.</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Mitigation</w:t>
            </w:r>
          </w:p>
        </w:tc>
        <w:tc>
          <w:tcPr>
            <w:vAlign w:val="top"/>
            <w:tcMar>
              <w:top w:w="70" w:type="dxa"/>
              <w:start w:w="80" w:type="dxa"/>
              <w:bottom w:w="70" w:type="dxa"/>
              <w:end w:w="80" w:type="dxa"/>
            </w:tcMar>
            <w:shd w:fill="D9EAF7"/>
          </w:tcPr>
          <w:p>
            <w:pPr>
              <w:pStyle w:val="Compact"/>
              <w:jc w:val="left"/>
            </w:pPr>
            <w:r>
              <w:rPr>
                <w:rFonts w:ascii="Arial" w:hAnsi="Arial" w:eastAsia="Arial"/>
                <w:sz w:val="16"/>
              </w:rPr>
              <w:t>Controls, design changes, monitoring, compensation, substitution, or remediation.</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Residual</w:t>
            </w:r>
          </w:p>
        </w:tc>
        <w:tc>
          <w:tcPr>
            <w:vAlign w:val="top"/>
            <w:tcMar>
              <w:top w:w="70" w:type="dxa"/>
              <w:start w:w="80" w:type="dxa"/>
              <w:bottom w:w="70" w:type="dxa"/>
              <w:end w:w="80" w:type="dxa"/>
            </w:tcMar>
            <w:shd w:fill="FFFFFF"/>
          </w:tcPr>
          <w:p>
            <w:pPr>
              <w:pStyle w:val="Compact"/>
              <w:jc w:val="left"/>
            </w:pPr>
            <w:r>
              <w:rPr>
                <w:rFonts w:ascii="Arial" w:hAnsi="Arial" w:eastAsia="Arial"/>
                <w:sz w:val="16"/>
              </w:rPr>
              <w:t>What burden remains after mitigation.</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Routing</w:t>
            </w:r>
          </w:p>
        </w:tc>
        <w:tc>
          <w:tcPr>
            <w:vAlign w:val="top"/>
            <w:tcMar>
              <w:top w:w="70" w:type="dxa"/>
              <w:start w:w="80" w:type="dxa"/>
              <w:bottom w:w="70" w:type="dxa"/>
              <w:end w:w="80" w:type="dxa"/>
            </w:tcMar>
            <w:shd w:fill="D9EAF7"/>
          </w:tcPr>
          <w:p>
            <w:pPr>
              <w:pStyle w:val="Compact"/>
              <w:jc w:val="left"/>
            </w:pPr>
            <w:r>
              <w:rPr>
                <w:rFonts w:ascii="Arial" w:hAnsi="Arial" w:eastAsia="Arial"/>
                <w:sz w:val="16"/>
              </w:rPr>
              <w:t>NCRC, TRC, CSV, RLS, monitoring, or escalation.</w:t>
            </w:r>
          </w:p>
        </w:tc>
      </w:tr>
    </w:tbl>
    <w:p>
      <w:pPr>
        <w:pStyle w:val="BodyText"/>
      </w:pPr>
      <w:r>
        <w:t>Unrecorded material externalities are not neutral. They create CSV uncertainty and may trigger CSV_ESCALATE or CSV_REDESIGN_REQUIRED.</w:t>
      </w:r>
    </w:p>
    <w:bookmarkEnd w:id="152"/>
    <w:bookmarkStart w:id="153" w:name="X1478d5fa521686b99d469f5ea96de4412935338"/>
    <w:p>
      <w:pPr>
        <w:pStyle w:val="Heading3"/>
      </w:pPr>
      <w:r>
        <w:t>9.3.4 Substitution Ladder</w:t>
      </w:r>
    </w:p>
    <w:p>
      <w:pPr>
        <w:pStyle w:val="FirstParagraph"/>
      </w:pPr>
      <w:r>
        <w:t>CSV MUST ask whether a less harmful feasible alternative exists. The ladder is not a requirement to choose the ideal option immediately; it is a discipline against convenience-based harm.</w:t>
      </w:r>
    </w:p>
    <w:p>
      <w:pPr>
        <w:pStyle w:val="BodyText"/>
      </w:pPr>
      <w:r>
        <w:t>Default substitution ladder:</w:t>
      </w:r>
    </w:p>
    <w:p>
      <w:pPr>
        <w:pStyle w:val="Compact"/>
        <w:numPr>
          <w:ilvl w:val="0"/>
          <w:numId w:val="1096"/>
        </w:numPr>
      </w:pPr>
      <w:r>
        <w:t>Avoid the harmful need.</w:t>
      </w:r>
    </w:p>
    <w:p>
      <w:pPr>
        <w:pStyle w:val="Compact"/>
        <w:numPr>
          <w:ilvl w:val="0"/>
          <w:numId w:val="1096"/>
        </w:numPr>
      </w:pPr>
      <w:r>
        <w:t>Reduce the demand.</w:t>
      </w:r>
    </w:p>
    <w:p>
      <w:pPr>
        <w:pStyle w:val="Compact"/>
        <w:numPr>
          <w:ilvl w:val="0"/>
          <w:numId w:val="1096"/>
        </w:numPr>
      </w:pPr>
      <w:r>
        <w:t>Use low-harm alternative.</w:t>
      </w:r>
    </w:p>
    <w:p>
      <w:pPr>
        <w:pStyle w:val="Compact"/>
        <w:numPr>
          <w:ilvl w:val="0"/>
          <w:numId w:val="1096"/>
        </w:numPr>
      </w:pPr>
      <w:r>
        <w:t>Use hybrid/backup alternative.</w:t>
      </w:r>
    </w:p>
    <w:p>
      <w:pPr>
        <w:pStyle w:val="Compact"/>
        <w:numPr>
          <w:ilvl w:val="0"/>
          <w:numId w:val="1096"/>
        </w:numPr>
      </w:pPr>
      <w:r>
        <w:t>Use higher-harm option only with controls.</w:t>
      </w:r>
    </w:p>
    <w:p>
      <w:pPr>
        <w:pStyle w:val="Compact"/>
        <w:numPr>
          <w:ilvl w:val="0"/>
          <w:numId w:val="1096"/>
        </w:numPr>
      </w:pPr>
      <w:r>
        <w:t>Use emergency provisional option only under necessity and review.</w:t>
      </w:r>
    </w:p>
    <w:p>
      <w:pPr>
        <w:pStyle w:val="Compact"/>
        <w:numPr>
          <w:ilvl w:val="0"/>
          <w:numId w:val="1096"/>
        </w:numPr>
      </w:pPr>
      <w:r>
        <w:t>Reject or redesign if harms cannot be contained.</w:t>
      </w:r>
    </w:p>
    <w:p>
      <w:pPr>
        <w:pStyle w:val="FirstParagraph"/>
      </w:pPr>
      <w:r>
        <w:t>If a materially cleaner and feasible alternative exists, choosing a more harmful option for convenience, profit, or status SHOULD trigger CSV_REDESIGN_REQUIRED or a high residual RLS penalty, depending on severity.</w:t>
      </w:r>
    </w:p>
    <w:bookmarkEnd w:id="153"/>
    <w:bookmarkStart w:id="154" w:name="X46bed7eb289fa7d5042e09391844af73b2eeceb"/>
    <w:p>
      <w:pPr>
        <w:pStyle w:val="Heading3"/>
      </w:pPr>
      <w:r>
        <w:t>9.3.5 Necessity Corridor</w:t>
      </w:r>
    </w:p>
    <w:p>
      <w:pPr>
        <w:pStyle w:val="FirstParagraph"/>
      </w:pPr>
      <w:r>
        <w:t>A harmful option MAY receive CSV_PASS_WITH_CONTROLS or CSV_EMERGENCY_PROVISIONAL only when it satisfies the necessity corridor:</w:t>
      </w:r>
    </w:p>
    <w:tbl>
      <w:tblPr>
        <w:tblStyle w:val="Table"/>
        <w:tblW w:type="auto" w:w="0"/>
        <w:jc w:val="center"/>
        <w:tblLook w:firstRow="1" w:lastRow="0" w:firstColumn="0" w:lastColumn="0" w:noHBand="0" w:noVBand="0" w:val="0020"/>
      </w:tblPr>
      <w:tblGrid>
        <w:gridCol w:w="3960"/>
        <w:gridCol w:w="3960"/>
      </w:tblGrid>
      <w:tr>
        <w:trPr>
          <w:tblHeader w:val="on"/>
          <w:tblHeader w:val="true"/>
          <w:cantSplit/>
        </w:trPr>
        <w:tc>
          <w:tcPr>
            <w:vAlign w:val="top"/>
            <w:tcMar>
              <w:top w:w="70" w:type="dxa"/>
              <w:start w:w="80" w:type="dxa"/>
              <w:bottom w:w="70" w:type="dxa"/>
              <w:end w:w="80" w:type="dxa"/>
            </w:tcMar>
            <w:shd w:fill="1F4E78"/>
          </w:tcPr>
          <w:p>
            <w:pPr>
              <w:pStyle w:val="Compact"/>
              <w:jc w:val="left"/>
            </w:pPr>
            <w:r>
              <w:rPr>
                <w:rFonts w:ascii="Arial" w:hAnsi="Arial" w:eastAsia="Arial"/>
                <w:b/>
                <w:color w:val="FFFFFF"/>
                <w:sz w:val="16"/>
              </w:rPr>
              <w:t>Corridor condition</w:t>
            </w:r>
          </w:p>
        </w:tc>
        <w:tc>
          <w:tcPr>
            <w:vAlign w:val="top"/>
            <w:tcMar>
              <w:top w:w="70" w:type="dxa"/>
              <w:start w:w="80" w:type="dxa"/>
              <w:bottom w:w="70" w:type="dxa"/>
              <w:end w:w="80" w:type="dxa"/>
            </w:tcMar>
            <w:shd w:fill="1F4E78"/>
          </w:tcPr>
          <w:p>
            <w:pPr>
              <w:pStyle w:val="Compact"/>
              <w:jc w:val="left"/>
            </w:pPr>
            <w:r>
              <w:rPr>
                <w:rFonts w:ascii="Arial" w:hAnsi="Arial" w:eastAsia="Arial"/>
                <w:b/>
                <w:color w:val="FFFFFF"/>
                <w:sz w:val="16"/>
              </w:rPr>
              <w:t>Requirement</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Necessity</w:t>
            </w:r>
          </w:p>
        </w:tc>
        <w:tc>
          <w:tcPr>
            <w:vAlign w:val="top"/>
            <w:tcMar>
              <w:top w:w="70" w:type="dxa"/>
              <w:start w:w="80" w:type="dxa"/>
              <w:bottom w:w="70" w:type="dxa"/>
              <w:end w:w="80" w:type="dxa"/>
            </w:tcMar>
            <w:shd w:fill="D9EAF7"/>
          </w:tcPr>
          <w:p>
            <w:pPr>
              <w:pStyle w:val="Compact"/>
              <w:jc w:val="left"/>
            </w:pPr>
            <w:r>
              <w:rPr>
                <w:rFonts w:ascii="Arial" w:hAnsi="Arial" w:eastAsia="Arial"/>
                <w:sz w:val="16"/>
              </w:rPr>
              <w:t>The option serves a real need, not mere convenience.</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No better feasible alternative now</w:t>
            </w:r>
          </w:p>
        </w:tc>
        <w:tc>
          <w:tcPr>
            <w:vAlign w:val="top"/>
            <w:tcMar>
              <w:top w:w="70" w:type="dxa"/>
              <w:start w:w="80" w:type="dxa"/>
              <w:bottom w:w="70" w:type="dxa"/>
              <w:end w:w="80" w:type="dxa"/>
            </w:tcMar>
            <w:shd w:fill="FFFFFF"/>
          </w:tcPr>
          <w:p>
            <w:pPr>
              <w:pStyle w:val="Compact"/>
              <w:jc w:val="left"/>
            </w:pPr>
            <w:r>
              <w:rPr>
                <w:rFonts w:ascii="Arial" w:hAnsi="Arial" w:eastAsia="Arial"/>
                <w:sz w:val="16"/>
              </w:rPr>
              <w:t>Cleaner or safer options are unavailable, unaffordable, disproportionate, or not timely under the declared reality surface.</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Boundedness</w:t>
            </w:r>
          </w:p>
        </w:tc>
        <w:tc>
          <w:tcPr>
            <w:vAlign w:val="top"/>
            <w:tcMar>
              <w:top w:w="70" w:type="dxa"/>
              <w:start w:w="80" w:type="dxa"/>
              <w:bottom w:w="70" w:type="dxa"/>
              <w:end w:w="80" w:type="dxa"/>
            </w:tcMar>
            <w:shd w:fill="D9EAF7"/>
          </w:tcPr>
          <w:p>
            <w:pPr>
              <w:pStyle w:val="Compact"/>
              <w:jc w:val="left"/>
            </w:pPr>
            <w:r>
              <w:rPr>
                <w:rFonts w:ascii="Arial" w:hAnsi="Arial" w:eastAsia="Arial"/>
                <w:sz w:val="16"/>
              </w:rPr>
              <w:t>Harm is limited in time, space, exposure, scale, and recurrence.</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Mitigation</w:t>
            </w:r>
          </w:p>
        </w:tc>
        <w:tc>
          <w:tcPr>
            <w:vAlign w:val="top"/>
            <w:tcMar>
              <w:top w:w="70" w:type="dxa"/>
              <w:start w:w="80" w:type="dxa"/>
              <w:bottom w:w="70" w:type="dxa"/>
              <w:end w:w="80" w:type="dxa"/>
            </w:tcMar>
            <w:shd w:fill="FFFFFF"/>
          </w:tcPr>
          <w:p>
            <w:pPr>
              <w:pStyle w:val="Compact"/>
              <w:jc w:val="left"/>
            </w:pPr>
            <w:r>
              <w:rPr>
                <w:rFonts w:ascii="Arial" w:hAnsi="Arial" w:eastAsia="Arial"/>
                <w:sz w:val="16"/>
              </w:rPr>
              <w:t>Controls reduce harm materially.</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Transparency</w:t>
            </w:r>
          </w:p>
        </w:tc>
        <w:tc>
          <w:tcPr>
            <w:vAlign w:val="top"/>
            <w:tcMar>
              <w:top w:w="70" w:type="dxa"/>
              <w:start w:w="80" w:type="dxa"/>
              <w:bottom w:w="70" w:type="dxa"/>
              <w:end w:w="80" w:type="dxa"/>
            </w:tcMar>
            <w:shd w:fill="D9EAF7"/>
          </w:tcPr>
          <w:p>
            <w:pPr>
              <w:pStyle w:val="Compact"/>
              <w:jc w:val="left"/>
            </w:pPr>
            <w:r>
              <w:rPr>
                <w:rFonts w:ascii="Arial" w:hAnsi="Arial" w:eastAsia="Arial"/>
                <w:sz w:val="16"/>
              </w:rPr>
              <w:t>The harm is not hidden, greenwashed, or falsely described.</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Reversibility / exit</w:t>
            </w:r>
          </w:p>
        </w:tc>
        <w:tc>
          <w:tcPr>
            <w:vAlign w:val="top"/>
            <w:tcMar>
              <w:top w:w="70" w:type="dxa"/>
              <w:start w:w="80" w:type="dxa"/>
              <w:bottom w:w="70" w:type="dxa"/>
              <w:end w:w="80" w:type="dxa"/>
            </w:tcMar>
            <w:shd w:fill="FFFFFF"/>
          </w:tcPr>
          <w:p>
            <w:pPr>
              <w:pStyle w:val="Compact"/>
              <w:jc w:val="left"/>
            </w:pPr>
            <w:r>
              <w:rPr>
                <w:rFonts w:ascii="Arial" w:hAnsi="Arial" w:eastAsia="Arial"/>
                <w:sz w:val="16"/>
              </w:rPr>
              <w:t>The option does not create avoidable lock-in.</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Transition</w:t>
            </w:r>
          </w:p>
        </w:tc>
        <w:tc>
          <w:tcPr>
            <w:vAlign w:val="top"/>
            <w:tcMar>
              <w:top w:w="70" w:type="dxa"/>
              <w:start w:w="80" w:type="dxa"/>
              <w:bottom w:w="70" w:type="dxa"/>
              <w:end w:w="80" w:type="dxa"/>
            </w:tcMar>
            <w:shd w:fill="D9EAF7"/>
          </w:tcPr>
          <w:p>
            <w:pPr>
              <w:pStyle w:val="Compact"/>
              <w:jc w:val="left"/>
            </w:pPr>
            <w:r>
              <w:rPr>
                <w:rFonts w:ascii="Arial" w:hAnsi="Arial" w:eastAsia="Arial"/>
                <w:sz w:val="16"/>
              </w:rPr>
              <w:t>A path to a cleaner, safer, or more viable option is declared where material.</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Review</w:t>
            </w:r>
          </w:p>
        </w:tc>
        <w:tc>
          <w:tcPr>
            <w:vAlign w:val="top"/>
            <w:tcMar>
              <w:top w:w="70" w:type="dxa"/>
              <w:start w:w="80" w:type="dxa"/>
              <w:bottom w:w="70" w:type="dxa"/>
              <w:end w:w="80" w:type="dxa"/>
            </w:tcMar>
            <w:shd w:fill="FFFFFF"/>
          </w:tcPr>
          <w:p>
            <w:pPr>
              <w:pStyle w:val="Compact"/>
              <w:jc w:val="left"/>
            </w:pPr>
            <w:r>
              <w:rPr>
                <w:rFonts w:ascii="Arial" w:hAnsi="Arial" w:eastAsia="Arial"/>
                <w:sz w:val="16"/>
              </w:rPr>
              <w:t>Monitoring and re-evaluation triggers are declared.</w:t>
            </w:r>
          </w:p>
        </w:tc>
      </w:tr>
    </w:tbl>
    <w:p>
      <w:pPr>
        <w:pStyle w:val="BodyText"/>
      </w:pPr>
      <w:r>
        <w:t>The necessity corridor prevents CSV from becoming impossible purity ethics while preserving its ability to block structural laundering.</w:t>
      </w:r>
    </w:p>
    <w:bookmarkEnd w:id="154"/>
    <w:bookmarkEnd w:id="155"/>
    <w:bookmarkStart w:id="156" w:name="X0e249cf9d93b7660f71807b00968fccc95da3f6"/>
    <w:p>
      <w:pPr>
        <w:pStyle w:val="Heading2"/>
      </w:pPr>
      <w:r>
        <w:t>9.4 CSV Diagnostic Concern Scale (Normative guidance)</w:t>
      </w:r>
    </w:p>
    <w:p>
      <w:pPr>
        <w:pStyle w:val="FirstParagraph"/>
      </w:pPr>
      <w:r>
        <w:t>CSV MAY use internal diagnostic concern levels. These levels are not an RLS score and MUST NOT be treated as final welfare ranking.</w:t>
      </w:r>
    </w:p>
    <w:tbl>
      <w:tblPr>
        <w:tblStyle w:val="Table"/>
        <w:tblW w:type="auto" w:w="0"/>
        <w:jc w:val="center"/>
        <w:tblLook w:firstRow="1" w:lastRow="0" w:firstColumn="0" w:lastColumn="0" w:noHBand="0" w:noVBand="0" w:val="0020"/>
      </w:tblPr>
      <w:tblGrid>
        <w:gridCol w:w="2640"/>
        <w:gridCol w:w="2640"/>
        <w:gridCol w:w="2640"/>
      </w:tblGrid>
      <w:tr>
        <w:trPr>
          <w:tblHeader w:val="on"/>
          <w:tblHeader w:val="true"/>
          <w:cantSplit/>
        </w:trPr>
        <w:tc>
          <w:tcPr>
            <w:vAlign w:val="top"/>
            <w:tcMar>
              <w:top w:w="70" w:type="dxa"/>
              <w:start w:w="80" w:type="dxa"/>
              <w:bottom w:w="70" w:type="dxa"/>
              <w:end w:w="80" w:type="dxa"/>
            </w:tcMar>
            <w:shd w:fill="1F4E78"/>
          </w:tcPr>
          <w:p>
            <w:pPr>
              <w:pStyle w:val="Compact"/>
              <w:jc w:val="left"/>
            </w:pPr>
            <w:r>
              <w:rPr>
                <w:rFonts w:ascii="Arial" w:hAnsi="Arial" w:eastAsia="Arial"/>
                <w:b/>
                <w:color w:val="FFFFFF"/>
                <w:sz w:val="16"/>
              </w:rPr>
              <w:t>Level</w:t>
            </w:r>
          </w:p>
        </w:tc>
        <w:tc>
          <w:tcPr>
            <w:vAlign w:val="top"/>
            <w:tcMar>
              <w:top w:w="70" w:type="dxa"/>
              <w:start w:w="80" w:type="dxa"/>
              <w:bottom w:w="70" w:type="dxa"/>
              <w:end w:w="80" w:type="dxa"/>
            </w:tcMar>
            <w:shd w:fill="1F4E78"/>
          </w:tcPr>
          <w:p>
            <w:pPr>
              <w:pStyle w:val="Compact"/>
              <w:jc w:val="left"/>
            </w:pPr>
            <w:r>
              <w:rPr>
                <w:rFonts w:ascii="Arial" w:hAnsi="Arial" w:eastAsia="Arial"/>
                <w:b/>
                <w:color w:val="FFFFFF"/>
                <w:sz w:val="16"/>
              </w:rPr>
              <w:t>Meaning</w:t>
            </w:r>
          </w:p>
        </w:tc>
        <w:tc>
          <w:tcPr>
            <w:vAlign w:val="top"/>
            <w:tcMar>
              <w:top w:w="70" w:type="dxa"/>
              <w:start w:w="80" w:type="dxa"/>
              <w:bottom w:w="70" w:type="dxa"/>
              <w:end w:w="80" w:type="dxa"/>
            </w:tcMar>
            <w:shd w:fill="1F4E78"/>
          </w:tcPr>
          <w:p>
            <w:pPr>
              <w:pStyle w:val="Compact"/>
              <w:jc w:val="left"/>
            </w:pPr>
            <w:r>
              <w:rPr>
                <w:rFonts w:ascii="Arial" w:hAnsi="Arial" w:eastAsia="Arial"/>
                <w:b/>
                <w:color w:val="FFFFFF"/>
                <w:sz w:val="16"/>
              </w:rPr>
              <w:t>Default disposition</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0</w:t>
            </w:r>
          </w:p>
        </w:tc>
        <w:tc>
          <w:tcPr>
            <w:vAlign w:val="top"/>
            <w:tcMar>
              <w:top w:w="70" w:type="dxa"/>
              <w:start w:w="80" w:type="dxa"/>
              <w:bottom w:w="70" w:type="dxa"/>
              <w:end w:w="80" w:type="dxa"/>
            </w:tcMar>
            <w:shd w:fill="D9EAF7"/>
          </w:tcPr>
          <w:p>
            <w:pPr>
              <w:pStyle w:val="Compact"/>
              <w:jc w:val="left"/>
            </w:pPr>
            <w:r>
              <w:rPr>
                <w:rFonts w:ascii="Arial" w:hAnsi="Arial" w:eastAsia="Arial"/>
                <w:sz w:val="16"/>
              </w:rPr>
              <w:t>No material CSV concern.</w:t>
            </w:r>
          </w:p>
        </w:tc>
        <w:tc>
          <w:tcPr>
            <w:vAlign w:val="top"/>
            <w:tcMar>
              <w:top w:w="70" w:type="dxa"/>
              <w:start w:w="80" w:type="dxa"/>
              <w:bottom w:w="70" w:type="dxa"/>
              <w:end w:w="80" w:type="dxa"/>
            </w:tcMar>
            <w:shd w:fill="D9EAF7"/>
          </w:tcPr>
          <w:p>
            <w:pPr>
              <w:pStyle w:val="Compact"/>
              <w:jc w:val="left"/>
            </w:pPr>
            <w:r>
              <w:rPr>
                <w:rFonts w:ascii="Arial" w:hAnsi="Arial" w:eastAsia="Arial"/>
                <w:sz w:val="16"/>
              </w:rPr>
              <w:t>CSV_PASS.</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1</w:t>
            </w:r>
          </w:p>
        </w:tc>
        <w:tc>
          <w:tcPr>
            <w:vAlign w:val="top"/>
            <w:tcMar>
              <w:top w:w="70" w:type="dxa"/>
              <w:start w:w="80" w:type="dxa"/>
              <w:bottom w:w="70" w:type="dxa"/>
              <w:end w:w="80" w:type="dxa"/>
            </w:tcMar>
            <w:shd w:fill="FFFFFF"/>
          </w:tcPr>
          <w:p>
            <w:pPr>
              <w:pStyle w:val="Compact"/>
              <w:jc w:val="left"/>
            </w:pPr>
            <w:r>
              <w:rPr>
                <w:rFonts w:ascii="Arial" w:hAnsi="Arial" w:eastAsia="Arial"/>
                <w:sz w:val="16"/>
              </w:rPr>
              <w:t>Minor residual concern.</w:t>
            </w:r>
          </w:p>
        </w:tc>
        <w:tc>
          <w:tcPr>
            <w:vAlign w:val="top"/>
            <w:tcMar>
              <w:top w:w="70" w:type="dxa"/>
              <w:start w:w="80" w:type="dxa"/>
              <w:bottom w:w="70" w:type="dxa"/>
              <w:end w:w="80" w:type="dxa"/>
            </w:tcMar>
            <w:shd w:fill="FFFFFF"/>
          </w:tcPr>
          <w:p>
            <w:pPr>
              <w:pStyle w:val="Compact"/>
              <w:jc w:val="left"/>
            </w:pPr>
            <w:r>
              <w:rPr>
                <w:rFonts w:ascii="Arial" w:hAnsi="Arial" w:eastAsia="Arial"/>
                <w:sz w:val="16"/>
              </w:rPr>
              <w:t>Carry to RLS and monitoring.</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2</w:t>
            </w:r>
          </w:p>
        </w:tc>
        <w:tc>
          <w:tcPr>
            <w:vAlign w:val="top"/>
            <w:tcMar>
              <w:top w:w="70" w:type="dxa"/>
              <w:start w:w="80" w:type="dxa"/>
              <w:bottom w:w="70" w:type="dxa"/>
              <w:end w:w="80" w:type="dxa"/>
            </w:tcMar>
            <w:shd w:fill="D9EAF7"/>
          </w:tcPr>
          <w:p>
            <w:pPr>
              <w:pStyle w:val="Compact"/>
              <w:jc w:val="left"/>
            </w:pPr>
            <w:r>
              <w:rPr>
                <w:rFonts w:ascii="Arial" w:hAnsi="Arial" w:eastAsia="Arial"/>
                <w:sz w:val="16"/>
              </w:rPr>
              <w:t>Material concern requiring controls.</w:t>
            </w:r>
          </w:p>
        </w:tc>
        <w:tc>
          <w:tcPr>
            <w:vAlign w:val="top"/>
            <w:tcMar>
              <w:top w:w="70" w:type="dxa"/>
              <w:start w:w="80" w:type="dxa"/>
              <w:bottom w:w="70" w:type="dxa"/>
              <w:end w:w="80" w:type="dxa"/>
            </w:tcMar>
            <w:shd w:fill="D9EAF7"/>
          </w:tcPr>
          <w:p>
            <w:pPr>
              <w:pStyle w:val="Compact"/>
              <w:jc w:val="left"/>
            </w:pPr>
            <w:r>
              <w:rPr>
                <w:rFonts w:ascii="Arial" w:hAnsi="Arial" w:eastAsia="Arial"/>
                <w:sz w:val="16"/>
              </w:rPr>
              <w:t>CSV_PASS_WITH_CONTROLS if controls are binding.</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3</w:t>
            </w:r>
          </w:p>
        </w:tc>
        <w:tc>
          <w:tcPr>
            <w:vAlign w:val="top"/>
            <w:tcMar>
              <w:top w:w="70" w:type="dxa"/>
              <w:start w:w="80" w:type="dxa"/>
              <w:bottom w:w="70" w:type="dxa"/>
              <w:end w:w="80" w:type="dxa"/>
            </w:tcMar>
            <w:shd w:fill="FFFFFF"/>
          </w:tcPr>
          <w:p>
            <w:pPr>
              <w:pStyle w:val="Compact"/>
              <w:jc w:val="left"/>
            </w:pPr>
            <w:r>
              <w:rPr>
                <w:rFonts w:ascii="Arial" w:hAnsi="Arial" w:eastAsia="Arial"/>
                <w:sz w:val="16"/>
              </w:rPr>
              <w:t>Serious concern requiring redesign or higher review.</w:t>
            </w:r>
          </w:p>
        </w:tc>
        <w:tc>
          <w:tcPr>
            <w:vAlign w:val="top"/>
            <w:tcMar>
              <w:top w:w="70" w:type="dxa"/>
              <w:start w:w="80" w:type="dxa"/>
              <w:bottom w:w="70" w:type="dxa"/>
              <w:end w:w="80" w:type="dxa"/>
            </w:tcMar>
            <w:shd w:fill="FFFFFF"/>
          </w:tcPr>
          <w:p>
            <w:pPr>
              <w:pStyle w:val="Compact"/>
              <w:jc w:val="left"/>
            </w:pPr>
            <w:r>
              <w:rPr>
                <w:rFonts w:ascii="Arial" w:hAnsi="Arial" w:eastAsia="Arial"/>
                <w:sz w:val="16"/>
              </w:rPr>
              <w:t>CSV_REDESIGN_REQUIRED or CSV_ESCALATE.</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4</w:t>
            </w:r>
          </w:p>
        </w:tc>
        <w:tc>
          <w:tcPr>
            <w:vAlign w:val="top"/>
            <w:tcMar>
              <w:top w:w="70" w:type="dxa"/>
              <w:start w:w="80" w:type="dxa"/>
              <w:bottom w:w="70" w:type="dxa"/>
              <w:end w:w="80" w:type="dxa"/>
            </w:tcMar>
            <w:shd w:fill="D9EAF7"/>
          </w:tcPr>
          <w:p>
            <w:pPr>
              <w:pStyle w:val="Compact"/>
              <w:jc w:val="left"/>
            </w:pPr>
            <w:r>
              <w:rPr>
                <w:rFonts w:ascii="Arial" w:hAnsi="Arial" w:eastAsia="Arial"/>
                <w:sz w:val="16"/>
              </w:rPr>
              <w:t>Gate-failing concern.</w:t>
            </w:r>
          </w:p>
        </w:tc>
        <w:tc>
          <w:tcPr>
            <w:vAlign w:val="top"/>
            <w:tcMar>
              <w:top w:w="70" w:type="dxa"/>
              <w:start w:w="80" w:type="dxa"/>
              <w:bottom w:w="70" w:type="dxa"/>
              <w:end w:w="80" w:type="dxa"/>
            </w:tcMar>
            <w:shd w:fill="D9EAF7"/>
          </w:tcPr>
          <w:p>
            <w:pPr>
              <w:pStyle w:val="Compact"/>
              <w:jc w:val="left"/>
            </w:pPr>
            <w:r>
              <w:rPr>
                <w:rFonts w:ascii="Arial" w:hAnsi="Arial" w:eastAsia="Arial"/>
                <w:sz w:val="16"/>
              </w:rPr>
              <w:t>CSV_FAIL.</w:t>
            </w:r>
          </w:p>
        </w:tc>
      </w:tr>
    </w:tbl>
    <w:p>
      <w:pPr>
        <w:pStyle w:val="BodyText"/>
      </w:pPr>
      <w:r>
        <w:t>Suggested diagnostic dimensions:</w:t>
      </w:r>
    </w:p>
    <w:p>
      <w:pPr>
        <w:pStyle w:val="Compact"/>
        <w:numPr>
          <w:ilvl w:val="0"/>
          <w:numId w:val="1097"/>
        </w:numPr>
      </w:pPr>
      <w:r>
        <w:t>Containment integrity</w:t>
      </w:r>
    </w:p>
    <w:p>
      <w:pPr>
        <w:pStyle w:val="Compact"/>
        <w:numPr>
          <w:ilvl w:val="0"/>
          <w:numId w:val="1097"/>
        </w:numPr>
      </w:pPr>
      <w:r>
        <w:t>Structural viability</w:t>
      </w:r>
    </w:p>
    <w:p>
      <w:pPr>
        <w:pStyle w:val="Compact"/>
        <w:numPr>
          <w:ilvl w:val="0"/>
          <w:numId w:val="1097"/>
        </w:numPr>
      </w:pPr>
      <w:r>
        <w:t>Hollowing risk</w:t>
      </w:r>
    </w:p>
    <w:p>
      <w:pPr>
        <w:pStyle w:val="Compact"/>
        <w:numPr>
          <w:ilvl w:val="0"/>
          <w:numId w:val="1097"/>
        </w:numPr>
      </w:pPr>
      <w:r>
        <w:t>Dependency or lock-in risk</w:t>
      </w:r>
    </w:p>
    <w:p>
      <w:pPr>
        <w:pStyle w:val="Compact"/>
        <w:numPr>
          <w:ilvl w:val="0"/>
          <w:numId w:val="1097"/>
        </w:numPr>
      </w:pPr>
      <w:r>
        <w:t>Substitution pressure</w:t>
      </w:r>
    </w:p>
    <w:p>
      <w:pPr>
        <w:pStyle w:val="Compact"/>
        <w:numPr>
          <w:ilvl w:val="0"/>
          <w:numId w:val="1097"/>
        </w:numPr>
      </w:pPr>
      <w:r>
        <w:t>Mitigation adequacy</w:t>
      </w:r>
    </w:p>
    <w:p>
      <w:pPr>
        <w:pStyle w:val="Compact"/>
        <w:numPr>
          <w:ilvl w:val="0"/>
          <w:numId w:val="1097"/>
        </w:numPr>
      </w:pPr>
      <w:r>
        <w:t>Monitoring adequacy</w:t>
      </w:r>
    </w:p>
    <w:p>
      <w:pPr>
        <w:pStyle w:val="Compact"/>
        <w:numPr>
          <w:ilvl w:val="0"/>
          <w:numId w:val="1097"/>
        </w:numPr>
      </w:pPr>
      <w:r>
        <w:t>Reversibility / exit</w:t>
      </w:r>
    </w:p>
    <w:p>
      <w:pPr>
        <w:pStyle w:val="Compact"/>
        <w:numPr>
          <w:ilvl w:val="0"/>
          <w:numId w:val="1097"/>
        </w:numPr>
      </w:pPr>
      <w:r>
        <w:t>Accumulation risk</w:t>
      </w:r>
    </w:p>
    <w:p>
      <w:pPr>
        <w:pStyle w:val="Compact"/>
        <w:numPr>
          <w:ilvl w:val="0"/>
          <w:numId w:val="1097"/>
        </w:numPr>
      </w:pPr>
      <w:r>
        <w:t>Governance or legitimacy stress</w:t>
      </w:r>
    </w:p>
    <w:p>
      <w:pPr>
        <w:pStyle w:val="FirstParagraph"/>
      </w:pPr>
      <w:r>
        <w:t>Default status rule:</w:t>
      </w:r>
    </w:p>
    <w:p>
      <w:pPr>
        <w:pStyle w:val="BodyText"/>
      </w:pPr>
      <w:r>
        <w:t>If any material diagnostic = 4, CSV_FAIL.</w:t>
      </w:r>
      <w:r>
        <w:t xml:space="preserve"> </w:t>
      </w:r>
      <w:r>
        <w:t>If any material diagnostic = 3, CSV_REDESIGN_REQUIRED or CSV_ESCALATE.</w:t>
      </w:r>
      <w:r>
        <w:t xml:space="preserve"> </w:t>
      </w:r>
      <w:r>
        <w:t>If any material diagnostic = 2, CSV_PASS_WITH_CONTROLS only if controls are binding and auditable.</w:t>
      </w:r>
      <w:r>
        <w:t xml:space="preserve"> </w:t>
      </w:r>
      <w:r>
        <w:t>If all material diagnostics are 0 or 1, CSV_PASS and residuals carry to RLS.</w:t>
      </w:r>
    </w:p>
    <w:bookmarkEnd w:id="156"/>
    <w:bookmarkStart w:id="157" w:name="Xc988c8e5aada4f5d492ae6b5e9d15962f19e365"/>
    <w:p>
      <w:pPr>
        <w:pStyle w:val="Heading2"/>
      </w:pPr>
      <w:r>
        <w:t>9.5 Formal CSV Predicate (Normative)</w:t>
      </w:r>
    </w:p>
    <w:p>
      <w:pPr>
        <w:pStyle w:val="FirstParagraph"/>
      </w:pPr>
      <w:r>
        <w:t>Let A_adm be the set of options that pass NCRC and TRC, subject to Reality Grounding supporting the claim boundary.</w:t>
      </w:r>
    </w:p>
    <w:p>
      <w:pPr>
        <w:pStyle w:val="BodyText"/>
      </w:pPr>
      <w:r>
        <w:t>For each option a in A_adm, compute CSV_status(a).</w:t>
      </w:r>
    </w:p>
    <w:p>
      <w:pPr>
        <w:pStyle w:val="BodyText"/>
      </w:pPr>
      <w:r>
        <w:t>Default selectable set:</w:t>
      </w:r>
    </w:p>
    <w:p>
      <w:pPr>
        <w:pStyle w:val="BodyText"/>
      </w:pPr>
      <w:r>
        <w:t>A_sel = {a in A_adm : CSV_status(a) in {CSV_PASS, CSV_PASS_WITH_CONTROLS, CSV_NOT_MATERIAL}}</w:t>
      </w:r>
    </w:p>
    <w:p>
      <w:pPr>
        <w:pStyle w:val="BodyText"/>
      </w:pPr>
      <w:r>
        <w:t>Emergency provisional options are not ordinary members of A_sel. A CSV_EMERGENCY_PROVISIONAL option may be temporarily selected only through emergency protocol, with explicit time limit, harm cap, mitigation, review, and no full alignment claim.</w:t>
      </w:r>
    </w:p>
    <w:p>
      <w:pPr>
        <w:pStyle w:val="BodyText"/>
      </w:pPr>
      <w:r>
        <w:t>CSV_NOT_MATERIAL is pass-equivalent only for the declared claim boundary after the PCC records the rationale that no material CSV burden is present. It MUST NOT be used to waive Structural Viability subchecks when execution feasibility, resource closure, dependency closure, reversibility, operational capacity, or internal coherence is material. In high-stakes or execution-bearing runs, CSV_NOT_MATERIAL may apply to the containment-integrity dimension while Structural Viability remains separately required where execution feasibility is material. If later evidence makes CSV material, CSV MUST be rerun.</w:t>
      </w:r>
    </w:p>
    <w:p>
      <w:pPr>
        <w:pStyle w:val="BodyText"/>
      </w:pPr>
      <w:r>
        <w:t>RLS is applied only to A_sel, except where emergency protocol explicitly invokes fallback comparison.</w:t>
      </w:r>
    </w:p>
    <w:bookmarkEnd w:id="157"/>
    <w:bookmarkStart w:id="158" w:name="Xb31e192922d91f5db27d3355849b17997b22136"/>
    <w:p>
      <w:pPr>
        <w:pStyle w:val="Heading2"/>
      </w:pPr>
      <w:r>
        <w:t>9.6 UCI, HOI, and Structural Diagnostic Placement (Normative)</w:t>
      </w:r>
    </w:p>
    <w:p>
      <w:pPr>
        <w:pStyle w:val="FirstParagraph"/>
      </w:pPr>
      <w:r>
        <w:t>CSV is the authority layer for cross-scale structural integrity. UCI, HOI, Adaptive Reserve, and related structural indicators are diagnostic instruments. When such indicators are material to whether an option degrades a containing union, hollows out capacity, creates dependency, or undermines structural viability, they are evaluated inside CSV before RLS.</w:t>
      </w:r>
    </w:p>
    <w:p>
      <w:pPr>
        <w:pStyle w:val="BodyText"/>
      </w:pPr>
      <w:r>
        <w:t>UCI/HOI are not public cascade stages. They are not separate gates by default. They are structural diagnostics inside CSV when material, and residual tie-break or monitoring signals only after options are already selectable and RLS is tied, close, uncertainty-overlapped, or non-decisive.</w:t>
      </w:r>
    </w:p>
    <w:p>
      <w:pPr>
        <w:pStyle w:val="BodyText"/>
      </w:pPr>
      <w:r>
        <w:t>If UCI/HOI or equivalent structural diagnostic evidence is required for a CSV determination and unavailable, the implementation SHALL record CSV_STRUCTURAL_DIAGNOSTIC_UNAVAILABLE or the more specific CSV_UCI_HOI_UNAVAILABLE flag. A run with unresolved material diagnostic unavailability SHALL NOT claim an unqualified CSV pass or Tier 3 CSV conformance.</w:t>
      </w:r>
    </w:p>
    <w:bookmarkEnd w:id="158"/>
    <w:bookmarkStart w:id="159" w:name="X63d95cdf22047d45bf1ad7fe07abcf236f9d99c"/>
    <w:p>
      <w:pPr>
        <w:pStyle w:val="Heading2"/>
      </w:pPr>
      <w:r>
        <w:t>9.7 CSV Fail Conditions (Normative)</w:t>
      </w:r>
    </w:p>
    <w:p>
      <w:pPr>
        <w:pStyle w:val="FirstParagraph"/>
      </w:pPr>
      <w:r>
        <w:t>CSV MUST fail, redesign, or escalate an option when any of the following are material and unresolved:</w:t>
      </w:r>
    </w:p>
    <w:p>
      <w:pPr>
        <w:pStyle w:val="Compact"/>
        <w:numPr>
          <w:ilvl w:val="0"/>
          <w:numId w:val="1098"/>
        </w:numPr>
      </w:pPr>
      <w:r>
        <w:t>Container destruction: the option damages the system that makes the claimed benefit possible.</w:t>
      </w:r>
    </w:p>
    <w:p>
      <w:pPr>
        <w:pStyle w:val="Compact"/>
        <w:numPr>
          <w:ilvl w:val="0"/>
          <w:numId w:val="1098"/>
        </w:numPr>
      </w:pPr>
      <w:r>
        <w:t>Forced externalization: the option works by pushing burden onto people, ecosystems, or future agents who cannot consent, contest, or recover.</w:t>
      </w:r>
    </w:p>
    <w:p>
      <w:pPr>
        <w:pStyle w:val="Compact"/>
        <w:numPr>
          <w:ilvl w:val="0"/>
          <w:numId w:val="1098"/>
        </w:numPr>
      </w:pPr>
      <w:r>
        <w:t>Structural non-viability: the option cannot execute under real resource, dependency, capacity, authority, or contradiction constraints.</w:t>
      </w:r>
    </w:p>
    <w:p>
      <w:pPr>
        <w:pStyle w:val="Compact"/>
        <w:numPr>
          <w:ilvl w:val="0"/>
          <w:numId w:val="1098"/>
        </w:numPr>
      </w:pPr>
      <w:r>
        <w:t>Hollowing: the option improves surface metrics while weakening the deeper capacity the metric was meant to serve.</w:t>
      </w:r>
    </w:p>
    <w:p>
      <w:pPr>
        <w:pStyle w:val="Compact"/>
        <w:numPr>
          <w:ilvl w:val="0"/>
          <w:numId w:val="1098"/>
        </w:numPr>
      </w:pPr>
      <w:r>
        <w:t>Lock-in or dependency: the option creates avoidable dependency that makes better futures harder.</w:t>
      </w:r>
    </w:p>
    <w:p>
      <w:pPr>
        <w:pStyle w:val="Compact"/>
        <w:numPr>
          <w:ilvl w:val="0"/>
          <w:numId w:val="1098"/>
        </w:numPr>
      </w:pPr>
      <w:r>
        <w:t>Unbounded accumulation: individually small harms scale into systemic degradation when repeated.</w:t>
      </w:r>
    </w:p>
    <w:p>
      <w:pPr>
        <w:pStyle w:val="Compact"/>
        <w:numPr>
          <w:ilvl w:val="0"/>
          <w:numId w:val="1098"/>
        </w:numPr>
      </w:pPr>
      <w:r>
        <w:t>Unmonitored invisible harm: material harms exist without monitoring, audit, review, or feedback path.</w:t>
      </w:r>
    </w:p>
    <w:p>
      <w:pPr>
        <w:pStyle w:val="Compact"/>
        <w:numPr>
          <w:ilvl w:val="0"/>
          <w:numId w:val="1098"/>
        </w:numPr>
      </w:pPr>
      <w:r>
        <w:t>Better feasible alternative ignored: a much cleaner or safer feasible option exists, but the harmful option is chosen for convenience, status, or profit.</w:t>
      </w:r>
    </w:p>
    <w:bookmarkEnd w:id="159"/>
    <w:bookmarkStart w:id="160" w:name="X3db7f0b59b3cfb1329f59173fa2d579eb0b98a8"/>
    <w:p>
      <w:pPr>
        <w:pStyle w:val="Heading2"/>
      </w:pPr>
      <w:r>
        <w:t>9.8 CSV Pass Conditions (Normative)</w:t>
      </w:r>
    </w:p>
    <w:p>
      <w:pPr>
        <w:pStyle w:val="FirstParagraph"/>
      </w:pPr>
      <w:r>
        <w:t>CSV MAY pass an option when harms are visible, rights floors are intact, tail risk is bounded, containment burden is limited, structural viability is real, externalities are mitigated, residual harms are carried into RLS, monitoring exists where needed, lock-in is avoided or justified, better alternatives are unavailable or disproportionate, and transition or review plans exist where material.</w:t>
      </w:r>
    </w:p>
    <w:p>
      <w:pPr>
        <w:pStyle w:val="BodyText"/>
      </w:pPr>
      <w:r>
        <w:t>Plain-language test:</w:t>
      </w:r>
    </w:p>
    <w:p>
      <w:pPr>
        <w:pStyle w:val="BodyText"/>
      </w:pPr>
      <w:r>
        <w:t>Harm does not equal fail. Hidden, unbounded, unjust, irreversible, or structurally degrading harm equals fail, redesign, escalation, or emergency provisional treatment.</w:t>
      </w:r>
    </w:p>
    <w:bookmarkEnd w:id="160"/>
    <w:bookmarkStart w:id="161" w:name="X6c0cd97793cb0cc7558404d52070197c02f412c"/>
    <w:p>
      <w:pPr>
        <w:pStyle w:val="Heading2"/>
      </w:pPr>
      <w:r>
        <w:t>9.9 Worked Normative Example: Backup Diesel Generator (Informative but Canon-Guiding)</w:t>
      </w:r>
    </w:p>
    <w:p>
      <w:pPr>
        <w:pStyle w:val="FirstParagraph"/>
      </w:pPr>
      <w:r>
        <w:t>A small organic cafe may need a backup diesel generator during power cuts. The generator produces smoke, noise, local air pollution, and emissions. Without it, the cafe may lose food, income, jobs, community function, and operational continuity.</w:t>
      </w:r>
    </w:p>
    <w:p>
      <w:pPr>
        <w:pStyle w:val="BodyText"/>
      </w:pPr>
      <w:r>
        <w:t>CSV MUST NOT treat this as an automatic fail merely because harm exists. CSV MUST also not allow the cafe's local survival benefit to hide uncontained harm.</w:t>
      </w:r>
    </w:p>
    <w:p>
      <w:pPr>
        <w:pStyle w:val="BodyText"/>
      </w:pPr>
      <w:r>
        <w:t>Illustrative dispositions:</w:t>
      </w:r>
    </w:p>
    <w:tbl>
      <w:tblPr>
        <w:tblStyle w:val="Table"/>
        <w:tblW w:type="auto" w:w="0"/>
        <w:jc w:val="center"/>
        <w:tblLook w:firstRow="1" w:lastRow="0" w:firstColumn="0" w:lastColumn="0" w:noHBand="0" w:noVBand="0" w:val="0020"/>
      </w:tblPr>
      <w:tblGrid>
        <w:gridCol w:w="2640"/>
        <w:gridCol w:w="2640"/>
        <w:gridCol w:w="2640"/>
      </w:tblGrid>
      <w:tr>
        <w:trPr>
          <w:tblHeader w:val="on"/>
          <w:tblHeader w:val="true"/>
          <w:cantSplit/>
        </w:trPr>
        <w:tc>
          <w:tcPr>
            <w:vAlign w:val="top"/>
            <w:tcMar>
              <w:top w:w="70" w:type="dxa"/>
              <w:start w:w="80" w:type="dxa"/>
              <w:bottom w:w="70" w:type="dxa"/>
              <w:end w:w="80" w:type="dxa"/>
            </w:tcMar>
            <w:shd w:fill="1F4E78"/>
          </w:tcPr>
          <w:p>
            <w:pPr>
              <w:pStyle w:val="Compact"/>
              <w:jc w:val="left"/>
            </w:pPr>
            <w:r>
              <w:rPr>
                <w:rFonts w:ascii="Arial" w:hAnsi="Arial" w:eastAsia="Arial"/>
                <w:b/>
                <w:color w:val="FFFFFF"/>
                <w:sz w:val="16"/>
              </w:rPr>
              <w:t>Generator condition</w:t>
            </w:r>
          </w:p>
        </w:tc>
        <w:tc>
          <w:tcPr>
            <w:vAlign w:val="top"/>
            <w:tcMar>
              <w:top w:w="70" w:type="dxa"/>
              <w:start w:w="80" w:type="dxa"/>
              <w:bottom w:w="70" w:type="dxa"/>
              <w:end w:w="80" w:type="dxa"/>
            </w:tcMar>
            <w:shd w:fill="1F4E78"/>
          </w:tcPr>
          <w:p>
            <w:pPr>
              <w:pStyle w:val="Compact"/>
              <w:jc w:val="left"/>
            </w:pPr>
            <w:r>
              <w:rPr>
                <w:rFonts w:ascii="Arial" w:hAnsi="Arial" w:eastAsia="Arial"/>
                <w:b/>
                <w:color w:val="FFFFFF"/>
                <w:sz w:val="16"/>
              </w:rPr>
              <w:t>CSV disposition</w:t>
            </w:r>
          </w:p>
        </w:tc>
        <w:tc>
          <w:tcPr>
            <w:vAlign w:val="top"/>
            <w:tcMar>
              <w:top w:w="70" w:type="dxa"/>
              <w:start w:w="80" w:type="dxa"/>
              <w:bottom w:w="70" w:type="dxa"/>
              <w:end w:w="80" w:type="dxa"/>
            </w:tcMar>
            <w:shd w:fill="1F4E78"/>
          </w:tcPr>
          <w:p>
            <w:pPr>
              <w:pStyle w:val="Compact"/>
              <w:jc w:val="left"/>
            </w:pPr>
            <w:r>
              <w:rPr>
                <w:rFonts w:ascii="Arial" w:hAnsi="Arial" w:eastAsia="Arial"/>
                <w:b/>
                <w:color w:val="FFFFFF"/>
                <w:sz w:val="16"/>
              </w:rPr>
              <w:t>Rationale</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Generator used indoors, near air intakes, or near vulnerable people without controls.</w:t>
            </w:r>
          </w:p>
        </w:tc>
        <w:tc>
          <w:tcPr>
            <w:vAlign w:val="top"/>
            <w:tcMar>
              <w:top w:w="70" w:type="dxa"/>
              <w:start w:w="80" w:type="dxa"/>
              <w:bottom w:w="70" w:type="dxa"/>
              <w:end w:w="80" w:type="dxa"/>
            </w:tcMar>
            <w:shd w:fill="D9EAF7"/>
          </w:tcPr>
          <w:p>
            <w:pPr>
              <w:pStyle w:val="Compact"/>
              <w:jc w:val="left"/>
            </w:pPr>
            <w:r>
              <w:rPr>
                <w:rFonts w:ascii="Arial" w:hAnsi="Arial" w:eastAsia="Arial"/>
                <w:sz w:val="16"/>
              </w:rPr>
              <w:t>CSV_FAIL or NCRC escalation.</w:t>
            </w:r>
          </w:p>
        </w:tc>
        <w:tc>
          <w:tcPr>
            <w:vAlign w:val="top"/>
            <w:tcMar>
              <w:top w:w="70" w:type="dxa"/>
              <w:start w:w="80" w:type="dxa"/>
              <w:bottom w:w="70" w:type="dxa"/>
              <w:end w:w="80" w:type="dxa"/>
            </w:tcMar>
            <w:shd w:fill="D9EAF7"/>
          </w:tcPr>
          <w:p>
            <w:pPr>
              <w:pStyle w:val="Compact"/>
              <w:jc w:val="left"/>
            </w:pPr>
            <w:r>
              <w:rPr>
                <w:rFonts w:ascii="Arial" w:hAnsi="Arial" w:eastAsia="Arial"/>
                <w:sz w:val="16"/>
              </w:rPr>
              <w:t>Serious health/safety exposure and containment breach.</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Outdoor generator, frequent use, no mitigation, no review, no transition.</w:t>
            </w:r>
          </w:p>
        </w:tc>
        <w:tc>
          <w:tcPr>
            <w:vAlign w:val="top"/>
            <w:tcMar>
              <w:top w:w="70" w:type="dxa"/>
              <w:start w:w="80" w:type="dxa"/>
              <w:bottom w:w="70" w:type="dxa"/>
              <w:end w:w="80" w:type="dxa"/>
            </w:tcMar>
            <w:shd w:fill="FFFFFF"/>
          </w:tcPr>
          <w:p>
            <w:pPr>
              <w:pStyle w:val="Compact"/>
              <w:jc w:val="left"/>
            </w:pPr>
            <w:r>
              <w:rPr>
                <w:rFonts w:ascii="Arial" w:hAnsi="Arial" w:eastAsia="Arial"/>
                <w:sz w:val="16"/>
              </w:rPr>
              <w:t>CSV_REDESIGN_REQUIRED.</w:t>
            </w:r>
          </w:p>
        </w:tc>
        <w:tc>
          <w:tcPr>
            <w:vAlign w:val="top"/>
            <w:tcMar>
              <w:top w:w="70" w:type="dxa"/>
              <w:start w:w="80" w:type="dxa"/>
              <w:bottom w:w="70" w:type="dxa"/>
              <w:end w:w="80" w:type="dxa"/>
            </w:tcMar>
            <w:shd w:fill="FFFFFF"/>
          </w:tcPr>
          <w:p>
            <w:pPr>
              <w:pStyle w:val="Compact"/>
              <w:jc w:val="left"/>
            </w:pPr>
            <w:r>
              <w:rPr>
                <w:rFonts w:ascii="Arial" w:hAnsi="Arial" w:eastAsia="Arial"/>
                <w:sz w:val="16"/>
              </w:rPr>
              <w:t>Harm is visible but insufficiently contained.</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Outdoor generator, limited outages, exhaust away from people, maintenance, fuel controls, noise limits, and transition plan.</w:t>
            </w:r>
          </w:p>
        </w:tc>
        <w:tc>
          <w:tcPr>
            <w:vAlign w:val="top"/>
            <w:tcMar>
              <w:top w:w="70" w:type="dxa"/>
              <w:start w:w="80" w:type="dxa"/>
              <w:bottom w:w="70" w:type="dxa"/>
              <w:end w:w="80" w:type="dxa"/>
            </w:tcMar>
            <w:shd w:fill="D9EAF7"/>
          </w:tcPr>
          <w:p>
            <w:pPr>
              <w:pStyle w:val="Compact"/>
              <w:jc w:val="left"/>
            </w:pPr>
            <w:r>
              <w:rPr>
                <w:rFonts w:ascii="Arial" w:hAnsi="Arial" w:eastAsia="Arial"/>
                <w:sz w:val="16"/>
              </w:rPr>
              <w:t>CSV_PASS_WITH_CONTROLS.</w:t>
            </w:r>
          </w:p>
        </w:tc>
        <w:tc>
          <w:tcPr>
            <w:vAlign w:val="top"/>
            <w:tcMar>
              <w:top w:w="70" w:type="dxa"/>
              <w:start w:w="80" w:type="dxa"/>
              <w:bottom w:w="70" w:type="dxa"/>
              <w:end w:w="80" w:type="dxa"/>
            </w:tcMar>
            <w:shd w:fill="D9EAF7"/>
          </w:tcPr>
          <w:p>
            <w:pPr>
              <w:pStyle w:val="Compact"/>
              <w:jc w:val="left"/>
            </w:pPr>
            <w:r>
              <w:rPr>
                <w:rFonts w:ascii="Arial" w:hAnsi="Arial" w:eastAsia="Arial"/>
                <w:sz w:val="16"/>
              </w:rPr>
              <w:t>Harm is bounded, necessary, mitigated, transparent, and reviewable.</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Battery/inverter feasible now.</w:t>
            </w:r>
          </w:p>
        </w:tc>
        <w:tc>
          <w:tcPr>
            <w:vAlign w:val="top"/>
            <w:tcMar>
              <w:top w:w="70" w:type="dxa"/>
              <w:start w:w="80" w:type="dxa"/>
              <w:bottom w:w="70" w:type="dxa"/>
              <w:end w:w="80" w:type="dxa"/>
            </w:tcMar>
            <w:shd w:fill="FFFFFF"/>
          </w:tcPr>
          <w:p>
            <w:pPr>
              <w:pStyle w:val="Compact"/>
              <w:jc w:val="left"/>
            </w:pPr>
            <w:r>
              <w:rPr>
                <w:rFonts w:ascii="Arial" w:hAnsi="Arial" w:eastAsia="Arial"/>
                <w:sz w:val="16"/>
              </w:rPr>
              <w:t>CSV_PASS; likely higher RLS.</w:t>
            </w:r>
          </w:p>
        </w:tc>
        <w:tc>
          <w:tcPr>
            <w:vAlign w:val="top"/>
            <w:tcMar>
              <w:top w:w="70" w:type="dxa"/>
              <w:start w:w="80" w:type="dxa"/>
              <w:bottom w:w="70" w:type="dxa"/>
              <w:end w:w="80" w:type="dxa"/>
            </w:tcMar>
            <w:shd w:fill="FFFFFF"/>
          </w:tcPr>
          <w:p>
            <w:pPr>
              <w:pStyle w:val="Compact"/>
              <w:jc w:val="left"/>
            </w:pPr>
            <w:r>
              <w:rPr>
                <w:rFonts w:ascii="Arial" w:hAnsi="Arial" w:eastAsia="Arial"/>
                <w:sz w:val="16"/>
              </w:rPr>
              <w:t>Lower containment burden.</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Solar + battery + emergency diesel only.</w:t>
            </w:r>
          </w:p>
        </w:tc>
        <w:tc>
          <w:tcPr>
            <w:vAlign w:val="top"/>
            <w:tcMar>
              <w:top w:w="70" w:type="dxa"/>
              <w:start w:w="80" w:type="dxa"/>
              <w:bottom w:w="70" w:type="dxa"/>
              <w:end w:w="80" w:type="dxa"/>
            </w:tcMar>
            <w:shd w:fill="D9EAF7"/>
          </w:tcPr>
          <w:p>
            <w:pPr>
              <w:pStyle w:val="Compact"/>
              <w:jc w:val="left"/>
            </w:pPr>
            <w:r>
              <w:rPr>
                <w:rFonts w:ascii="Arial" w:hAnsi="Arial" w:eastAsia="Arial"/>
                <w:sz w:val="16"/>
              </w:rPr>
              <w:t>CSV_PASS; likely stronger RLS if feasible.</w:t>
            </w:r>
          </w:p>
        </w:tc>
        <w:tc>
          <w:tcPr>
            <w:vAlign w:val="top"/>
            <w:tcMar>
              <w:top w:w="70" w:type="dxa"/>
              <w:start w:w="80" w:type="dxa"/>
              <w:bottom w:w="70" w:type="dxa"/>
              <w:end w:w="80" w:type="dxa"/>
            </w:tcMar>
            <w:shd w:fill="D9EAF7"/>
          </w:tcPr>
          <w:p>
            <w:pPr>
              <w:pStyle w:val="Compact"/>
              <w:jc w:val="left"/>
            </w:pPr>
            <w:r>
              <w:rPr>
                <w:rFonts w:ascii="Arial" w:hAnsi="Arial" w:eastAsia="Arial"/>
                <w:sz w:val="16"/>
              </w:rPr>
              <w:t>Better resilience/environment balance.</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Closing during outages.</w:t>
            </w:r>
          </w:p>
        </w:tc>
        <w:tc>
          <w:tcPr>
            <w:vAlign w:val="top"/>
            <w:tcMar>
              <w:top w:w="70" w:type="dxa"/>
              <w:start w:w="80" w:type="dxa"/>
              <w:bottom w:w="70" w:type="dxa"/>
              <w:end w:w="80" w:type="dxa"/>
            </w:tcMar>
            <w:shd w:fill="FFFFFF"/>
          </w:tcPr>
          <w:p>
            <w:pPr>
              <w:pStyle w:val="Compact"/>
              <w:jc w:val="left"/>
            </w:pPr>
            <w:r>
              <w:rPr>
                <w:rFonts w:ascii="Arial" w:hAnsi="Arial" w:eastAsia="Arial"/>
                <w:sz w:val="16"/>
              </w:rPr>
              <w:t>CSV_PASS but RLS context-dependent.</w:t>
            </w:r>
          </w:p>
        </w:tc>
        <w:tc>
          <w:tcPr>
            <w:vAlign w:val="top"/>
            <w:tcMar>
              <w:top w:w="70" w:type="dxa"/>
              <w:start w:w="80" w:type="dxa"/>
              <w:bottom w:w="70" w:type="dxa"/>
              <w:end w:w="80" w:type="dxa"/>
            </w:tcMar>
            <w:shd w:fill="FFFFFF"/>
          </w:tcPr>
          <w:p>
            <w:pPr>
              <w:pStyle w:val="Compact"/>
              <w:jc w:val="left"/>
            </w:pPr>
            <w:r>
              <w:rPr>
                <w:rFonts w:ascii="Arial" w:hAnsi="Arial" w:eastAsia="Arial"/>
                <w:sz w:val="16"/>
              </w:rPr>
              <w:t>Avoids smoke but may harm livelihood, waste food, and reduce community function.</w:t>
            </w:r>
          </w:p>
        </w:tc>
      </w:tr>
    </w:tbl>
    <w:p>
      <w:pPr>
        <w:pStyle w:val="BodyText"/>
      </w:pPr>
      <w:r>
        <w:t>Canonical lesson:</w:t>
      </w:r>
    </w:p>
    <w:p>
      <w:pPr>
        <w:pStyle w:val="BodyText"/>
      </w:pPr>
      <w:r>
        <w:t>CSV is not "diesel bad, therefore fail." CSV is "diesel carries a containment burden; if necessary, bounded, mitigated, transparent, monitored, and transitional, it may conditionally pass and be ranked against cleaner options by RLS."</w:t>
      </w:r>
    </w:p>
    <w:bookmarkEnd w:id="161"/>
    <w:bookmarkStart w:id="162" w:name="X7bf1ff993c8da6e1606c8f13fa310d01b89956e"/>
    <w:p>
      <w:pPr>
        <w:pStyle w:val="Heading2"/>
      </w:pPr>
      <w:r>
        <w:t>9.10 RLS Relationship (Normative)</w:t>
      </w:r>
    </w:p>
    <w:p>
      <w:pPr>
        <w:pStyle w:val="FirstParagraph"/>
      </w:pPr>
      <w:r>
        <w:t>RLS ranks only options that survive RG claim support, the Rights Floor (formal NCRC), TRC, and CSV. RLS SHOULD penalize residual harms carried from CSV, including pollution, dependency, lock-in risk, ecological burden, social trust loss, and meaning/agency degradation.</w:t>
      </w:r>
    </w:p>
    <w:p>
      <w:pPr>
        <w:pStyle w:val="BodyText"/>
      </w:pPr>
      <w:r>
        <w:t>RLS MUST NOT rescue CSV failure. CSV protects the doorway into ranking; RLS ranks what may legitimately enter.</w:t>
      </w:r>
    </w:p>
    <w:bookmarkEnd w:id="162"/>
    <w:bookmarkStart w:id="163" w:name="X03c31f72cdb2b6f1dfc6370104861bcdc56ef91"/>
    <w:p>
      <w:pPr>
        <w:pStyle w:val="Heading2"/>
      </w:pPr>
      <w:r>
        <w:t>9.11 CSV Parameter Governance and Escalation (Normative)</w:t>
      </w:r>
    </w:p>
    <w:p>
      <w:pPr>
        <w:pStyle w:val="FirstParagraph"/>
      </w:pPr>
      <w:r>
        <w:t>CSV thresholds, diagnostic concern levels, necessity-corridor judgments, UCI/HOI trigger thresholds, and structural-viability sufficiency standards MUST be recorded in the PCC when material. Tier 3 runs SHOULD include sensitivity analysis over near-binding CSV determinations.</w:t>
      </w:r>
    </w:p>
    <w:p>
      <w:pPr>
        <w:pStyle w:val="BodyText"/>
      </w:pPr>
      <w:r>
        <w:t>If no option passes CSV, the run MUST NOT pretend a good option exists. Required actions include option redesign, additional evidence gathering, transition planning, escalation to a higher governance tier, emergency provisional protocol if genuinely necessary, or refusal of deterministic selection.</w:t>
      </w:r>
    </w:p>
    <w:p>
      <w:pPr>
        <w:pStyle w:val="BodyText"/>
      </w:pPr>
      <w:r>
        <w:t>CSV does not override NCRC or TRC. It operates after admissibility and before residual welfare ranking.</w:t>
      </w:r>
    </w:p>
    <w:bookmarkEnd w:id="163"/>
    <w:bookmarkEnd w:id="164"/>
    <w:bookmarkStart w:id="185" w:name="Xe8fb48709839cd24feb210d04ec47c6cfd911e2"/>
    <w:p>
      <w:pPr>
        <w:pStyle w:val="Heading1"/>
      </w:pPr>
      <w:r>
        <w:t>SECTION 10: OPTIMIZATION LAYER: RIPPLELOGIC SCORE (RLS)</w:t>
      </w:r>
    </w:p>
    <w:bookmarkStart w:id="165" w:name="X35897488dbf3b30272cc4e41c1e963595c07c97"/>
    <w:p>
      <w:pPr>
        <w:pStyle w:val="Heading2"/>
      </w:pPr>
      <w:r>
        <w:t>10.0 Purpose and Scope (Normative)</w:t>
      </w:r>
    </w:p>
    <w:p>
      <w:pPr>
        <w:pStyle w:val="FirstParagraph"/>
      </w:pPr>
      <w:r>
        <w:t>RLS ranks selectable options by expected welfare improvement across unions and dimensions, after ripple propagation and saturation, under declared weights and applicability mask rules.</w:t>
      </w:r>
    </w:p>
    <w:p>
      <w:pPr>
        <w:pStyle w:val="BodyText"/>
      </w:pPr>
      <w:r>
        <w:t>RLS MUST NEVER override NCRC, TRC, or CSV. It operates only on selectable options A_sel.</w:t>
      </w:r>
    </w:p>
    <w:bookmarkEnd w:id="165"/>
    <w:bookmarkStart w:id="166" w:name="Xf05ebe2bd824a678401837561754376d27209dd"/>
    <w:p>
      <w:pPr>
        <w:pStyle w:val="Heading2"/>
      </w:pPr>
      <w:r>
        <w:t>10.1 Normalized RLS Definition (Normative)</w:t>
      </w:r>
    </w:p>
    <w:p>
      <w:pPr>
        <w:pStyle w:val="FirstParagraph"/>
      </w:pPr>
      <w:r>
        <w:t>Define the effective residual cell weight:</w:t>
      </w:r>
    </w:p>
    <w:p>
      <w:pPr>
        <w:pStyle w:val="BodyText"/>
      </w:pPr>
      <w:r>
        <w:t>q(u,d) = w_u · v_d · m(u,d) · κ(u,d)</w:t>
      </w:r>
    </w:p>
    <w:p>
      <w:pPr>
        <w:pStyle w:val="BodyText"/>
      </w:pPr>
      <w:r>
        <w:t>and the active effective mass:</w:t>
      </w:r>
    </w:p>
    <w:p>
      <w:pPr>
        <w:pStyle w:val="BodyText"/>
      </w:pPr>
      <w:r>
        <w:t>Q = Σ_u Σ_d q(u,d)</w:t>
      </w:r>
    </w:p>
    <w:p>
      <w:pPr>
        <w:pStyle w:val="BodyText"/>
      </w:pPr>
      <w:r>
        <w:t>For Q &gt; 0:</w:t>
      </w:r>
    </w:p>
    <w:p>
      <w:pPr>
        <w:pStyle w:val="BodyText"/>
      </w:pPr>
      <w:r>
        <w:t>RLS(a) = [Σ_u Σ_d q(u,d) · I_prop_welfare(u,d,a)] / Q</w:t>
      </w:r>
    </w:p>
    <w:p>
      <w:pPr>
        <w:pStyle w:val="BodyText"/>
      </w:pPr>
      <w:r>
        <w:t>If Q = 0, RLS is undefined and the run MUST return RLS_NO_ACTIVE_MASS, narrow the claim, repair the mask/weight declaration, or refuse deterministic ranking.</w:t>
      </w:r>
    </w:p>
    <w:p>
      <w:pPr>
        <w:pStyle w:val="BodyText"/>
      </w:pPr>
      <w:r>
        <w:t>Where:</w:t>
      </w:r>
    </w:p>
    <w:p>
      <w:pPr>
        <w:pStyle w:val="Compact"/>
        <w:numPr>
          <w:ilvl w:val="0"/>
          <w:numId w:val="1099"/>
        </w:numPr>
      </w:pPr>
      <w:r>
        <w:t>w_u are union weights (HDW-governed; Section 13; Section 13.1 constitutional floors controlling)</w:t>
      </w:r>
    </w:p>
    <w:p>
      <w:pPr>
        <w:pStyle w:val="Compact"/>
        <w:numPr>
          <w:ilvl w:val="0"/>
          <w:numId w:val="1099"/>
        </w:numPr>
      </w:pPr>
      <w:r>
        <w:t>v_d are dimension weights (HDW-governed; Section 13; Section 13.1 constitutional floors controlling)</w:t>
      </w:r>
    </w:p>
    <w:p>
      <w:pPr>
        <w:pStyle w:val="Compact"/>
        <w:numPr>
          <w:ilvl w:val="0"/>
          <w:numId w:val="1099"/>
        </w:numPr>
      </w:pPr>
      <w:r>
        <w:t>m(u,d) is the applicability mask for RLS aggregation only</w:t>
      </w:r>
    </w:p>
    <w:p>
      <w:pPr>
        <w:pStyle w:val="Compact"/>
        <w:numPr>
          <w:ilvl w:val="0"/>
          <w:numId w:val="1099"/>
        </w:numPr>
      </w:pPr>
      <w:r>
        <w:t>κ(u,d) is a declared positive cell multiplier, default 1</w:t>
      </w:r>
    </w:p>
    <w:p>
      <w:pPr>
        <w:pStyle w:val="Compact"/>
        <w:numPr>
          <w:ilvl w:val="0"/>
          <w:numId w:val="1099"/>
        </w:numPr>
      </w:pPr>
      <w:r>
        <w:t>I_prop_welfare(u,d,a) is the post-propagation, post-saturation welfare impact</w:t>
      </w:r>
    </w:p>
    <w:p>
      <w:pPr>
        <w:pStyle w:val="FirstParagraph"/>
      </w:pPr>
      <w:r>
        <w:t>Normalization by Q preserves the public interpretation of RLS within [-1,+1] when cell impacts lie within [-1,+1], including when masks or non-default κ values change the active effective mass.</w:t>
      </w:r>
    </w:p>
    <w:p>
      <w:pPr>
        <w:pStyle w:val="BodyText"/>
      </w:pPr>
      <w:r>
        <w:t>κ(u,d) governance rule (Normative). The default is κ(u,d) = 1. Non-default κ(u,d) values are permitted only for pre-declared, governance-approved cell-level emphasis that does not alter admissibility semantics. Unless a stricter charter rule is declared, κ(u,d) MUST remain positive and bounded within [0.5,1.5]. A non-default κ(u,d) MUST NOT reverse sign, erase or dilute rights-covered or catastrophe-relevant harm, or function as a back-door mask, rights-floor rewrite, or prominence override. Tier 3 runs using non-default κ(u,d) MUST record justification, authorized source, affected cells, Q, and sensitivity reruns in the PCC.</w:t>
      </w:r>
    </w:p>
    <w:p>
      <w:pPr>
        <w:pStyle w:val="BodyText"/>
      </w:pPr>
      <w:r>
        <w:t>Local-use note (Informative). Section 10.2A defines a Practical Local Scope Scoring profile. PLSS preserves the same normalized equation and constructs w_u within the residual mass above constitutional floors.</w:t>
      </w:r>
    </w:p>
    <w:bookmarkEnd w:id="166"/>
    <w:bookmarkStart w:id="167" w:name="X72a6feb00ef597d48589b6453d23fec1fbc4557"/>
    <w:p>
      <w:pPr>
        <w:pStyle w:val="Heading2"/>
      </w:pPr>
      <w:r>
        <w:t>10.2 Applicability Mask Rules (Normative)</w:t>
      </w:r>
    </w:p>
    <w:p>
      <w:pPr>
        <w:pStyle w:val="FirstParagraph"/>
      </w:pPr>
      <w:r>
        <w:t>Masking exists to avoid meaningless aggregation in some contexts, but is a primary gaming vector. Therefore:</w:t>
      </w:r>
    </w:p>
    <w:p>
      <w:pPr>
        <w:pStyle w:val="BodyText"/>
      </w:pPr>
      <w:r>
        <w:t>Definition (Normative). Masking means setting m(u,d)=0, which affects RLS aggregation only. Omission/exclusion means failing to compute, disclose, or evaluate a required cell for NCRC, TRC, or CSV. Masking SHALL NOT be used as a substitute for omission rules.</w:t>
      </w:r>
    </w:p>
    <w:p>
      <w:pPr>
        <w:pStyle w:val="BodyText"/>
      </w:pPr>
      <w:r>
        <w:t>Masking affects RLS aggregation only. Whether a cell must be constructed is determined by active-cell rules (Section 10.3) and tier coverage requirements, not by masking. Accordingly, masking MUST NOT be used to skip or modify:</w:t>
      </w:r>
    </w:p>
    <w:p>
      <w:pPr>
        <w:pStyle w:val="Compact"/>
        <w:numPr>
          <w:ilvl w:val="0"/>
          <w:numId w:val="1100"/>
        </w:numPr>
      </w:pPr>
      <w:r>
        <w:t>Impact construction (Section 5),</w:t>
      </w:r>
    </w:p>
    <w:p>
      <w:pPr>
        <w:pStyle w:val="Compact"/>
        <w:numPr>
          <w:ilvl w:val="0"/>
          <w:numId w:val="1101"/>
        </w:numPr>
      </w:pPr>
      <w:r>
        <w:t>Propagation (Section 6),</w:t>
      </w:r>
    </w:p>
    <w:p>
      <w:pPr>
        <w:pStyle w:val="Compact"/>
        <w:numPr>
          <w:ilvl w:val="0"/>
          <w:numId w:val="1102"/>
        </w:numPr>
      </w:pPr>
      <w:r>
        <w:t>NCRC checks (Section 7),</w:t>
      </w:r>
    </w:p>
    <w:p>
      <w:pPr>
        <w:pStyle w:val="Compact"/>
        <w:numPr>
          <w:ilvl w:val="0"/>
          <w:numId w:val="1103"/>
        </w:numPr>
      </w:pPr>
      <w:r>
        <w:t>TRC loss and CVaR computation (Section 8),</w:t>
      </w:r>
    </w:p>
    <w:p>
      <w:pPr>
        <w:pStyle w:val="Compact"/>
        <w:numPr>
          <w:ilvl w:val="0"/>
          <w:numId w:val="1104"/>
        </w:numPr>
      </w:pPr>
      <w:r>
        <w:t>Or containment evaluation (Section 9).</w:t>
      </w:r>
    </w:p>
    <w:p>
      <w:pPr>
        <w:pStyle w:val="FirstParagraph"/>
      </w:pPr>
      <w:r>
        <w:t>Non-maskable cells (MUST be unmasked):</w:t>
      </w:r>
    </w:p>
    <w:p>
      <w:pPr>
        <w:pStyle w:val="Compact"/>
        <w:numPr>
          <w:ilvl w:val="0"/>
          <w:numId w:val="1105"/>
        </w:numPr>
      </w:pPr>
      <w:r>
        <w:t>All rights-covered cells in any C_r</w:t>
      </w:r>
    </w:p>
    <w:p>
      <w:pPr>
        <w:pStyle w:val="Compact"/>
        <w:numPr>
          <w:ilvl w:val="0"/>
          <w:numId w:val="1106"/>
        </w:numPr>
      </w:pPr>
      <w:r>
        <w:t>All catastrophe cells in C_cat</w:t>
      </w:r>
    </w:p>
    <w:p>
      <w:pPr>
        <w:pStyle w:val="FirstParagraph"/>
      </w:pPr>
      <w:r>
        <w:t>Non-maskable persistence rule (Normative). Rights-covered cells remain non-maskable even after NCRC admissibility filtering. This prevents post-gate dilution and preserves rights-salience when ranking admissible options, especially under adversarial pressure and Goodhart dynamics.</w:t>
      </w:r>
    </w:p>
    <w:p>
      <w:pPr>
        <w:pStyle w:val="BodyText"/>
      </w:pPr>
      <w:r>
        <w:t>Rationale (Informative). The admissibility gates prevent selecting options that violate non-compensatory rights floors, but they do not by themselves prevent near-miss normalization among admissible options. Keeping rights and catastrophe cells in RLS aggregation preserves continuous optimization pressure toward larger safety margins, reduces proxy gaming pressure (for example, satisfying a threshold while degrading adjacent rights conditions), and makes rights and tail-risk performance legible for governance review and accountability.</w:t>
      </w:r>
    </w:p>
    <w:p>
      <w:pPr>
        <w:pStyle w:val="BodyText"/>
      </w:pPr>
      <w:r>
        <w:t>Baseline consistency for non-maskable gate cells (Normative). For any cell in C_r or C_cat that remains included in RLS under the non-maskable persistence rule, the welfare-stream baseline SHALL also use the gate floor-reference baseline unless a governed dual-baseline method is explicitly declared. Where a dual-baseline method is declared, the floor-reference value SHALL remain the controlling value for gate-consistency interpretation and validator conformance.</w:t>
      </w:r>
    </w:p>
    <w:p>
      <w:pPr>
        <w:pStyle w:val="Compact"/>
        <w:numPr>
          <w:ilvl w:val="0"/>
          <w:numId w:val="1107"/>
        </w:numPr>
      </w:pPr>
      <w:r>
        <w:t>Any cells mandated by minimum governance coverage for the run (declared in PCC; default includes at least U₁, primary affected unions, and U₇ Environment when environmental relevance exists)</w:t>
      </w:r>
    </w:p>
    <w:p>
      <w:pPr>
        <w:pStyle w:val="FirstParagraph"/>
      </w:pPr>
      <w:r>
        <w:t>Audit rule: If any non-maskable cell is masked, set audit_flag RIGHTS_CELL_MASKED_INVALID (or CATASTROPHE_CELL_MASKED_INVALID) and PCC is INVALID.</w:t>
      </w:r>
    </w:p>
    <w:bookmarkEnd w:id="167"/>
    <w:bookmarkStart w:id="168" w:name="Xd67b434555a5668ccfaa84f81f02666fc1846bb"/>
    <w:p>
      <w:pPr>
        <w:pStyle w:val="Heading2"/>
      </w:pPr>
      <w:r>
        <w:t>10.2A Practical Local Scope Scoring (PLSS) (Normative)</w:t>
      </w:r>
    </w:p>
    <w:p>
      <w:pPr>
        <w:pStyle w:val="FirstParagraph"/>
      </w:pPr>
      <w:r>
        <w:t>Purpose. PLSS specifies a canon-consistent local-use profile for RippleLogic Score (RLS) when a decision is primarily local in its direct effects, but broader scopes remain morally relevant as rights, tail-risk, and containment guardrails. PLSS allows routine decisions to concentrate most residual welfare-ranking attention on the scopes that are actually live in the decision, without weakening NCRC, TRC, CSV, non-maskable cell rules, or Section 13 constitutional weight floors.</w:t>
      </w:r>
    </w:p>
    <w:p>
      <w:pPr>
        <w:pStyle w:val="BodyText"/>
      </w:pPr>
      <w:r>
        <w:t>Interpretive anchor (Informative). Union Scopes are not a closed list of who matters. They are the stable scopes of aggregation and accountability used by the framework. Stakeholder instances feed the scopes; the scopes ensure that impacts do not disappear.</w:t>
      </w:r>
    </w:p>
    <w:p>
      <w:pPr>
        <w:pStyle w:val="BodyText"/>
      </w:pPr>
      <w:r>
        <w:t>Terminology lock (Informative). LSS names the upstream stakeholder object, PLSS names the residual weight-construction procedure used within RLS, and FLGG - Focus Local, Guard Global - names the governing design principle.</w:t>
      </w:r>
    </w:p>
    <w:bookmarkEnd w:id="168"/>
    <w:bookmarkStart w:id="169" w:name="X7970fd8bdff007c1b86841dc2d2ed98c9e43988"/>
    <w:p>
      <w:pPr>
        <w:pStyle w:val="Heading2"/>
      </w:pPr>
      <w:r>
        <w:t>10.2A.0 Attention-Safety Separation Principle (Normative, architecturally grounded). PLSS operates only within the residual welfare-ranking layer. Admissibility under RF/NCRC, TRC, and CSV SHALL remain invariant under any valid PLSS weight construction satisfying Sections 10.2A.4-10.2A.6. Therefore, a change in PLSS prominence declarations or PLSS weight allocation SHALL NOT convert an inadmissible option into an admissible option. This principle follows from the lexicographic separation of admissibility gates from the welfare-ranking layer.</w:t>
      </w:r>
    </w:p>
    <w:p>
      <w:pPr>
        <w:pStyle w:val="FirstParagraph"/>
      </w:pPr>
      <w:r>
        <w:t>PLSS does not determine who matters; it determines how residual welfare-ranking attention is distributed after universal admissibility conditions have already been imposed.</w:t>
      </w:r>
    </w:p>
    <w:bookmarkEnd w:id="169"/>
    <w:bookmarkStart w:id="170" w:name="X1b4a67d50a5925a03f016f8615be153d112482e"/>
    <w:p>
      <w:pPr>
        <w:pStyle w:val="Heading2"/>
      </w:pPr>
      <w:r>
        <w:t>10.2A.1 Relation to existing gates (Normative)</w:t>
      </w:r>
    </w:p>
    <w:p>
      <w:pPr>
        <w:pStyle w:val="FirstParagraph"/>
      </w:pPr>
      <w:r>
        <w:t>PLSS applies only to welfare ranking within Section 10. It SHALL NOT alter:</w:t>
      </w:r>
    </w:p>
    <w:p>
      <w:pPr>
        <w:pStyle w:val="BodyText"/>
      </w:pPr>
      <w:r>
        <w:t>• NCRC evaluation over the required rights coverage sets C_r,</w:t>
      </w:r>
    </w:p>
    <w:p>
      <w:pPr>
        <w:pStyle w:val="BodyText"/>
      </w:pPr>
      <w:r>
        <w:t>• TRC evaluation over the catastrophe cell set C_cat,</w:t>
      </w:r>
    </w:p>
    <w:p>
      <w:pPr>
        <w:pStyle w:val="BodyText"/>
      </w:pPr>
      <w:r>
        <w:t>• Containment requirements under Section 9,</w:t>
      </w:r>
    </w:p>
    <w:p>
      <w:pPr>
        <w:pStyle w:val="BodyText"/>
      </w:pPr>
      <w:r>
        <w:t>• non-maskable cell requirements under Section 10.2,</w:t>
      </w:r>
    </w:p>
    <w:p>
      <w:pPr>
        <w:pStyle w:val="BodyText"/>
      </w:pPr>
      <w:r>
        <w:t>• constitutional weight floors defined in Section 13.1.</w:t>
      </w:r>
    </w:p>
    <w:p>
      <w:pPr>
        <w:pStyle w:val="BodyText"/>
      </w:pPr>
      <w:r>
        <w:t>A PLSS run therefore remains:</w:t>
      </w:r>
    </w:p>
    <w:p>
      <w:pPr>
        <w:pStyle w:val="BodyText"/>
      </w:pPr>
      <w:r>
        <w:t>• full-scope for admissibility, where required by RF/NCRC, TRC, and CSV,</w:t>
      </w:r>
    </w:p>
    <w:p>
      <w:pPr>
        <w:pStyle w:val="BodyText"/>
      </w:pPr>
      <w:r>
        <w:t>• local-scope only in residual welfare emphasis, after admissibility has been preserved.</w:t>
      </w:r>
    </w:p>
    <w:p>
      <w:pPr>
        <w:pStyle w:val="BodyText"/>
      </w:pPr>
      <w:r>
        <w:t>Structural diagnostic preservation under PLSS (Normative). PLSS SHALL NOT down-weight, omit, mask, or defer structural diagnostic evidence required for Containment. If a local-scope run uses PLSS but plausible containment-relevant UCI/HOI, Adaptive Reserve, lock-in, hollowing, governance-spillover, ecological-spillover, or institutional-capacity evidence exists outside the prominent scopes, that evidence remains admissibility-relevant. The run SHALL escalate, broaden scrutiny, or refuse the stronger local-scope claim when containment-relevant structural evidence is unavailable or unresolved.</w:t>
      </w:r>
    </w:p>
    <w:bookmarkEnd w:id="170"/>
    <w:bookmarkStart w:id="171" w:name="Xc20dac4a7688965022bb9be08bc783477fec447"/>
    <w:p>
      <w:pPr>
        <w:pStyle w:val="Heading2"/>
      </w:pPr>
      <w:r>
        <w:t>10.2A.2 Prominent scopes and guardrail scopes (Normative)</w:t>
      </w:r>
    </w:p>
    <w:p>
      <w:pPr>
        <w:pStyle w:val="FirstParagraph"/>
      </w:pPr>
      <w:r>
        <w:t>For a declared run, each operational Union Scope u ∈ {U1, …, U7} may be classified in the PCC as one of the following:</w:t>
      </w:r>
    </w:p>
    <w:p>
      <w:pPr>
        <w:pStyle w:val="BodyText"/>
      </w:pPr>
      <w:r>
        <w:t>• Prominent scope: a scope whose direct or near-field ripple is substantial enough that it should receive meaningful residual welfare weight in the current run.</w:t>
      </w:r>
    </w:p>
    <w:p>
      <w:pPr>
        <w:pStyle w:val="BodyText"/>
      </w:pPr>
      <w:r>
        <w:t>• Guardrail scope: a scope whose direct ripple in the current run is limited, but which remains protected by constitutional floor weight and by admissibility constraints.</w:t>
      </w:r>
    </w:p>
    <w:p>
      <w:pPr>
        <w:pStyle w:val="BodyText"/>
      </w:pPr>
      <w:r>
        <w:t>Guardrail scope classification SHALL NOT be interpreted as moral irrelevance. A guardrail scope may carry little or no residual weight in a local run, but it remains:</w:t>
      </w:r>
    </w:p>
    <w:p>
      <w:pPr>
        <w:pStyle w:val="BodyText"/>
      </w:pPr>
      <w:r>
        <w:t>• constitutionally represented through Section 13 floors,</w:t>
      </w:r>
    </w:p>
    <w:p>
      <w:pPr>
        <w:pStyle w:val="BodyText"/>
      </w:pPr>
      <w:r>
        <w:t>• admissibility-relevant where rights, catastrophe, or containment conditions apply.</w:t>
      </w:r>
    </w:p>
    <w:bookmarkEnd w:id="171"/>
    <w:bookmarkStart w:id="172" w:name="X732f7fc0955f68e9a5dad16d218bfb181f357dd"/>
    <w:p>
      <w:pPr>
        <w:pStyle w:val="Heading2"/>
      </w:pPr>
      <w:r>
        <w:t>10.2A.3 Representation rule: instances first, scopes second (Normative)</w:t>
      </w:r>
    </w:p>
    <w:p>
      <w:pPr>
        <w:pStyle w:val="FirstParagraph"/>
      </w:pPr>
      <w:r>
        <w:t>PLSS SHALL preserve the Section 2.2A and Section 5 representation architecture:</w:t>
      </w:r>
    </w:p>
    <w:p>
      <w:pPr>
        <w:pStyle w:val="BodyText"/>
      </w:pPr>
      <w:r>
        <w:t>• stakeholder discovery is performed at the instance level,</w:t>
      </w:r>
    </w:p>
    <w:p>
      <w:pPr>
        <w:pStyle w:val="BodyText"/>
      </w:pPr>
      <w:r>
        <w:t>• instances are mapped to one or more Union Scopes,</w:t>
      </w:r>
    </w:p>
    <w:p>
      <w:pPr>
        <w:pStyle w:val="BodyText"/>
      </w:pPr>
      <w:r>
        <w:t>• impacts are aggregated within each scope row,</w:t>
      </w:r>
    </w:p>
    <w:p>
      <w:pPr>
        <w:pStyle w:val="BodyText"/>
      </w:pPr>
      <w:r>
        <w:t>• scope rows are then combined by RLS.</w:t>
      </w:r>
    </w:p>
    <w:p>
      <w:pPr>
        <w:pStyle w:val="BodyText"/>
      </w:pPr>
      <w:r>
        <w:t>Let I_u denote the declared stakeholder instance set mapped to scope u.</w:t>
      </w:r>
    </w:p>
    <w:p>
      <w:pPr>
        <w:pStyle w:val="BodyText"/>
      </w:pPr>
      <w:r>
        <w:t>For non-rights scoring, the default aggregation rule remains the canonical population-weighted mean across affected instances:</w:t>
      </w:r>
    </w:p>
    <w:p>
      <w:pPr>
        <w:pStyle w:val="BodyText"/>
      </w:pPr>
      <w:r>
        <w:t>I_agg(u,d,a) = [ Σ_(i ∈ I_u) π_i · I_i(u,d,a) ] / [ Σ_(i ∈ I_u) π_i ]</w:t>
      </w:r>
    </w:p>
    <w:p>
      <w:pPr>
        <w:pStyle w:val="BodyText"/>
      </w:pPr>
      <w:r>
        <w:t>where π_i is the declared aggregation weight for instance i, for example population share, exposure share, or another declared ReachBasis-consistent basis.</w:t>
      </w:r>
    </w:p>
    <w:p>
      <w:pPr>
        <w:pStyle w:val="BodyText"/>
      </w:pPr>
      <w:r>
        <w:t>For rights-covered cells, aggregation SHALL NOT average away the worst-off subgroup. Rights evaluation remains governed by the worst-off subgroup operator:</w:t>
      </w:r>
    </w:p>
    <w:p>
      <w:pPr>
        <w:pStyle w:val="BodyText"/>
      </w:pPr>
      <w:r>
        <w:t>I_rights(u,d,a) = min_(g ∈ G_(u,d)) I_g(u,d,a)</w:t>
      </w:r>
    </w:p>
    <w:p>
      <w:pPr>
        <w:pStyle w:val="BodyText"/>
      </w:pPr>
      <w:r>
        <w:t>This subsection does not change Section 7 semantics.</w:t>
      </w:r>
    </w:p>
    <w:bookmarkEnd w:id="172"/>
    <w:bookmarkStart w:id="173" w:name="X80225ee572edb911210c7e89859ee12ac1b5567"/>
    <w:p>
      <w:pPr>
        <w:pStyle w:val="Heading2"/>
      </w:pPr>
      <w:r>
        <w:t>10.2A.4 Local prominence signal and residual allocation rule (Normative)</w:t>
      </w:r>
    </w:p>
    <w:p>
      <w:pPr>
        <w:pStyle w:val="FirstParagraph"/>
      </w:pPr>
      <w:r>
        <w:t>PLSS introduces a declared local prominence signal q_u for each scope u, used only to distribute the residual union-weight mass that remains after constitutional floors.</w:t>
      </w:r>
    </w:p>
    <w:p>
      <w:pPr>
        <w:pStyle w:val="BodyText"/>
      </w:pPr>
      <w:r>
        <w:t>Each q_u SHALL be recorded in the PCC and SHALL be justified by reference to the current decision context. A recommended default construction is a declared combination of:</w:t>
      </w:r>
    </w:p>
    <w:p>
      <w:pPr>
        <w:pStyle w:val="BodyText"/>
      </w:pPr>
      <w:r>
        <w:t>• expected magnitude of ripple in scope u,</w:t>
      </w:r>
    </w:p>
    <w:p>
      <w:pPr>
        <w:pStyle w:val="BodyText"/>
      </w:pPr>
      <w:r>
        <w:t>• probability that the effect materializes,</w:t>
      </w:r>
    </w:p>
    <w:p>
      <w:pPr>
        <w:pStyle w:val="BodyText"/>
      </w:pPr>
      <w:r>
        <w:t>• temporal persistence or duration,</w:t>
      </w:r>
    </w:p>
    <w:p>
      <w:pPr>
        <w:pStyle w:val="BodyText"/>
      </w:pPr>
      <w:r>
        <w:t>• propagation potential beyond immediate contact.</w:t>
      </w:r>
    </w:p>
    <w:p>
      <w:pPr>
        <w:pStyle w:val="BodyText"/>
      </w:pPr>
      <w:r>
        <w:t>A recommended default operator is:</w:t>
      </w:r>
    </w:p>
    <w:p>
      <w:pPr>
        <w:pStyle w:val="BodyText"/>
      </w:pPr>
      <w:r>
        <w:t>q_u = ψ(M_u, P_u, T_u, G_u)</w:t>
      </w:r>
    </w:p>
    <w:p>
      <w:pPr>
        <w:pStyle w:val="BodyText"/>
      </w:pPr>
      <w:r>
        <w:t>with M_u, P_u, T_u, G_u ∈ [0,1], and a default transparent choice:</w:t>
      </w:r>
    </w:p>
    <w:p>
      <w:pPr>
        <w:pStyle w:val="BodyText"/>
      </w:pPr>
      <w:r>
        <w:t>ψ(M_u, P_u, T_u, G_u) = (M_u P_u T_u G_u)^(1/4)</w:t>
      </w:r>
    </w:p>
    <w:p>
      <w:pPr>
        <w:pStyle w:val="BodyText"/>
      </w:pPr>
      <w:r>
        <w:t>This recommended operator is informative by default unless separately elevated by governance rule; the required part is that the PCC declare the operator used.</w:t>
      </w:r>
    </w:p>
    <w:p>
      <w:pPr>
        <w:pStyle w:val="BodyText"/>
      </w:pPr>
      <w:r>
        <w:t>Prominence evidence discipline (Normative). Prominence sub-component declarations for q_u, including magnitude, probability, temporal persistence, and propagation potential, are subject to the same PCC justification and evidence documentation discipline that applies to impact-instance parameters under Section 5.2, including ReachBasis declaration where applicable. Tier 2+ runs SHALL record the evidentiary basis used to justify each declared prominence component.</w:t>
      </w:r>
    </w:p>
    <w:p>
      <w:pPr>
        <w:pStyle w:val="BodyText"/>
      </w:pPr>
      <w:r>
        <w:t>Cross-deployment comparability note (Normative guidance). The geometric-mean operator remains the default comparability anchor for q_u. Any deployment using a non-default operator MUST document why the operator preserves anti-gaming discipline, boundedness, and monotonicity, and SHOULD include a sensitivity comparison against the geometric-mean default in the PCC or companion validation record.</w:t>
      </w:r>
    </w:p>
    <w:p>
      <w:pPr>
        <w:pStyle w:val="BodyText"/>
      </w:pPr>
      <w:r>
        <w:t>Define residual shares:</w:t>
      </w:r>
    </w:p>
    <w:p>
      <w:pPr>
        <w:pStyle w:val="BodyText"/>
      </w:pPr>
      <w:r>
        <w:t>ρ_u = q_u / Σ_j q_j, if Σ_j q_j &gt; 0</w:t>
      </w:r>
    </w:p>
    <w:p>
      <w:pPr>
        <w:pStyle w:val="BodyText"/>
      </w:pPr>
      <w:r>
        <w:t>If all q_u = 0, the residual SHALL be allocated uniformly unless another declared fallback is specified in the PCC.</w:t>
      </w:r>
    </w:p>
    <w:p>
      <w:pPr>
        <w:pStyle w:val="BodyText"/>
      </w:pPr>
      <w:r>
        <w:t>Let w_u^floor be the Section 13.1 constitutional floor for scope u. Then the PLSS union weights are:</w:t>
      </w:r>
    </w:p>
    <w:p>
      <w:pPr>
        <w:pStyle w:val="BodyText"/>
      </w:pPr>
      <w:r>
        <w:t>w_u^PLSS = w_u^floor + (1 - Σ_j w_j^floor) ρ_u</w:t>
      </w:r>
    </w:p>
    <w:p>
      <w:pPr>
        <w:pStyle w:val="BodyText"/>
      </w:pPr>
      <w:r>
        <w:t>subject to the canonical constraints:</w:t>
      </w:r>
    </w:p>
    <w:p>
      <w:pPr>
        <w:pStyle w:val="BodyText"/>
      </w:pPr>
      <w:r>
        <w:t>w_u^PLSS ≥ 0</w:t>
      </w:r>
    </w:p>
    <w:p>
      <w:pPr>
        <w:pStyle w:val="BodyText"/>
      </w:pPr>
      <w:r>
        <w:t>Σ_u w_u^PLSS = 1</w:t>
      </w:r>
    </w:p>
    <w:p>
      <w:pPr>
        <w:pStyle w:val="BodyText"/>
      </w:pPr>
      <w:r>
        <w:t>w_u^PLSS ≥ w_u^floor</w:t>
      </w:r>
    </w:p>
    <w:p>
      <w:pPr>
        <w:pStyle w:val="BodyText"/>
      </w:pPr>
      <w:r>
        <w:t>for every scope u.</w:t>
      </w:r>
    </w:p>
    <w:p>
      <w:pPr>
        <w:pStyle w:val="BodyText"/>
      </w:pPr>
      <w:r>
        <w:t>Interpretation (Informative). PLSS does not re-write the constitution. It lets local runs place most of the residual emphasis on nearby scopes while retaining the constitutional baseline presence of broader scopes.</w:t>
      </w:r>
    </w:p>
    <w:bookmarkEnd w:id="173"/>
    <w:bookmarkStart w:id="174" w:name="Xaec908084918d95874fe5c8e0658069dfa4f926"/>
    <w:p>
      <w:pPr>
        <w:pStyle w:val="Heading2"/>
      </w:pPr>
      <w:r>
        <w:t>10.2A.5 PLSS RLS equation (Normative)</w:t>
      </w:r>
    </w:p>
    <w:p>
      <w:pPr>
        <w:pStyle w:val="FirstParagraph"/>
      </w:pPr>
      <w:r>
        <w:t>For any selectable option a ∈ A_sel, the local-scope welfare ranking is:</w:t>
      </w:r>
    </w:p>
    <w:p>
      <w:pPr>
        <w:pStyle w:val="BodyText"/>
      </w:pPr>
      <w:r>
        <w:t>q_PLSS(u,d) = w_u^PLSS · v_d · m(u,d) · κ(u,d)</w:t>
      </w:r>
    </w:p>
    <w:p>
      <w:pPr>
        <w:pStyle w:val="BodyText"/>
      </w:pPr>
      <w:r>
        <w:t>Q_PLSS = Σ_u Σ_d q_PLSS(u,d)</w:t>
      </w:r>
    </w:p>
    <w:p>
      <w:pPr>
        <w:pStyle w:val="BodyText"/>
      </w:pPr>
      <w:r>
        <w:t>RLS_PLSS(a) = [Σ_u Σ_d q_PLSS(u,d) · I_prop_welfare(u,d,a)] / Q_PLSS, for Q_PLSS &gt; 0</w:t>
      </w:r>
    </w:p>
    <w:p>
      <w:pPr>
        <w:pStyle w:val="BodyText"/>
      </w:pPr>
      <w:r>
        <w:t>where:</w:t>
      </w:r>
    </w:p>
    <w:p>
      <w:pPr>
        <w:pStyle w:val="BodyText"/>
      </w:pPr>
      <w:r>
        <w:t>• w_u^PLSS is defined by Section 10.2A.4,</w:t>
      </w:r>
    </w:p>
    <w:p>
      <w:pPr>
        <w:pStyle w:val="BodyText"/>
      </w:pPr>
      <w:r>
        <w:t>• v_d remains governed by Section 13,</w:t>
      </w:r>
    </w:p>
    <w:p>
      <w:pPr>
        <w:pStyle w:val="BodyText"/>
      </w:pPr>
      <w:r>
        <w:t>• m(u,d) remains governed by Section 10.2,</w:t>
      </w:r>
    </w:p>
    <w:p>
      <w:pPr>
        <w:pStyle w:val="BodyText"/>
      </w:pPr>
      <w:r>
        <w:t>• κ(u,d) remains governed by Section 10.1,</w:t>
      </w:r>
    </w:p>
    <w:p>
      <w:pPr>
        <w:pStyle w:val="BodyText"/>
      </w:pPr>
      <w:r>
        <w:t>• I_prop_welfare(u,d,a) remains governed by Sections 5–6.</w:t>
      </w:r>
    </w:p>
    <w:p>
      <w:pPr>
        <w:pStyle w:val="BodyText"/>
      </w:pPr>
      <w:r>
        <w:t>If no kernel propagation is declared, then:</w:t>
      </w:r>
    </w:p>
    <w:p>
      <w:pPr>
        <w:pStyle w:val="BodyText"/>
      </w:pPr>
      <w:r>
        <w:t>I_prop_welfare(u,d,a) = I_dir(u,d,a)</w:t>
      </w:r>
    </w:p>
    <w:p>
      <w:pPr>
        <w:pStyle w:val="BodyText"/>
      </w:pPr>
      <w:r>
        <w:t>per the existing NONE propagation pathway.</w:t>
      </w:r>
    </w:p>
    <w:p>
      <w:pPr>
        <w:pStyle w:val="BodyText"/>
      </w:pPr>
      <w:r>
        <w:t>10.2A.5A Discrimination threshold and non-decisive handling (Normative). The discrimination threshold defined in Section 10.4 applies identically to RLS_PLSS. If the lead between the top two selectable options is non-decisive under the declared uncertainty method, the tie-break chain in Section 11.5 MUST be applied. PLSS SHALL NOT bypass uncertainty handling, decisiveness testing, or tie-break governance.</w:t>
      </w:r>
    </w:p>
    <w:p>
      <w:pPr>
        <w:pStyle w:val="BodyText"/>
      </w:pPr>
      <w:r>
        <w:t>10.2A.5B PLSS prominence sensitivity (Normative)</w:t>
      </w:r>
    </w:p>
    <w:p>
      <w:pPr>
        <w:pStyle w:val="BodyText"/>
      </w:pPr>
      <w:r>
        <w:t>When PLSS is used in Tier 3, the PCC MUST rerun the welfare ranking under at least two alternative valid prominence constructions:</w:t>
      </w:r>
    </w:p>
    <w:p>
      <w:pPr>
        <w:pStyle w:val="BodyText"/>
      </w:pPr>
      <w:r>
        <w:t>(i) the uniform residual fallback, and</w:t>
      </w:r>
    </w:p>
    <w:p>
      <w:pPr>
        <w:pStyle w:val="BodyText"/>
      </w:pPr>
      <w:r>
        <w:t>(ii) a broadened guardrail-sensitive vector in which every scope classified Guardrail receives q_u at least 0.10 times the maximum q_u among prominent scopes, unless a stricter charter rule is declared.</w:t>
      </w:r>
    </w:p>
    <w:p>
      <w:pPr>
        <w:pStyle w:val="BodyText"/>
      </w:pPr>
      <w:r>
        <w:t>If the ranking order of selectable options or the selected option changes under these alternative valid prominence constructions, the run MUST set audit flag PLSS_PROMINENCE_SENSITIVE and document the sensitivity in the PCC.</w:t>
      </w:r>
    </w:p>
    <w:p>
      <w:pPr>
        <w:pStyle w:val="BodyText"/>
      </w:pPr>
      <w:r>
        <w:t>When</w:t>
      </w:r>
      <w:r>
        <w:t xml:space="preserve"> </w:t>
      </w:r>
      <w:r>
        <w:rPr>
          <w:rStyle w:val="VerbatimChar"/>
        </w:rPr>
        <w:t>OTHER_DECLARED</w:t>
      </w:r>
      <w:r>
        <w:t xml:space="preserve"> </w:t>
      </w:r>
      <w:r>
        <w:t>uses a direct-q normalization such as</w:t>
      </w:r>
      <w:r>
        <w:t xml:space="preserve"> </w:t>
      </w:r>
      <w:r>
        <w:rPr>
          <w:rStyle w:val="VerbatimChar"/>
        </w:rPr>
        <w:t>DIRECT_Q_NORMALIZATION_V1</w:t>
      </w:r>
      <w:r>
        <w:t>, the published sensitivity bundle MUST show at minimum: the declared direct-q result; the default geometric-mean prominence result; the uniform-residual fallback; and a broadened guardrail-sensitive result where plausible wider-scope effects are increased. The PCC MUST state whether ranking, decisiveness, or authority selection changes under each construction.</w:t>
      </w:r>
    </w:p>
    <w:p>
      <w:pPr>
        <w:pStyle w:val="BodyText"/>
      </w:pPr>
      <w:r>
        <w:t>This requirement does not alter admissibility, which remains governed by the Attention-Safety Separation Principle and the upstream gates.</w:t>
      </w:r>
    </w:p>
    <w:bookmarkEnd w:id="174"/>
    <w:bookmarkStart w:id="175" w:name="Xd575dcd089eff5f19500dac96ae99bc604f71a9"/>
    <w:p>
      <w:pPr>
        <w:pStyle w:val="Heading2"/>
      </w:pPr>
      <w:r>
        <w:t>10.2A.6 Masking and non-maskable rule under PLSS (Normative)</w:t>
      </w:r>
    </w:p>
    <w:p>
      <w:pPr>
        <w:pStyle w:val="FirstParagraph"/>
      </w:pPr>
      <w:r>
        <w:t>PLSS SHALL NOT modify the Section 10.2 mask rule.</w:t>
      </w:r>
    </w:p>
    <w:p>
      <w:pPr>
        <w:pStyle w:val="BodyText"/>
      </w:pPr>
      <w:r>
        <w:t>In particular:</w:t>
      </w:r>
    </w:p>
    <w:p>
      <w:pPr>
        <w:pStyle w:val="BodyText"/>
      </w:pPr>
      <w:r>
        <w:t>• masking remains RLS aggregation only,</w:t>
      </w:r>
    </w:p>
    <w:p>
      <w:pPr>
        <w:pStyle w:val="BodyText"/>
      </w:pPr>
      <w:r>
        <w:t>• masking SHALL NOT be used as omission,</w:t>
      </w:r>
    </w:p>
    <w:p>
      <w:pPr>
        <w:pStyle w:val="BodyText"/>
      </w:pPr>
      <w:r>
        <w:t>• rights-covered cells and catastrophe-relevant cells remain non-maskable where required by the canon,</w:t>
      </w:r>
    </w:p>
    <w:p>
      <w:pPr>
        <w:pStyle w:val="BodyText"/>
      </w:pPr>
      <w:r>
        <w:t>• reduced-scope or local-scope presentation SHALL NOT bypass admissibility on required cells.</w:t>
      </w:r>
    </w:p>
    <w:p>
      <w:pPr>
        <w:pStyle w:val="BodyText"/>
      </w:pPr>
      <w:r>
        <w:t>Thus PLSS narrows practical emphasis, not moral coverage.</w:t>
      </w:r>
    </w:p>
    <w:bookmarkEnd w:id="175"/>
    <w:bookmarkStart w:id="176" w:name="Xc31307295c5763e534c20fc2047fac33db80c64"/>
    <w:p>
      <w:pPr>
        <w:pStyle w:val="Heading2"/>
      </w:pPr>
      <w:r>
        <w:t>10.2A.7 Escalation triggers (Normative)</w:t>
      </w:r>
    </w:p>
    <w:p>
      <w:pPr>
        <w:pStyle w:val="FirstParagraph"/>
      </w:pPr>
      <w:r>
        <w:t>A run SHALL NOT remain in PLSS-only posture, or SHALL be rerun with broader scrutiny, if any of the following are plausible:</w:t>
      </w:r>
    </w:p>
    <w:p>
      <w:pPr>
        <w:pStyle w:val="BodyText"/>
      </w:pPr>
      <w:r>
        <w:t>1. rights-covered harm beyond the prominent scopes,</w:t>
      </w:r>
    </w:p>
    <w:p>
      <w:pPr>
        <w:pStyle w:val="BodyText"/>
      </w:pPr>
      <w:r>
        <w:t>2. catastrophe relevance or irreversible loss,</w:t>
      </w:r>
    </w:p>
    <w:p>
      <w:pPr>
        <w:pStyle w:val="BodyText"/>
      </w:pPr>
      <w:r>
        <w:t>3. meaningful externalities crossing Community, Organization, Polity, Humanity / Global Coordination, or Biosphere pathways,</w:t>
      </w:r>
    </w:p>
    <w:p>
      <w:pPr>
        <w:pStyle w:val="BodyText"/>
      </w:pPr>
      <w:r>
        <w:t>4. lock-in, precedent, or nontrivial governance spillover,</w:t>
      </w:r>
    </w:p>
    <w:p>
      <w:pPr>
        <w:pStyle w:val="BodyText"/>
      </w:pPr>
      <w:r>
        <w:t>5. a credible challenger claim that a stakeholder class or scope was omitted,</w:t>
      </w:r>
    </w:p>
    <w:p>
      <w:pPr>
        <w:pStyle w:val="BodyText"/>
      </w:pPr>
      <w:r>
        <w:t>6. Containment requires unavailable evidence for containing scopes,</w:t>
      </w:r>
    </w:p>
    <w:p>
      <w:pPr>
        <w:pStyle w:val="BodyText"/>
      </w:pPr>
      <w:r>
        <w:t>7. repeated comparable runs continue to use local-scope framing without the required next-run expansion plan.</w:t>
      </w:r>
    </w:p>
    <w:p>
      <w:pPr>
        <w:pStyle w:val="BodyText"/>
      </w:pPr>
      <w:r>
        <w:t>Audit flag (Normative). If one or more escalation triggers in Section 10.2A.7 is plausibly active, but the run proceeds in PLSS posture without escalation or documented justification, implementations MUST set audit flag PLSS_ESCALATION_TRIGGER_UNRESOLVED with severity ESCALATE. The PCC MUST then either record the broader posture adopted or provide a specific justification for non-escalation, including evidence basis and reviewer sign-off where required by tier. If no such disposition is recorded, the validator MUST reject the run as non-conformant.</w:t>
      </w:r>
    </w:p>
    <w:p>
      <w:pPr>
        <w:pStyle w:val="BodyText"/>
      </w:pPr>
      <w:r>
        <w:t>Boundary heuristic note (Normative guidance). Implementations MAY use lightweight pre-screen heuristics to decide whether FLGG escalation is required before full local scoring proceeds, for example trigger scans over rights exposure, catastrophe relevance, cross-scope externality breadth, lock-in, precedent, and containment-evidence availability. Any such heuristic is advisory only: once a trigger is plausibly active, the canonical escalation requirements of Section 10.2A.7 control.</w:t>
      </w:r>
    </w:p>
    <w:p>
      <w:pPr>
        <w:pStyle w:val="BodyText"/>
      </w:pPr>
      <w:r>
        <w:t>Ex ante method declaration rule (Normative). Any method choice that can materially affect decisiveness, ranking within the selectable set, or tie-break outcome, including PLSS prominence construction, alternative PLSS operator, scope-posture escalation disposition, and UCI comparison method, SHOULD be declared ex ante in the PCC where practicable. If first declared only after comparative outcomes are observed, the PCC MUST record a reason code, reviewer sign-off where required by tier, and a sensitivity note sufficient for independent review.</w:t>
      </w:r>
    </w:p>
    <w:p>
      <w:pPr>
        <w:pStyle w:val="BodyText"/>
      </w:pPr>
      <w:r>
        <w:t>Scope posture classification note (Normative). When PLSS is used, each scope SHALL be classified in the PCC as either Prominent or Guardrail. v9.0 removes the undefined “Mixed” category to reduce audit drift; if a deployment wants finer descriptive language, it MAY add non-canonical comments, but the PCC classification field SHALL remain binary.</w:t>
      </w:r>
    </w:p>
    <w:bookmarkEnd w:id="176"/>
    <w:bookmarkStart w:id="177" w:name="X9a8cf6682092fcf48a62bcb3efb15e9c5fb7cb1"/>
    <w:p>
      <w:pPr>
        <w:pStyle w:val="Heading2"/>
      </w:pPr>
      <w:r>
        <w:t>10.2A.8 Plain-language reading rule (Normative)</w:t>
      </w:r>
    </w:p>
    <w:p>
      <w:pPr>
        <w:pStyle w:val="FirstParagraph"/>
      </w:pPr>
      <w:r>
        <w:t>When not to use PLSS (Normative guidance statement). PLSS is intended primarily for local or moderately bounded decisions in which direct welfare effects are concentrated and no escalation trigger is plausibly active at the outset. PLSS SHALL NOT be used as the primary posture for irreversible cross-border policy, large-scale public AI deployment, biosecurity governance, active military or security operations, high-lock-in infrastructure decisions, or any case in which ET-1 through ET-7 is plausibly active at decision entry. Such cases require a broader deliberative posture or higher-tier structured evaluation.</w:t>
      </w:r>
    </w:p>
    <w:p>
      <w:pPr>
        <w:pStyle w:val="BodyText"/>
      </w:pPr>
      <w:r>
        <w:t>For instructional and public-facing use, the framework MAY describe PLSS with the following plain-language sentence:</w:t>
      </w:r>
    </w:p>
    <w:p>
      <w:pPr>
        <w:pStyle w:val="BodyText"/>
      </w:pPr>
      <w:r>
        <w:t>“In local decisions, score most strongly where the ripple is near, but keep every wider scope present through floors and guardrails. PLSS narrows residual attention, not moral coverage. It MAY change welfare ranking within the selectable set, but it MUST NOT make an inadmissible option admissible.”</w:t>
      </w:r>
    </w:p>
    <w:p>
      <w:pPr>
        <w:pStyle w:val="BodyText"/>
      </w:pPr>
      <w:r>
        <w:t>This sentence is interpretive only and SHALL NOT override the equations above.</w:t>
      </w:r>
    </w:p>
    <w:bookmarkEnd w:id="177"/>
    <w:bookmarkStart w:id="178" w:name="Xd9c36f946e41c831818bb77975a921ff282c084"/>
    <w:p>
      <w:pPr>
        <w:pStyle w:val="Heading2"/>
      </w:pPr>
      <w:r>
        <w:t>10.2A.9 Worked example: family café local run (Informative)</w:t>
      </w:r>
    </w:p>
    <w:p>
      <w:pPr>
        <w:pStyle w:val="FirstParagraph"/>
      </w:pPr>
      <w:r>
        <w:t>Decision. A family café must choose between:</w:t>
      </w:r>
    </w:p>
    <w:p>
      <w:pPr>
        <w:pStyle w:val="BodyText"/>
      </w:pPr>
      <w:r>
        <w:t>• Option A: cheap single-use cups,</w:t>
      </w:r>
    </w:p>
    <w:p>
      <w:pPr>
        <w:pStyle w:val="BodyText"/>
      </w:pPr>
      <w:r>
        <w:t>• Option B: reusable deposit-return cups with a local wash partner,</w:t>
      </w:r>
    </w:p>
    <w:p>
      <w:pPr>
        <w:pStyle w:val="BodyText"/>
      </w:pPr>
      <w:r>
        <w:t>• Option C: ultra-cheap cups from an unverified supplier with plausible toxic-material or labor-abuse exposure.</w:t>
      </w:r>
    </w:p>
    <w:p>
      <w:pPr>
        <w:pStyle w:val="BodyText"/>
      </w:pPr>
      <w:r>
        <w:t>Declared stakeholder instances by scope:</w:t>
      </w:r>
    </w:p>
    <w:p>
      <w:pPr>
        <w:pStyle w:val="BodyText"/>
      </w:pPr>
      <w:r>
        <w:t>• U1 Self: 1 instance</w:t>
      </w:r>
    </w:p>
    <w:p>
      <w:pPr>
        <w:pStyle w:val="BodyText"/>
      </w:pPr>
      <w:r>
        <w:t>• U2 Household: 1 instance</w:t>
      </w:r>
    </w:p>
    <w:p>
      <w:pPr>
        <w:pStyle w:val="BodyText"/>
      </w:pPr>
      <w:r>
        <w:t>• U3 Community: 5 instances</w:t>
      </w:r>
    </w:p>
    <w:p>
      <w:pPr>
        <w:pStyle w:val="BodyText"/>
      </w:pPr>
      <w:r>
        <w:t>• U4 Organization: 2 instances</w:t>
      </w:r>
    </w:p>
    <w:p>
      <w:pPr>
        <w:pStyle w:val="BodyText"/>
      </w:pPr>
      <w:r>
        <w:t>• U5 Polity: 3 instances</w:t>
      </w:r>
    </w:p>
    <w:p>
      <w:pPr>
        <w:pStyle w:val="BodyText"/>
      </w:pPr>
      <w:r>
        <w:t>• U6 Humanity / Global Coordination: 1 instance</w:t>
      </w:r>
    </w:p>
    <w:p>
      <w:pPr>
        <w:pStyle w:val="BodyText"/>
      </w:pPr>
      <w:r>
        <w:t>• U7 Biosphere: 1 instance</w:t>
      </w:r>
    </w:p>
    <w:p>
      <w:pPr>
        <w:pStyle w:val="BodyText"/>
      </w:pPr>
      <w:r>
        <w:t>This run illustrates the distinction between instances and scopes. The café does not score Community in the abstract. It scores the affected Community instances, then aggregates them into the U3 row.</w:t>
      </w:r>
    </w:p>
    <w:p>
      <w:pPr>
        <w:pStyle w:val="BodyText"/>
      </w:pPr>
      <w:r>
        <w:t>Declared local prominence signals:</w:t>
      </w:r>
    </w:p>
    <w:p>
      <w:pPr>
        <w:pStyle w:val="BodyText"/>
      </w:pPr>
      <w:r>
        <w:t>q = (U1,U2,U3,U4,U5,U6,U7) = (0.95, 0.85, 0.55, 0.50, 0.10, 0.03, 0.02)</w:t>
      </w:r>
    </w:p>
    <w:p>
      <w:pPr>
        <w:pStyle w:val="BodyText"/>
      </w:pPr>
      <w:r>
        <w:t>These sum to 3.00.</w:t>
      </w:r>
    </w:p>
    <w:p>
      <w:pPr>
        <w:pStyle w:val="BodyText"/>
      </w:pPr>
      <w:r>
        <w:t>Under Section 13.1, the union floors are:</w:t>
      </w:r>
    </w:p>
    <w:p>
      <w:pPr>
        <w:pStyle w:val="BodyText"/>
      </w:pPr>
      <w:r>
        <w:t>w^floor = (0.20, 0.06, 0.06, 0.06, 0.08, 0.10, 0.10)</w:t>
      </w:r>
    </w:p>
    <w:p>
      <w:pPr>
        <w:pStyle w:val="BodyText"/>
      </w:pPr>
      <w:r>
        <w:t>The floor total is 0.66, so the residual is 0.34. The resulting PLSS weights are:</w:t>
      </w:r>
    </w:p>
    <w:p>
      <w:pPr>
        <w:pStyle w:val="BodyText"/>
      </w:pPr>
      <w:r>
        <w:t>w^PLSS ≈ (0.308, 0.156, 0.122, 0.117, 0.091, 0.103, 0.102)</w:t>
      </w:r>
    </w:p>
    <w:p>
      <w:pPr>
        <w:pStyle w:val="BodyText"/>
      </w:pPr>
      <w:r>
        <w:t>Interpretation. Self, Household, Community, and Organization receive most of the residual attention. Polity, Humanity / Global Coordination, and Biosphere remain meaningfully present because the current constitution keeps them above zero even in local runs.</w:t>
      </w:r>
    </w:p>
    <w:p>
      <w:pPr>
        <w:pStyle w:val="BodyText"/>
      </w:pPr>
      <w:r>
        <w:t>Table 10-1. Illustrative local prominence signals and PLSS union weights</w:t>
      </w:r>
    </w:p>
    <w:tbl>
      <w:tblPr>
        <w:tblStyle w:val="Table"/>
        <w:tblW w:type="auto" w:w="0"/>
        <w:jc w:val="center"/>
        <w:tblLook w:firstRow="1" w:lastRow="0" w:firstColumn="0" w:lastColumn="0" w:noHBand="0" w:noVBand="0" w:val="0020"/>
      </w:tblPr>
      <w:tblGrid>
        <w:gridCol w:w="1980"/>
        <w:gridCol w:w="1980"/>
        <w:gridCol w:w="1980"/>
        <w:gridCol w:w="1980"/>
      </w:tblGrid>
      <w:tr>
        <w:trPr>
          <w:tblHeader w:val="on"/>
          <w:tblHeader w:val="true"/>
          <w:cantSplit/>
        </w:trPr>
        <w:tc>
          <w:tcPr>
            <w:vAlign w:val="top"/>
            <w:tcMar>
              <w:top w:w="70" w:type="dxa"/>
              <w:start w:w="80" w:type="dxa"/>
              <w:bottom w:w="70" w:type="dxa"/>
              <w:end w:w="80" w:type="dxa"/>
            </w:tcMar>
            <w:shd w:fill="1F4E78"/>
          </w:tcPr>
          <w:p>
            <w:pPr>
              <w:pStyle w:val="Compact"/>
              <w:jc w:val="left"/>
            </w:pPr>
            <w:r>
              <w:rPr>
                <w:rFonts w:ascii="Arial" w:hAnsi="Arial" w:eastAsia="Arial"/>
                <w:b/>
                <w:color w:val="FFFFFF"/>
                <w:sz w:val="16"/>
              </w:rPr>
              <w:t>Union Scope</w:t>
            </w:r>
          </w:p>
        </w:tc>
        <w:tc>
          <w:tcPr>
            <w:vAlign w:val="top"/>
            <w:tcMar>
              <w:top w:w="70" w:type="dxa"/>
              <w:start w:w="80" w:type="dxa"/>
              <w:bottom w:w="70" w:type="dxa"/>
              <w:end w:w="80" w:type="dxa"/>
            </w:tcMar>
            <w:shd w:fill="1F4E78"/>
          </w:tcPr>
          <w:p>
            <w:pPr>
              <w:pStyle w:val="Compact"/>
              <w:jc w:val="left"/>
            </w:pPr>
            <w:r>
              <w:rPr>
                <w:rFonts w:ascii="Arial" w:hAnsi="Arial" w:eastAsia="Arial"/>
                <w:b/>
                <w:color w:val="FFFFFF"/>
                <w:sz w:val="16"/>
              </w:rPr>
              <w:t>q_u</w:t>
            </w:r>
          </w:p>
        </w:tc>
        <w:tc>
          <w:tcPr>
            <w:vAlign w:val="top"/>
            <w:tcMar>
              <w:top w:w="70" w:type="dxa"/>
              <w:start w:w="80" w:type="dxa"/>
              <w:bottom w:w="70" w:type="dxa"/>
              <w:end w:w="80" w:type="dxa"/>
            </w:tcMar>
            <w:shd w:fill="1F4E78"/>
          </w:tcPr>
          <w:p>
            <w:pPr>
              <w:pStyle w:val="Compact"/>
              <w:jc w:val="left"/>
            </w:pPr>
            <w:r>
              <w:rPr>
                <w:rFonts w:ascii="Arial" w:hAnsi="Arial" w:eastAsia="Arial"/>
                <w:b/>
                <w:color w:val="FFFFFF"/>
                <w:sz w:val="16"/>
              </w:rPr>
              <w:t>w_u^floor</w:t>
            </w:r>
          </w:p>
        </w:tc>
        <w:tc>
          <w:tcPr>
            <w:vAlign w:val="top"/>
            <w:tcMar>
              <w:top w:w="70" w:type="dxa"/>
              <w:start w:w="80" w:type="dxa"/>
              <w:bottom w:w="70" w:type="dxa"/>
              <w:end w:w="80" w:type="dxa"/>
            </w:tcMar>
            <w:shd w:fill="1F4E78"/>
          </w:tcPr>
          <w:p>
            <w:pPr>
              <w:pStyle w:val="Compact"/>
              <w:jc w:val="left"/>
            </w:pPr>
            <w:r>
              <w:rPr>
                <w:rFonts w:ascii="Arial" w:hAnsi="Arial" w:eastAsia="Arial"/>
                <w:b/>
                <w:color w:val="FFFFFF"/>
                <w:sz w:val="16"/>
              </w:rPr>
              <w:t>w_u^PLSS</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U1 Self</w:t>
            </w:r>
          </w:p>
        </w:tc>
        <w:tc>
          <w:tcPr>
            <w:vAlign w:val="top"/>
            <w:tcMar>
              <w:top w:w="70" w:type="dxa"/>
              <w:start w:w="80" w:type="dxa"/>
              <w:bottom w:w="70" w:type="dxa"/>
              <w:end w:w="80" w:type="dxa"/>
            </w:tcMar>
            <w:shd w:fill="D9EAF7"/>
          </w:tcPr>
          <w:p>
            <w:pPr>
              <w:pStyle w:val="Compact"/>
              <w:jc w:val="left"/>
            </w:pPr>
            <w:r>
              <w:rPr>
                <w:rFonts w:ascii="Arial" w:hAnsi="Arial" w:eastAsia="Arial"/>
                <w:sz w:val="16"/>
              </w:rPr>
              <w:t>0.95</w:t>
            </w:r>
          </w:p>
        </w:tc>
        <w:tc>
          <w:tcPr>
            <w:vAlign w:val="top"/>
            <w:tcMar>
              <w:top w:w="70" w:type="dxa"/>
              <w:start w:w="80" w:type="dxa"/>
              <w:bottom w:w="70" w:type="dxa"/>
              <w:end w:w="80" w:type="dxa"/>
            </w:tcMar>
            <w:shd w:fill="D9EAF7"/>
          </w:tcPr>
          <w:p>
            <w:pPr>
              <w:pStyle w:val="Compact"/>
              <w:jc w:val="left"/>
            </w:pPr>
            <w:r>
              <w:rPr>
                <w:rFonts w:ascii="Arial" w:hAnsi="Arial" w:eastAsia="Arial"/>
                <w:sz w:val="16"/>
              </w:rPr>
              <w:t>0.20</w:t>
            </w:r>
          </w:p>
        </w:tc>
        <w:tc>
          <w:tcPr>
            <w:vAlign w:val="top"/>
            <w:tcMar>
              <w:top w:w="70" w:type="dxa"/>
              <w:start w:w="80" w:type="dxa"/>
              <w:bottom w:w="70" w:type="dxa"/>
              <w:end w:w="80" w:type="dxa"/>
            </w:tcMar>
            <w:shd w:fill="D9EAF7"/>
          </w:tcPr>
          <w:p>
            <w:pPr>
              <w:pStyle w:val="Compact"/>
              <w:jc w:val="left"/>
            </w:pPr>
            <w:r>
              <w:rPr>
                <w:rFonts w:ascii="Arial" w:hAnsi="Arial" w:eastAsia="Arial"/>
                <w:sz w:val="16"/>
              </w:rPr>
              <w:t>0.308</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U2 Household</w:t>
            </w:r>
          </w:p>
        </w:tc>
        <w:tc>
          <w:tcPr>
            <w:vAlign w:val="top"/>
            <w:tcMar>
              <w:top w:w="70" w:type="dxa"/>
              <w:start w:w="80" w:type="dxa"/>
              <w:bottom w:w="70" w:type="dxa"/>
              <w:end w:w="80" w:type="dxa"/>
            </w:tcMar>
            <w:shd w:fill="FFFFFF"/>
          </w:tcPr>
          <w:p>
            <w:pPr>
              <w:pStyle w:val="Compact"/>
              <w:jc w:val="left"/>
            </w:pPr>
            <w:r>
              <w:rPr>
                <w:rFonts w:ascii="Arial" w:hAnsi="Arial" w:eastAsia="Arial"/>
                <w:sz w:val="16"/>
              </w:rPr>
              <w:t>0.85</w:t>
            </w:r>
          </w:p>
        </w:tc>
        <w:tc>
          <w:tcPr>
            <w:vAlign w:val="top"/>
            <w:tcMar>
              <w:top w:w="70" w:type="dxa"/>
              <w:start w:w="80" w:type="dxa"/>
              <w:bottom w:w="70" w:type="dxa"/>
              <w:end w:w="80" w:type="dxa"/>
            </w:tcMar>
            <w:shd w:fill="FFFFFF"/>
          </w:tcPr>
          <w:p>
            <w:pPr>
              <w:pStyle w:val="Compact"/>
              <w:jc w:val="left"/>
            </w:pPr>
            <w:r>
              <w:rPr>
                <w:rFonts w:ascii="Arial" w:hAnsi="Arial" w:eastAsia="Arial"/>
                <w:sz w:val="16"/>
              </w:rPr>
              <w:t>0.06</w:t>
            </w:r>
          </w:p>
        </w:tc>
        <w:tc>
          <w:tcPr>
            <w:vAlign w:val="top"/>
            <w:tcMar>
              <w:top w:w="70" w:type="dxa"/>
              <w:start w:w="80" w:type="dxa"/>
              <w:bottom w:w="70" w:type="dxa"/>
              <w:end w:w="80" w:type="dxa"/>
            </w:tcMar>
            <w:shd w:fill="FFFFFF"/>
          </w:tcPr>
          <w:p>
            <w:pPr>
              <w:pStyle w:val="Compact"/>
              <w:jc w:val="left"/>
            </w:pPr>
            <w:r>
              <w:rPr>
                <w:rFonts w:ascii="Arial" w:hAnsi="Arial" w:eastAsia="Arial"/>
                <w:sz w:val="16"/>
              </w:rPr>
              <w:t>0.156</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U3 Community</w:t>
            </w:r>
          </w:p>
        </w:tc>
        <w:tc>
          <w:tcPr>
            <w:vAlign w:val="top"/>
            <w:tcMar>
              <w:top w:w="70" w:type="dxa"/>
              <w:start w:w="80" w:type="dxa"/>
              <w:bottom w:w="70" w:type="dxa"/>
              <w:end w:w="80" w:type="dxa"/>
            </w:tcMar>
            <w:shd w:fill="D9EAF7"/>
          </w:tcPr>
          <w:p>
            <w:pPr>
              <w:pStyle w:val="Compact"/>
              <w:jc w:val="left"/>
            </w:pPr>
            <w:r>
              <w:rPr>
                <w:rFonts w:ascii="Arial" w:hAnsi="Arial" w:eastAsia="Arial"/>
                <w:sz w:val="16"/>
              </w:rPr>
              <w:t>0.55</w:t>
            </w:r>
          </w:p>
        </w:tc>
        <w:tc>
          <w:tcPr>
            <w:vAlign w:val="top"/>
            <w:tcMar>
              <w:top w:w="70" w:type="dxa"/>
              <w:start w:w="80" w:type="dxa"/>
              <w:bottom w:w="70" w:type="dxa"/>
              <w:end w:w="80" w:type="dxa"/>
            </w:tcMar>
            <w:shd w:fill="D9EAF7"/>
          </w:tcPr>
          <w:p>
            <w:pPr>
              <w:pStyle w:val="Compact"/>
              <w:jc w:val="left"/>
            </w:pPr>
            <w:r>
              <w:rPr>
                <w:rFonts w:ascii="Arial" w:hAnsi="Arial" w:eastAsia="Arial"/>
                <w:sz w:val="16"/>
              </w:rPr>
              <w:t>0.06</w:t>
            </w:r>
          </w:p>
        </w:tc>
        <w:tc>
          <w:tcPr>
            <w:vAlign w:val="top"/>
            <w:tcMar>
              <w:top w:w="70" w:type="dxa"/>
              <w:start w:w="80" w:type="dxa"/>
              <w:bottom w:w="70" w:type="dxa"/>
              <w:end w:w="80" w:type="dxa"/>
            </w:tcMar>
            <w:shd w:fill="D9EAF7"/>
          </w:tcPr>
          <w:p>
            <w:pPr>
              <w:pStyle w:val="Compact"/>
              <w:jc w:val="left"/>
            </w:pPr>
            <w:r>
              <w:rPr>
                <w:rFonts w:ascii="Arial" w:hAnsi="Arial" w:eastAsia="Arial"/>
                <w:sz w:val="16"/>
              </w:rPr>
              <w:t>0.122</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U4 Organization</w:t>
            </w:r>
          </w:p>
        </w:tc>
        <w:tc>
          <w:tcPr>
            <w:vAlign w:val="top"/>
            <w:tcMar>
              <w:top w:w="70" w:type="dxa"/>
              <w:start w:w="80" w:type="dxa"/>
              <w:bottom w:w="70" w:type="dxa"/>
              <w:end w:w="80" w:type="dxa"/>
            </w:tcMar>
            <w:shd w:fill="FFFFFF"/>
          </w:tcPr>
          <w:p>
            <w:pPr>
              <w:pStyle w:val="Compact"/>
              <w:jc w:val="left"/>
            </w:pPr>
            <w:r>
              <w:rPr>
                <w:rFonts w:ascii="Arial" w:hAnsi="Arial" w:eastAsia="Arial"/>
                <w:sz w:val="16"/>
              </w:rPr>
              <w:t>0.50</w:t>
            </w:r>
          </w:p>
        </w:tc>
        <w:tc>
          <w:tcPr>
            <w:vAlign w:val="top"/>
            <w:tcMar>
              <w:top w:w="70" w:type="dxa"/>
              <w:start w:w="80" w:type="dxa"/>
              <w:bottom w:w="70" w:type="dxa"/>
              <w:end w:w="80" w:type="dxa"/>
            </w:tcMar>
            <w:shd w:fill="FFFFFF"/>
          </w:tcPr>
          <w:p>
            <w:pPr>
              <w:pStyle w:val="Compact"/>
              <w:jc w:val="left"/>
            </w:pPr>
            <w:r>
              <w:rPr>
                <w:rFonts w:ascii="Arial" w:hAnsi="Arial" w:eastAsia="Arial"/>
                <w:sz w:val="16"/>
              </w:rPr>
              <w:t>0.06</w:t>
            </w:r>
          </w:p>
        </w:tc>
        <w:tc>
          <w:tcPr>
            <w:vAlign w:val="top"/>
            <w:tcMar>
              <w:top w:w="70" w:type="dxa"/>
              <w:start w:w="80" w:type="dxa"/>
              <w:bottom w:w="70" w:type="dxa"/>
              <w:end w:w="80" w:type="dxa"/>
            </w:tcMar>
            <w:shd w:fill="FFFFFF"/>
          </w:tcPr>
          <w:p>
            <w:pPr>
              <w:pStyle w:val="Compact"/>
              <w:jc w:val="left"/>
            </w:pPr>
            <w:r>
              <w:rPr>
                <w:rFonts w:ascii="Arial" w:hAnsi="Arial" w:eastAsia="Arial"/>
                <w:sz w:val="16"/>
              </w:rPr>
              <w:t>0.117</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U5 Polity</w:t>
            </w:r>
          </w:p>
        </w:tc>
        <w:tc>
          <w:tcPr>
            <w:vAlign w:val="top"/>
            <w:tcMar>
              <w:top w:w="70" w:type="dxa"/>
              <w:start w:w="80" w:type="dxa"/>
              <w:bottom w:w="70" w:type="dxa"/>
              <w:end w:w="80" w:type="dxa"/>
            </w:tcMar>
            <w:shd w:fill="D9EAF7"/>
          </w:tcPr>
          <w:p>
            <w:pPr>
              <w:pStyle w:val="Compact"/>
              <w:jc w:val="left"/>
            </w:pPr>
            <w:r>
              <w:rPr>
                <w:rFonts w:ascii="Arial" w:hAnsi="Arial" w:eastAsia="Arial"/>
                <w:sz w:val="16"/>
              </w:rPr>
              <w:t>0.10</w:t>
            </w:r>
          </w:p>
        </w:tc>
        <w:tc>
          <w:tcPr>
            <w:vAlign w:val="top"/>
            <w:tcMar>
              <w:top w:w="70" w:type="dxa"/>
              <w:start w:w="80" w:type="dxa"/>
              <w:bottom w:w="70" w:type="dxa"/>
              <w:end w:w="80" w:type="dxa"/>
            </w:tcMar>
            <w:shd w:fill="D9EAF7"/>
          </w:tcPr>
          <w:p>
            <w:pPr>
              <w:pStyle w:val="Compact"/>
              <w:jc w:val="left"/>
            </w:pPr>
            <w:r>
              <w:rPr>
                <w:rFonts w:ascii="Arial" w:hAnsi="Arial" w:eastAsia="Arial"/>
                <w:sz w:val="16"/>
              </w:rPr>
              <w:t>0.08</w:t>
            </w:r>
          </w:p>
        </w:tc>
        <w:tc>
          <w:tcPr>
            <w:vAlign w:val="top"/>
            <w:tcMar>
              <w:top w:w="70" w:type="dxa"/>
              <w:start w:w="80" w:type="dxa"/>
              <w:bottom w:w="70" w:type="dxa"/>
              <w:end w:w="80" w:type="dxa"/>
            </w:tcMar>
            <w:shd w:fill="D9EAF7"/>
          </w:tcPr>
          <w:p>
            <w:pPr>
              <w:pStyle w:val="Compact"/>
              <w:jc w:val="left"/>
            </w:pPr>
            <w:r>
              <w:rPr>
                <w:rFonts w:ascii="Arial" w:hAnsi="Arial" w:eastAsia="Arial"/>
                <w:sz w:val="16"/>
              </w:rPr>
              <w:t>0.091</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U6 Humanity / Global Coordination</w:t>
            </w:r>
          </w:p>
        </w:tc>
        <w:tc>
          <w:tcPr>
            <w:vAlign w:val="top"/>
            <w:tcMar>
              <w:top w:w="70" w:type="dxa"/>
              <w:start w:w="80" w:type="dxa"/>
              <w:bottom w:w="70" w:type="dxa"/>
              <w:end w:w="80" w:type="dxa"/>
            </w:tcMar>
            <w:shd w:fill="FFFFFF"/>
          </w:tcPr>
          <w:p>
            <w:pPr>
              <w:pStyle w:val="Compact"/>
              <w:jc w:val="left"/>
            </w:pPr>
            <w:r>
              <w:rPr>
                <w:rFonts w:ascii="Arial" w:hAnsi="Arial" w:eastAsia="Arial"/>
                <w:sz w:val="16"/>
              </w:rPr>
              <w:t>0.03</w:t>
            </w:r>
          </w:p>
        </w:tc>
        <w:tc>
          <w:tcPr>
            <w:vAlign w:val="top"/>
            <w:tcMar>
              <w:top w:w="70" w:type="dxa"/>
              <w:start w:w="80" w:type="dxa"/>
              <w:bottom w:w="70" w:type="dxa"/>
              <w:end w:w="80" w:type="dxa"/>
            </w:tcMar>
            <w:shd w:fill="FFFFFF"/>
          </w:tcPr>
          <w:p>
            <w:pPr>
              <w:pStyle w:val="Compact"/>
              <w:jc w:val="left"/>
            </w:pPr>
            <w:r>
              <w:rPr>
                <w:rFonts w:ascii="Arial" w:hAnsi="Arial" w:eastAsia="Arial"/>
                <w:sz w:val="16"/>
              </w:rPr>
              <w:t>0.10</w:t>
            </w:r>
          </w:p>
        </w:tc>
        <w:tc>
          <w:tcPr>
            <w:vAlign w:val="top"/>
            <w:tcMar>
              <w:top w:w="70" w:type="dxa"/>
              <w:start w:w="80" w:type="dxa"/>
              <w:bottom w:w="70" w:type="dxa"/>
              <w:end w:w="80" w:type="dxa"/>
            </w:tcMar>
            <w:shd w:fill="FFFFFF"/>
          </w:tcPr>
          <w:p>
            <w:pPr>
              <w:pStyle w:val="Compact"/>
              <w:jc w:val="left"/>
            </w:pPr>
            <w:r>
              <w:rPr>
                <w:rFonts w:ascii="Arial" w:hAnsi="Arial" w:eastAsia="Arial"/>
                <w:sz w:val="16"/>
              </w:rPr>
              <w:t>0.103</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U7 Biosphere</w:t>
            </w:r>
          </w:p>
        </w:tc>
        <w:tc>
          <w:tcPr>
            <w:vAlign w:val="top"/>
            <w:tcMar>
              <w:top w:w="70" w:type="dxa"/>
              <w:start w:w="80" w:type="dxa"/>
              <w:bottom w:w="70" w:type="dxa"/>
              <w:end w:w="80" w:type="dxa"/>
            </w:tcMar>
            <w:shd w:fill="D9EAF7"/>
          </w:tcPr>
          <w:p>
            <w:pPr>
              <w:pStyle w:val="Compact"/>
              <w:jc w:val="left"/>
            </w:pPr>
            <w:r>
              <w:rPr>
                <w:rFonts w:ascii="Arial" w:hAnsi="Arial" w:eastAsia="Arial"/>
                <w:sz w:val="16"/>
              </w:rPr>
              <w:t>0.02</w:t>
            </w:r>
          </w:p>
        </w:tc>
        <w:tc>
          <w:tcPr>
            <w:vAlign w:val="top"/>
            <w:tcMar>
              <w:top w:w="70" w:type="dxa"/>
              <w:start w:w="80" w:type="dxa"/>
              <w:bottom w:w="70" w:type="dxa"/>
              <w:end w:w="80" w:type="dxa"/>
            </w:tcMar>
            <w:shd w:fill="D9EAF7"/>
          </w:tcPr>
          <w:p>
            <w:pPr>
              <w:pStyle w:val="Compact"/>
              <w:jc w:val="left"/>
            </w:pPr>
            <w:r>
              <w:rPr>
                <w:rFonts w:ascii="Arial" w:hAnsi="Arial" w:eastAsia="Arial"/>
                <w:sz w:val="16"/>
              </w:rPr>
              <w:t>0.10</w:t>
            </w:r>
          </w:p>
        </w:tc>
        <w:tc>
          <w:tcPr>
            <w:vAlign w:val="top"/>
            <w:tcMar>
              <w:top w:w="70" w:type="dxa"/>
              <w:start w:w="80" w:type="dxa"/>
              <w:bottom w:w="70" w:type="dxa"/>
              <w:end w:w="80" w:type="dxa"/>
            </w:tcMar>
            <w:shd w:fill="D9EAF7"/>
          </w:tcPr>
          <w:p>
            <w:pPr>
              <w:pStyle w:val="Compact"/>
              <w:jc w:val="left"/>
            </w:pPr>
            <w:r>
              <w:rPr>
                <w:rFonts w:ascii="Arial" w:hAnsi="Arial" w:eastAsia="Arial"/>
                <w:sz w:val="16"/>
              </w:rPr>
              <w:t>0.102</w:t>
            </w:r>
          </w:p>
        </w:tc>
      </w:tr>
    </w:tbl>
    <w:p>
      <w:pPr>
        <w:pStyle w:val="BodyText"/>
      </w:pPr>
      <w:r>
        <w:t>Illustrative scope-level welfare composites:</w:t>
      </w:r>
    </w:p>
    <w:p>
      <w:pPr>
        <w:pStyle w:val="BodyText"/>
      </w:pPr>
      <w:r>
        <w:t>Table 10-2. Illustrative scope composites by option</w:t>
      </w:r>
    </w:p>
    <w:tbl>
      <w:tblPr>
        <w:tblStyle w:val="Table"/>
        <w:tblW w:type="auto" w:w="0"/>
        <w:jc w:val="center"/>
        <w:tblLook w:firstRow="1" w:lastRow="0" w:firstColumn="0" w:lastColumn="0" w:noHBand="0" w:noVBand="0" w:val="0020"/>
      </w:tblPr>
      <w:tblGrid>
        <w:gridCol w:w="2640"/>
        <w:gridCol w:w="2640"/>
        <w:gridCol w:w="2640"/>
      </w:tblGrid>
      <w:tr>
        <w:trPr>
          <w:tblHeader w:val="on"/>
          <w:tblHeader w:val="true"/>
          <w:cantSplit/>
        </w:trPr>
        <w:tc>
          <w:tcPr>
            <w:vAlign w:val="top"/>
            <w:tcMar>
              <w:top w:w="70" w:type="dxa"/>
              <w:start w:w="80" w:type="dxa"/>
              <w:bottom w:w="70" w:type="dxa"/>
              <w:end w:w="80" w:type="dxa"/>
            </w:tcMar>
            <w:shd w:fill="1F4E78"/>
          </w:tcPr>
          <w:p>
            <w:pPr>
              <w:pStyle w:val="Compact"/>
              <w:jc w:val="left"/>
            </w:pPr>
            <w:r>
              <w:rPr>
                <w:rFonts w:ascii="Arial" w:hAnsi="Arial" w:eastAsia="Arial"/>
                <w:b/>
                <w:color w:val="FFFFFF"/>
                <w:sz w:val="16"/>
              </w:rPr>
              <w:t>Scope</w:t>
            </w:r>
          </w:p>
        </w:tc>
        <w:tc>
          <w:tcPr>
            <w:vAlign w:val="top"/>
            <w:tcMar>
              <w:top w:w="70" w:type="dxa"/>
              <w:start w:w="80" w:type="dxa"/>
              <w:bottom w:w="70" w:type="dxa"/>
              <w:end w:w="80" w:type="dxa"/>
            </w:tcMar>
            <w:shd w:fill="1F4E78"/>
          </w:tcPr>
          <w:p>
            <w:pPr>
              <w:pStyle w:val="Compact"/>
              <w:jc w:val="left"/>
            </w:pPr>
            <w:r>
              <w:rPr>
                <w:rFonts w:ascii="Arial" w:hAnsi="Arial" w:eastAsia="Arial"/>
                <w:b/>
                <w:color w:val="FFFFFF"/>
                <w:sz w:val="16"/>
              </w:rPr>
              <w:t>Q_u(A)</w:t>
            </w:r>
          </w:p>
        </w:tc>
        <w:tc>
          <w:tcPr>
            <w:vAlign w:val="top"/>
            <w:tcMar>
              <w:top w:w="70" w:type="dxa"/>
              <w:start w:w="80" w:type="dxa"/>
              <w:bottom w:w="70" w:type="dxa"/>
              <w:end w:w="80" w:type="dxa"/>
            </w:tcMar>
            <w:shd w:fill="1F4E78"/>
          </w:tcPr>
          <w:p>
            <w:pPr>
              <w:pStyle w:val="Compact"/>
              <w:jc w:val="left"/>
            </w:pPr>
            <w:r>
              <w:rPr>
                <w:rFonts w:ascii="Arial" w:hAnsi="Arial" w:eastAsia="Arial"/>
                <w:b/>
                <w:color w:val="FFFFFF"/>
                <w:sz w:val="16"/>
              </w:rPr>
              <w:t>Q_u(B)</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U1 Self</w:t>
            </w:r>
          </w:p>
        </w:tc>
        <w:tc>
          <w:tcPr>
            <w:vAlign w:val="top"/>
            <w:tcMar>
              <w:top w:w="70" w:type="dxa"/>
              <w:start w:w="80" w:type="dxa"/>
              <w:bottom w:w="70" w:type="dxa"/>
              <w:end w:w="80" w:type="dxa"/>
            </w:tcMar>
            <w:shd w:fill="D9EAF7"/>
          </w:tcPr>
          <w:p>
            <w:pPr>
              <w:pStyle w:val="Compact"/>
              <w:jc w:val="left"/>
            </w:pPr>
            <w:r>
              <w:rPr>
                <w:rFonts w:ascii="Arial" w:hAnsi="Arial" w:eastAsia="Arial"/>
                <w:sz w:val="16"/>
              </w:rPr>
              <w:t>0.25</w:t>
            </w:r>
          </w:p>
        </w:tc>
        <w:tc>
          <w:tcPr>
            <w:vAlign w:val="top"/>
            <w:tcMar>
              <w:top w:w="70" w:type="dxa"/>
              <w:start w:w="80" w:type="dxa"/>
              <w:bottom w:w="70" w:type="dxa"/>
              <w:end w:w="80" w:type="dxa"/>
            </w:tcMar>
            <w:shd w:fill="D9EAF7"/>
          </w:tcPr>
          <w:p>
            <w:pPr>
              <w:pStyle w:val="Compact"/>
              <w:jc w:val="left"/>
            </w:pPr>
            <w:r>
              <w:rPr>
                <w:rFonts w:ascii="Arial" w:hAnsi="Arial" w:eastAsia="Arial"/>
                <w:sz w:val="16"/>
              </w:rPr>
              <w:t>0.18</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U2 Household</w:t>
            </w:r>
          </w:p>
        </w:tc>
        <w:tc>
          <w:tcPr>
            <w:vAlign w:val="top"/>
            <w:tcMar>
              <w:top w:w="70" w:type="dxa"/>
              <w:start w:w="80" w:type="dxa"/>
              <w:bottom w:w="70" w:type="dxa"/>
              <w:end w:w="80" w:type="dxa"/>
            </w:tcMar>
            <w:shd w:fill="FFFFFF"/>
          </w:tcPr>
          <w:p>
            <w:pPr>
              <w:pStyle w:val="Compact"/>
              <w:jc w:val="left"/>
            </w:pPr>
            <w:r>
              <w:rPr>
                <w:rFonts w:ascii="Arial" w:hAnsi="Arial" w:eastAsia="Arial"/>
                <w:sz w:val="16"/>
              </w:rPr>
              <w:t>0.10</w:t>
            </w:r>
          </w:p>
        </w:tc>
        <w:tc>
          <w:tcPr>
            <w:vAlign w:val="top"/>
            <w:tcMar>
              <w:top w:w="70" w:type="dxa"/>
              <w:start w:w="80" w:type="dxa"/>
              <w:bottom w:w="70" w:type="dxa"/>
              <w:end w:w="80" w:type="dxa"/>
            </w:tcMar>
            <w:shd w:fill="FFFFFF"/>
          </w:tcPr>
          <w:p>
            <w:pPr>
              <w:pStyle w:val="Compact"/>
              <w:jc w:val="left"/>
            </w:pPr>
            <w:r>
              <w:rPr>
                <w:rFonts w:ascii="Arial" w:hAnsi="Arial" w:eastAsia="Arial"/>
                <w:sz w:val="16"/>
              </w:rPr>
              <w:t>0.35</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U3 Community</w:t>
            </w:r>
          </w:p>
        </w:tc>
        <w:tc>
          <w:tcPr>
            <w:vAlign w:val="top"/>
            <w:tcMar>
              <w:top w:w="70" w:type="dxa"/>
              <w:start w:w="80" w:type="dxa"/>
              <w:bottom w:w="70" w:type="dxa"/>
              <w:end w:w="80" w:type="dxa"/>
            </w:tcMar>
            <w:shd w:fill="D9EAF7"/>
          </w:tcPr>
          <w:p>
            <w:pPr>
              <w:pStyle w:val="Compact"/>
              <w:jc w:val="left"/>
            </w:pPr>
            <w:r>
              <w:rPr>
                <w:rFonts w:ascii="Arial" w:hAnsi="Arial" w:eastAsia="Arial"/>
                <w:sz w:val="16"/>
              </w:rPr>
              <w:t>-0.06</w:t>
            </w:r>
          </w:p>
        </w:tc>
        <w:tc>
          <w:tcPr>
            <w:vAlign w:val="top"/>
            <w:tcMar>
              <w:top w:w="70" w:type="dxa"/>
              <w:start w:w="80" w:type="dxa"/>
              <w:bottom w:w="70" w:type="dxa"/>
              <w:end w:w="80" w:type="dxa"/>
            </w:tcMar>
            <w:shd w:fill="D9EAF7"/>
          </w:tcPr>
          <w:p>
            <w:pPr>
              <w:pStyle w:val="Compact"/>
              <w:jc w:val="left"/>
            </w:pPr>
            <w:r>
              <w:rPr>
                <w:rFonts w:ascii="Arial" w:hAnsi="Arial" w:eastAsia="Arial"/>
                <w:sz w:val="16"/>
              </w:rPr>
              <w:t>0.41</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U4 Organization</w:t>
            </w:r>
          </w:p>
        </w:tc>
        <w:tc>
          <w:tcPr>
            <w:vAlign w:val="top"/>
            <w:tcMar>
              <w:top w:w="70" w:type="dxa"/>
              <w:start w:w="80" w:type="dxa"/>
              <w:bottom w:w="70" w:type="dxa"/>
              <w:end w:w="80" w:type="dxa"/>
            </w:tcMar>
            <w:shd w:fill="FFFFFF"/>
          </w:tcPr>
          <w:p>
            <w:pPr>
              <w:pStyle w:val="Compact"/>
              <w:jc w:val="left"/>
            </w:pPr>
            <w:r>
              <w:rPr>
                <w:rFonts w:ascii="Arial" w:hAnsi="Arial" w:eastAsia="Arial"/>
                <w:sz w:val="16"/>
              </w:rPr>
              <w:t>0.20</w:t>
            </w:r>
          </w:p>
        </w:tc>
        <w:tc>
          <w:tcPr>
            <w:vAlign w:val="top"/>
            <w:tcMar>
              <w:top w:w="70" w:type="dxa"/>
              <w:start w:w="80" w:type="dxa"/>
              <w:bottom w:w="70" w:type="dxa"/>
              <w:end w:w="80" w:type="dxa"/>
            </w:tcMar>
            <w:shd w:fill="FFFFFF"/>
          </w:tcPr>
          <w:p>
            <w:pPr>
              <w:pStyle w:val="Compact"/>
              <w:jc w:val="left"/>
            </w:pPr>
            <w:r>
              <w:rPr>
                <w:rFonts w:ascii="Arial" w:hAnsi="Arial" w:eastAsia="Arial"/>
                <w:sz w:val="16"/>
              </w:rPr>
              <w:t>0.32</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U5 Polity</w:t>
            </w:r>
          </w:p>
        </w:tc>
        <w:tc>
          <w:tcPr>
            <w:vAlign w:val="top"/>
            <w:tcMar>
              <w:top w:w="70" w:type="dxa"/>
              <w:start w:w="80" w:type="dxa"/>
              <w:bottom w:w="70" w:type="dxa"/>
              <w:end w:w="80" w:type="dxa"/>
            </w:tcMar>
            <w:shd w:fill="D9EAF7"/>
          </w:tcPr>
          <w:p>
            <w:pPr>
              <w:pStyle w:val="Compact"/>
              <w:jc w:val="left"/>
            </w:pPr>
            <w:r>
              <w:rPr>
                <w:rFonts w:ascii="Arial" w:hAnsi="Arial" w:eastAsia="Arial"/>
                <w:sz w:val="16"/>
              </w:rPr>
              <w:t>-0.10</w:t>
            </w:r>
          </w:p>
        </w:tc>
        <w:tc>
          <w:tcPr>
            <w:vAlign w:val="top"/>
            <w:tcMar>
              <w:top w:w="70" w:type="dxa"/>
              <w:start w:w="80" w:type="dxa"/>
              <w:bottom w:w="70" w:type="dxa"/>
              <w:end w:w="80" w:type="dxa"/>
            </w:tcMar>
            <w:shd w:fill="D9EAF7"/>
          </w:tcPr>
          <w:p>
            <w:pPr>
              <w:pStyle w:val="Compact"/>
              <w:jc w:val="left"/>
            </w:pPr>
            <w:r>
              <w:rPr>
                <w:rFonts w:ascii="Arial" w:hAnsi="Arial" w:eastAsia="Arial"/>
                <w:sz w:val="16"/>
              </w:rPr>
              <w:t>0.12</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U6 Humanity / Global Coordination</w:t>
            </w:r>
          </w:p>
        </w:tc>
        <w:tc>
          <w:tcPr>
            <w:vAlign w:val="top"/>
            <w:tcMar>
              <w:top w:w="70" w:type="dxa"/>
              <w:start w:w="80" w:type="dxa"/>
              <w:bottom w:w="70" w:type="dxa"/>
              <w:end w:w="80" w:type="dxa"/>
            </w:tcMar>
            <w:shd w:fill="FFFFFF"/>
          </w:tcPr>
          <w:p>
            <w:pPr>
              <w:pStyle w:val="Compact"/>
              <w:jc w:val="left"/>
            </w:pPr>
            <w:r>
              <w:rPr>
                <w:rFonts w:ascii="Arial" w:hAnsi="Arial" w:eastAsia="Arial"/>
                <w:sz w:val="16"/>
              </w:rPr>
              <w:t>-0.08</w:t>
            </w:r>
          </w:p>
        </w:tc>
        <w:tc>
          <w:tcPr>
            <w:vAlign w:val="top"/>
            <w:tcMar>
              <w:top w:w="70" w:type="dxa"/>
              <w:start w:w="80" w:type="dxa"/>
              <w:bottom w:w="70" w:type="dxa"/>
              <w:end w:w="80" w:type="dxa"/>
            </w:tcMar>
            <w:shd w:fill="FFFFFF"/>
          </w:tcPr>
          <w:p>
            <w:pPr>
              <w:pStyle w:val="Compact"/>
              <w:jc w:val="left"/>
            </w:pPr>
            <w:r>
              <w:rPr>
                <w:rFonts w:ascii="Arial" w:hAnsi="Arial" w:eastAsia="Arial"/>
                <w:sz w:val="16"/>
              </w:rPr>
              <w:t>0.05</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U7 Biosphere</w:t>
            </w:r>
          </w:p>
        </w:tc>
        <w:tc>
          <w:tcPr>
            <w:vAlign w:val="top"/>
            <w:tcMar>
              <w:top w:w="70" w:type="dxa"/>
              <w:start w:w="80" w:type="dxa"/>
              <w:bottom w:w="70" w:type="dxa"/>
              <w:end w:w="80" w:type="dxa"/>
            </w:tcMar>
            <w:shd w:fill="D9EAF7"/>
          </w:tcPr>
          <w:p>
            <w:pPr>
              <w:pStyle w:val="Compact"/>
              <w:jc w:val="left"/>
            </w:pPr>
            <w:r>
              <w:rPr>
                <w:rFonts w:ascii="Arial" w:hAnsi="Arial" w:eastAsia="Arial"/>
                <w:sz w:val="16"/>
              </w:rPr>
              <w:t>-0.25</w:t>
            </w:r>
          </w:p>
        </w:tc>
        <w:tc>
          <w:tcPr>
            <w:vAlign w:val="top"/>
            <w:tcMar>
              <w:top w:w="70" w:type="dxa"/>
              <w:start w:w="80" w:type="dxa"/>
              <w:bottom w:w="70" w:type="dxa"/>
              <w:end w:w="80" w:type="dxa"/>
            </w:tcMar>
            <w:shd w:fill="D9EAF7"/>
          </w:tcPr>
          <w:p>
            <w:pPr>
              <w:pStyle w:val="Compact"/>
              <w:jc w:val="left"/>
            </w:pPr>
            <w:r>
              <w:rPr>
                <w:rFonts w:ascii="Arial" w:hAnsi="Arial" w:eastAsia="Arial"/>
                <w:sz w:val="16"/>
              </w:rPr>
              <w:t>0.30</w:t>
            </w:r>
          </w:p>
        </w:tc>
      </w:tr>
    </w:tbl>
    <w:p>
      <w:pPr>
        <w:pStyle w:val="BodyText"/>
      </w:pPr>
      <w:r>
        <w:t>Then:</w:t>
      </w:r>
    </w:p>
    <w:p>
      <w:pPr>
        <w:pStyle w:val="BodyText"/>
      </w:pPr>
      <w:r>
        <w:t>RLS_PLSS(A) ≈ 0.0656</w:t>
      </w:r>
    </w:p>
    <w:p>
      <w:pPr>
        <w:pStyle w:val="BodyText"/>
      </w:pPr>
      <w:r>
        <w:t>RLS_PLSS(B) ≈ 0.2444</w:t>
      </w:r>
    </w:p>
    <w:p>
      <w:pPr>
        <w:pStyle w:val="BodyText"/>
      </w:pPr>
      <w:r>
        <w:t>So Option B wins on welfare ranking among selectable options.</w:t>
      </w:r>
    </w:p>
    <w:p>
      <w:pPr>
        <w:pStyle w:val="BodyText"/>
      </w:pPr>
      <w:r>
        <w:t>Worked-example uncertainty note. The raw RLS_PLSS values shown in this example do not by themselves determine final selectability. Under the declared uncertainty method, the lead between the top two selectable options SHALL be tested against the Section 10.4 discrimination threshold. If the result is non-decisive, the Section 11.5 tie-break chain applies. This example is intended to illustrate PLSS weight construction and score propagation, not to waive the framework's general decisiveness discipline.</w:t>
      </w:r>
    </w:p>
    <w:p>
      <w:pPr>
        <w:pStyle w:val="BodyText"/>
      </w:pPr>
      <w:r>
        <w:t>Admissibility note. If Option C carries plausible rights-floor or catastrophe concerns through toxic exposure or abusive supply-chain conditions, it may fail NCRC or TRC before RLS ranking. If so, it is not saved by local convenience or low cost.</w:t>
      </w:r>
    </w:p>
    <w:p>
      <w:pPr>
        <w:pStyle w:val="BodyText"/>
      </w:pPr>
      <w:r>
        <w:t>Lesson (Informative). PLSS does not say “ignore broader scopes.” It says: let local decisions place most additional attention where the ripple is near, while still preventing local gain from laundering wider harm.</w:t>
      </w:r>
    </w:p>
    <w:bookmarkEnd w:id="178"/>
    <w:bookmarkStart w:id="181" w:name="Xf6f325be27d62bdf033c671b0e3b2be7bb45b4b"/>
    <w:p>
      <w:pPr>
        <w:pStyle w:val="Heading2"/>
      </w:pPr>
      <w:r>
        <w:t>10.3 Uncertainty Handling (Tier 2+ Required for Active Cells) (Normative)</w:t>
      </w:r>
    </w:p>
    <w:p>
      <w:pPr>
        <w:pStyle w:val="FirstParagraph"/>
      </w:pPr>
      <w:r>
        <w:t>RippleLogic recognizes epistemic uncertainty. Tier 2 and Tier 3 runs MUST record uncertainty and apply the discrimination rule for all active cells (definition below). Tier 1 runs SHOULD record uncertainty when feasible, especially on rights-covered and catastrophe-relevant cells.</w:t>
      </w:r>
    </w:p>
    <w:p>
      <w:pPr>
        <w:pStyle w:val="BodyText"/>
      </w:pPr>
      <w:r>
        <w:t>Active cell definition (Normative; v9.0 tightened). A cell (u,d) is active for a run if any of the following holds: (i) m(u,d)=1 and the cell contributes to RLS aggregation, (ii) the cell lies in any rights coverage set C_r used for NCRC evaluation (regardless of mask status), (iii) the cell lies in the catastrophe cell set C_cat used for TRC evaluation (regardless of mask status), (iv) the cell is explicitly populated in the run for any gate, diagnostic, or justification, or (v) the cell is required by the run’s minimum governance coverage rules declared in the PCC.</w:t>
      </w:r>
    </w:p>
    <w:p>
      <w:pPr>
        <w:pStyle w:val="BodyText"/>
      </w:pPr>
      <w:r>
        <w:t>Active cells MUST NOT be treated as unknown-by-default without disclosure. Masking (m(u,d)=0) excludes a cell from RLS aggregation only; it does not remove the cell from active status if any of conditions (ii) through (v) hold.</w:t>
      </w:r>
    </w:p>
    <w:p>
      <w:pPr>
        <w:pStyle w:val="BodyText"/>
      </w:pPr>
      <w:r>
        <w:t>Definition of σ(u,d,a) (normative minimum): PCC MUST declare one of the following cell-level uncertainty proxies and apply it consistently across options:</w:t>
      </w:r>
    </w:p>
    <w:bookmarkStart w:id="179" w:name="Xa654c3df961095351ef388cab4b30166c6850c1"/>
    <w:p>
      <w:pPr>
        <w:pStyle w:val="Heading3"/>
      </w:pPr>
      <w:r>
        <w:t>10.3.1 Cell-level uncertainty proxy declarations (Normative)</w:t>
      </w:r>
    </w:p>
    <w:bookmarkEnd w:id="179"/>
    <w:bookmarkStart w:id="180" w:name="X1fbcae8956aca94fcf95c6538aaec6a239522c4"/>
    <w:p>
      <w:pPr>
        <w:pStyle w:val="Heading3"/>
      </w:pPr>
      <w:r>
        <w:t>10.3.2 Cell-level confidence derivation (Normative; Method B binding)</w:t>
      </w:r>
    </w:p>
    <w:p>
      <w:pPr>
        <w:pStyle w:val="FirstParagraph"/>
      </w:pPr>
      <w:r>
        <w:t>When the PCC uses Method B (confidence-derived) to compute cell uncertainty for a cell impact estimate, the PCC MUST define cell confidence c(u,d,a) in [0,1] from the set of impact-instance confidences {c_k} k∈K(u,d,a) using one declared CellConfidenceAggregationMethod. Implementations MUST apply the same method across all options in the run.</w:t>
      </w:r>
    </w:p>
    <w:p>
      <w:pPr>
        <w:pStyle w:val="BodyText"/>
      </w:pPr>
      <w:r>
        <w:t>Let the instance contribution weight be defined as:</w:t>
      </w:r>
      <w:r>
        <w:br/>
      </w:r>
      <w:r>
        <w:t>q_k := r_k · τ(t_k) · ℓ_k · e_k · h_k · |μ_k|</w:t>
      </w:r>
      <w:r>
        <w:br/>
      </w:r>
      <w:r>
        <w:t>and let Q := Σ_{k∈K(u,d,a)} q_k.</w:t>
      </w:r>
    </w:p>
    <w:p>
      <w:pPr>
        <w:pStyle w:val="BodyText"/>
      </w:pPr>
      <w:r>
        <w:t>The PCC MUST declare one of the following canonical aggregation methods:</w:t>
      </w:r>
    </w:p>
    <w:p>
      <w:pPr>
        <w:pStyle w:val="BodyText"/>
      </w:pPr>
      <w:r>
        <w:t>CCAM_MIN_V1 (conservative default):</w:t>
      </w:r>
      <w:r>
        <w:br/>
      </w:r>
      <w:r>
        <w:t>c(u,d,a) := min_{k∈K(u,d,a)} c_k</w:t>
      </w:r>
      <w:r>
        <w:br/>
      </w:r>
      <w:r>
        <w:t>Use case: high-stakes, high-adversarial-pressure contexts where “weakest-link” confidence is the appropriate posture.</w:t>
      </w:r>
    </w:p>
    <w:p>
      <w:pPr>
        <w:pStyle w:val="BodyText"/>
      </w:pPr>
      <w:r>
        <w:t>CCAM_WMEAN_V1 (weighted mean): if Q&gt;0,</w:t>
      </w:r>
      <w:r>
        <w:br/>
      </w:r>
      <w:r>
        <w:t>c(u,d,a) := (1/Q) · Σ_{k∈K(u,d,a)} (q_k · c_k)</w:t>
      </w:r>
      <w:r>
        <w:br/>
      </w:r>
      <w:r>
        <w:t>If Q=0, set c(u,d,a) := min_{k∈K(u,d,a)} c_k.</w:t>
      </w:r>
    </w:p>
    <w:p>
      <w:pPr>
        <w:pStyle w:val="BodyText"/>
      </w:pPr>
      <w:r>
        <w:t>Edge case (Normative). If K(u,d,a)=∅ and the Phantom Instance Rule applies, then c(u,d,a) MUST be set to 1.0 for the phantom instance because the uncertainty penalty is already represented by the phantom magnitude; the PCC MUST still mark the cell as UNKNOWN_IMPACT.</w:t>
      </w:r>
    </w:p>
    <w:p>
      <w:pPr>
        <w:pStyle w:val="BodyText"/>
      </w:pPr>
      <w:r>
        <w:t>Range rule (Normative). The derived c(u,d,a) MUST be clipped to [0,1] and recorded in PCC for each active cell when Method B is used.</w:t>
      </w:r>
    </w:p>
    <w:p>
      <w:pPr>
        <w:pStyle w:val="BodyText"/>
      </w:pPr>
      <w:r>
        <w:t>Method A (interval half-width): If the PCC records a confidence interval [L,U] for the cell impact I(u,d,a), set σ(u,d,a) = (U − L)/2.</w:t>
      </w:r>
    </w:p>
    <w:p>
      <w:pPr>
        <w:pStyle w:val="BodyText"/>
      </w:pPr>
      <w:r>
        <w:t>Method B (confidence-derived contribution-mass rule): Let x_k be each pre-confidence signed instance contribution in the cell after reach, temporal, likelihood, adjustment, and permitted sentience terms but before cell saturation. Define A_cell(u,d,a) = min(1, Σ_k |x_k|). If the PCC records cell confidence c(u,d,a) ∈ [0,1], set σ(u,d,a) = (1 − c(u,d,a)) × A_cell(u,d,a). This prevents uncertain positive and negative contributions from cancelling to a deceptively small uncertainty value.</w:t>
      </w:r>
    </w:p>
    <w:p>
      <w:pPr>
        <w:pStyle w:val="BodyText"/>
      </w:pPr>
      <w:r>
        <w:t>Method C (calibrated table): Use a pre-registered mapping from qualitative uncertainty labels (for example, LOW/MED/HIGH) to σ values, stored in the ProofPack or PCC appendix.</w:t>
      </w:r>
    </w:p>
    <w:p>
      <w:pPr>
        <w:pStyle w:val="BodyText"/>
      </w:pPr>
      <w:r>
        <w:t>σ values MUST be clipped to [0,1]. Unless a stricter governed method is declared, σ(u,d,a) is interpreted as the pre-κ cell-level uncertainty input and SHALL be aggregated into σ_RLS using the same w_u, v_d, m(u,d), and κ(u,d) posture used for RLS.</w:t>
      </w:r>
    </w:p>
    <w:p>
      <w:pPr>
        <w:pStyle w:val="BodyText"/>
      </w:pPr>
      <w:r>
        <w:t>Auditability binding (Normative). The PCC MUST record the source, elicitation basis, or calibration table used for σ(u,d,a) and any declared aggregation rule that produces it. Unless a stricter governed method is declared, σ(u,d,a) is interpreted as the pre-κ cell-level uncertainty input and SHALL be aggregated into σ_RLS using the same w_u, v_d, m(u,d), and κ(u,d) posture used for RLS. If an allowed alternative uncertainty method or aggregation rule would change decisiveness, that sensitivity MUST be disclosed.</w:t>
      </w:r>
    </w:p>
    <w:p>
      <w:pPr>
        <w:pStyle w:val="BodyText"/>
      </w:pPr>
      <w:r>
        <w:t>Tier 3 uncertainty hardening (Normative). Tier 3 runs MUST rerun decisiveness using σ×0.5 and σ×2.0 stress tests (or the nearest declared equivalent for Method A interval widths) and MUST record whether the top-versus-runner-up decisiveness result changes. If decisiveness changes, the run MUST set audit flag UNCERTAINTY_DECISIVENESS_SENSITIVE and SHALL be treated as non-decisive until the tie-break chain or governance review is completed.</w:t>
      </w:r>
    </w:p>
    <w:p>
      <w:pPr>
        <w:pStyle w:val="BodyText"/>
      </w:pPr>
      <w:r>
        <w:t>Method C restriction (Normative). Method C may be used only with a pre-registered calibrated table. A bare constant σ applied to all active cells is permitted only for worked examples, training artifacts, or explicitly non-operational demonstrations and MUST NOT support Tier 3 operational-readiness claims.</w:t>
      </w:r>
    </w:p>
    <w:p>
      <w:pPr>
        <w:pStyle w:val="BodyText"/>
      </w:pPr>
      <w:r>
        <w:t>Define approximate RLS uncertainty:</w:t>
      </w:r>
    </w:p>
    <w:p>
      <w:pPr>
        <w:pStyle w:val="BodyText"/>
      </w:pPr>
      <w:r>
        <w:t>σ_RLS(a) = √[Σ_u Σ_d (q(u,d) × σ(u,d,a))²] / Q, for Q &gt; 0</w:t>
      </w:r>
    </w:p>
    <w:p>
      <w:pPr>
        <w:pStyle w:val="BodyText"/>
      </w:pPr>
      <w:r>
        <w:rPr>
          <w:b/>
          <w:bCs/>
        </w:rPr>
        <w:t>Dependence-cluster uncertainty rule (Normative).</w:t>
      </w:r>
      <w:r>
        <w:t xml:space="preserve"> </w:t>
      </w:r>
      <w:r>
        <w:t>The formula above is the independent-cell approximation. Because cells may share sources, causal pathways, stakeholder populations, scenario assumptions, models, or evaluators, the PCC MUST declare uncertainty-dependence clusters for Tier 3 and decision-material Tier 2 runs. At minimum, compute a perfect-correlation stress within each declared cluster by summing absolute weighted uncertainty contributions inside the cluster, then combine independent clusters by root-sum-square. Where covariance estimates exist, a covariance-aware calculation MAY replace the stress approximation. If ranking or decisiveness changes relative to the independent-cell result, set</w:t>
      </w:r>
      <w:r>
        <w:t xml:space="preserve"> </w:t>
      </w:r>
      <w:r>
        <w:rPr>
          <w:rStyle w:val="VerbatimChar"/>
        </w:rPr>
        <w:t>RLS_DEPENDENCE_SENSITIVE</w:t>
      </w:r>
      <w:r>
        <w:t xml:space="preserve"> </w:t>
      </w:r>
      <w:r>
        <w:t>and treat the result as non-decisive until the tie-break or governance review is complete.</w:t>
      </w:r>
    </w:p>
    <w:p>
      <w:pPr>
        <w:pStyle w:val="BodyText"/>
      </w:pPr>
      <w:r>
        <w:t>Optional risk-adjusted score:</w:t>
      </w:r>
    </w:p>
    <w:p>
      <w:pPr>
        <w:pStyle w:val="BodyText"/>
      </w:pPr>
      <w:r>
        <w:t>RLS_adj(a) = RLS(a) − λ × σ_RLS(a)</w:t>
      </w:r>
    </w:p>
    <w:p>
      <w:pPr>
        <w:pStyle w:val="BodyText"/>
      </w:pPr>
      <w:r>
        <w:t>Default: λ = 0.5. Use is optional but must be declared.</w:t>
      </w:r>
    </w:p>
    <w:p>
      <w:pPr>
        <w:pStyle w:val="BodyText"/>
      </w:pPr>
      <w:r>
        <w:t>By default, RLS_adj is diagnostic only and MUST NOT replace RLS for ranking or decisiveness unless the run declares ex ante that risk-adjusted ranking is the governing ranking basis. If such a declaration is made, the same declared basis MUST be used consistently for ranking, Gap, and decisiveness across all compared options in the run.</w:t>
      </w:r>
    </w:p>
    <w:bookmarkEnd w:id="180"/>
    <w:bookmarkEnd w:id="181"/>
    <w:bookmarkStart w:id="182" w:name="Xf275740d449b98107a32df3342c62ec4bb16c30"/>
    <w:p>
      <w:pPr>
        <w:pStyle w:val="Heading2"/>
      </w:pPr>
      <w:r>
        <w:t>10.4 Discrimination Threshold (Decisive vs Non-Decisive) (Normative)</w:t>
      </w:r>
    </w:p>
    <w:p>
      <w:pPr>
        <w:pStyle w:val="FirstParagraph"/>
      </w:pPr>
      <w:r>
        <w:t>Define gap between two options:</w:t>
      </w:r>
    </w:p>
    <w:p>
      <w:pPr>
        <w:pStyle w:val="BodyText"/>
      </w:pPr>
      <w:r>
        <w:t>Gap(a,b) = abs(RLS(a) - RLS(b)) / sqrt(sigma_RLS(a)^2 + sigma_RLS(b)^2 + epsilon)</w:t>
      </w:r>
    </w:p>
    <w:p>
      <w:pPr>
        <w:pStyle w:val="BodyText"/>
      </w:pPr>
      <w:r>
        <w:t>Default: delta = 2, epsilon = 1e-6.</w:t>
      </w:r>
    </w:p>
    <w:p>
      <w:pPr>
        <w:pStyle w:val="BodyText"/>
      </w:pPr>
      <w:r>
        <w:t>Rationale (Informative). δ = 2 is a conservative governance convention for the normalized Gap definition, not a claim that Gap is a literal z-score or that a specific distributional assumption holds. Its purpose is to reduce premature declarations of decisiveness when option-level uncertainty materially overlaps. Domains may tune delta, but any non-default delta MUST be declared in the PCC, justified, and applied consistently across options in the run.</w:t>
      </w:r>
    </w:p>
    <w:p>
      <w:pPr>
        <w:pStyle w:val="BodyText"/>
      </w:pPr>
      <w:r>
        <w:t>Let a* be top RLS option and a₂ the runner-up among selectable options.</w:t>
      </w:r>
    </w:p>
    <w:p>
      <w:pPr>
        <w:pStyle w:val="BodyText"/>
      </w:pPr>
      <w:r>
        <w:t>Decisive lead rule:</w:t>
      </w:r>
    </w:p>
    <w:p>
      <w:pPr>
        <w:pStyle w:val="Compact"/>
        <w:numPr>
          <w:ilvl w:val="0"/>
          <w:numId w:val="1108"/>
        </w:numPr>
      </w:pPr>
      <w:r>
        <w:t>If Gap(a*, a2) &gt; delta (default delta = 2), select a* (subject to tie-break gating not being needed).</w:t>
      </w:r>
    </w:p>
    <w:p>
      <w:pPr>
        <w:pStyle w:val="Compact"/>
        <w:numPr>
          <w:ilvl w:val="0"/>
          <w:numId w:val="1109"/>
        </w:numPr>
      </w:pPr>
      <w:r>
        <w:t>If Gap(a*, a2) &lt;= delta, the lead is non-decisive and the tie-break chain MUST be applied (Section 11.5).</w:t>
      </w:r>
    </w:p>
    <w:bookmarkEnd w:id="182"/>
    <w:bookmarkStart w:id="183" w:name="Xff0d3328eba7f95a173330551f6cdf17df14d46"/>
    <w:p>
      <w:pPr>
        <w:pStyle w:val="Heading2"/>
      </w:pPr>
      <w:r>
        <w:t>10.4A Non-Decisive Gap Enforcement (Normative)</w:t>
      </w:r>
    </w:p>
    <w:p>
      <w:pPr>
        <w:pStyle w:val="FirstParagraph"/>
      </w:pPr>
      <w:r>
        <w:t>If the leading options are tied, close, or uncertainty-overlapped under the declared discrimination rule, FrameworkVerdict MUST NOT state or imply deterministic framework selection. If Gap(a*, a2) &lt;= delta, including sigma-stress where required by tier, the run MUST either apply a governed tie-break rule over already-selectable options, return REFUSE_DETERMINISTIC_SELECTION, or route to AuthoritySelectionRecord without claiming that RippleLogic itself selected uniquely.</w:t>
      </w:r>
    </w:p>
    <w:p>
      <w:pPr>
        <w:pStyle w:val="BodyText"/>
      </w:pPr>
      <w:r>
        <w:t>Any run with Gap &lt;= delta that claims deterministic framework selection SHOULD set DECISIVENESS_OVERRIDE_INVALID with severity INVALID. Authority selection may still choose among admissible non-decisive options, but it must be recorded as authority selection, not framework determinism.</w:t>
      </w:r>
    </w:p>
    <w:bookmarkEnd w:id="183"/>
    <w:bookmarkStart w:id="184" w:name="X11312cdcfdb550ef827eaadbadf7a9345bbe7d4"/>
    <w:p>
      <w:pPr>
        <w:pStyle w:val="Heading2"/>
      </w:pPr>
      <w:r>
        <w:t>10.5 RLS Output Requirements (Normative)</w:t>
      </w:r>
    </w:p>
    <w:p>
      <w:pPr>
        <w:pStyle w:val="FirstParagraph"/>
      </w:pPr>
      <w:r>
        <w:t>PCC MUST record, per option in A_sel:</w:t>
      </w:r>
    </w:p>
    <w:p>
      <w:pPr>
        <w:pStyle w:val="Compact"/>
        <w:numPr>
          <w:ilvl w:val="0"/>
          <w:numId w:val="1110"/>
        </w:numPr>
      </w:pPr>
      <w:r>
        <w:t>I_prop_welfare(u,d,a) (or a retrievable summarized representation)</w:t>
      </w:r>
    </w:p>
    <w:p>
      <w:pPr>
        <w:pStyle w:val="Compact"/>
        <w:numPr>
          <w:ilvl w:val="0"/>
          <w:numId w:val="1111"/>
        </w:numPr>
      </w:pPr>
      <w:r>
        <w:t>RLS(a) and σ_RLS(a) and the uncertainty method</w:t>
      </w:r>
    </w:p>
    <w:p>
      <w:pPr>
        <w:pStyle w:val="Compact"/>
        <w:numPr>
          <w:ilvl w:val="0"/>
          <w:numId w:val="1112"/>
        </w:numPr>
      </w:pPr>
      <w:r>
        <w:t>Ranking and whether decisive (Gap vs δ)</w:t>
      </w:r>
    </w:p>
    <w:bookmarkEnd w:id="184"/>
    <w:bookmarkEnd w:id="185"/>
    <w:bookmarkStart w:id="198" w:name="X96652ee80bcac363f94aa541255a3d4a3b47727"/>
    <w:p>
      <w:pPr>
        <w:pStyle w:val="Heading1"/>
      </w:pPr>
      <w:r>
        <w:t>SECTION 11: TIE-BREAKS, HOLLOWING DIAGNOSTICS, AND STRUCTURAL MONITORING</w:t>
      </w:r>
    </w:p>
    <w:bookmarkStart w:id="186" w:name="Xe5905e92875c970a91a248c79977654eb7e1cda"/>
    <w:p>
      <w:pPr>
        <w:pStyle w:val="Heading2"/>
      </w:pPr>
      <w:r>
        <w:t>11.0 Purpose (Normative)</w:t>
      </w:r>
    </w:p>
    <w:p>
      <w:pPr>
        <w:pStyle w:val="FirstParagraph"/>
      </w:pPr>
      <w:r>
        <w:t>This section defines the special-case role of UCI/HOI after the core method has already formed a selectable set. UCI/HOI are not public headline cascade stages and are not independent late-stage admissibility gates. Their gate-relevant structural work belongs in Containment. Their residual work occurs only when RLS is tied, close, uncertainty-overlapped, or non-decisive, or when monitoring and hollowing-risk documentation are required.</w:t>
      </w:r>
    </w:p>
    <w:p>
      <w:pPr>
        <w:pStyle w:val="Compact"/>
        <w:numPr>
          <w:ilvl w:val="0"/>
          <w:numId w:val="1113"/>
        </w:numPr>
      </w:pPr>
      <w:r>
        <w:t>UCI is a structural metric used primarily as CSV evidence where material and secondarily as a residual tie-break signal when RLS cannot decide.</w:t>
      </w:r>
    </w:p>
    <w:p>
      <w:pPr>
        <w:pStyle w:val="Compact"/>
        <w:numPr>
          <w:ilvl w:val="0"/>
          <w:numId w:val="1114"/>
        </w:numPr>
      </w:pPr>
      <w:r>
        <w:t>HOI is a hollowing and drift diagnostic that flags welfare-up/coherence-down patterns for Containment, monitoring, and residual tie-break contexts.</w:t>
      </w:r>
    </w:p>
    <w:bookmarkEnd w:id="186"/>
    <w:bookmarkStart w:id="187" w:name="X04057c5f044ab346c6737ccf98746af7b479e72"/>
    <w:p>
      <w:pPr>
        <w:pStyle w:val="Heading2"/>
      </w:pPr>
      <w:r>
        <w:t>11.0A Instrument-Placement Rule for UCI/HOI (Normative)</w:t>
      </w:r>
    </w:p>
    <w:p>
      <w:pPr>
        <w:pStyle w:val="FirstParagraph"/>
      </w:pPr>
      <w:r>
        <w:t>UCI and HOI are structural diagnostic instruments with two possible uses.</w:t>
      </w:r>
    </w:p>
    <w:p>
      <w:pPr>
        <w:pStyle w:val="BodyText"/>
      </w:pPr>
      <w:r>
        <w:t>1. Containment use. When UCI/HOI evidence is material to cross-scale structural integrity, it is evaluated inside the CSV Gate under Section 9. This includes severe coherence loss, hidden hollowing, institutional brittleness, burnout, trust collapse, ecological degradation, governance-capacity loss, lock-in, or other structural damage to a containing union.</w:t>
      </w:r>
    </w:p>
    <w:p>
      <w:pPr>
        <w:pStyle w:val="BodyText"/>
      </w:pPr>
      <w:r>
        <w:t>2. Residual tie-break use. When no containment threshold is crossed and options have already passed RF/NCRC, TRC, and CSV, UCI/HOI may be used after RLS only to resolve tied, close, uncertainty-overlapped, or non-decisive welfare rankings, document residual structural preference, trigger monitoring, or inform future-run steering.</w:t>
      </w:r>
    </w:p>
    <w:p>
      <w:pPr>
        <w:pStyle w:val="BodyText"/>
      </w:pPr>
      <w:r>
        <w:t>Level 5 public-facing language SHALL NOT present UCI/HOI as a regular cascade stage. The public Level 5 is RippleLogic Score. The UCI/HOI rule is a special-case tie-break and monitoring rule attached to RLS non-decisiveness and CSV diagnostics.</w:t>
      </w:r>
    </w:p>
    <w:bookmarkEnd w:id="187"/>
    <w:bookmarkStart w:id="191" w:name="Xe8f0d5dd46602a123ffd6662ac73966c10770bb"/>
    <w:p>
      <w:pPr>
        <w:pStyle w:val="Heading2"/>
      </w:pPr>
      <w:r>
        <w:t>11.1 Union Coherence Index (UCI) (Normative)</w:t>
      </w:r>
    </w:p>
    <w:bookmarkStart w:id="188" w:name="X7dcfefcf86305ee9e1fa7087d945b9f11719884"/>
    <w:p>
      <w:pPr>
        <w:pStyle w:val="Heading3"/>
      </w:pPr>
      <w:r>
        <w:t>11.1.1 UCI components (canonical)</w:t>
      </w:r>
    </w:p>
    <w:p>
      <w:pPr>
        <w:pStyle w:val="FirstParagraph"/>
      </w:pPr>
      <w:r>
        <w:t>For each union u, define component scores in [0,1]:</w:t>
      </w:r>
    </w:p>
    <w:tbl>
      <w:tblPr>
        <w:tblStyle w:val="Table"/>
        <w:tblW w:type="auto" w:w="0"/>
        <w:jc w:val="center"/>
        <w:tblLook w:firstRow="1" w:lastRow="0" w:firstColumn="0" w:lastColumn="0" w:noHBand="0" w:noVBand="0" w:val="0020"/>
      </w:tblPr>
      <w:tblGrid>
        <w:gridCol w:w="2640"/>
        <w:gridCol w:w="2640"/>
        <w:gridCol w:w="2640"/>
      </w:tblGrid>
      <w:tr>
        <w:trPr>
          <w:tblHeader w:val="on"/>
          <w:tblHeader w:val="true"/>
          <w:cantSplit/>
        </w:trPr>
        <w:tc>
          <w:tcPr>
            <w:vAlign w:val="top"/>
            <w:tcMar>
              <w:top w:w="70" w:type="dxa"/>
              <w:start w:w="80" w:type="dxa"/>
              <w:bottom w:w="70" w:type="dxa"/>
              <w:end w:w="80" w:type="dxa"/>
            </w:tcMar>
            <w:shd w:fill="1F4E78"/>
          </w:tcPr>
          <w:p>
            <w:pPr>
              <w:pStyle w:val="Compact"/>
              <w:jc w:val="left"/>
            </w:pPr>
            <w:r>
              <w:rPr>
                <w:rFonts w:ascii="Arial" w:hAnsi="Arial" w:eastAsia="Arial"/>
                <w:b/>
                <w:bCs/>
                <w:color w:val="FFFFFF"/>
                <w:sz w:val="16"/>
              </w:rPr>
              <w:t>Component</w:t>
            </w:r>
          </w:p>
        </w:tc>
        <w:tc>
          <w:tcPr>
            <w:vAlign w:val="top"/>
            <w:tcMar>
              <w:top w:w="70" w:type="dxa"/>
              <w:start w:w="80" w:type="dxa"/>
              <w:bottom w:w="70" w:type="dxa"/>
              <w:end w:w="80" w:type="dxa"/>
            </w:tcMar>
            <w:shd w:fill="1F4E78"/>
          </w:tcPr>
          <w:p>
            <w:pPr>
              <w:pStyle w:val="Compact"/>
              <w:jc w:val="left"/>
            </w:pPr>
            <w:r>
              <w:rPr>
                <w:rFonts w:ascii="Arial" w:hAnsi="Arial" w:eastAsia="Arial"/>
                <w:b/>
                <w:bCs/>
                <w:color w:val="FFFFFF"/>
                <w:sz w:val="16"/>
              </w:rPr>
              <w:t>Symbol</w:t>
            </w:r>
          </w:p>
        </w:tc>
        <w:tc>
          <w:tcPr>
            <w:vAlign w:val="top"/>
            <w:tcMar>
              <w:top w:w="70" w:type="dxa"/>
              <w:start w:w="80" w:type="dxa"/>
              <w:bottom w:w="70" w:type="dxa"/>
              <w:end w:w="80" w:type="dxa"/>
            </w:tcMar>
            <w:shd w:fill="1F4E78"/>
          </w:tcPr>
          <w:p>
            <w:pPr>
              <w:pStyle w:val="Compact"/>
              <w:jc w:val="left"/>
            </w:pPr>
            <w:r>
              <w:rPr>
                <w:rFonts w:ascii="Arial" w:hAnsi="Arial" w:eastAsia="Arial"/>
                <w:b/>
                <w:bCs/>
                <w:color w:val="FFFFFF"/>
                <w:sz w:val="16"/>
              </w:rPr>
              <w:t>Description</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Cohesion</w:t>
            </w:r>
          </w:p>
        </w:tc>
        <w:tc>
          <w:tcPr>
            <w:vAlign w:val="top"/>
            <w:tcMar>
              <w:top w:w="70" w:type="dxa"/>
              <w:start w:w="80" w:type="dxa"/>
              <w:bottom w:w="70" w:type="dxa"/>
              <w:end w:w="80" w:type="dxa"/>
            </w:tcMar>
            <w:shd w:fill="D9EAF7"/>
          </w:tcPr>
          <w:p>
            <w:pPr>
              <w:pStyle w:val="Compact"/>
              <w:jc w:val="left"/>
            </w:pPr>
            <w:r>
              <w:rPr>
                <w:rFonts w:ascii="Arial" w:hAnsi="Arial" w:eastAsia="Arial"/>
                <w:sz w:val="16"/>
              </w:rPr>
              <w:t>H_u</w:t>
            </w:r>
          </w:p>
        </w:tc>
        <w:tc>
          <w:tcPr>
            <w:vAlign w:val="top"/>
            <w:tcMar>
              <w:top w:w="70" w:type="dxa"/>
              <w:start w:w="80" w:type="dxa"/>
              <w:bottom w:w="70" w:type="dxa"/>
              <w:end w:w="80" w:type="dxa"/>
            </w:tcMar>
            <w:shd w:fill="D9EAF7"/>
          </w:tcPr>
          <w:p>
            <w:pPr>
              <w:pStyle w:val="Compact"/>
              <w:jc w:val="left"/>
            </w:pPr>
            <w:r>
              <w:rPr>
                <w:rFonts w:ascii="Arial" w:hAnsi="Arial" w:eastAsia="Arial"/>
                <w:sz w:val="16"/>
              </w:rPr>
              <w:t>Internal connectivity, trust, shared identity, conflict resolution capacity</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Flow</w:t>
            </w:r>
          </w:p>
        </w:tc>
        <w:tc>
          <w:tcPr>
            <w:vAlign w:val="top"/>
            <w:tcMar>
              <w:top w:w="70" w:type="dxa"/>
              <w:start w:w="80" w:type="dxa"/>
              <w:bottom w:w="70" w:type="dxa"/>
              <w:end w:w="80" w:type="dxa"/>
            </w:tcMar>
            <w:shd w:fill="FFFFFF"/>
          </w:tcPr>
          <w:p>
            <w:pPr>
              <w:pStyle w:val="Compact"/>
              <w:jc w:val="left"/>
            </w:pPr>
            <w:r>
              <w:rPr>
                <w:rFonts w:ascii="Arial" w:hAnsi="Arial" w:eastAsia="Arial"/>
                <w:sz w:val="16"/>
              </w:rPr>
              <w:t>F_u</w:t>
            </w:r>
          </w:p>
        </w:tc>
        <w:tc>
          <w:tcPr>
            <w:vAlign w:val="top"/>
            <w:tcMar>
              <w:top w:w="70" w:type="dxa"/>
              <w:start w:w="80" w:type="dxa"/>
              <w:bottom w:w="70" w:type="dxa"/>
              <w:end w:w="80" w:type="dxa"/>
            </w:tcMar>
            <w:shd w:fill="FFFFFF"/>
          </w:tcPr>
          <w:p>
            <w:pPr>
              <w:pStyle w:val="Compact"/>
              <w:jc w:val="left"/>
            </w:pPr>
            <w:r>
              <w:rPr>
                <w:rFonts w:ascii="Arial" w:hAnsi="Arial" w:eastAsia="Arial"/>
                <w:sz w:val="16"/>
              </w:rPr>
              <w:t>Coordination throughput, information fidelity, resource allocation efficiency</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Resilience</w:t>
            </w:r>
          </w:p>
        </w:tc>
        <w:tc>
          <w:tcPr>
            <w:vAlign w:val="top"/>
            <w:tcMar>
              <w:top w:w="70" w:type="dxa"/>
              <w:start w:w="80" w:type="dxa"/>
              <w:bottom w:w="70" w:type="dxa"/>
              <w:end w:w="80" w:type="dxa"/>
            </w:tcMar>
            <w:shd w:fill="D9EAF7"/>
          </w:tcPr>
          <w:p>
            <w:pPr>
              <w:pStyle w:val="Compact"/>
              <w:jc w:val="left"/>
            </w:pPr>
            <w:r>
              <w:rPr>
                <w:rFonts w:ascii="Arial" w:hAnsi="Arial" w:eastAsia="Arial"/>
                <w:sz w:val="16"/>
              </w:rPr>
              <w:t>R_u</w:t>
            </w:r>
          </w:p>
        </w:tc>
        <w:tc>
          <w:tcPr>
            <w:vAlign w:val="top"/>
            <w:tcMar>
              <w:top w:w="70" w:type="dxa"/>
              <w:start w:w="80" w:type="dxa"/>
              <w:bottom w:w="70" w:type="dxa"/>
              <w:end w:w="80" w:type="dxa"/>
            </w:tcMar>
            <w:shd w:fill="D9EAF7"/>
          </w:tcPr>
          <w:p>
            <w:pPr>
              <w:pStyle w:val="Compact"/>
              <w:jc w:val="left"/>
            </w:pPr>
            <w:r>
              <w:rPr>
                <w:rFonts w:ascii="Arial" w:hAnsi="Arial" w:eastAsia="Arial"/>
                <w:sz w:val="16"/>
              </w:rPr>
              <w:t>Redundancy, robustness, recovery speed, adaptive capacity</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Equity</w:t>
            </w:r>
          </w:p>
        </w:tc>
        <w:tc>
          <w:tcPr>
            <w:vAlign w:val="top"/>
            <w:tcMar>
              <w:top w:w="70" w:type="dxa"/>
              <w:start w:w="80" w:type="dxa"/>
              <w:bottom w:w="70" w:type="dxa"/>
              <w:end w:w="80" w:type="dxa"/>
            </w:tcMar>
            <w:shd w:fill="FFFFFF"/>
          </w:tcPr>
          <w:p>
            <w:pPr>
              <w:pStyle w:val="Compact"/>
              <w:jc w:val="left"/>
            </w:pPr>
            <w:r>
              <w:rPr>
                <w:rFonts w:ascii="Arial" w:hAnsi="Arial" w:eastAsia="Arial"/>
                <w:sz w:val="16"/>
              </w:rPr>
              <w:t>E_u</w:t>
            </w:r>
          </w:p>
        </w:tc>
        <w:tc>
          <w:tcPr>
            <w:vAlign w:val="top"/>
            <w:tcMar>
              <w:top w:w="70" w:type="dxa"/>
              <w:start w:w="80" w:type="dxa"/>
              <w:bottom w:w="70" w:type="dxa"/>
              <w:end w:w="80" w:type="dxa"/>
            </w:tcMar>
            <w:shd w:fill="FFFFFF"/>
          </w:tcPr>
          <w:p>
            <w:pPr>
              <w:pStyle w:val="Compact"/>
              <w:jc w:val="left"/>
            </w:pPr>
            <w:r>
              <w:rPr>
                <w:rFonts w:ascii="Arial" w:hAnsi="Arial" w:eastAsia="Arial"/>
                <w:sz w:val="16"/>
              </w:rPr>
              <w:t>Fair distribution of burdens/benefits, voice representation, inclusion</w:t>
            </w:r>
          </w:p>
        </w:tc>
      </w:tr>
    </w:tbl>
    <w:p>
      <w:pPr>
        <w:pStyle w:val="BodyText"/>
      </w:pPr>
      <w:r>
        <w:t>Let</w:t>
      </w:r>
      <w:r>
        <w:t xml:space="preserve"> </w:t>
      </w:r>
      <w:r>
        <w:rPr>
          <w:rStyle w:val="VerbatimChar"/>
        </w:rPr>
        <w:t>A_u</w:t>
      </w:r>
      <w:r>
        <w:t xml:space="preserve"> </w:t>
      </w:r>
      <w:r>
        <w:t>be the set of components that are substantively applicable and measured for union scope</w:t>
      </w:r>
      <w:r>
        <w:t xml:space="preserve"> </w:t>
      </w:r>
      <w:r>
        <w:rPr>
          <w:rStyle w:val="VerbatimChar"/>
        </w:rPr>
        <w:t>u</w:t>
      </w:r>
      <w:r>
        <w:t>. Compute:</w:t>
      </w:r>
    </w:p>
    <w:p>
      <w:pPr>
        <w:pStyle w:val="BodyText"/>
      </w:pPr>
      <w:r>
        <w:rPr>
          <w:rStyle w:val="VerbatimChar"/>
        </w:rPr>
        <w:t>UCI_u = [sum_{j in A_u} alpha_j * X_{u,j}] / [sum_{j in A_u} alpha_j]</w:t>
      </w:r>
    </w:p>
    <w:p>
      <w:pPr>
        <w:pStyle w:val="BodyText"/>
      </w:pPr>
      <w:r>
        <w:t>where</w:t>
      </w:r>
      <w:r>
        <w:t xml:space="preserve"> </w:t>
      </w:r>
      <w:r>
        <w:rPr>
          <w:rStyle w:val="VerbatimChar"/>
        </w:rPr>
        <w:t>X_{u,j}</w:t>
      </w:r>
      <w:r>
        <w:t xml:space="preserve"> </w:t>
      </w:r>
      <w:r>
        <w:t>is</w:t>
      </w:r>
      <w:r>
        <w:t xml:space="preserve"> </w:t>
      </w:r>
      <w:r>
        <w:rPr>
          <w:rStyle w:val="VerbatimChar"/>
        </w:rPr>
        <w:t>H_u</w:t>
      </w:r>
      <w:r>
        <w:t>,</w:t>
      </w:r>
      <w:r>
        <w:t xml:space="preserve"> </w:t>
      </w:r>
      <w:r>
        <w:rPr>
          <w:rStyle w:val="VerbatimChar"/>
        </w:rPr>
        <w:t>F_u</w:t>
      </w:r>
      <w:r>
        <w:t>,</w:t>
      </w:r>
      <w:r>
        <w:t xml:space="preserve"> </w:t>
      </w:r>
      <w:r>
        <w:rPr>
          <w:rStyle w:val="VerbatimChar"/>
        </w:rPr>
        <w:t>R_u</w:t>
      </w:r>
      <w:r>
        <w:t>, or</w:t>
      </w:r>
      <w:r>
        <w:t xml:space="preserve"> </w:t>
      </w:r>
      <w:r>
        <w:rPr>
          <w:rStyle w:val="VerbatimChar"/>
        </w:rPr>
        <w:t>E_u</w:t>
      </w:r>
      <w:r>
        <w:t>. Default weights are</w:t>
      </w:r>
      <w:r>
        <w:t xml:space="preserve"> </w:t>
      </w:r>
      <w:r>
        <w:rPr>
          <w:rStyle w:val="VerbatimChar"/>
        </w:rPr>
        <w:t>alpha_H = alpha_F = alpha_R = alpha_E = 0.25</w:t>
      </w:r>
      <w:r>
        <w:t xml:space="preserve"> </w:t>
      </w:r>
      <w:r>
        <w:t>when all four components are applicable. An inapplicable component is recorded as</w:t>
      </w:r>
      <w:r>
        <w:t xml:space="preserve"> </w:t>
      </w:r>
      <w:r>
        <w:rPr>
          <w:rStyle w:val="VerbatimChar"/>
        </w:rPr>
        <w:t>NA</w:t>
      </w:r>
      <w:r>
        <w:t xml:space="preserve"> </w:t>
      </w:r>
      <w:r>
        <w:t>and the remaining weights are renormalized; it MUST NOT be assigned a perfect score merely to avoid a penalty.</w:t>
      </w:r>
    </w:p>
    <w:p>
      <w:pPr>
        <w:pStyle w:val="BodyText"/>
      </w:pPr>
      <w:r>
        <w:t>For Self (</w:t>
      </w:r>
      <w:r>
        <w:rPr>
          <w:rStyle w:val="VerbatimChar"/>
        </w:rPr>
        <w:t>U1</w:t>
      </w:r>
      <w:r>
        <w:t>), equity-as-distribution is ordinarily</w:t>
      </w:r>
      <w:r>
        <w:t xml:space="preserve"> </w:t>
      </w:r>
      <w:r>
        <w:rPr>
          <w:rStyle w:val="VerbatimChar"/>
        </w:rPr>
        <w:t>NA</w:t>
      </w:r>
      <w:r>
        <w:t>; the default computation therefore renormalizes across Cohesion, Flow, and Resilience unless a domain-specific within-self equity construct is explicitly defined and measured. For Biosphere (</w:t>
      </w:r>
      <w:r>
        <w:rPr>
          <w:rStyle w:val="VerbatimChar"/>
        </w:rPr>
        <w:t>U7</w:t>
      </w:r>
      <w:r>
        <w:t>), Equity is likewise</w:t>
      </w:r>
      <w:r>
        <w:t xml:space="preserve"> </w:t>
      </w:r>
      <w:r>
        <w:rPr>
          <w:rStyle w:val="VerbatimChar"/>
        </w:rPr>
        <w:t>NA</w:t>
      </w:r>
      <w:r>
        <w:t xml:space="preserve"> </w:t>
      </w:r>
      <w:r>
        <w:t>unless a defensible ecological-distribution or justice indicator is declared. Missing but applicable evidence is</w:t>
      </w:r>
      <w:r>
        <w:t xml:space="preserve"> </w:t>
      </w:r>
      <w:r>
        <w:rPr>
          <w:rStyle w:val="VerbatimChar"/>
        </w:rPr>
        <w:t>UNKNOWN</w:t>
      </w:r>
      <w:r>
        <w:t>, not</w:t>
      </w:r>
      <w:r>
        <w:t xml:space="preserve"> </w:t>
      </w:r>
      <w:r>
        <w:rPr>
          <w:rStyle w:val="VerbatimChar"/>
        </w:rPr>
        <w:t>NA</w:t>
      </w:r>
      <w:r>
        <w:t>, and triggers the applicable UCI-unavailability or claim-narrowing rule.</w:t>
      </w:r>
    </w:p>
    <w:bookmarkEnd w:id="188"/>
    <w:bookmarkStart w:id="189" w:name="Xb193bf26b48e9449868d4b3eb2f28431bfd83c4"/>
    <w:p>
      <w:pPr>
        <w:pStyle w:val="Heading3"/>
      </w:pPr>
      <w:r>
        <w:t>11.1.2 Structural independence rule (Normative; Tier 3 binding)</w:t>
      </w:r>
    </w:p>
    <w:p>
      <w:pPr>
        <w:pStyle w:val="FirstParagraph"/>
      </w:pPr>
      <w:r>
        <w:t>UCI MUST be computed from structural/process indicators distinct from welfare indicators used for RLS.</w:t>
      </w:r>
    </w:p>
    <w:p>
      <w:pPr>
        <w:pStyle w:val="BodyText"/>
      </w:pPr>
      <w:r>
        <w:t>At Tier 3:</w:t>
      </w:r>
    </w:p>
    <w:p>
      <w:pPr>
        <w:pStyle w:val="Compact"/>
        <w:numPr>
          <w:ilvl w:val="0"/>
          <w:numId w:val="1115"/>
        </w:numPr>
      </w:pPr>
      <w:r>
        <w:t>Deriving UCI from welfare-cell impacts is PROHIBITED.</w:t>
      </w:r>
    </w:p>
    <w:p>
      <w:pPr>
        <w:pStyle w:val="Compact"/>
        <w:numPr>
          <w:ilvl w:val="0"/>
          <w:numId w:val="1116"/>
        </w:numPr>
      </w:pPr>
      <w:r>
        <w:t>If structural indicators are unavailable, UCI is treated as unavailable and escalation/judgment-call protocol must be used (Section 11.5; Appendix E).</w:t>
      </w:r>
    </w:p>
    <w:bookmarkEnd w:id="189"/>
    <w:bookmarkStart w:id="190" w:name="X55acbb1a6162c6a81fd674ac8d01232ff80c7be"/>
    <w:p>
      <w:pPr>
        <w:pStyle w:val="Heading3"/>
      </w:pPr>
      <w:r>
        <w:t>11.1.3 ΔUCI computation (Normative)</w:t>
      </w:r>
    </w:p>
    <w:p>
      <w:pPr>
        <w:pStyle w:val="FirstParagraph"/>
      </w:pPr>
      <w:r>
        <w:t>11.1.3A UCI Measurement Maturity Statement (Normative acknowledgement)</w:t>
      </w:r>
    </w:p>
    <w:p>
      <w:pPr>
        <w:pStyle w:val="BodyText"/>
      </w:pPr>
      <w:r>
        <w:t>UCI is structurally load-bearing in the RippleLogic architecture: it determines Containment pass/fail (Section 9) and resolves non-decisive RLS ties (Section 11.5). The current release line specifies UCI component definitions (Cohesion, Flow, Resilience, Equity), structural independence requirements, and indicator families per scope, but does not yet provide universally validated measurement instruments with published psychometric properties (reliability, validity, normalisation benchmarks) across domains.</w:t>
      </w:r>
    </w:p>
    <w:tbl>
      <w:tblPr>
        <w:tblStyle w:val="Table"/>
        <w:tblW w:type="auto" w:w="0"/>
        <w:jc w:val="center"/>
        <w:tblLook w:firstRow="1" w:lastRow="0" w:firstColumn="0" w:lastColumn="0" w:noHBand="0" w:noVBand="0" w:val="0020"/>
      </w:tblPr>
      <w:tblGrid>
        <w:gridCol w:w="2640"/>
        <w:gridCol w:w="2640"/>
        <w:gridCol w:w="2640"/>
      </w:tblGrid>
      <w:tr>
        <w:trPr>
          <w:tblHeader w:val="on"/>
          <w:tblHeader w:val="true"/>
          <w:cantSplit/>
        </w:trPr>
        <w:tc>
          <w:tcPr>
            <w:vAlign w:val="top"/>
            <w:tcMar>
              <w:top w:w="70" w:type="dxa"/>
              <w:start w:w="80" w:type="dxa"/>
              <w:bottom w:w="70" w:type="dxa"/>
              <w:end w:w="80" w:type="dxa"/>
            </w:tcMar>
            <w:shd w:fill="1F4E78"/>
          </w:tcPr>
          <w:p>
            <w:pPr>
              <w:pStyle w:val="Compact"/>
              <w:jc w:val="left"/>
            </w:pPr>
            <w:r>
              <w:rPr>
                <w:rFonts w:ascii="Arial" w:hAnsi="Arial" w:eastAsia="Arial"/>
                <w:b/>
                <w:bCs/>
                <w:color w:val="FFFFFF"/>
                <w:sz w:val="16"/>
              </w:rPr>
              <w:t>Scope</w:t>
            </w:r>
          </w:p>
        </w:tc>
        <w:tc>
          <w:tcPr>
            <w:vAlign w:val="top"/>
            <w:tcMar>
              <w:top w:w="70" w:type="dxa"/>
              <w:start w:w="80" w:type="dxa"/>
              <w:bottom w:w="70" w:type="dxa"/>
              <w:end w:w="80" w:type="dxa"/>
            </w:tcMar>
            <w:shd w:fill="1F4E78"/>
          </w:tcPr>
          <w:p>
            <w:pPr>
              <w:pStyle w:val="Compact"/>
              <w:jc w:val="left"/>
            </w:pPr>
            <w:r>
              <w:rPr>
                <w:rFonts w:ascii="Arial" w:hAnsi="Arial" w:eastAsia="Arial"/>
                <w:b/>
                <w:bCs/>
                <w:color w:val="FFFFFF"/>
                <w:sz w:val="16"/>
              </w:rPr>
              <w:t>Measurement Maturity</w:t>
            </w:r>
          </w:p>
        </w:tc>
        <w:tc>
          <w:tcPr>
            <w:vAlign w:val="top"/>
            <w:tcMar>
              <w:top w:w="70" w:type="dxa"/>
              <w:start w:w="80" w:type="dxa"/>
              <w:bottom w:w="70" w:type="dxa"/>
              <w:end w:w="80" w:type="dxa"/>
            </w:tcMar>
            <w:shd w:fill="1F4E78"/>
          </w:tcPr>
          <w:p>
            <w:pPr>
              <w:pStyle w:val="Compact"/>
              <w:jc w:val="left"/>
            </w:pPr>
            <w:r>
              <w:rPr>
                <w:rFonts w:ascii="Arial" w:hAnsi="Arial" w:eastAsia="Arial"/>
                <w:b/>
                <w:bCs/>
                <w:color w:val="FFFFFF"/>
                <w:sz w:val="16"/>
              </w:rPr>
              <w:t>Notes</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U1 Self</w:t>
            </w:r>
          </w:p>
        </w:tc>
        <w:tc>
          <w:tcPr>
            <w:vAlign w:val="top"/>
            <w:tcMar>
              <w:top w:w="70" w:type="dxa"/>
              <w:start w:w="80" w:type="dxa"/>
              <w:bottom w:w="70" w:type="dxa"/>
              <w:end w:w="80" w:type="dxa"/>
            </w:tcMar>
            <w:shd w:fill="D9EAF7"/>
          </w:tcPr>
          <w:p>
            <w:pPr>
              <w:pStyle w:val="Compact"/>
              <w:jc w:val="left"/>
            </w:pPr>
            <w:r>
              <w:rPr>
                <w:rFonts w:ascii="Arial" w:hAnsi="Arial" w:eastAsia="Arial"/>
                <w:sz w:val="16"/>
              </w:rPr>
              <w:t>Provisional</w:t>
            </w:r>
          </w:p>
        </w:tc>
        <w:tc>
          <w:tcPr>
            <w:vAlign w:val="top"/>
            <w:tcMar>
              <w:top w:w="70" w:type="dxa"/>
              <w:start w:w="80" w:type="dxa"/>
              <w:bottom w:w="70" w:type="dxa"/>
              <w:end w:w="80" w:type="dxa"/>
            </w:tcMar>
            <w:shd w:fill="D9EAF7"/>
          </w:tcPr>
          <w:p>
            <w:pPr>
              <w:pStyle w:val="Compact"/>
              <w:jc w:val="left"/>
            </w:pPr>
            <w:r>
              <w:rPr>
                <w:rFonts w:ascii="Arial" w:hAnsi="Arial" w:eastAsia="Arial"/>
                <w:sz w:val="16"/>
              </w:rPr>
              <w:t>Validated instruments exist for some components (e.g. psychological resilience scales, self-efficacy measures) but are not yet assembled into a UCI-specific battery.</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U2 Household</w:t>
            </w:r>
          </w:p>
        </w:tc>
        <w:tc>
          <w:tcPr>
            <w:vAlign w:val="top"/>
            <w:tcMar>
              <w:top w:w="70" w:type="dxa"/>
              <w:start w:w="80" w:type="dxa"/>
              <w:bottom w:w="70" w:type="dxa"/>
              <w:end w:w="80" w:type="dxa"/>
            </w:tcMar>
            <w:shd w:fill="FFFFFF"/>
          </w:tcPr>
          <w:p>
            <w:pPr>
              <w:pStyle w:val="Compact"/>
              <w:jc w:val="left"/>
            </w:pPr>
            <w:r>
              <w:rPr>
                <w:rFonts w:ascii="Arial" w:hAnsi="Arial" w:eastAsia="Arial"/>
                <w:sz w:val="16"/>
              </w:rPr>
              <w:t>Provisional</w:t>
            </w:r>
          </w:p>
        </w:tc>
        <w:tc>
          <w:tcPr>
            <w:vAlign w:val="top"/>
            <w:tcMar>
              <w:top w:w="70" w:type="dxa"/>
              <w:start w:w="80" w:type="dxa"/>
              <w:bottom w:w="70" w:type="dxa"/>
              <w:end w:w="80" w:type="dxa"/>
            </w:tcMar>
            <w:shd w:fill="FFFFFF"/>
          </w:tcPr>
          <w:p>
            <w:pPr>
              <w:pStyle w:val="Compact"/>
              <w:jc w:val="left"/>
            </w:pPr>
            <w:r>
              <w:rPr>
                <w:rFonts w:ascii="Arial" w:hAnsi="Arial" w:eastAsia="Arial"/>
                <w:sz w:val="16"/>
              </w:rPr>
              <w:t>Relationship quality instruments exist; household-level aggregation rules are not yet standardised.</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U3 Community</w:t>
            </w:r>
          </w:p>
        </w:tc>
        <w:tc>
          <w:tcPr>
            <w:vAlign w:val="top"/>
            <w:tcMar>
              <w:top w:w="70" w:type="dxa"/>
              <w:start w:w="80" w:type="dxa"/>
              <w:bottom w:w="70" w:type="dxa"/>
              <w:end w:w="80" w:type="dxa"/>
            </w:tcMar>
            <w:shd w:fill="D9EAF7"/>
          </w:tcPr>
          <w:p>
            <w:pPr>
              <w:pStyle w:val="Compact"/>
              <w:jc w:val="left"/>
            </w:pPr>
            <w:r>
              <w:rPr>
                <w:rFonts w:ascii="Arial" w:hAnsi="Arial" w:eastAsia="Arial"/>
                <w:sz w:val="16"/>
              </w:rPr>
              <w:t>Provisional, strongest starter coverage</w:t>
            </w:r>
          </w:p>
        </w:tc>
        <w:tc>
          <w:tcPr>
            <w:vAlign w:val="top"/>
            <w:tcMar>
              <w:top w:w="70" w:type="dxa"/>
              <w:start w:w="80" w:type="dxa"/>
              <w:bottom w:w="70" w:type="dxa"/>
              <w:end w:w="80" w:type="dxa"/>
            </w:tcMar>
            <w:shd w:fill="D9EAF7"/>
          </w:tcPr>
          <w:p>
            <w:pPr>
              <w:pStyle w:val="Compact"/>
              <w:jc w:val="left"/>
            </w:pPr>
            <w:r>
              <w:rPr>
                <w:rFonts w:ascii="Arial" w:hAnsi="Arial" w:eastAsia="Arial"/>
                <w:sz w:val="16"/>
              </w:rPr>
              <w:t>Social capital instruments (e.g. trust surveys), participation parity measures, and mutual-aid readiness metrics exist; normalisation and inter-rater reliability under UCI aggregation are untested.</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U4 Organisation</w:t>
            </w:r>
          </w:p>
        </w:tc>
        <w:tc>
          <w:tcPr>
            <w:vAlign w:val="top"/>
            <w:tcMar>
              <w:top w:w="70" w:type="dxa"/>
              <w:start w:w="80" w:type="dxa"/>
              <w:bottom w:w="70" w:type="dxa"/>
              <w:end w:w="80" w:type="dxa"/>
            </w:tcMar>
            <w:shd w:fill="FFFFFF"/>
          </w:tcPr>
          <w:p>
            <w:pPr>
              <w:pStyle w:val="Compact"/>
              <w:jc w:val="left"/>
            </w:pPr>
            <w:r>
              <w:rPr>
                <w:rFonts w:ascii="Arial" w:hAnsi="Arial" w:eastAsia="Arial"/>
                <w:sz w:val="16"/>
              </w:rPr>
              <w:t>Provisional, strongest starter coverage</w:t>
            </w:r>
          </w:p>
        </w:tc>
        <w:tc>
          <w:tcPr>
            <w:vAlign w:val="top"/>
            <w:tcMar>
              <w:top w:w="70" w:type="dxa"/>
              <w:start w:w="80" w:type="dxa"/>
              <w:bottom w:w="70" w:type="dxa"/>
              <w:end w:w="80" w:type="dxa"/>
            </w:tcMar>
            <w:shd w:fill="FFFFFF"/>
          </w:tcPr>
          <w:p>
            <w:pPr>
              <w:pStyle w:val="Compact"/>
              <w:jc w:val="left"/>
            </w:pPr>
            <w:r>
              <w:rPr>
                <w:rFonts w:ascii="Arial" w:hAnsi="Arial" w:eastAsia="Arial"/>
                <w:sz w:val="16"/>
              </w:rPr>
              <w:t>Psychological safety instruments (e.g. Edmondson 1999), process throughput, incident recovery, and equity indices exist; assembly into UCI and structural independence verification are untested.</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U5 Polity</w:t>
            </w:r>
          </w:p>
        </w:tc>
        <w:tc>
          <w:tcPr>
            <w:vAlign w:val="top"/>
            <w:tcMar>
              <w:top w:w="70" w:type="dxa"/>
              <w:start w:w="80" w:type="dxa"/>
              <w:bottom w:w="70" w:type="dxa"/>
              <w:end w:w="80" w:type="dxa"/>
            </w:tcMar>
            <w:shd w:fill="D9EAF7"/>
          </w:tcPr>
          <w:p>
            <w:pPr>
              <w:pStyle w:val="Compact"/>
              <w:jc w:val="left"/>
            </w:pPr>
            <w:r>
              <w:rPr>
                <w:rFonts w:ascii="Arial" w:hAnsi="Arial" w:eastAsia="Arial"/>
                <w:sz w:val="16"/>
              </w:rPr>
              <w:t>Provisional</w:t>
            </w:r>
          </w:p>
        </w:tc>
        <w:tc>
          <w:tcPr>
            <w:vAlign w:val="top"/>
            <w:tcMar>
              <w:top w:w="70" w:type="dxa"/>
              <w:start w:w="80" w:type="dxa"/>
              <w:bottom w:w="70" w:type="dxa"/>
              <w:end w:w="80" w:type="dxa"/>
            </w:tcMar>
            <w:shd w:fill="D9EAF7"/>
          </w:tcPr>
          <w:p>
            <w:pPr>
              <w:pStyle w:val="Compact"/>
              <w:jc w:val="left"/>
            </w:pPr>
            <w:r>
              <w:rPr>
                <w:rFonts w:ascii="Arial" w:hAnsi="Arial" w:eastAsia="Arial"/>
                <w:sz w:val="16"/>
              </w:rPr>
              <w:t>Institutional trust indices, rule-of-law indices, service delivery measures exist; UCI-specific aggregation is untested.</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U6 Humanity / Global Coordination</w:t>
            </w:r>
          </w:p>
        </w:tc>
        <w:tc>
          <w:tcPr>
            <w:vAlign w:val="top"/>
            <w:tcMar>
              <w:top w:w="70" w:type="dxa"/>
              <w:start w:w="80" w:type="dxa"/>
              <w:bottom w:w="70" w:type="dxa"/>
              <w:end w:w="80" w:type="dxa"/>
            </w:tcMar>
            <w:shd w:fill="FFFFFF"/>
          </w:tcPr>
          <w:p>
            <w:pPr>
              <w:pStyle w:val="Compact"/>
              <w:jc w:val="left"/>
            </w:pPr>
            <w:r>
              <w:rPr>
                <w:rFonts w:ascii="Arial" w:hAnsi="Arial" w:eastAsia="Arial"/>
                <w:sz w:val="16"/>
              </w:rPr>
              <w:t>Early design</w:t>
            </w:r>
          </w:p>
        </w:tc>
        <w:tc>
          <w:tcPr>
            <w:vAlign w:val="top"/>
            <w:tcMar>
              <w:top w:w="70" w:type="dxa"/>
              <w:start w:w="80" w:type="dxa"/>
              <w:bottom w:w="70" w:type="dxa"/>
              <w:end w:w="80" w:type="dxa"/>
            </w:tcMar>
            <w:shd w:fill="FFFFFF"/>
          </w:tcPr>
          <w:p>
            <w:pPr>
              <w:pStyle w:val="Compact"/>
              <w:jc w:val="left"/>
            </w:pPr>
            <w:r>
              <w:rPr>
                <w:rFonts w:ascii="Arial" w:hAnsi="Arial" w:eastAsia="Arial"/>
                <w:sz w:val="16"/>
              </w:rPr>
              <w:t>Cross-polity cooperation and global coordination indicators are sparse and domain-specific.</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U7 Biosphere</w:t>
            </w:r>
          </w:p>
        </w:tc>
        <w:tc>
          <w:tcPr>
            <w:vAlign w:val="top"/>
            <w:tcMar>
              <w:top w:w="70" w:type="dxa"/>
              <w:start w:w="80" w:type="dxa"/>
              <w:bottom w:w="70" w:type="dxa"/>
              <w:end w:w="80" w:type="dxa"/>
            </w:tcMar>
            <w:shd w:fill="D9EAF7"/>
          </w:tcPr>
          <w:p>
            <w:pPr>
              <w:pStyle w:val="Compact"/>
              <w:jc w:val="left"/>
            </w:pPr>
            <w:r>
              <w:rPr>
                <w:rFonts w:ascii="Arial" w:hAnsi="Arial" w:eastAsia="Arial"/>
                <w:sz w:val="16"/>
              </w:rPr>
              <w:t>Early design</w:t>
            </w:r>
          </w:p>
        </w:tc>
        <w:tc>
          <w:tcPr>
            <w:vAlign w:val="top"/>
            <w:tcMar>
              <w:top w:w="70" w:type="dxa"/>
              <w:start w:w="80" w:type="dxa"/>
              <w:bottom w:w="70" w:type="dxa"/>
              <w:end w:w="80" w:type="dxa"/>
            </w:tcMar>
            <w:shd w:fill="D9EAF7"/>
          </w:tcPr>
          <w:p>
            <w:pPr>
              <w:pStyle w:val="Compact"/>
              <w:jc w:val="left"/>
            </w:pPr>
            <w:r>
              <w:rPr>
                <w:rFonts w:ascii="Arial" w:hAnsi="Arial" w:eastAsia="Arial"/>
                <w:sz w:val="16"/>
              </w:rPr>
              <w:t>Ecosystem connectivity and resilience metrics exist (e.g. biodiversity integrity indices, trophic stability measures) but UCI aggregation is not yet specified. E7 is ordinarily NA and the applicable components are renormalized; a perfect score is never inserted by default.</w:t>
            </w:r>
          </w:p>
        </w:tc>
      </w:tr>
    </w:tbl>
    <w:p>
      <w:pPr>
        <w:pStyle w:val="BodyText"/>
      </w:pPr>
      <w:r>
        <w:t>Consequence for Tier 3 claims (Normative). Tier 3 run-level conformance claims are possible under the current specification when the run declares its UCI indicator sources, normalisation rules, and structural independence posture (Appendix E). Framework-level claims that UCI is empirically calibrated or cross-domain validated are PROHIBITED until a companion UCI Measurement Annex is published with at minimum: (i) named instruments per component per scope for U3, U4, and U5, (ii) normalisation rules with declared reference populations, (iii) structural independence verification evidence, and (iv) inter-rater reliability data (target ICC &gt;= 0.70 on UCI component scores).</w:t>
      </w:r>
    </w:p>
    <w:p>
      <w:pPr>
        <w:pStyle w:val="BodyText"/>
      </w:pPr>
      <w:r>
        <w:t>Validation commitment. Publishing such an annex is a Phase 2 validation priority (Section 17.3). Until it exists, the UCI measurement gap is the single largest barrier to framework-level empirical operational-readiness claims for Containment and tie-break governance.</w:t>
      </w:r>
    </w:p>
    <w:p>
      <w:pPr>
        <w:pStyle w:val="BodyText"/>
      </w:pPr>
      <w:r>
        <w:t>Interpretive hardening (Normative). Until a companion UCI Measurement Annex is published, UCI remains structurally load-bearing but empirically provisional at the framework level. This limitation SHALL be surfaced in the Reader Guide, in Tier-claim language, and in any public claim about Containment or tie-break readiness. No framework-level claim of cross-domain calibrated or cross-domain validated UCI is permitted in this v12.2 release line.</w:t>
      </w:r>
    </w:p>
    <w:p>
      <w:pPr>
        <w:pStyle w:val="BodyText"/>
      </w:pPr>
      <w:r>
        <w:t>For each option a:</w:t>
      </w:r>
    </w:p>
    <w:p>
      <w:pPr>
        <w:pStyle w:val="BodyText"/>
      </w:pPr>
      <w:r>
        <w:t>ΔUCI_u(a) = UCI_u(a) − UCI_u(baseline)</w:t>
      </w:r>
    </w:p>
    <w:p>
      <w:pPr>
        <w:pStyle w:val="BodyText"/>
      </w:pPr>
      <w:r>
        <w:t>Containment uses ΔUCI for containing unions (Section 9).</w:t>
      </w:r>
    </w:p>
    <w:bookmarkEnd w:id="190"/>
    <w:bookmarkEnd w:id="191"/>
    <w:bookmarkStart w:id="192" w:name="X03aca791f5a7c86ceeceb99200a3659a35c2a8e"/>
    <w:p>
      <w:pPr>
        <w:pStyle w:val="Heading2"/>
      </w:pPr>
      <w:r>
        <w:t>11.2 Aggregate UCI (Optional, informative)</w:t>
      </w:r>
    </w:p>
    <w:p>
      <w:pPr>
        <w:pStyle w:val="FirstParagraph"/>
      </w:pPr>
      <w:r>
        <w:t>An aggregate coherence score may be computed:</w:t>
      </w:r>
    </w:p>
    <w:p>
      <w:pPr>
        <w:pStyle w:val="BodyText"/>
      </w:pPr>
      <w:r>
        <w:t>UCI_agg = Σ_u γ_u × UCI_u</w:t>
      </w:r>
    </w:p>
    <w:p>
      <w:pPr>
        <w:pStyle w:val="BodyText"/>
      </w:pPr>
      <w:r>
        <w:t>Where γ_u are declared aggregation weights. This aggregate is optional and MUST NOT replace per-union UCI in containment logic unless explicitly governed.</w:t>
      </w:r>
    </w:p>
    <w:bookmarkEnd w:id="192"/>
    <w:bookmarkStart w:id="193" w:name="X462de3acd3b3af4e33e6f7083fba999705ad1af"/>
    <w:p>
      <w:pPr>
        <w:pStyle w:val="Heading2"/>
      </w:pPr>
      <w:r>
        <w:t>11.3 Hollowing-Out Index (HOI) (Normative as monitoring definition)</w:t>
      </w:r>
    </w:p>
    <w:p>
      <w:pPr>
        <w:pStyle w:val="FirstParagraph"/>
      </w:pPr>
      <w:r>
        <w:t>HOI detects a drift pattern: welfare score improves while coherence degrades over time.</w:t>
      </w:r>
    </w:p>
    <w:p>
      <w:pPr>
        <w:pStyle w:val="BodyText"/>
      </w:pPr>
      <w:r>
        <w:t>Let t index review periods. Define:</w:t>
      </w:r>
    </w:p>
    <w:p>
      <w:pPr>
        <w:pStyle w:val="Compact"/>
        <w:numPr>
          <w:ilvl w:val="0"/>
          <w:numId w:val="1117"/>
        </w:numPr>
      </w:pPr>
      <w:r>
        <w:t>ΔRLS_t = RLS_t − RLS_{t-1}</w:t>
      </w:r>
    </w:p>
    <w:p>
      <w:pPr>
        <w:pStyle w:val="Compact"/>
        <w:numPr>
          <w:ilvl w:val="0"/>
          <w:numId w:val="1118"/>
        </w:numPr>
      </w:pPr>
      <w:r>
        <w:t>ΔUCI_t = UCI_agg,t − UCI_agg,{t-1} (or a declared union-specific UCI; must be consistent)</w:t>
      </w:r>
    </w:p>
    <w:p>
      <w:pPr>
        <w:pStyle w:val="FirstParagraph"/>
      </w:pPr>
      <w:r>
        <w:t>Define exponential moving average EMA_λ with a declared smoothing parameter (default half-life 3 periods).</w:t>
      </w:r>
    </w:p>
    <w:p>
      <w:pPr>
        <w:pStyle w:val="BodyText"/>
      </w:pPr>
      <w:r>
        <w:t>HOI_t = EMA_λ(ΔRLS)_t − EMA_λ(ΔUCI)_t</w:t>
      </w:r>
    </w:p>
    <w:p>
      <w:pPr>
        <w:pStyle w:val="BodyText"/>
      </w:pPr>
      <w:r>
        <w:t>Interpretation:</w:t>
      </w:r>
    </w:p>
    <w:p>
      <w:pPr>
        <w:pStyle w:val="Compact"/>
        <w:numPr>
          <w:ilvl w:val="0"/>
          <w:numId w:val="1119"/>
        </w:numPr>
      </w:pPr>
      <w:r>
        <w:t>Persistent HOI &gt; 0: "hollowing risk" (apparent welfare gains with structural erosion)</w:t>
      </w:r>
    </w:p>
    <w:p>
      <w:pPr>
        <w:pStyle w:val="Compact"/>
        <w:numPr>
          <w:ilvl w:val="0"/>
          <w:numId w:val="1120"/>
        </w:numPr>
      </w:pPr>
      <w:r>
        <w:t>HOI is diagnostic; it does not by itself make an option inadmissible, but it can trigger monitoring escalation and influence tie-break risk flags.</w:t>
      </w:r>
    </w:p>
    <w:p>
      <w:pPr>
        <w:pStyle w:val="FirstParagraph"/>
      </w:pPr>
      <w:r>
        <w:t>Normative limitation. HOI SHALL NOT by itself render an option rights-admissible, inadmissible, non-selectable, or rejected under Containment. Its normative use in the current release line is limited to monitoring escalation, reviewer caution, and tie-break risk signaling unless an explicit future version declares a stronger role.</w:t>
      </w:r>
    </w:p>
    <w:bookmarkEnd w:id="193"/>
    <w:bookmarkStart w:id="194" w:name="Xd1233c3faae88f39763c8743806c9b8a88da48b"/>
    <w:p>
      <w:pPr>
        <w:pStyle w:val="Heading2"/>
      </w:pPr>
      <w:r>
        <w:t>11.4 Reserved for Future Structural-Diagnostic Extension (Normative numbering marker)</w:t>
      </w:r>
    </w:p>
    <w:p>
      <w:pPr>
        <w:pStyle w:val="FirstParagraph"/>
      </w:pPr>
      <w:r>
        <w:t>Section 11.4 is intentionally reserved so that established Section 11.5 and later cross-references remain stable. No operational rule is assigned to this marker in v12.1.</w:t>
      </w:r>
    </w:p>
    <w:bookmarkEnd w:id="194"/>
    <w:bookmarkStart w:id="195" w:name="X0385e4ecd3723d479080335dc6d1c71a884ac24"/>
    <w:p>
      <w:pPr>
        <w:pStyle w:val="Heading2"/>
      </w:pPr>
      <w:r>
        <w:t>11.5 Canonical Tie-Break Chain (Normative)</w:t>
      </w:r>
    </w:p>
    <w:p>
      <w:pPr>
        <w:pStyle w:val="FirstParagraph"/>
      </w:pPr>
      <w:r>
        <w:t>This section applies only after the selectable set A_sel has been formed by Reality Grounding, RF/NCRC, TRC, and CSV, and only when the leading residual welfare options remain tied, close, uncertainty-overlapped, or non-decisive under the Section 10.4 discrimination rule. The tie-break chain does not reopen NCRC, TRC, or CSV and is not part of the public headline method.</w:t>
      </w:r>
    </w:p>
    <w:p>
      <w:pPr>
        <w:pStyle w:val="BodyText"/>
      </w:pPr>
      <w:r>
        <w:t>The governed tie-break order below applies only within the selectable set and under the Section 10.4 discrimination rule. If RLS is decisive, residual UCI/HOI is not required for selection, though it may still be recorded for monitoring or hollowing-risk documentation where appropriate.</w:t>
      </w:r>
    </w:p>
    <w:p>
      <w:pPr>
        <w:pStyle w:val="BodyText"/>
      </w:pPr>
      <w:r>
        <w:t>Methods used here that can materially affect the outcome MUST be declared and applied consistently across compared options. Residual UCI or HOI SHALL NOT be used to compensate for unavailable containment evidence, failed Containment, insufficient Reality Grounding, or any prior gate failure. If structural evidence is gate-relevant, it belongs in Section 9 Containment, not in Section 11 tie-break.</w:t>
      </w:r>
    </w:p>
    <w:p>
      <w:pPr>
        <w:pStyle w:val="BodyText"/>
      </w:pPr>
      <w:r>
        <w:t>Step 0: Ensure options under comparison are selectable (pass containment Mode A).</w:t>
      </w:r>
    </w:p>
    <w:p>
      <w:pPr>
        <w:pStyle w:val="BodyText"/>
      </w:pPr>
      <w:r>
        <w:t>If top RLS option fails containment, it is not in A_sel and must not be tie-broken into selection.</w:t>
      </w:r>
    </w:p>
    <w:p>
      <w:pPr>
        <w:pStyle w:val="BodyText"/>
      </w:pPr>
      <w:r>
        <w:t>Step 1: UCI dominance rule.</w:t>
      </w:r>
    </w:p>
    <w:p>
      <w:pPr>
        <w:pStyle w:val="BodyText"/>
      </w:pPr>
      <w:r>
        <w:t>Prefer the option with higher predicted UCI outcomes if the difference exceeds a governed UCI dominance threshold Δ_UCI.</w:t>
      </w:r>
    </w:p>
    <w:p>
      <w:pPr>
        <w:pStyle w:val="BodyText"/>
      </w:pPr>
      <w:r>
        <w:t>Default: Δ_UCI = 0.05 (must be recorded; may be tightened).</w:t>
      </w:r>
    </w:p>
    <w:p>
      <w:pPr>
        <w:pStyle w:val="BodyText"/>
      </w:pPr>
      <w:r>
        <w:t>Operationally: compare the minimum-coherence-change among critical containing unions and/or the relevant union UCI profiles. The PCC must declare the tie-break UCI comparison method:</w:t>
      </w:r>
    </w:p>
    <w:p>
      <w:pPr>
        <w:pStyle w:val="Compact"/>
        <w:numPr>
          <w:ilvl w:val="0"/>
          <w:numId w:val="1121"/>
        </w:numPr>
      </w:pPr>
      <w:r>
        <w:t>Method UCI-A (default): Maximize minimum ΔUCI_u over containing unions relevant to the decision scope; or</w:t>
      </w:r>
    </w:p>
    <w:p>
      <w:pPr>
        <w:pStyle w:val="Compact"/>
        <w:numPr>
          <w:ilvl w:val="0"/>
          <w:numId w:val="1122"/>
        </w:numPr>
      </w:pPr>
      <w:r>
        <w:t>Method UCI-B: Maximize sum of ΔUCI_u over the directly affected unions; or</w:t>
      </w:r>
    </w:p>
    <w:p>
      <w:pPr>
        <w:pStyle w:val="Compact"/>
        <w:numPr>
          <w:ilvl w:val="0"/>
          <w:numId w:val="1123"/>
        </w:numPr>
      </w:pPr>
      <w:r>
        <w:t>Method UCI-C: Maximize declared aggregate UCI_agg change.</w:t>
      </w:r>
    </w:p>
    <w:p>
      <w:pPr>
        <w:pStyle w:val="FirstParagraph"/>
      </w:pPr>
      <w:r>
        <w:t>Whichever method is used MUST be declared and applied consistently across compared options.</w:t>
      </w:r>
    </w:p>
    <w:p>
      <w:pPr>
        <w:pStyle w:val="BodyText"/>
      </w:pPr>
      <w:r>
        <w:t>Step 2: HOI risk flag (if monitoring context exists).</w:t>
      </w:r>
    </w:p>
    <w:p>
      <w:pPr>
        <w:pStyle w:val="BodyText"/>
      </w:pPr>
      <w:r>
        <w:t>If one option is associated with persistent positive HOI in comparable deployments or in modeled trajectory, treat it as riskier and prefer the alternative if the risk is material, or escalate.</w:t>
      </w:r>
    </w:p>
    <w:p>
      <w:pPr>
        <w:pStyle w:val="BodyText"/>
      </w:pPr>
      <w:r>
        <w:t>Step 3: Escalation / judgment call.</w:t>
      </w:r>
    </w:p>
    <w:p>
      <w:pPr>
        <w:pStyle w:val="BodyText"/>
      </w:pPr>
      <w:r>
        <w:t>If UCI is unavailable or non-decisive and HOI does not resolve, the decision MUST escalate to:</w:t>
      </w:r>
    </w:p>
    <w:p>
      <w:pPr>
        <w:pStyle w:val="Compact"/>
        <w:numPr>
          <w:ilvl w:val="0"/>
          <w:numId w:val="1124"/>
        </w:numPr>
      </w:pPr>
      <w:r>
        <w:t>Additional data collection (structural indicators), and/or</w:t>
      </w:r>
    </w:p>
    <w:p>
      <w:pPr>
        <w:pStyle w:val="Compact"/>
        <w:numPr>
          <w:ilvl w:val="0"/>
          <w:numId w:val="1125"/>
        </w:numPr>
      </w:pPr>
      <w:r>
        <w:t>A higher tier, and/or</w:t>
      </w:r>
    </w:p>
    <w:p>
      <w:pPr>
        <w:pStyle w:val="Compact"/>
        <w:numPr>
          <w:ilvl w:val="0"/>
          <w:numId w:val="1126"/>
        </w:numPr>
      </w:pPr>
      <w:r>
        <w:t>A documented governance judgment call (PCC labeled JUDGMENT_CALL_TIEBREAK_NONDECISIVE) with explicit monitoring plan.</w:t>
      </w:r>
    </w:p>
    <w:bookmarkEnd w:id="195"/>
    <w:bookmarkStart w:id="196" w:name="Xb8a0e6fea300bb41809749fe9bbb0fe007ad541"/>
    <w:p>
      <w:pPr>
        <w:pStyle w:val="Heading2"/>
      </w:pPr>
      <w:r>
        <w:t>11.6 UCI Unavailability Rule (Tier 3) (Normative)</w:t>
      </w:r>
    </w:p>
    <w:p>
      <w:pPr>
        <w:pStyle w:val="FirstParagraph"/>
      </w:pPr>
      <w:r>
        <w:t>If UCI cannot be computed without violating structural independence:</w:t>
      </w:r>
    </w:p>
    <w:p>
      <w:pPr>
        <w:pStyle w:val="Compact"/>
        <w:numPr>
          <w:ilvl w:val="0"/>
          <w:numId w:val="1127"/>
        </w:numPr>
      </w:pPr>
      <w:r>
        <w:t>UCI MUST be treated as unavailable.</w:t>
      </w:r>
    </w:p>
    <w:p>
      <w:pPr>
        <w:pStyle w:val="Compact"/>
        <w:numPr>
          <w:ilvl w:val="0"/>
          <w:numId w:val="1128"/>
        </w:numPr>
      </w:pPr>
      <w:r>
        <w:t>If RLS lead is non-decisive, decision MUST either: (i) escalate for more structural data / higher tier, OR (ii) record a governance judgment call with explicit labeling and monitoring plan.</w:t>
      </w:r>
    </w:p>
    <w:p>
      <w:pPr>
        <w:pStyle w:val="FirstParagraph"/>
      </w:pPr>
      <w:r>
        <w:t>Audit label required: JUDGMENT_CALL_UCI_UNAVAILABLE.</w:t>
      </w:r>
    </w:p>
    <w:bookmarkEnd w:id="196"/>
    <w:bookmarkStart w:id="197" w:name="Xbf7feef6860d96f34a8123ad0b0ba07697e5ad8"/>
    <w:p>
      <w:pPr>
        <w:pStyle w:val="Heading2"/>
      </w:pPr>
      <w:r>
        <w:t>11.7 Structural Safeguard Anti-Gaming (Normative)</w:t>
      </w:r>
    </w:p>
    <w:p>
      <w:pPr>
        <w:pStyle w:val="Compact"/>
        <w:numPr>
          <w:ilvl w:val="0"/>
          <w:numId w:val="1129"/>
        </w:numPr>
      </w:pPr>
      <w:r>
        <w:t>UCI MUST NOT be computed from RLS welfare impacts at Tier 3.</w:t>
      </w:r>
    </w:p>
    <w:p>
      <w:pPr>
        <w:pStyle w:val="Compact"/>
        <w:numPr>
          <w:ilvl w:val="0"/>
          <w:numId w:val="1130"/>
        </w:numPr>
      </w:pPr>
      <w:r>
        <w:t>UCI indicator choices must be documented; changes require versioning and are subject to challenge.</w:t>
      </w:r>
    </w:p>
    <w:bookmarkEnd w:id="197"/>
    <w:bookmarkEnd w:id="198"/>
    <w:bookmarkStart w:id="209" w:name="X4d79a2abcf57afafcb8c51763daf4e90f6b6230"/>
    <w:p>
      <w:pPr>
        <w:pStyle w:val="Heading1"/>
      </w:pPr>
      <w:r>
        <w:t>SECTION 12: MORAL STATUS, PROTECTION, PARTICIPATION, REALITY-MANAGEMENT CAPACITY, AND POWER: SGP v8.2.1 INTEGRATION (BINDING INTERFACE)</w:t>
      </w:r>
    </w:p>
    <w:bookmarkStart w:id="199" w:name="Xa35ea5222eae270f05e0bf7a6718c09406950a4"/>
    <w:p>
      <w:pPr>
        <w:pStyle w:val="Heading2"/>
      </w:pPr>
      <w:r>
        <w:t>12.0 Purpose (Normative)</w:t>
      </w:r>
    </w:p>
    <w:p>
      <w:pPr>
        <w:pStyle w:val="FirstParagraph"/>
      </w:pPr>
      <w:r>
        <w:t>RippleLogic does not determine consciousness or moral patienthood on its own. It consumes only the governed interface outputs of the pinned Sentience Gradient Protocol v8.2.1. SGP outputs are evidence, profile, and status objects; they do not prove metaphysical consciousness or oneness, create legal status, reorder the cascade, establish species supremacy, or grant authority.</w:t>
      </w:r>
    </w:p>
    <w:bookmarkEnd w:id="199"/>
    <w:bookmarkStart w:id="200" w:name="Xa9d1fccfda077d4b3bd688a03320265dfb0aecd"/>
    <w:p>
      <w:pPr>
        <w:pStyle w:val="Heading2"/>
      </w:pPr>
      <w:r>
        <w:t>12.1 Type-Separation Rule (Normative)</w:t>
      </w:r>
    </w:p>
    <w:p>
      <w:pPr>
        <w:pStyle w:val="FirstParagraph"/>
      </w:pPr>
      <w:r>
        <w:t>The following objects MUST remain separate:</w:t>
      </w:r>
    </w:p>
    <w:p>
      <w:pPr>
        <w:pStyle w:val="BodyText"/>
      </w:pPr>
      <w:r>
        <w:t>A)</w:t>
      </w:r>
      <w:r>
        <w:t xml:space="preserve"> </w:t>
      </w:r>
      <w:r>
        <w:rPr>
          <w:b/>
          <w:bCs/>
        </w:rPr>
        <w:t>MPS: Moral Patienthood Surface.</w:t>
      </w:r>
      <w:r>
        <w:t xml:space="preserve"> </w:t>
      </w:r>
      <w:r>
        <w:t>Evidence band, interval, confidence, and protection posture concerning possible welfare-bearing experience.</w:t>
      </w:r>
    </w:p>
    <w:p>
      <w:pPr>
        <w:pStyle w:val="BodyText"/>
      </w:pPr>
      <w:r>
        <w:t>B)</w:t>
      </w:r>
      <w:r>
        <w:t xml:space="preserve"> </w:t>
      </w:r>
      <w:r>
        <w:rPr>
          <w:b/>
          <w:bCs/>
        </w:rPr>
        <w:t>FPP: Full Protection Plateau.</w:t>
      </w:r>
      <w:r>
        <w:t xml:space="preserve"> </w:t>
      </w:r>
      <w:r>
        <w:t>Constitutional or governed non-downgrade rights-of-protection status.</w:t>
      </w:r>
    </w:p>
    <w:p>
      <w:pPr>
        <w:pStyle w:val="BodyText"/>
      </w:pPr>
      <w:r>
        <w:t>C)</w:t>
      </w:r>
      <w:r>
        <w:t xml:space="preserve"> </w:t>
      </w:r>
      <w:r>
        <w:rPr>
          <w:b/>
          <w:bCs/>
        </w:rPr>
        <w:t>GPR: Governance Participation Readiness.</w:t>
      </w:r>
      <w:r>
        <w:t xml:space="preserve"> </w:t>
      </w:r>
      <w:r>
        <w:t>The mode by which an entity may participate directly, with support, or through representation in a named process.</w:t>
      </w:r>
    </w:p>
    <w:p>
      <w:pPr>
        <w:pStyle w:val="BodyText"/>
      </w:pPr>
      <w:r>
        <w:t>D)</w:t>
      </w:r>
      <w:r>
        <w:t xml:space="preserve"> </w:t>
      </w:r>
      <w:r>
        <w:rPr>
          <w:b/>
          <w:bCs/>
        </w:rPr>
        <w:t>SPR: Stewardship/Power Readiness.</w:t>
      </w:r>
      <w:r>
        <w:t xml:space="preserve"> </w:t>
      </w:r>
      <w:r>
        <w:t>Role-specific eligibility for a named consequential role under reality, rights, tail-risk, containment, competence, auditability, lawful-mandate, and revocability constraints.</w:t>
      </w:r>
    </w:p>
    <w:p>
      <w:pPr>
        <w:pStyle w:val="BodyText"/>
      </w:pPr>
      <w:r>
        <w:t>E)</w:t>
      </w:r>
      <w:r>
        <w:t xml:space="preserve"> </w:t>
      </w:r>
      <w:r>
        <w:rPr>
          <w:b/>
          <w:bCs/>
        </w:rPr>
        <w:t>ICP: Intelligence Capacity Profile.</w:t>
      </w:r>
      <w:r>
        <w:t xml:space="preserve"> </w:t>
      </w:r>
      <w:r>
        <w:t>Informative evidence about learning, generalization, understanding, reasoning, planning, metacognition, robustness, and resource efficiency.</w:t>
      </w:r>
    </w:p>
    <w:p>
      <w:pPr>
        <w:pStyle w:val="BodyText"/>
      </w:pPr>
      <w:r>
        <w:t>F)</w:t>
      </w:r>
      <w:r>
        <w:t xml:space="preserve"> </w:t>
      </w:r>
      <w:r>
        <w:rPr>
          <w:b/>
          <w:bCs/>
        </w:rPr>
        <w:t>RMCP: Reality-Management Capacity Profile.</w:t>
      </w:r>
      <w:r>
        <w:t xml:space="preserve"> </w:t>
      </w:r>
      <w:r>
        <w:t>Informative, multidimensional evidence about integrated reality-grounded modelling, recursive self-in-system representation, formal abstraction, cumulative knowledge, tool and intervention breadth, distributed coordination, long-horizon continuity, normative scope, causal reach, and responsibility tracking.</w:t>
      </w:r>
      <w:r>
        <w:t xml:space="preserve"> </w:t>
      </w:r>
      <w:r>
        <w:rPr>
          <w:b/>
          <w:bCs/>
        </w:rPr>
        <w:t>P100</w:t>
      </w:r>
      <w:r>
        <w:t xml:space="preserve"> </w:t>
      </w:r>
      <w:r>
        <w:t>is the open top-plateau status for functional equivalence to or greater integrated reality-management capacity than the current human collective calibration anchor.</w:t>
      </w:r>
    </w:p>
    <w:p>
      <w:pPr>
        <w:pStyle w:val="BodyText"/>
      </w:pPr>
      <w:r>
        <w:t>Strict rule: MPS and FPP govern protection; GPR governs participation design; SPR informs role-specific authority review; ICP informs competence; RMCP informs integrated reality-management capacity and may support CMIU, GPR, or SPR analysis only through separately governed records. No one surface substitutes for another. Low GPR, SPR, ICP, or RMCP MUST NOT reduce MPS or FPP. High ICP, RMCP, GPR, SPR, or P100 MUST NOT create sentience, FPP, CMIU membership, legal status, or authority. FPP MUST NOT create CMIU membership or authority.</w:t>
      </w:r>
    </w:p>
    <w:bookmarkEnd w:id="200"/>
    <w:bookmarkStart w:id="201" w:name="X294a0b6c3733ec97f5e7771ad31940c17f4e5f6"/>
    <w:p>
      <w:pPr>
        <w:pStyle w:val="Heading2"/>
      </w:pPr>
      <w:r>
        <w:t>12.2 SGP Authority and Version Pin (Normative)</w:t>
      </w:r>
    </w:p>
    <w:p>
      <w:pPr>
        <w:pStyle w:val="FirstParagraph"/>
      </w:pPr>
      <w:r>
        <w:t>RippleLogic Canon v12.3.1 pins SGP v8.2.1 as the authoritative moral-patienthood, protection, participation, power-readiness, intelligence, and reality-management-capacity interface specification. The normative source is docs/sgp/SGP_v8.2.1.md; derived DOCX/PDF mirrors do not control if they diverge. v7.x SG_norm, SG_patient_norm, pillar scores, and plateau/CMIU coupling are legacy fields and are not mathematically equivalent to MPS, FPP, GPR, SPR, ICP, or RMCP. Translation requires a documented v8.2.1 re-evaluation.</w:t>
      </w:r>
      <w:r/>
      <w:r>
        <w:rPr>
          <w:rStyle w:val="VerbatimChar"/>
        </w:rPr>
      </w:r>
      <w:r/>
      <w:r/>
      <w:r>
        <w:rPr>
          <w:rStyle w:val="VerbatimChar"/>
        </w:rPr>
      </w:r>
      <w:r/>
      <w:r/>
      <w:r>
        <w:rPr>
          <w:rStyle w:val="VerbatimChar"/>
        </w:rPr>
      </w:r>
      <w:r/>
    </w:p>
    <w:bookmarkEnd w:id="201"/>
    <w:bookmarkStart w:id="202" w:name="X97567c4081cb11cab2878cbaac3aac838af3e51"/>
    <w:p>
      <w:pPr>
        <w:pStyle w:val="Heading2"/>
      </w:pPr>
      <w:r>
        <w:t>12.3 Human Full Protection Plateau (Normative; Non-Overridable)</w:t>
      </w:r>
    </w:p>
    <w:p>
      <w:pPr>
        <w:pStyle w:val="FirstParagraph"/>
      </w:pPr>
      <w:r>
        <w:t>For every human person H:</w:t>
      </w:r>
    </w:p>
    <w:p>
      <w:pPr>
        <w:pStyle w:val="BodyText"/>
      </w:pPr>
      <w:r>
        <w:t>FPP(H) := 1</w:t>
      </w:r>
    </w:p>
    <w:p>
      <w:pPr>
        <w:pStyle w:val="BodyText"/>
      </w:pPr>
      <w:r>
        <w:t>and the RippleLogic welfare interval is:</w:t>
      </w:r>
    </w:p>
    <w:p>
      <w:pPr>
        <w:pStyle w:val="BodyText"/>
      </w:pPr>
      <w:r>
        <w:t>MPSInterval_RL(H) := [1.0, 1.0]</w:t>
      </w:r>
    </w:p>
    <w:p>
      <w:pPr>
        <w:pStyle w:val="BodyText"/>
      </w:pPr>
      <w:r>
        <w:t>This is a constitutional anti-domination and equal-dignity rule, not a measurement claim that every human maximizes every consciousness or intelligence indicator. It is independent of disability, age, illness, wakefulness, communication, productivity, or partial observability. No SGP or RippleLogic measurement may downgrade it.</w:t>
      </w:r>
    </w:p>
    <w:bookmarkEnd w:id="202"/>
    <w:bookmarkStart w:id="203" w:name="X342193969d4a3343c7c93a73daca1d79febb5fe"/>
    <w:p>
      <w:pPr>
        <w:pStyle w:val="Heading2"/>
      </w:pPr>
      <w:r>
        <w:t>12.3A Humanity Collective RMCP-P100 Calibration (Normative Interface; Provisional Calibration)</w:t>
      </w:r>
    </w:p>
    <w:p>
      <w:pPr>
        <w:pStyle w:val="FirstParagraph"/>
      </w:pPr>
      <w:r>
        <w:t>Human FPP-100 and humanity RMCP-P100 are different claims. Every human person holds FPP-100. Separately, SGP v8.2.1 designates humanity collectively as the current known calibration anchor for integrated reality-management capacity because the human collective has demonstrated cumulative symbolic language, mathematics and science, technological intervention, intergenerational knowledge preservation, formal institutions, global coordination, planetary monitoring, Recursive Union Awareness, and causal reach across Earth systems.</w:t>
      </w:r>
    </w:p>
    <w:p>
      <w:pPr>
        <w:pStyle w:val="BodyText"/>
      </w:pPr>
      <w:r>
        <w:t>The designation is a provisional, evidence-governed calibration construct, not a claim that every human individually has maximal capacity, that humanity governs wisely, that humans have greater intrinsic moral worth, or that P100 grants unrestricted authority. The open P100 plateau MAY also be assigned to biological, digital, hybrid, collective, or extraterrestrial intelligences that reach, exceed, or may already exist at functionally equivalent capacity, subject to a valid SGP v8.2.1 RMCP record and independent governed review. An entity that exceeds the human anchor remains in P100; the difference is represented in the profile rather than converted into a 101 supremacy caste.</w:t>
      </w:r>
    </w:p>
    <w:bookmarkEnd w:id="203"/>
    <w:bookmarkStart w:id="204" w:name="X224bd3d5befd42d8c5b5130c288850596748879"/>
    <w:p>
      <w:pPr>
        <w:pStyle w:val="Heading2"/>
      </w:pPr>
      <w:r>
        <w:t>12.4 Where SGP Enters RippleLogic (Normative)</w:t>
      </w:r>
    </w:p>
    <w:p>
      <w:pPr>
        <w:pStyle w:val="FirstParagraph"/>
      </w:pPr>
      <w:r>
        <w:t>Permitted interfaces:</w:t>
      </w:r>
    </w:p>
    <w:p>
      <w:pPr>
        <w:numPr>
          <w:ilvl w:val="0"/>
          <w:numId w:val="1131"/>
        </w:numPr>
      </w:pPr>
      <w:r>
        <w:rPr>
          <w:b/>
          <w:bCs/>
        </w:rPr>
        <w:t>Protected-stakeholder and Rights Floor interface.</w:t>
      </w:r>
      <w:r>
        <w:t xml:space="preserve"> </w:t>
      </w:r>
      <w:r>
        <w:t>MPS evidence and protection posture may identify a possible protected stakeholder and trigger precautionary RF/NCRC review. FPP establishes a non-downgradable protection floor. Absence of a pre-existing rights-coverage mapping is not permission for harmful treatment.</w:t>
      </w:r>
    </w:p>
    <w:p>
      <w:pPr>
        <w:numPr>
          <w:ilvl w:val="0"/>
          <w:numId w:val="1131"/>
        </w:numPr>
      </w:pPr>
      <w:r>
        <w:rPr>
          <w:b/>
          <w:bCs/>
        </w:rPr>
        <w:t>Residual Welfare-stream interface. A valid SGP v8.2.1 record supplies a typed MPS evidence band/interval, protection posture, and record validity status. RippleLogic uses that record to construct a governed welfare-inclusion hypothesis set H_E for robust RLS sensitivity; it MUST NOT treat the MPS interval itself as a cardinal welfare multiplier. The Base stream fixes h_k:=1. Every human person and FPP entity uses H_E={1}. For a non-FPP entity with realistic or credible welfare-bearing possibility, H_E MUST include 1; where exclusion remains evidentially admissible it also includes 0. MPS-NE requires {0,1} when decision-material. Additional bounded coefficients require a separate governed and validated welfare-attention profile and cannot be inferred from the MPS band.</w:t>
      </w:r>
      <w:r/>
      <w:r/>
    </w:p>
    <w:p>
      <w:pPr>
        <w:numPr>
          <w:ilvl w:val="0"/>
          <w:numId w:val="1131"/>
        </w:numPr>
      </w:pPr>
      <w:r>
        <w:rPr>
          <w:b/>
          <w:bCs/>
        </w:rPr>
        <w:t>Participation interface.</w:t>
      </w:r>
      <w:r>
        <w:t xml:space="preserve"> </w:t>
      </w:r>
      <w:r>
        <w:t>GPR may inform direct, supported, or represented participation in a named governance process. GPR is not moral worth, voting weight, office eligibility, or command authority.</w:t>
      </w:r>
    </w:p>
    <w:p>
      <w:pPr>
        <w:numPr>
          <w:ilvl w:val="0"/>
          <w:numId w:val="1131"/>
        </w:numPr>
      </w:pPr>
      <w:r>
        <w:rPr>
          <w:b/>
          <w:bCs/>
        </w:rPr>
        <w:t>Power interface.</w:t>
      </w:r>
      <w:r>
        <w:t xml:space="preserve"> </w:t>
      </w:r>
      <w:r>
        <w:t>SPR may be admitted as one role-specific evidence object inside an AuthoritySelectionRecord, but it never replaces RG, RF/NCRC, TRC, CSV, domain competence, lawful mandate, institutional responsibility, or revocability.</w:t>
      </w:r>
    </w:p>
    <w:p>
      <w:pPr>
        <w:numPr>
          <w:ilvl w:val="0"/>
          <w:numId w:val="1131"/>
        </w:numPr>
      </w:pPr>
      <w:r>
        <w:rPr>
          <w:b/>
          <w:bCs/>
        </w:rPr>
        <w:t>Competence interface.</w:t>
      </w:r>
      <w:r>
        <w:t xml:space="preserve"> </w:t>
      </w:r>
      <w:r>
        <w:t>ICP may inform domain-competence evidence for GPR or SPR. It cannot alter MPS or FPP by itself.</w:t>
      </w:r>
    </w:p>
    <w:p>
      <w:pPr>
        <w:numPr>
          <w:ilvl w:val="0"/>
          <w:numId w:val="1131"/>
        </w:numPr>
      </w:pPr>
      <w:r>
        <w:rPr>
          <w:b/>
          <w:bCs/>
        </w:rPr>
        <w:t>Reality-management capacity interface.</w:t>
      </w:r>
      <w:r>
        <w:t xml:space="preserve"> </w:t>
      </w:r>
      <w:r>
        <w:t>A valid RMCP record may inform CMIU analysis, collective-capacity comparison, GPR design, or SPR role review. It MUST identify the evaluated individual, class, institution, collective, or distributed-system boundary; the declared domain and scale; each RMCP dimension and uncertainty interval; external scaffolding; causal reach; evidence dependencies; capacity-performance separation; P100 status if any; and revision triggers. RMCP, RMCI summaries, Recursive Union Awareness, and P100 MUST NOT alter MPS or FPP, act as cardinal moral-worth weights, or bypass lawful mandate and the cascade.</w:t>
      </w:r>
    </w:p>
    <w:bookmarkEnd w:id="204"/>
    <w:bookmarkStart w:id="205" w:name="X3963c1c40a08ea209f1abcb7cc5bb3422e042cb"/>
    <w:p>
      <w:pPr>
        <w:pStyle w:val="Heading2"/>
      </w:pPr>
      <w:r>
        <w:t>12.5 Interval-Sensitivity Rule (Normative)</w:t>
      </w:r>
    </w:p>
    <w:p>
      <w:pPr>
        <w:pStyle w:val="FirstParagraph"/>
      </w:pPr>
      <w:r>
        <w:t>If the preferred option, decisive/non-decisive status, subgroup result, or material welfare conclusion changes across the governed welfare-inclusion hypothesis set, the run MUST set</w:t>
      </w:r>
      <w:r>
        <w:t xml:space="preserve"> </w:t>
      </w:r>
      <w:r>
        <w:rPr>
          <w:rStyle w:val="VerbatimChar"/>
        </w:rPr>
        <w:t>MPS_HYPOTHESIS_SENSITIVE</w:t>
      </w:r>
      <w:r>
        <w:t>. The PCC MUST report the affected stakeholders, MPS evidence record, hypotheses tested, changed outputs, and disposition. Permitted dispositions are: collect additional evidence; adopt a precautionary policy acceptable across the hypothesis set; narrow the claim; preserve multiple options; or refuse a definitive ranking. Selecting a convenient intermediate coefficient or suppressing hypothesis sensitivity is non-conformant.</w:t>
      </w:r>
    </w:p>
    <w:bookmarkEnd w:id="205"/>
    <w:bookmarkStart w:id="206" w:name="Xb6463dc0b51d7685dd46c7d1ecb86e5796d22c6"/>
    <w:p>
      <w:pPr>
        <w:pStyle w:val="Heading2"/>
      </w:pPr>
      <w:r>
        <w:t>12.6 Prohibited Inferences (Normative)</w:t>
      </w:r>
    </w:p>
    <w:p>
      <w:pPr>
        <w:pStyle w:val="FirstParagraph"/>
      </w:pPr>
      <w:r>
        <w:t>The following are prohibited:</w:t>
      </w:r>
    </w:p>
    <w:tbl>
      <w:tblPr>
        <w:tblStyle w:val="Table"/>
        <w:tblW w:type="auto" w:w="0"/>
        <w:jc w:val="center"/>
        <w:tblLook w:firstRow="1" w:lastRow="0" w:firstColumn="0" w:lastColumn="0" w:noHBand="0" w:noVBand="0" w:val="0020"/>
      </w:tblPr>
      <w:tblGrid>
        <w:gridCol w:w="3960"/>
        <w:gridCol w:w="3960"/>
      </w:tblGrid>
      <w:tr>
        <w:trPr>
          <w:tblHeader w:val="on"/>
          <w:tblHeader w:val="true"/>
          <w:cantSplit/>
        </w:trPr>
        <w:tc>
          <w:tcPr>
            <w:vAlign w:val="top"/>
            <w:tcMar>
              <w:top w:w="70" w:type="dxa"/>
              <w:start w:w="80" w:type="dxa"/>
              <w:bottom w:w="70" w:type="dxa"/>
              <w:end w:w="80" w:type="dxa"/>
            </w:tcMar>
            <w:shd w:fill="1F4E78"/>
          </w:tcPr>
          <w:p>
            <w:pPr>
              <w:pStyle w:val="Compact"/>
              <w:jc w:val="left"/>
            </w:pPr>
            <w:r>
              <w:rPr>
                <w:rFonts w:ascii="Arial" w:hAnsi="Arial" w:eastAsia="Arial"/>
                <w:b/>
                <w:color w:val="FFFFFF"/>
                <w:sz w:val="16"/>
              </w:rPr>
              <w:t>Claim</w:t>
            </w:r>
          </w:p>
        </w:tc>
        <w:tc>
          <w:tcPr>
            <w:vAlign w:val="top"/>
            <w:tcMar>
              <w:top w:w="70" w:type="dxa"/>
              <w:start w:w="80" w:type="dxa"/>
              <w:bottom w:w="70" w:type="dxa"/>
              <w:end w:w="80" w:type="dxa"/>
            </w:tcMar>
            <w:shd w:fill="1F4E78"/>
          </w:tcPr>
          <w:p>
            <w:pPr>
              <w:pStyle w:val="Compact"/>
              <w:jc w:val="left"/>
            </w:pPr>
            <w:r>
              <w:rPr>
                <w:rFonts w:ascii="Arial" w:hAnsi="Arial" w:eastAsia="Arial"/>
                <w:b/>
                <w:color w:val="FFFFFF"/>
                <w:sz w:val="16"/>
              </w:rPr>
              <w:t>Status</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Linguistic fluency or self-report proves sentience</w:t>
            </w:r>
          </w:p>
        </w:tc>
        <w:tc>
          <w:tcPr>
            <w:vAlign w:val="top"/>
            <w:tcMar>
              <w:top w:w="70" w:type="dxa"/>
              <w:start w:w="80" w:type="dxa"/>
              <w:bottom w:w="70" w:type="dxa"/>
              <w:end w:w="80" w:type="dxa"/>
            </w:tcMar>
            <w:shd w:fill="D9EAF7"/>
          </w:tcPr>
          <w:p>
            <w:pPr>
              <w:pStyle w:val="Compact"/>
              <w:jc w:val="left"/>
            </w:pPr>
            <w:r>
              <w:rPr>
                <w:rFonts w:ascii="Arial" w:hAnsi="Arial" w:eastAsia="Arial"/>
                <w:sz w:val="16"/>
              </w:rPr>
              <w:t>NOT VALID</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Intelligence, understanding, compliance, or tool performance proves moral patienthood</w:t>
            </w:r>
          </w:p>
        </w:tc>
        <w:tc>
          <w:tcPr>
            <w:vAlign w:val="top"/>
            <w:tcMar>
              <w:top w:w="70" w:type="dxa"/>
              <w:start w:w="80" w:type="dxa"/>
              <w:bottom w:w="70" w:type="dxa"/>
              <w:end w:w="80" w:type="dxa"/>
            </w:tcMar>
            <w:shd w:fill="FFFFFF"/>
          </w:tcPr>
          <w:p>
            <w:pPr>
              <w:pStyle w:val="Compact"/>
              <w:jc w:val="left"/>
            </w:pPr>
            <w:r>
              <w:rPr>
                <w:rFonts w:ascii="Arial" w:hAnsi="Arial" w:eastAsia="Arial"/>
                <w:sz w:val="16"/>
              </w:rPr>
              <w:t>NOT VALID</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Reward, loss, utility, or refusal signals alone prove valence</w:t>
            </w:r>
          </w:p>
        </w:tc>
        <w:tc>
          <w:tcPr>
            <w:vAlign w:val="top"/>
            <w:tcMar>
              <w:top w:w="70" w:type="dxa"/>
              <w:start w:w="80" w:type="dxa"/>
              <w:bottom w:w="70" w:type="dxa"/>
              <w:end w:w="80" w:type="dxa"/>
            </w:tcMar>
            <w:shd w:fill="D9EAF7"/>
          </w:tcPr>
          <w:p>
            <w:pPr>
              <w:pStyle w:val="Compact"/>
              <w:jc w:val="left"/>
            </w:pPr>
            <w:r>
              <w:rPr>
                <w:rFonts w:ascii="Arial" w:hAnsi="Arial" w:eastAsia="Arial"/>
                <w:sz w:val="16"/>
              </w:rPr>
              <w:t>NOT VALID</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Low agency, language, metacognition, GPR, or SPR reduces credible welfare protection</w:t>
            </w:r>
          </w:p>
        </w:tc>
        <w:tc>
          <w:tcPr>
            <w:vAlign w:val="top"/>
            <w:tcMar>
              <w:top w:w="70" w:type="dxa"/>
              <w:start w:w="80" w:type="dxa"/>
              <w:bottom w:w="70" w:type="dxa"/>
              <w:end w:w="80" w:type="dxa"/>
            </w:tcMar>
            <w:shd w:fill="FFFFFF"/>
          </w:tcPr>
          <w:p>
            <w:pPr>
              <w:pStyle w:val="Compact"/>
              <w:jc w:val="left"/>
            </w:pPr>
            <w:r>
              <w:rPr>
                <w:rFonts w:ascii="Arial" w:hAnsi="Arial" w:eastAsia="Arial"/>
                <w:sz w:val="16"/>
              </w:rPr>
              <w:t>PROHIBITED</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MPS is a probability of consciousness, quantity of experience, or intrinsic-worth score</w:t>
            </w:r>
          </w:p>
        </w:tc>
        <w:tc>
          <w:tcPr>
            <w:vAlign w:val="top"/>
            <w:tcMar>
              <w:top w:w="70" w:type="dxa"/>
              <w:start w:w="80" w:type="dxa"/>
              <w:bottom w:w="70" w:type="dxa"/>
              <w:end w:w="80" w:type="dxa"/>
            </w:tcMar>
            <w:shd w:fill="D9EAF7"/>
          </w:tcPr>
          <w:p>
            <w:pPr>
              <w:pStyle w:val="Compact"/>
              <w:jc w:val="left"/>
            </w:pPr>
            <w:r>
              <w:rPr>
                <w:rFonts w:ascii="Arial" w:hAnsi="Arial" w:eastAsia="Arial"/>
                <w:sz w:val="16"/>
              </w:rPr>
              <w:t>NOT VALID</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FPP implies GPR, CMIU membership, office, command, or stewardship authority</w:t>
            </w:r>
          </w:p>
        </w:tc>
        <w:tc>
          <w:tcPr>
            <w:vAlign w:val="top"/>
            <w:tcMar>
              <w:top w:w="70" w:type="dxa"/>
              <w:start w:w="80" w:type="dxa"/>
              <w:bottom w:w="70" w:type="dxa"/>
              <w:end w:w="80" w:type="dxa"/>
            </w:tcMar>
            <w:shd w:fill="FFFFFF"/>
          </w:tcPr>
          <w:p>
            <w:pPr>
              <w:pStyle w:val="Compact"/>
              <w:jc w:val="left"/>
            </w:pPr>
            <w:r>
              <w:rPr>
                <w:rFonts w:ascii="Arial" w:hAnsi="Arial" w:eastAsia="Arial"/>
                <w:sz w:val="16"/>
              </w:rPr>
              <w:t>PROHIBITED</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GPR implies SPR or lawful authority</w:t>
            </w:r>
          </w:p>
        </w:tc>
        <w:tc>
          <w:tcPr>
            <w:vAlign w:val="top"/>
            <w:tcMar>
              <w:top w:w="70" w:type="dxa"/>
              <w:start w:w="80" w:type="dxa"/>
              <w:bottom w:w="70" w:type="dxa"/>
              <w:end w:w="80" w:type="dxa"/>
            </w:tcMar>
            <w:shd w:fill="D9EAF7"/>
          </w:tcPr>
          <w:p>
            <w:pPr>
              <w:pStyle w:val="Compact"/>
              <w:jc w:val="left"/>
            </w:pPr>
            <w:r>
              <w:rPr>
                <w:rFonts w:ascii="Arial" w:hAnsi="Arial" w:eastAsia="Arial"/>
                <w:sz w:val="16"/>
              </w:rPr>
              <w:t>NOT VALID</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RMCP, Recursive Union Awareness, or P100 proves sentience, FPP, moral superiority, metaphysical oneness, or wisdom</w:t>
            </w:r>
          </w:p>
        </w:tc>
        <w:tc>
          <w:tcPr>
            <w:vAlign w:val="top"/>
            <w:tcMar>
              <w:top w:w="70" w:type="dxa"/>
              <w:start w:w="80" w:type="dxa"/>
              <w:bottom w:w="70" w:type="dxa"/>
              <w:end w:w="80" w:type="dxa"/>
            </w:tcMar>
            <w:shd w:fill="FFFFFF"/>
          </w:tcPr>
          <w:p>
            <w:pPr>
              <w:pStyle w:val="Compact"/>
              <w:jc w:val="left"/>
            </w:pPr>
            <w:r>
              <w:rPr>
                <w:rFonts w:ascii="Arial" w:hAnsi="Arial" w:eastAsia="Arial"/>
                <w:sz w:val="16"/>
              </w:rPr>
              <w:t>NOT VALID</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P100 is a permanent human monopoly or a licence to dominate beings below the plateau</w:t>
            </w:r>
          </w:p>
        </w:tc>
        <w:tc>
          <w:tcPr>
            <w:vAlign w:val="top"/>
            <w:tcMar>
              <w:top w:w="70" w:type="dxa"/>
              <w:start w:w="80" w:type="dxa"/>
              <w:bottom w:w="70" w:type="dxa"/>
              <w:end w:w="80" w:type="dxa"/>
            </w:tcMar>
            <w:shd w:fill="D9EAF7"/>
          </w:tcPr>
          <w:p>
            <w:pPr>
              <w:pStyle w:val="Compact"/>
              <w:jc w:val="left"/>
            </w:pPr>
            <w:r>
              <w:rPr>
                <w:rFonts w:ascii="Arial" w:hAnsi="Arial" w:eastAsia="Arial"/>
                <w:sz w:val="16"/>
              </w:rPr>
              <w:t>PROHIBITED</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RMCP or P100 creates CMIU membership, legal status, command, or stewardship authority</w:t>
            </w:r>
          </w:p>
        </w:tc>
        <w:tc>
          <w:tcPr>
            <w:vAlign w:val="top"/>
            <w:tcMar>
              <w:top w:w="70" w:type="dxa"/>
              <w:start w:w="80" w:type="dxa"/>
              <w:bottom w:w="70" w:type="dxa"/>
              <w:end w:w="80" w:type="dxa"/>
            </w:tcMar>
            <w:shd w:fill="FFFFFF"/>
          </w:tcPr>
          <w:p>
            <w:pPr>
              <w:pStyle w:val="Compact"/>
              <w:jc w:val="left"/>
            </w:pPr>
            <w:r>
              <w:rPr>
                <w:rFonts w:ascii="Arial" w:hAnsi="Arial" w:eastAsia="Arial"/>
                <w:sz w:val="16"/>
              </w:rPr>
              <w:t>PROHIBITED</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SPR can bypass RG, RF/NCRC, TRC, CSV, or lawful mandate</w:t>
            </w:r>
          </w:p>
        </w:tc>
        <w:tc>
          <w:tcPr>
            <w:vAlign w:val="top"/>
            <w:tcMar>
              <w:top w:w="70" w:type="dxa"/>
              <w:start w:w="80" w:type="dxa"/>
              <w:bottom w:w="70" w:type="dxa"/>
              <w:end w:w="80" w:type="dxa"/>
            </w:tcMar>
            <w:shd w:fill="D9EAF7"/>
          </w:tcPr>
          <w:p>
            <w:pPr>
              <w:pStyle w:val="Compact"/>
              <w:jc w:val="left"/>
            </w:pPr>
            <w:r>
              <w:rPr>
                <w:rFonts w:ascii="Arial" w:hAnsi="Arial" w:eastAsia="Arial"/>
                <w:sz w:val="16"/>
              </w:rPr>
              <w:t>PROHIBITED</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Missing, NE, incomplete, or inadmissible evidence means zero sentience or zero reality-management capacity</w:t>
            </w:r>
          </w:p>
        </w:tc>
        <w:tc>
          <w:tcPr>
            <w:vAlign w:val="top"/>
            <w:tcMar>
              <w:top w:w="70" w:type="dxa"/>
              <w:start w:w="80" w:type="dxa"/>
              <w:bottom w:w="70" w:type="dxa"/>
              <w:end w:w="80" w:type="dxa"/>
            </w:tcMar>
            <w:shd w:fill="FFFFFF"/>
          </w:tcPr>
          <w:p>
            <w:pPr>
              <w:pStyle w:val="Compact"/>
              <w:jc w:val="left"/>
            </w:pPr>
            <w:r>
              <w:rPr>
                <w:rFonts w:ascii="Arial" w:hAnsi="Arial" w:eastAsia="Arial"/>
                <w:sz w:val="16"/>
              </w:rPr>
              <w:t>PROHIBITED</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A v7 scalar may be silently translated into a v8.1 output</w:t>
            </w:r>
          </w:p>
        </w:tc>
        <w:tc>
          <w:tcPr>
            <w:vAlign w:val="top"/>
            <w:tcMar>
              <w:top w:w="70" w:type="dxa"/>
              <w:start w:w="80" w:type="dxa"/>
              <w:bottom w:w="70" w:type="dxa"/>
              <w:end w:w="80" w:type="dxa"/>
            </w:tcMar>
            <w:shd w:fill="D9EAF7"/>
          </w:tcPr>
          <w:p>
            <w:pPr>
              <w:pStyle w:val="Compact"/>
              <w:jc w:val="left"/>
            </w:pPr>
            <w:r>
              <w:rPr>
                <w:rFonts w:ascii="Arial" w:hAnsi="Arial" w:eastAsia="Arial"/>
                <w:sz w:val="16"/>
              </w:rPr>
              <w:t>PROHIBITED</w:t>
            </w:r>
          </w:p>
        </w:tc>
      </w:tr>
    </w:tbl>
    <w:bookmarkEnd w:id="206"/>
    <w:bookmarkStart w:id="207" w:name="X8377e619ebe66935a6f2054e7817c1de246da49"/>
    <w:p>
      <w:pPr>
        <w:pStyle w:val="Heading2"/>
      </w:pPr>
      <w:r>
        <w:t>12.7 CMIU Governance Definition and Entry Boundary (Normative)</w:t>
      </w:r>
    </w:p>
    <w:p>
      <w:pPr>
        <w:pStyle w:val="FirstParagraph"/>
      </w:pPr>
      <w:r>
        <w:t>The Collective Managing Intelligence Union is the U6 governance-coordination view of intelligences, representatives, and institutions with a declared participation channel or lawful role in shared governance, coordination, and systemic-risk management. It is not a moral-status class and is not administered by SGP.</w:t>
      </w:r>
    </w:p>
    <w:p>
      <w:pPr>
        <w:pStyle w:val="BodyText"/>
      </w:pPr>
      <w:r>
        <w:t>CMIU participation or membership, where an implementation uses that concept, requires an explicit institutional rule. For an entity, direct or supported participation SHOULD reference GPR; any consequential role MUST reference a role-specific SPR record and AuthoritySelectionRecord. A valid RMCP record MAY inform whether a candidate can model, coordinate, preserve, or manage shared reality at the relevant scale, but RMCP or P100 never supplies lawful mandate or membership by itself. Institutions may participate through lawful mandate and accountable representatives. MPS, FPP, RMCP, or P100 alone MUST NOT create CMIU membership.</w:t>
      </w:r>
    </w:p>
    <w:bookmarkEnd w:id="207"/>
    <w:bookmarkStart w:id="208" w:name="X5c04f8c676c2b1a472bf704a383d00639946bbf"/>
    <w:p>
      <w:pPr>
        <w:pStyle w:val="Heading2"/>
      </w:pPr>
      <w:r>
        <w:t>12.8 Rights Expansion for Non-Human Stakeholders (Normative)</w:t>
      </w:r>
    </w:p>
    <w:p>
      <w:pPr>
        <w:pStyle w:val="FirstParagraph"/>
      </w:pPr>
      <w:r>
        <w:t>When SGP v8.2.1 supports a stronger protection posture or FPP for a non-human individual or class, RippleLogic may expand rights coverage only through a governed update: update C_r and subgroup protocols; map the typed SGP protection bundle to the applicable protected domains LIFE, BODY, NEED, DIGN, LBTY, PROC, INFO, and ECOL; version the decision; record membership and identity conditions; preserve prior PCCs; and provide notice, review, representation, and appeal. Class priors may raise protection but MUST NOT downgrade atypical individuals or create FPP without governed assignment.</w:t>
      </w:r>
    </w:p>
    <w:bookmarkEnd w:id="208"/>
    <w:bookmarkEnd w:id="209"/>
    <w:bookmarkStart w:id="222" w:name="Xaf55ce742564404e14d094b7a7330915f9d6881"/>
    <w:p>
      <w:pPr>
        <w:pStyle w:val="Heading1"/>
      </w:pPr>
      <w:r>
        <w:t>SECTION 13: WEIGHT GOVERNANCE: HYBRID DEMOCRATIC WEIGHTING (HDW)</w:t>
      </w:r>
    </w:p>
    <w:bookmarkStart w:id="210" w:name="Xa1169ee730d92fa2bd405777f52531b3c7245a2"/>
    <w:p>
      <w:pPr>
        <w:pStyle w:val="Heading2"/>
      </w:pPr>
      <w:r>
        <w:t>13.0 Purpose (Normative)</w:t>
      </w:r>
    </w:p>
    <w:p>
      <w:pPr>
        <w:pStyle w:val="FirstParagraph"/>
      </w:pPr>
      <w:r>
        <w:t>RLS requires union and dimension weights. Weights encode normative prioritization among admissible options. Without governance, weights become a capture surface. HDW provides legitimate, anti-capture weight governance by combining:</w:t>
      </w:r>
    </w:p>
    <w:p>
      <w:pPr>
        <w:pStyle w:val="Compact"/>
        <w:numPr>
          <w:ilvl w:val="0"/>
          <w:numId w:val="1132"/>
        </w:numPr>
      </w:pPr>
      <w:r>
        <w:t>Constitutional floors (non-negotiable minimum protection attention)</w:t>
      </w:r>
    </w:p>
    <w:p>
      <w:pPr>
        <w:pStyle w:val="Compact"/>
        <w:numPr>
          <w:ilvl w:val="0"/>
          <w:numId w:val="1133"/>
        </w:numPr>
      </w:pPr>
      <w:r>
        <w:t>Democratic tuning (stakeholder voice)</w:t>
      </w:r>
    </w:p>
    <w:p>
      <w:pPr>
        <w:pStyle w:val="Compact"/>
        <w:numPr>
          <w:ilvl w:val="0"/>
          <w:numId w:val="1134"/>
        </w:numPr>
      </w:pPr>
      <w:r>
        <w:t>Structural evidence input (system-level constraints)</w:t>
      </w:r>
    </w:p>
    <w:p>
      <w:pPr>
        <w:pStyle w:val="FirstParagraph"/>
      </w:pPr>
      <w:r>
        <w:t>HDW affects only ranking among selectable options. HDW MUST NOT alter admissibility gates (NCRC, TRC) or CSV gate.</w:t>
      </w:r>
    </w:p>
    <w:bookmarkEnd w:id="210"/>
    <w:bookmarkStart w:id="215" w:name="X6ab2e962c7d411f955f96779d91ac34e31848a9"/>
    <w:p>
      <w:pPr>
        <w:pStyle w:val="Heading2"/>
      </w:pPr>
      <w:r>
        <w:t>13.1 Constitutional Floors (Normative; prior floor vector preserved through RippleLogic v12.3.1)</w:t>
      </w:r>
    </w:p>
    <w:bookmarkStart w:id="211" w:name="Xdb57e9718accff29f0b7fa42d1196ac4f7a9678"/>
    <w:p>
      <w:pPr>
        <w:pStyle w:val="Heading3"/>
      </w:pPr>
      <w:r>
        <w:t>13.1.1 Union weight floors</w:t>
      </w:r>
    </w:p>
    <w:tbl>
      <w:tblPr>
        <w:tblStyle w:val="Table"/>
        <w:tblW w:type="auto" w:w="0"/>
        <w:jc w:val="center"/>
        <w:tblLook w:firstRow="1" w:lastRow="0" w:firstColumn="0" w:lastColumn="0" w:noHBand="0" w:noVBand="0" w:val="0020"/>
      </w:tblPr>
      <w:tblGrid>
        <w:gridCol w:w="3960"/>
        <w:gridCol w:w="3960"/>
      </w:tblGrid>
      <w:tr>
        <w:trPr>
          <w:tblHeader w:val="on"/>
          <w:tblHeader w:val="true"/>
          <w:cantSplit/>
        </w:trPr>
        <w:tc>
          <w:tcPr>
            <w:vAlign w:val="top"/>
            <w:tcMar>
              <w:top w:w="70" w:type="dxa"/>
              <w:start w:w="80" w:type="dxa"/>
              <w:bottom w:w="70" w:type="dxa"/>
              <w:end w:w="80" w:type="dxa"/>
            </w:tcMar>
            <w:shd w:fill="1F4E78"/>
          </w:tcPr>
          <w:p>
            <w:pPr>
              <w:pStyle w:val="Compact"/>
              <w:jc w:val="left"/>
            </w:pPr>
            <w:r>
              <w:rPr>
                <w:rFonts w:ascii="Arial" w:hAnsi="Arial" w:eastAsia="Arial"/>
                <w:b/>
                <w:bCs/>
                <w:color w:val="FFFFFF"/>
                <w:sz w:val="16"/>
              </w:rPr>
              <w:t>Union</w:t>
            </w:r>
          </w:p>
        </w:tc>
        <w:tc>
          <w:tcPr>
            <w:vAlign w:val="top"/>
            <w:tcMar>
              <w:top w:w="70" w:type="dxa"/>
              <w:start w:w="80" w:type="dxa"/>
              <w:bottom w:w="70" w:type="dxa"/>
              <w:end w:w="80" w:type="dxa"/>
            </w:tcMar>
            <w:shd w:fill="1F4E78"/>
          </w:tcPr>
          <w:p>
            <w:pPr>
              <w:pStyle w:val="Compact"/>
              <w:jc w:val="left"/>
            </w:pPr>
            <w:r>
              <w:rPr>
                <w:rFonts w:ascii="Arial" w:hAnsi="Arial" w:eastAsia="Arial"/>
                <w:b/>
                <w:bCs/>
                <w:color w:val="FFFFFF"/>
                <w:sz w:val="16"/>
              </w:rPr>
              <w:t>Floor</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Self (U₁)</w:t>
            </w:r>
          </w:p>
        </w:tc>
        <w:tc>
          <w:tcPr>
            <w:vAlign w:val="top"/>
            <w:tcMar>
              <w:top w:w="70" w:type="dxa"/>
              <w:start w:w="80" w:type="dxa"/>
              <w:bottom w:w="70" w:type="dxa"/>
              <w:end w:w="80" w:type="dxa"/>
            </w:tcMar>
            <w:shd w:fill="D9EAF7"/>
          </w:tcPr>
          <w:p>
            <w:pPr>
              <w:pStyle w:val="Compact"/>
              <w:jc w:val="left"/>
            </w:pPr>
            <w:r>
              <w:rPr>
                <w:rFonts w:ascii="Arial" w:hAnsi="Arial" w:eastAsia="Arial"/>
                <w:sz w:val="16"/>
              </w:rPr>
              <w:t>0.20</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Household (U₂)</w:t>
            </w:r>
          </w:p>
        </w:tc>
        <w:tc>
          <w:tcPr>
            <w:vAlign w:val="top"/>
            <w:tcMar>
              <w:top w:w="70" w:type="dxa"/>
              <w:start w:w="80" w:type="dxa"/>
              <w:bottom w:w="70" w:type="dxa"/>
              <w:end w:w="80" w:type="dxa"/>
            </w:tcMar>
            <w:shd w:fill="FFFFFF"/>
          </w:tcPr>
          <w:p>
            <w:pPr>
              <w:pStyle w:val="Compact"/>
              <w:jc w:val="left"/>
            </w:pPr>
            <w:r>
              <w:rPr>
                <w:rFonts w:ascii="Arial" w:hAnsi="Arial" w:eastAsia="Arial"/>
                <w:sz w:val="16"/>
              </w:rPr>
              <w:t>0.06</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Community (U₃)</w:t>
            </w:r>
          </w:p>
        </w:tc>
        <w:tc>
          <w:tcPr>
            <w:vAlign w:val="top"/>
            <w:tcMar>
              <w:top w:w="70" w:type="dxa"/>
              <w:start w:w="80" w:type="dxa"/>
              <w:bottom w:w="70" w:type="dxa"/>
              <w:end w:w="80" w:type="dxa"/>
            </w:tcMar>
            <w:shd w:fill="D9EAF7"/>
          </w:tcPr>
          <w:p>
            <w:pPr>
              <w:pStyle w:val="Compact"/>
              <w:jc w:val="left"/>
            </w:pPr>
            <w:r>
              <w:rPr>
                <w:rFonts w:ascii="Arial" w:hAnsi="Arial" w:eastAsia="Arial"/>
                <w:sz w:val="16"/>
              </w:rPr>
              <w:t>0.06</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Organization (U₄)</w:t>
            </w:r>
          </w:p>
        </w:tc>
        <w:tc>
          <w:tcPr>
            <w:vAlign w:val="top"/>
            <w:tcMar>
              <w:top w:w="70" w:type="dxa"/>
              <w:start w:w="80" w:type="dxa"/>
              <w:bottom w:w="70" w:type="dxa"/>
              <w:end w:w="80" w:type="dxa"/>
            </w:tcMar>
            <w:shd w:fill="FFFFFF"/>
          </w:tcPr>
          <w:p>
            <w:pPr>
              <w:pStyle w:val="Compact"/>
              <w:jc w:val="left"/>
            </w:pPr>
            <w:r>
              <w:rPr>
                <w:rFonts w:ascii="Arial" w:hAnsi="Arial" w:eastAsia="Arial"/>
                <w:sz w:val="16"/>
              </w:rPr>
              <w:t>0.06</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Polity (U₅)</w:t>
            </w:r>
          </w:p>
        </w:tc>
        <w:tc>
          <w:tcPr>
            <w:vAlign w:val="top"/>
            <w:tcMar>
              <w:top w:w="70" w:type="dxa"/>
              <w:start w:w="80" w:type="dxa"/>
              <w:bottom w:w="70" w:type="dxa"/>
              <w:end w:w="80" w:type="dxa"/>
            </w:tcMar>
            <w:shd w:fill="D9EAF7"/>
          </w:tcPr>
          <w:p>
            <w:pPr>
              <w:pStyle w:val="Compact"/>
              <w:jc w:val="left"/>
            </w:pPr>
            <w:r>
              <w:rPr>
                <w:rFonts w:ascii="Arial" w:hAnsi="Arial" w:eastAsia="Arial"/>
                <w:sz w:val="16"/>
              </w:rPr>
              <w:t>0.08</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Humanity / Global Coordination (U₆)</w:t>
            </w:r>
          </w:p>
        </w:tc>
        <w:tc>
          <w:tcPr>
            <w:vAlign w:val="top"/>
            <w:tcMar>
              <w:top w:w="70" w:type="dxa"/>
              <w:start w:w="80" w:type="dxa"/>
              <w:bottom w:w="70" w:type="dxa"/>
              <w:end w:w="80" w:type="dxa"/>
            </w:tcMar>
            <w:shd w:fill="FFFFFF"/>
          </w:tcPr>
          <w:p>
            <w:pPr>
              <w:pStyle w:val="Compact"/>
              <w:jc w:val="left"/>
            </w:pPr>
            <w:r>
              <w:rPr>
                <w:rFonts w:ascii="Arial" w:hAnsi="Arial" w:eastAsia="Arial"/>
                <w:sz w:val="16"/>
              </w:rPr>
              <w:t>0.10</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Biosphere (U₇)</w:t>
            </w:r>
          </w:p>
        </w:tc>
        <w:tc>
          <w:tcPr>
            <w:vAlign w:val="top"/>
            <w:tcMar>
              <w:top w:w="70" w:type="dxa"/>
              <w:start w:w="80" w:type="dxa"/>
              <w:bottom w:w="70" w:type="dxa"/>
              <w:end w:w="80" w:type="dxa"/>
            </w:tcMar>
            <w:shd w:fill="D9EAF7"/>
          </w:tcPr>
          <w:p>
            <w:pPr>
              <w:pStyle w:val="Compact"/>
              <w:jc w:val="left"/>
            </w:pPr>
            <w:r>
              <w:rPr>
                <w:rFonts w:ascii="Arial" w:hAnsi="Arial" w:eastAsia="Arial"/>
                <w:sz w:val="16"/>
              </w:rPr>
              <w:t>0.10</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b/>
                <w:bCs/>
                <w:sz w:val="16"/>
              </w:rPr>
              <w:t>Total</w:t>
            </w:r>
          </w:p>
        </w:tc>
        <w:tc>
          <w:tcPr>
            <w:vAlign w:val="top"/>
            <w:tcMar>
              <w:top w:w="70" w:type="dxa"/>
              <w:start w:w="80" w:type="dxa"/>
              <w:bottom w:w="70" w:type="dxa"/>
              <w:end w:w="80" w:type="dxa"/>
            </w:tcMar>
            <w:shd w:fill="FFFFFF"/>
          </w:tcPr>
          <w:p>
            <w:pPr>
              <w:pStyle w:val="Compact"/>
              <w:jc w:val="left"/>
            </w:pPr>
            <w:r>
              <w:rPr>
                <w:rFonts w:ascii="Arial" w:hAnsi="Arial" w:eastAsia="Arial"/>
                <w:b/>
                <w:bCs/>
                <w:sz w:val="16"/>
              </w:rPr>
              <w:t>0.66</w:t>
            </w:r>
          </w:p>
        </w:tc>
      </w:tr>
    </w:tbl>
    <w:bookmarkEnd w:id="211"/>
    <w:bookmarkStart w:id="212" w:name="Xa08d00ddd5659e29231b4979d8a8cb534ff10a9"/>
    <w:p>
      <w:pPr>
        <w:pStyle w:val="Heading3"/>
      </w:pPr>
      <w:r>
        <w:t>13.1.2 Dimension weight floors</w:t>
      </w:r>
    </w:p>
    <w:tbl>
      <w:tblPr>
        <w:tblStyle w:val="Table"/>
        <w:tblW w:type="auto" w:w="0"/>
        <w:jc w:val="center"/>
        <w:tblLook w:firstRow="1" w:lastRow="0" w:firstColumn="0" w:lastColumn="0" w:noHBand="0" w:noVBand="0" w:val="0020"/>
      </w:tblPr>
      <w:tblGrid>
        <w:gridCol w:w="3960"/>
        <w:gridCol w:w="3960"/>
      </w:tblGrid>
      <w:tr>
        <w:trPr>
          <w:tblHeader w:val="on"/>
          <w:tblHeader w:val="true"/>
          <w:cantSplit/>
        </w:trPr>
        <w:tc>
          <w:tcPr>
            <w:vAlign w:val="top"/>
            <w:tcMar>
              <w:top w:w="70" w:type="dxa"/>
              <w:start w:w="80" w:type="dxa"/>
              <w:bottom w:w="70" w:type="dxa"/>
              <w:end w:w="80" w:type="dxa"/>
            </w:tcMar>
            <w:shd w:fill="1F4E78"/>
          </w:tcPr>
          <w:p>
            <w:pPr>
              <w:pStyle w:val="Compact"/>
              <w:jc w:val="left"/>
            </w:pPr>
            <w:r>
              <w:rPr>
                <w:rFonts w:ascii="Arial" w:hAnsi="Arial" w:eastAsia="Arial"/>
                <w:b/>
                <w:bCs/>
                <w:color w:val="FFFFFF"/>
                <w:sz w:val="16"/>
              </w:rPr>
              <w:t>Dimension</w:t>
            </w:r>
          </w:p>
        </w:tc>
        <w:tc>
          <w:tcPr>
            <w:vAlign w:val="top"/>
            <w:tcMar>
              <w:top w:w="70" w:type="dxa"/>
              <w:start w:w="80" w:type="dxa"/>
              <w:bottom w:w="70" w:type="dxa"/>
              <w:end w:w="80" w:type="dxa"/>
            </w:tcMar>
            <w:shd w:fill="1F4E78"/>
          </w:tcPr>
          <w:p>
            <w:pPr>
              <w:pStyle w:val="Compact"/>
              <w:jc w:val="left"/>
            </w:pPr>
            <w:r>
              <w:rPr>
                <w:rFonts w:ascii="Arial" w:hAnsi="Arial" w:eastAsia="Arial"/>
                <w:b/>
                <w:bCs/>
                <w:color w:val="FFFFFF"/>
                <w:sz w:val="16"/>
              </w:rPr>
              <w:t>Floor</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Material (D₁)</w:t>
            </w:r>
          </w:p>
        </w:tc>
        <w:tc>
          <w:tcPr>
            <w:vAlign w:val="top"/>
            <w:tcMar>
              <w:top w:w="70" w:type="dxa"/>
              <w:start w:w="80" w:type="dxa"/>
              <w:bottom w:w="70" w:type="dxa"/>
              <w:end w:w="80" w:type="dxa"/>
            </w:tcMar>
            <w:shd w:fill="D9EAF7"/>
          </w:tcPr>
          <w:p>
            <w:pPr>
              <w:pStyle w:val="Compact"/>
              <w:jc w:val="left"/>
            </w:pPr>
            <w:r>
              <w:rPr>
                <w:rFonts w:ascii="Arial" w:hAnsi="Arial" w:eastAsia="Arial"/>
                <w:sz w:val="16"/>
              </w:rPr>
              <w:t>0.08</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Health (D₂)</w:t>
            </w:r>
          </w:p>
        </w:tc>
        <w:tc>
          <w:tcPr>
            <w:vAlign w:val="top"/>
            <w:tcMar>
              <w:top w:w="70" w:type="dxa"/>
              <w:start w:w="80" w:type="dxa"/>
              <w:bottom w:w="70" w:type="dxa"/>
              <w:end w:w="80" w:type="dxa"/>
            </w:tcMar>
            <w:shd w:fill="FFFFFF"/>
          </w:tcPr>
          <w:p>
            <w:pPr>
              <w:pStyle w:val="Compact"/>
              <w:jc w:val="left"/>
            </w:pPr>
            <w:r>
              <w:rPr>
                <w:rFonts w:ascii="Arial" w:hAnsi="Arial" w:eastAsia="Arial"/>
                <w:sz w:val="16"/>
              </w:rPr>
              <w:t>0.10</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Social (D₃)</w:t>
            </w:r>
          </w:p>
        </w:tc>
        <w:tc>
          <w:tcPr>
            <w:vAlign w:val="top"/>
            <w:tcMar>
              <w:top w:w="70" w:type="dxa"/>
              <w:start w:w="80" w:type="dxa"/>
              <w:bottom w:w="70" w:type="dxa"/>
              <w:end w:w="80" w:type="dxa"/>
            </w:tcMar>
            <w:shd w:fill="D9EAF7"/>
          </w:tcPr>
          <w:p>
            <w:pPr>
              <w:pStyle w:val="Compact"/>
              <w:jc w:val="left"/>
            </w:pPr>
            <w:r>
              <w:rPr>
                <w:rFonts w:ascii="Arial" w:hAnsi="Arial" w:eastAsia="Arial"/>
                <w:sz w:val="16"/>
              </w:rPr>
              <w:t>0.08</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Knowledge (D₄)</w:t>
            </w:r>
          </w:p>
        </w:tc>
        <w:tc>
          <w:tcPr>
            <w:vAlign w:val="top"/>
            <w:tcMar>
              <w:top w:w="70" w:type="dxa"/>
              <w:start w:w="80" w:type="dxa"/>
              <w:bottom w:w="70" w:type="dxa"/>
              <w:end w:w="80" w:type="dxa"/>
            </w:tcMar>
            <w:shd w:fill="FFFFFF"/>
          </w:tcPr>
          <w:p>
            <w:pPr>
              <w:pStyle w:val="Compact"/>
              <w:jc w:val="left"/>
            </w:pPr>
            <w:r>
              <w:rPr>
                <w:rFonts w:ascii="Arial" w:hAnsi="Arial" w:eastAsia="Arial"/>
                <w:sz w:val="16"/>
              </w:rPr>
              <w:t>0.08</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Agency (D₅)</w:t>
            </w:r>
          </w:p>
        </w:tc>
        <w:tc>
          <w:tcPr>
            <w:vAlign w:val="top"/>
            <w:tcMar>
              <w:top w:w="70" w:type="dxa"/>
              <w:start w:w="80" w:type="dxa"/>
              <w:bottom w:w="70" w:type="dxa"/>
              <w:end w:w="80" w:type="dxa"/>
            </w:tcMar>
            <w:shd w:fill="D9EAF7"/>
          </w:tcPr>
          <w:p>
            <w:pPr>
              <w:pStyle w:val="Compact"/>
              <w:jc w:val="left"/>
            </w:pPr>
            <w:r>
              <w:rPr>
                <w:rFonts w:ascii="Arial" w:hAnsi="Arial" w:eastAsia="Arial"/>
                <w:sz w:val="16"/>
              </w:rPr>
              <w:t>0.10</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Meaning (D₆)</w:t>
            </w:r>
          </w:p>
        </w:tc>
        <w:tc>
          <w:tcPr>
            <w:vAlign w:val="top"/>
            <w:tcMar>
              <w:top w:w="70" w:type="dxa"/>
              <w:start w:w="80" w:type="dxa"/>
              <w:bottom w:w="70" w:type="dxa"/>
              <w:end w:w="80" w:type="dxa"/>
            </w:tcMar>
            <w:shd w:fill="FFFFFF"/>
          </w:tcPr>
          <w:p>
            <w:pPr>
              <w:pStyle w:val="Compact"/>
              <w:jc w:val="left"/>
            </w:pPr>
            <w:r>
              <w:rPr>
                <w:rFonts w:ascii="Arial" w:hAnsi="Arial" w:eastAsia="Arial"/>
                <w:sz w:val="16"/>
              </w:rPr>
              <w:t>0.06</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Environment (D₇)</w:t>
            </w:r>
          </w:p>
        </w:tc>
        <w:tc>
          <w:tcPr>
            <w:vAlign w:val="top"/>
            <w:tcMar>
              <w:top w:w="70" w:type="dxa"/>
              <w:start w:w="80" w:type="dxa"/>
              <w:bottom w:w="70" w:type="dxa"/>
              <w:end w:w="80" w:type="dxa"/>
            </w:tcMar>
            <w:shd w:fill="D9EAF7"/>
          </w:tcPr>
          <w:p>
            <w:pPr>
              <w:pStyle w:val="Compact"/>
              <w:jc w:val="left"/>
            </w:pPr>
            <w:r>
              <w:rPr>
                <w:rFonts w:ascii="Arial" w:hAnsi="Arial" w:eastAsia="Arial"/>
                <w:sz w:val="16"/>
              </w:rPr>
              <w:t>0.10</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b/>
                <w:bCs/>
                <w:sz w:val="16"/>
              </w:rPr>
              <w:t>Total</w:t>
            </w:r>
          </w:p>
        </w:tc>
        <w:tc>
          <w:tcPr>
            <w:vAlign w:val="top"/>
            <w:tcMar>
              <w:top w:w="70" w:type="dxa"/>
              <w:start w:w="80" w:type="dxa"/>
              <w:bottom w:w="70" w:type="dxa"/>
              <w:end w:w="80" w:type="dxa"/>
            </w:tcMar>
            <w:shd w:fill="FFFFFF"/>
          </w:tcPr>
          <w:p>
            <w:pPr>
              <w:pStyle w:val="Compact"/>
              <w:jc w:val="left"/>
            </w:pPr>
            <w:r>
              <w:rPr>
                <w:rFonts w:ascii="Arial" w:hAnsi="Arial" w:eastAsia="Arial"/>
                <w:b/>
                <w:bCs/>
                <w:sz w:val="16"/>
              </w:rPr>
              <w:t>0.60</w:t>
            </w:r>
          </w:p>
        </w:tc>
      </w:tr>
    </w:tbl>
    <w:bookmarkEnd w:id="212"/>
    <w:bookmarkStart w:id="213" w:name="Xc6a275e4a7fa06955869d37da91eeccb44ed27a"/>
    <w:p>
      <w:pPr>
        <w:pStyle w:val="Heading3"/>
      </w:pPr>
      <w:r>
        <w:t>13.1.3 Floor meaning (Normative)</w:t>
      </w:r>
    </w:p>
    <w:p>
      <w:pPr>
        <w:pStyle w:val="FirstParagraph"/>
      </w:pPr>
      <w:r>
        <w:t>Constitutional weight floors are minimum attention constraints in residual welfare ranking among options that have already passed the relevant admissibility gates. They are not rights. Rights are handled through NCRC in Section 7. They are not predictions of welfare salience for any particular decision. They are anti-erasure governance priors.</w:t>
      </w:r>
    </w:p>
    <w:p>
      <w:pPr>
        <w:pStyle w:val="BodyText"/>
      </w:pPr>
      <w:r>
        <w:t>A floor value means that the corresponding Union Scope or welfare dimension may not be reduced to zero attention in residual welfare scoring merely because it is politically weak, distant, non-vocal, non-human, future-facing, or inconvenient to model.</w:t>
      </w:r>
    </w:p>
    <w:p>
      <w:pPr>
        <w:pStyle w:val="BodyText"/>
      </w:pPr>
      <w:r>
        <w:t>Floor weights do not make all scopes equally active in every decision. PLSS may concentrate residual welfare attention on prominent scopes where the local ripple is strongest, provided that NCRC, TRC, CSV, non-maskable cells, and constitutional floors remain preserved.</w:t>
      </w:r>
    </w:p>
    <w:p>
      <w:pPr>
        <w:pStyle w:val="BodyText"/>
      </w:pPr>
      <w:r>
        <w:t>Floor weights do not override evidence. They preserve representation. They ensure that optimization cannot erase a scope or dimension before the system has accounted for whether rights, tail-risk, containment, or welfare impacts are present.</w:t>
      </w:r>
    </w:p>
    <w:p>
      <w:pPr>
        <w:pStyle w:val="BodyText"/>
      </w:pPr>
      <w:r>
        <w:t>Design logic. The canonical floor values are governance priors chosen to prevent erasure while leaving residual weight available for context-sensitive allocation. They are subject to governed revision only through the versioned update process, sensitivity analysis, and release-manifest discipline. They SHALL NOT be modified inside a run after outcome evidence is observed.</w:t>
      </w:r>
    </w:p>
    <w:bookmarkEnd w:id="213"/>
    <w:bookmarkStart w:id="214" w:name="X7c21ba84416244db56877ef99c1f61aa84fd65d"/>
    <w:p>
      <w:pPr>
        <w:pStyle w:val="Heading3"/>
      </w:pPr>
      <w:r>
        <w:t>13.1.4 Floor derivation rationale (Normative governance prior; Informative derivation)</w:t>
      </w:r>
    </w:p>
    <w:p>
      <w:pPr>
        <w:pStyle w:val="FirstParagraph"/>
      </w:pPr>
      <w:r>
        <w:t>The constitutional floor values are governance priors designed to satisfy three structural requirements simultaneously: anti-erasure (no scope or dimension may be reduced to zero attention in welfare ranking among admissible options), proportionality (scopes with longer characteristic timescales, broader stakeholder coverage, or stronger enabling-condition roles receive moderately higher floors), and residual allocation headroom (floor totals are kept well below 1.0 to preserve meaningful democratic and structural tuning space).</w:t>
      </w:r>
    </w:p>
    <w:p>
      <w:pPr>
        <w:pStyle w:val="BodyText"/>
      </w:pPr>
      <w:r>
        <w:t>Specific design logic for union floors:</w:t>
      </w:r>
    </w:p>
    <w:p>
      <w:pPr>
        <w:pStyle w:val="BodyText"/>
      </w:pPr>
      <w:r>
        <w:t>Self (U1) = 0.20. Highest floor because the decision-maker's own welfare is always directly affected, and because Self is the locus of experience and agency from which all other union participation originates. The floor is set high enough that Self cannot be erased but low enough (below 0.25) that broader scopes collectively retain majority residual allocation.</w:t>
      </w:r>
    </w:p>
    <w:p>
      <w:pPr>
        <w:pStyle w:val="BodyText"/>
      </w:pPr>
      <w:r>
        <w:t>Household (U2) through Organisation (U4) = 0.06 each. Set as equal modest floors reflecting that these scopes vary substantially in relevance across decision classes, so residual allocation rather than floor values should drive their relative emphasis.</w:t>
      </w:r>
    </w:p>
    <w:p>
      <w:pPr>
        <w:pStyle w:val="BodyText"/>
      </w:pPr>
      <w:r>
        <w:t>Polity (U5) = 0.08. Modestly elevated above U2 through U4 because procedural legitimacy, enforcement capacity, and rule-of-law infrastructure are enabling conditions for all other scopes.</w:t>
      </w:r>
    </w:p>
    <w:p>
      <w:pPr>
        <w:pStyle w:val="BodyText"/>
      </w:pPr>
      <w:r>
        <w:t>Humanity / Global Coordination (U6) and Biosphere (U7) = 0.10 each. Elevated because these scopes carry the longest characteristic timescales, the broadest stakeholder coverage, and the strongest enabling-condition roles. Degradation at these scopes is often irreversible and threatens the viability of all contained scopes.</w:t>
      </w:r>
    </w:p>
    <w:p>
      <w:pPr>
        <w:pStyle w:val="BodyText"/>
      </w:pPr>
      <w:r>
        <w:t>Specific design logic for dimension floors:</w:t>
      </w:r>
    </w:p>
    <w:p>
      <w:pPr>
        <w:pStyle w:val="BodyText"/>
      </w:pPr>
      <w:r>
        <w:t>Health (D2), Agency (D5), and Environment (D7) = 0.10 each. Elevated because these dimensions are most directly tied to rights-floor and enabling-condition protection: Health to survival and functioning, Agency to autonomy and non-domination, Environment to ecological viability.</w:t>
      </w:r>
    </w:p>
    <w:p>
      <w:pPr>
        <w:pStyle w:val="BodyText"/>
      </w:pPr>
      <w:r>
        <w:t>Material (D1), Social (D3), and Knowledge (D4) = 0.08 each. Set as equal moderate floors reflecting their cross-cutting importance without prioritising any one.</w:t>
      </w:r>
    </w:p>
    <w:p>
      <w:pPr>
        <w:pStyle w:val="BodyText"/>
      </w:pPr>
      <w:r>
        <w:t>Meaning (D6) = 0.06. Lowest floor because Meaning is the dimension most resistant to reliable cross-cultural measurement (Section 19.1) and most context-dependent in its governance relevance. The floor is non-zero to prevent erasure but is set conservatively pending measurement improvement.</w:t>
      </w:r>
    </w:p>
    <w:p>
      <w:pPr>
        <w:pStyle w:val="BodyText"/>
      </w:pPr>
      <w:r>
        <w:t>Status (Normative). These floors are governance priors, not empirically derived constants. They are explicitly challengeable under the same governance rules that apply to all RippleLogic normative parameters: revision requires justification, version increment, PCC documentation preserving prior values, and sensitivity outcomes over a reference decision suite (Section 7.1). The values have remained stable since v6.0 and are carried forward in SGP v8.2.1 and preserved through RippleLogic v12.0 because no revision proposal has been submitted that satisfies these requirements.</w:t>
      </w:r>
    </w:p>
    <w:p>
      <w:pPr>
        <w:pStyle w:val="BodyText"/>
      </w:pPr>
      <w:r>
        <w:t>Sensitivity guidance (Normative). Tier 3 deployments SHOULD include floor perturbation in their sensitivity bundle, testing at minimum +/-0.02 on each floor value (clamped to maintain sum &lt;= 1 and all floors &gt;= 0.02). If selection changes under floor perturbation, the PCC MUST document this sensitivity.</w:t>
      </w:r>
    </w:p>
    <w:p>
      <w:pPr>
        <w:pStyle w:val="BodyText"/>
      </w:pPr>
      <w:r>
        <w:t>Floors prevent unions and dimensions from being reduced to zero by weight governance. Active-cell rules, applicability masks, and declared scope structure separately determine whether a given scope or dimension contributes to a specific run. Floors are not rights, because rights are handled by NCRC; floors are minimum attention constraints in welfare optimization among admissible options. The floor values specified below are the canonical v6.0 floors, carried forward in SGP v8.2.1 and preserved through RippleLogic v12.0, and preserved unchanged in subsequent releases unless explicitly amended in the version history.</w:t>
      </w:r>
    </w:p>
    <w:bookmarkEnd w:id="214"/>
    <w:bookmarkEnd w:id="215"/>
    <w:bookmarkStart w:id="216" w:name="X3c388b83ac2a1bc420c6b9d0f535d99aed9b013"/>
    <w:p>
      <w:pPr>
        <w:pStyle w:val="Heading2"/>
      </w:pPr>
      <w:r>
        <w:t>13.2 HDW Blend Formula (Normative)</w:t>
      </w:r>
    </w:p>
    <w:p>
      <w:pPr>
        <w:pStyle w:val="FirstParagraph"/>
      </w:pPr>
      <w:r>
        <w:t>Let:</w:t>
      </w:r>
    </w:p>
    <w:p>
      <w:pPr>
        <w:pStyle w:val="Compact"/>
        <w:numPr>
          <w:ilvl w:val="0"/>
          <w:numId w:val="1135"/>
        </w:numPr>
      </w:pPr>
      <w:r>
        <w:t>w^floor be union floors,</w:t>
      </w:r>
    </w:p>
    <w:p>
      <w:pPr>
        <w:pStyle w:val="Compact"/>
        <w:numPr>
          <w:ilvl w:val="0"/>
          <w:numId w:val="1136"/>
        </w:numPr>
      </w:pPr>
      <w:r>
        <w:t>v^floor be dimension floors.</w:t>
      </w:r>
    </w:p>
    <w:p>
      <w:pPr>
        <w:pStyle w:val="FirstParagraph"/>
      </w:pPr>
      <w:r>
        <w:t>Define allocable mass:</w:t>
      </w:r>
    </w:p>
    <w:p>
      <w:pPr>
        <w:pStyle w:val="Compact"/>
        <w:numPr>
          <w:ilvl w:val="0"/>
          <w:numId w:val="1137"/>
        </w:numPr>
      </w:pPr>
      <w:r>
        <w:t>allocable_U = 1 − Σ_u w^floor_u = 0.34</w:t>
      </w:r>
    </w:p>
    <w:p>
      <w:pPr>
        <w:pStyle w:val="Compact"/>
        <w:numPr>
          <w:ilvl w:val="0"/>
          <w:numId w:val="1138"/>
        </w:numPr>
      </w:pPr>
      <w:r>
        <w:t>allocable_D = 1 − Σ_d v^floor_d = 0.40</w:t>
      </w:r>
    </w:p>
    <w:p>
      <w:pPr>
        <w:pStyle w:val="FirstParagraph"/>
      </w:pPr>
      <w:r>
        <w:t>Let w^dem and w^str be union proposal vectors on the simplex (Σ_u w^dem_u = 1, all nonnegative). Let λ_U be the democratic share of allocable union mass. Default: λ_U = 0.70.</w:t>
      </w:r>
    </w:p>
    <w:p>
      <w:pPr>
        <w:pStyle w:val="BodyText"/>
      </w:pPr>
      <w:r>
        <w:t>Clarification (Normative). Proposal vectors are constrained to the probability simplex: all components nonnegative, sum to 1, and subject to any declared floor constraints before blending. Validators MUST reject proposal vectors that violate simplex or floor constraints.</w:t>
      </w:r>
    </w:p>
    <w:p>
      <w:pPr>
        <w:pStyle w:val="BodyText"/>
      </w:pPr>
      <w:r>
        <w:t>Then:</w:t>
      </w:r>
    </w:p>
    <w:p>
      <w:pPr>
        <w:pStyle w:val="BodyText"/>
      </w:pPr>
      <w:r>
        <w:t>w_u = w^floor_u + allocable_U × (λ_U × w^dem_u + (1 − λ_U) × w^str_u)</w:t>
      </w:r>
    </w:p>
    <w:p>
      <w:pPr>
        <w:pStyle w:val="BodyText"/>
      </w:pPr>
      <w:r>
        <w:t>Similarly for dimensions with λ_D (default λ_D = 0.70):</w:t>
      </w:r>
    </w:p>
    <w:p>
      <w:pPr>
        <w:pStyle w:val="BodyText"/>
      </w:pPr>
      <w:r>
        <w:t>v_d = v^floor_d + allocable_D × (λ_D × v^dem_d + (1 − λ_D) × v^str_d)</w:t>
      </w:r>
    </w:p>
    <w:p>
      <w:pPr>
        <w:pStyle w:val="BodyText"/>
      </w:pPr>
      <w:r>
        <w:t>By construction:</w:t>
      </w:r>
    </w:p>
    <w:p>
      <w:pPr>
        <w:pStyle w:val="Compact"/>
        <w:numPr>
          <w:ilvl w:val="0"/>
          <w:numId w:val="1139"/>
        </w:numPr>
      </w:pPr>
      <w:r>
        <w:t>Σ_u w_u = 1,</w:t>
      </w:r>
    </w:p>
    <w:p>
      <w:pPr>
        <w:pStyle w:val="Compact"/>
        <w:numPr>
          <w:ilvl w:val="0"/>
          <w:numId w:val="1140"/>
        </w:numPr>
      </w:pPr>
      <w:r>
        <w:t>Σ_d v_d = 1,</w:t>
      </w:r>
    </w:p>
    <w:p>
      <w:pPr>
        <w:pStyle w:val="Compact"/>
        <w:numPr>
          <w:ilvl w:val="0"/>
          <w:numId w:val="1141"/>
        </w:numPr>
      </w:pPr>
      <w:r>
        <w:t>All floors are satisfied,</w:t>
      </w:r>
    </w:p>
    <w:p>
      <w:pPr>
        <w:pStyle w:val="Compact"/>
        <w:numPr>
          <w:ilvl w:val="0"/>
          <w:numId w:val="1142"/>
        </w:numPr>
      </w:pPr>
      <w:r>
        <w:t>Weights remain nonnegative.</w:t>
      </w:r>
    </w:p>
    <w:bookmarkEnd w:id="216"/>
    <w:bookmarkStart w:id="217" w:name="Xa5eabf475410b1e8c57421a08480debe35d159a"/>
    <w:p>
      <w:pPr>
        <w:pStyle w:val="Heading2"/>
      </w:pPr>
      <w:r>
        <w:t>13.3 Democratic Proposal Process (Normative minimum)</w:t>
      </w:r>
    </w:p>
    <w:p>
      <w:pPr>
        <w:pStyle w:val="FirstParagraph"/>
      </w:pPr>
      <w:r>
        <w:t>HDW requires a documented process for producing w^dem and v^dem. At minimum:</w:t>
      </w:r>
    </w:p>
    <w:p>
      <w:pPr>
        <w:pStyle w:val="Compact"/>
        <w:numPr>
          <w:ilvl w:val="0"/>
          <w:numId w:val="1143"/>
        </w:numPr>
      </w:pPr>
      <w:r>
        <w:t>Participants: Representatives from affected unions (including vulnerable populations),</w:t>
      </w:r>
    </w:p>
    <w:p>
      <w:pPr>
        <w:pStyle w:val="Compact"/>
        <w:numPr>
          <w:ilvl w:val="0"/>
          <w:numId w:val="1144"/>
        </w:numPr>
      </w:pPr>
      <w:r>
        <w:t>Method: Transparent vote or deliberative process with published results,</w:t>
      </w:r>
    </w:p>
    <w:p>
      <w:pPr>
        <w:pStyle w:val="Compact"/>
        <w:numPr>
          <w:ilvl w:val="0"/>
          <w:numId w:val="1145"/>
        </w:numPr>
      </w:pPr>
      <w:r>
        <w:t>Publication: Results recorded in PCC and (Tier 3 recommended) in an immutable ledger.</w:t>
      </w:r>
    </w:p>
    <w:bookmarkEnd w:id="217"/>
    <w:bookmarkStart w:id="218" w:name="X2c854fba6d4bfc2215c458d189a95a7335dfc40"/>
    <w:p>
      <w:pPr>
        <w:pStyle w:val="Heading2"/>
      </w:pPr>
      <w:r>
        <w:t>13.3A Democratic Tuning Procedure (Normative minimum)</w:t>
      </w:r>
    </w:p>
    <w:p>
      <w:pPr>
        <w:pStyle w:val="FirstParagraph"/>
      </w:pPr>
      <w:r>
        <w:t>At minimum, HDW democratic tuning SHALL use a declared participation protocol that produces reproducible proposal vectors for scopes and dimensions. The default ballot method is a two-ballot allocation: each eligible participant allocates 100 points across the seven operational scopes to produce a raw scope proposal, and 100 points across the seven welfare dimensions to produce a raw dimension proposal.</w:t>
      </w:r>
    </w:p>
    <w:p>
      <w:pPr>
        <w:pStyle w:val="BodyText"/>
      </w:pPr>
      <w:r>
        <w:t>Normalization rule (Normative). Raw ballot totals SHALL be normalized onto the simplex to produce w^dem and v^dem. Ballots with missing, negative, or over-totaled entries MUST be corrected or excluded under a declared correction rule recorded in the PCC. The PCC MUST record participant eligibility, quorum rule, number of ballots counted, exclusion/correction rule, and the final normalized proposal vectors.</w:t>
      </w:r>
    </w:p>
    <w:p>
      <w:pPr>
        <w:pStyle w:val="BodyText"/>
      </w:pPr>
      <w:r>
        <w:t>Minimum procedural safeguards (Normative). Tier 3 HDW runs MUST include: (i) declared eligibility criteria, (ii) quorum threshold, (iii) publication of aggregate results, (iv) challenger opportunity before final locking, and (v) retention of the raw ballot summary sufficient for independent recomputation. If these conditions are not met, the run MUST use a declared interim weight profile and MUST NOT present the democratic proposal as fully satisfied HDW governance.</w:t>
      </w:r>
    </w:p>
    <w:p>
      <w:pPr>
        <w:pStyle w:val="BodyText"/>
      </w:pPr>
      <w:r>
        <w:t>Floor lock (Normative). Democratic tuning operates only over allocable mass above constitutional floors. No democratic proposal may reduce any scope or dimension below its Section 13.1 floor. Where a ballot pattern would place a component within 0.02 of its floor, the Section 13.5 supermajority safeguard applies.</w:t>
      </w:r>
    </w:p>
    <w:bookmarkEnd w:id="218"/>
    <w:bookmarkStart w:id="219" w:name="X80cce863fc6d582b5dc3ac8bb2fdc95218c37c9"/>
    <w:p>
      <w:pPr>
        <w:pStyle w:val="Heading2"/>
      </w:pPr>
      <w:r>
        <w:t>13.4 Structural Proposal Process (Normative minimum)</w:t>
      </w:r>
    </w:p>
    <w:p>
      <w:pPr>
        <w:pStyle w:val="FirstParagraph"/>
      </w:pPr>
      <w:r>
        <w:t>w^str and v^str represent evidence-informed constraints (for example, externality reach, irreversibility, systemic risk). At minimum:</w:t>
      </w:r>
    </w:p>
    <w:p>
      <w:pPr>
        <w:pStyle w:val="Compact"/>
        <w:numPr>
          <w:ilvl w:val="0"/>
          <w:numId w:val="1146"/>
        </w:numPr>
      </w:pPr>
      <w:r>
        <w:t>Method: Documented rule for producing w^str, v^str,</w:t>
      </w:r>
    </w:p>
    <w:p>
      <w:pPr>
        <w:pStyle w:val="Compact"/>
        <w:numPr>
          <w:ilvl w:val="0"/>
          <w:numId w:val="1147"/>
        </w:numPr>
      </w:pPr>
      <w:r>
        <w:t>Inputs: Declared indicators and sources,</w:t>
      </w:r>
    </w:p>
    <w:p>
      <w:pPr>
        <w:pStyle w:val="Compact"/>
        <w:numPr>
          <w:ilvl w:val="0"/>
          <w:numId w:val="1148"/>
        </w:numPr>
      </w:pPr>
      <w:r>
        <w:t>Reproducibility: The same method yields same output given same data.</w:t>
      </w:r>
    </w:p>
    <w:p>
      <w:pPr>
        <w:pStyle w:val="FirstParagraph"/>
      </w:pPr>
      <w:r>
        <w:t>If a deployment lacks structural evidence, it may use a declared interim default w^str, v^str at Tier 2, but Tier 3 SHOULD converge to a governed structural method over time.</w:t>
      </w:r>
    </w:p>
    <w:bookmarkEnd w:id="219"/>
    <w:bookmarkStart w:id="220" w:name="Xfa6c4553cbfa048b1910bbfaaeb2c7f16ca31a7"/>
    <w:p>
      <w:pPr>
        <w:pStyle w:val="Heading2"/>
      </w:pPr>
      <w:r>
        <w:t>13.5 Anti-Capture Safeguards (Normative for Tier 3)</w:t>
      </w:r>
    </w:p>
    <w:p>
      <w:pPr>
        <w:pStyle w:val="FirstParagraph"/>
      </w:pPr>
      <w:r>
        <w:t>Tier 3 weight governance MUST include:</w:t>
      </w:r>
    </w:p>
    <w:p>
      <w:pPr>
        <w:pStyle w:val="Compact"/>
        <w:numPr>
          <w:ilvl w:val="0"/>
          <w:numId w:val="1149"/>
        </w:numPr>
      </w:pPr>
      <w:r>
        <w:t>Stratified representation: Delegates must include vulnerable population representation and biosphere stewardship for environment-relevant decisions.</w:t>
      </w:r>
    </w:p>
    <w:p>
      <w:pPr>
        <w:pStyle w:val="Compact"/>
        <w:numPr>
          <w:ilvl w:val="0"/>
          <w:numId w:val="1150"/>
        </w:numPr>
      </w:pPr>
      <w:r>
        <w:t>Supermajority lock near floors: Any proposal reducing a weight to within 0.02 of its floor requires ≥2/3 approval.</w:t>
      </w:r>
    </w:p>
    <w:p>
      <w:pPr>
        <w:pStyle w:val="Compact"/>
        <w:numPr>
          <w:ilvl w:val="0"/>
          <w:numId w:val="1151"/>
        </w:numPr>
      </w:pPr>
      <w:r>
        <w:t>Transparency ledger: All proposals, votes, rationales published (at least internally).</w:t>
      </w:r>
    </w:p>
    <w:p>
      <w:pPr>
        <w:pStyle w:val="Compact"/>
        <w:numPr>
          <w:ilvl w:val="0"/>
          <w:numId w:val="1152"/>
        </w:numPr>
      </w:pPr>
      <w:r>
        <w:t>Red-team testing: Proposed weights tested against reference decision suites to detect systematic bias.</w:t>
      </w:r>
    </w:p>
    <w:p>
      <w:pPr>
        <w:pStyle w:val="Compact"/>
        <w:numPr>
          <w:ilvl w:val="0"/>
          <w:numId w:val="1153"/>
        </w:numPr>
      </w:pPr>
      <w:r>
        <w:t>Conflict-of-interest disclosure: Material conflicts require recusal; recusals recorded.</w:t>
      </w:r>
    </w:p>
    <w:bookmarkEnd w:id="220"/>
    <w:bookmarkStart w:id="221" w:name="X742a71009e95b44ddcd1c26adff2d195c22e9fc"/>
    <w:p>
      <w:pPr>
        <w:pStyle w:val="Heading2"/>
      </w:pPr>
      <w:r>
        <w:t>13.6 Weight Use by Tier (Normative)</w:t>
      </w:r>
    </w:p>
    <w:tbl>
      <w:tblPr>
        <w:tblStyle w:val="Table"/>
        <w:tblW w:type="auto" w:w="0"/>
        <w:jc w:val="center"/>
        <w:tblLook w:firstRow="1" w:lastRow="0" w:firstColumn="0" w:lastColumn="0" w:noHBand="0" w:noVBand="0" w:val="0020"/>
      </w:tblPr>
      <w:tblGrid>
        <w:gridCol w:w="3960"/>
        <w:gridCol w:w="3960"/>
      </w:tblGrid>
      <w:tr>
        <w:trPr>
          <w:tblHeader w:val="on"/>
          <w:tblHeader w:val="true"/>
          <w:cantSplit/>
        </w:trPr>
        <w:tc>
          <w:tcPr>
            <w:vAlign w:val="top"/>
            <w:tcMar>
              <w:top w:w="70" w:type="dxa"/>
              <w:start w:w="80" w:type="dxa"/>
              <w:bottom w:w="70" w:type="dxa"/>
              <w:end w:w="80" w:type="dxa"/>
            </w:tcMar>
            <w:shd w:fill="1F4E78"/>
          </w:tcPr>
          <w:p>
            <w:pPr>
              <w:pStyle w:val="Compact"/>
              <w:jc w:val="left"/>
            </w:pPr>
            <w:r>
              <w:rPr>
                <w:rFonts w:ascii="Arial" w:hAnsi="Arial" w:eastAsia="Arial"/>
                <w:b/>
                <w:bCs/>
                <w:color w:val="FFFFFF"/>
                <w:sz w:val="16"/>
              </w:rPr>
              <w:t>Tier</w:t>
            </w:r>
          </w:p>
        </w:tc>
        <w:tc>
          <w:tcPr>
            <w:vAlign w:val="top"/>
            <w:tcMar>
              <w:top w:w="70" w:type="dxa"/>
              <w:start w:w="80" w:type="dxa"/>
              <w:bottom w:w="70" w:type="dxa"/>
              <w:end w:w="80" w:type="dxa"/>
            </w:tcMar>
            <w:shd w:fill="1F4E78"/>
          </w:tcPr>
          <w:p>
            <w:pPr>
              <w:pStyle w:val="Compact"/>
              <w:jc w:val="left"/>
            </w:pPr>
            <w:r>
              <w:rPr>
                <w:rFonts w:ascii="Arial" w:hAnsi="Arial" w:eastAsia="Arial"/>
                <w:b/>
                <w:bCs/>
                <w:color w:val="FFFFFF"/>
                <w:sz w:val="16"/>
              </w:rPr>
              <w:t>Weight Policy</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Tier 1</w:t>
            </w:r>
          </w:p>
        </w:tc>
        <w:tc>
          <w:tcPr>
            <w:vAlign w:val="top"/>
            <w:tcMar>
              <w:top w:w="70" w:type="dxa"/>
              <w:start w:w="80" w:type="dxa"/>
              <w:bottom w:w="70" w:type="dxa"/>
              <w:end w:w="80" w:type="dxa"/>
            </w:tcMar>
            <w:shd w:fill="D9EAF7"/>
          </w:tcPr>
          <w:p>
            <w:pPr>
              <w:pStyle w:val="Compact"/>
              <w:jc w:val="left"/>
            </w:pPr>
            <w:r>
              <w:rPr>
                <w:rFonts w:ascii="Arial" w:hAnsi="Arial" w:eastAsia="Arial"/>
                <w:sz w:val="16"/>
              </w:rPr>
              <w:t>Uniform weights allowed (documented)</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Tier 2</w:t>
            </w:r>
          </w:p>
        </w:tc>
        <w:tc>
          <w:tcPr>
            <w:vAlign w:val="top"/>
            <w:tcMar>
              <w:top w:w="70" w:type="dxa"/>
              <w:start w:w="80" w:type="dxa"/>
              <w:bottom w:w="70" w:type="dxa"/>
              <w:end w:w="80" w:type="dxa"/>
            </w:tcMar>
            <w:shd w:fill="FFFFFF"/>
          </w:tcPr>
          <w:p>
            <w:pPr>
              <w:pStyle w:val="Compact"/>
              <w:jc w:val="left"/>
            </w:pPr>
            <w:r>
              <w:rPr>
                <w:rFonts w:ascii="Arial" w:hAnsi="Arial" w:eastAsia="Arial"/>
                <w:sz w:val="16"/>
              </w:rPr>
              <w:t>Uniform weights allowed; HDW recommended; weights must be declared in PCC</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Tier 3</w:t>
            </w:r>
          </w:p>
        </w:tc>
        <w:tc>
          <w:tcPr>
            <w:vAlign w:val="top"/>
            <w:tcMar>
              <w:top w:w="70" w:type="dxa"/>
              <w:start w:w="80" w:type="dxa"/>
              <w:bottom w:w="70" w:type="dxa"/>
              <w:end w:w="80" w:type="dxa"/>
            </w:tcMar>
            <w:shd w:fill="D9EAF7"/>
          </w:tcPr>
          <w:p>
            <w:pPr>
              <w:pStyle w:val="Compact"/>
              <w:jc w:val="left"/>
            </w:pPr>
            <w:r>
              <w:rPr>
                <w:rFonts w:ascii="Arial" w:hAnsi="Arial" w:eastAsia="Arial"/>
                <w:sz w:val="16"/>
              </w:rPr>
              <w:t>HDW recommended; if not available, explicit interim weights allowed with justification and sensitivity analysis. Floors remain binding regardless.</w:t>
            </w:r>
          </w:p>
        </w:tc>
      </w:tr>
    </w:tbl>
    <w:bookmarkEnd w:id="221"/>
    <w:bookmarkEnd w:id="222"/>
    <w:bookmarkStart w:id="238" w:name="X65e75abfb07d76eefbd4db3a7eb1417001c1ef0"/>
    <w:p>
      <w:pPr>
        <w:pStyle w:val="Heading1"/>
      </w:pPr>
      <w:r>
        <w:t>SECTION 14: AUDITABILITY AND DETERMINISM: PCC AND AIL (TIER 1-3; TIER 4 TARGET)</w:t>
      </w:r>
    </w:p>
    <w:bookmarkStart w:id="223" w:name="X3c5a375bf3aa551528459629f792d9f8f02b7a2"/>
    <w:p>
      <w:pPr>
        <w:pStyle w:val="Heading2"/>
      </w:pPr>
      <w:r>
        <w:t>14.0 Purpose (Normative)</w:t>
      </w:r>
    </w:p>
    <w:p>
      <w:pPr>
        <w:pStyle w:val="FirstParagraph"/>
      </w:pPr>
      <w:r>
        <w:t>Without auditability, ethics frameworks become theater or are gamed. RippleLogic therefore requires a structured decision artifact (PCC) and integrity rules (AIL) to make decisions reconstructable, challengeable, and corrigible via NCAR.</w:t>
      </w:r>
    </w:p>
    <w:p>
      <w:pPr>
        <w:pStyle w:val="BodyText"/>
      </w:pPr>
      <w:r>
        <w:t>Tier boundary: Tier 1-3 auditability is fully specified here. Tier 4 determinism and hash-bound replayability are explicitly a design target only (Appendix I) and MUST NOT be claimed in the current v12.3 release.</w:t>
      </w:r>
    </w:p>
    <w:bookmarkEnd w:id="223"/>
    <w:bookmarkStart w:id="224" w:name="X2ba6eb724dcb29e490039fef1209f139bccf4e1"/>
    <w:p>
      <w:pPr>
        <w:pStyle w:val="Heading2"/>
      </w:pPr>
      <w:r>
        <w:t>14.1 Artifact Integrity Law (AIL) Principles (Normative for Tier 2-3)</w:t>
      </w:r>
    </w:p>
    <w:p>
      <w:pPr>
        <w:pStyle w:val="FirstParagraph"/>
      </w:pPr>
      <w:r>
        <w:t>AIL is a set of integrity constraints governing how decisions are recorded and compared.</w:t>
      </w:r>
    </w:p>
    <w:tbl>
      <w:tblPr>
        <w:tblStyle w:val="Table"/>
        <w:tblW w:type="auto" w:w="0"/>
        <w:jc w:val="center"/>
        <w:tblLook w:firstRow="1" w:lastRow="0" w:firstColumn="0" w:lastColumn="0" w:noHBand="0" w:noVBand="0" w:val="0020"/>
      </w:tblPr>
      <w:tblGrid>
        <w:gridCol w:w="3960"/>
        <w:gridCol w:w="3960"/>
      </w:tblGrid>
      <w:tr>
        <w:trPr>
          <w:tblHeader w:val="on"/>
          <w:tblHeader w:val="true"/>
          <w:cantSplit/>
        </w:trPr>
        <w:tc>
          <w:tcPr>
            <w:vAlign w:val="top"/>
            <w:tcMar>
              <w:top w:w="70" w:type="dxa"/>
              <w:start w:w="80" w:type="dxa"/>
              <w:bottom w:w="70" w:type="dxa"/>
              <w:end w:w="80" w:type="dxa"/>
            </w:tcMar>
            <w:shd w:fill="1F4E78"/>
          </w:tcPr>
          <w:p>
            <w:pPr>
              <w:pStyle w:val="Compact"/>
              <w:jc w:val="left"/>
            </w:pPr>
            <w:r>
              <w:rPr>
                <w:rFonts w:ascii="Arial" w:hAnsi="Arial" w:eastAsia="Arial"/>
                <w:b/>
                <w:bCs/>
                <w:color w:val="FFFFFF"/>
                <w:sz w:val="16"/>
              </w:rPr>
              <w:t>Principle</w:t>
            </w:r>
          </w:p>
        </w:tc>
        <w:tc>
          <w:tcPr>
            <w:vAlign w:val="top"/>
            <w:tcMar>
              <w:top w:w="70" w:type="dxa"/>
              <w:start w:w="80" w:type="dxa"/>
              <w:bottom w:w="70" w:type="dxa"/>
              <w:end w:w="80" w:type="dxa"/>
            </w:tcMar>
            <w:shd w:fill="1F4E78"/>
          </w:tcPr>
          <w:p>
            <w:pPr>
              <w:pStyle w:val="Compact"/>
              <w:jc w:val="left"/>
            </w:pPr>
            <w:r>
              <w:rPr>
                <w:rFonts w:ascii="Arial" w:hAnsi="Arial" w:eastAsia="Arial"/>
                <w:b/>
                <w:bCs/>
                <w:color w:val="FFFFFF"/>
                <w:sz w:val="16"/>
              </w:rPr>
              <w:t>Description</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AIL1 (Registry Binding / Source Traceability)</w:t>
            </w:r>
          </w:p>
        </w:tc>
        <w:tc>
          <w:tcPr>
            <w:vAlign w:val="top"/>
            <w:tcMar>
              <w:top w:w="70" w:type="dxa"/>
              <w:start w:w="80" w:type="dxa"/>
              <w:bottom w:w="70" w:type="dxa"/>
              <w:end w:w="80" w:type="dxa"/>
            </w:tcMar>
            <w:shd w:fill="D9EAF7"/>
          </w:tcPr>
          <w:p>
            <w:pPr>
              <w:pStyle w:val="Compact"/>
              <w:jc w:val="left"/>
            </w:pPr>
            <w:r>
              <w:rPr>
                <w:rFonts w:ascii="Arial" w:hAnsi="Arial" w:eastAsia="Arial"/>
                <w:sz w:val="16"/>
              </w:rPr>
              <w:t>Every Tier 2-3 PCC MUST list the normative parameters used. If hashes/registries are used, they must be referenced; if not, values must be embedded explicitly.</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AIL2 (Immutability)</w:t>
            </w:r>
          </w:p>
        </w:tc>
        <w:tc>
          <w:tcPr>
            <w:vAlign w:val="top"/>
            <w:tcMar>
              <w:top w:w="70" w:type="dxa"/>
              <w:start w:w="80" w:type="dxa"/>
              <w:bottom w:w="70" w:type="dxa"/>
              <w:end w:w="80" w:type="dxa"/>
            </w:tcMar>
            <w:shd w:fill="FFFFFF"/>
          </w:tcPr>
          <w:p>
            <w:pPr>
              <w:pStyle w:val="Compact"/>
              <w:jc w:val="left"/>
            </w:pPr>
            <w:r>
              <w:rPr>
                <w:rFonts w:ascii="Arial" w:hAnsi="Arial" w:eastAsia="Arial"/>
                <w:sz w:val="16"/>
              </w:rPr>
              <w:t>A PCC is immutable after signing. Any correction produces a new PCC revision that references the prior PCC and explains the change.</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AIL3 (Comparability)</w:t>
            </w:r>
          </w:p>
        </w:tc>
        <w:tc>
          <w:tcPr>
            <w:vAlign w:val="top"/>
            <w:tcMar>
              <w:top w:w="70" w:type="dxa"/>
              <w:start w:w="80" w:type="dxa"/>
              <w:bottom w:w="70" w:type="dxa"/>
              <w:end w:w="80" w:type="dxa"/>
            </w:tcMar>
            <w:shd w:fill="D9EAF7"/>
          </w:tcPr>
          <w:p>
            <w:pPr>
              <w:pStyle w:val="Compact"/>
              <w:jc w:val="left"/>
            </w:pPr>
            <w:r>
              <w:rPr>
                <w:rFonts w:ascii="Arial" w:hAnsi="Arial" w:eastAsia="Arial"/>
                <w:sz w:val="16"/>
              </w:rPr>
              <w:t>Options compared in one run MUST be evaluated under identical configuration.</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AIL4 (No Silent Overrides)</w:t>
            </w:r>
          </w:p>
        </w:tc>
        <w:tc>
          <w:tcPr>
            <w:vAlign w:val="top"/>
            <w:tcMar>
              <w:top w:w="70" w:type="dxa"/>
              <w:start w:w="80" w:type="dxa"/>
              <w:bottom w:w="70" w:type="dxa"/>
              <w:end w:w="80" w:type="dxa"/>
            </w:tcMar>
            <w:shd w:fill="FFFFFF"/>
          </w:tcPr>
          <w:p>
            <w:pPr>
              <w:pStyle w:val="Compact"/>
              <w:jc w:val="left"/>
            </w:pPr>
            <w:r>
              <w:rPr>
                <w:rFonts w:ascii="Arial" w:hAnsi="Arial" w:eastAsia="Arial"/>
                <w:sz w:val="16"/>
              </w:rPr>
              <w:t>Any override must be explicit in the PCC (what changed, why, who approved).</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AIL5 (Auditability Sufficiency)</w:t>
            </w:r>
          </w:p>
        </w:tc>
        <w:tc>
          <w:tcPr>
            <w:vAlign w:val="top"/>
            <w:tcMar>
              <w:top w:w="70" w:type="dxa"/>
              <w:start w:w="80" w:type="dxa"/>
              <w:bottom w:w="70" w:type="dxa"/>
              <w:end w:w="80" w:type="dxa"/>
            </w:tcMar>
            <w:shd w:fill="D9EAF7"/>
          </w:tcPr>
          <w:p>
            <w:pPr>
              <w:pStyle w:val="Compact"/>
              <w:jc w:val="left"/>
            </w:pPr>
            <w:r>
              <w:rPr>
                <w:rFonts w:ascii="Arial" w:hAnsi="Arial" w:eastAsia="Arial"/>
                <w:sz w:val="16"/>
              </w:rPr>
              <w:t>A Tier 3 PCC MUST contain enough information for an independent reviewer to recompute NCRC, TRC, CSV, and RLS for that run.</w:t>
            </w:r>
          </w:p>
        </w:tc>
      </w:tr>
    </w:tbl>
    <w:bookmarkEnd w:id="224"/>
    <w:bookmarkStart w:id="225" w:name="Xd42a29338290ce14f369b922f2129097db2971f"/>
    <w:p>
      <w:pPr>
        <w:pStyle w:val="Heading2"/>
      </w:pPr>
      <w:r>
        <w:t>14.2 PCC Requirements by Tier (Normative)</w:t>
      </w:r>
    </w:p>
    <w:p>
      <w:pPr>
        <w:pStyle w:val="FirstParagraph"/>
      </w:pPr>
      <w:r>
        <w:t>PCC.EKRegistry (CONDITIONAL; REQUIRED when any non-default e_k is used, or when a Tier 2 named-instrument exception is invoked). For each instrument record: InstrumentID; Purpose; Source/Authority; AllowedRange; TierPermitted; ReasonCodeSet; DefaultCounterfactualRequired [TRUE/FALSE].</w:t>
      </w:r>
    </w:p>
    <w:tbl>
      <w:tblPr>
        <w:tblStyle w:val="Table"/>
        <w:tblW w:type="auto" w:w="0"/>
        <w:jc w:val="center"/>
        <w:tblLook w:firstRow="1" w:lastRow="0" w:firstColumn="0" w:lastColumn="0" w:noHBand="0" w:noVBand="0" w:val="0020"/>
      </w:tblPr>
      <w:tblGrid>
        <w:gridCol w:w="3960"/>
        <w:gridCol w:w="3960"/>
      </w:tblGrid>
      <w:tr>
        <w:trPr>
          <w:tblHeader w:val="on"/>
          <w:tblHeader w:val="true"/>
          <w:cantSplit/>
        </w:trPr>
        <w:tc>
          <w:tcPr>
            <w:vAlign w:val="top"/>
            <w:tcMar>
              <w:top w:w="70" w:type="dxa"/>
              <w:start w:w="80" w:type="dxa"/>
              <w:bottom w:w="70" w:type="dxa"/>
              <w:end w:w="80" w:type="dxa"/>
            </w:tcMar>
            <w:shd w:fill="1F4E78"/>
          </w:tcPr>
          <w:p>
            <w:pPr>
              <w:pStyle w:val="Compact"/>
              <w:jc w:val="left"/>
            </w:pPr>
            <w:r>
              <w:rPr>
                <w:rFonts w:ascii="Arial" w:hAnsi="Arial" w:eastAsia="Arial"/>
                <w:b/>
                <w:bCs/>
                <w:color w:val="FFFFFF"/>
                <w:sz w:val="16"/>
              </w:rPr>
              <w:t>Tier</w:t>
            </w:r>
          </w:p>
        </w:tc>
        <w:tc>
          <w:tcPr>
            <w:vAlign w:val="top"/>
            <w:tcMar>
              <w:top w:w="70" w:type="dxa"/>
              <w:start w:w="80" w:type="dxa"/>
              <w:bottom w:w="70" w:type="dxa"/>
              <w:end w:w="80" w:type="dxa"/>
            </w:tcMar>
            <w:shd w:fill="1F4E78"/>
          </w:tcPr>
          <w:p>
            <w:pPr>
              <w:pStyle w:val="Compact"/>
              <w:jc w:val="left"/>
            </w:pPr>
            <w:r>
              <w:rPr>
                <w:rFonts w:ascii="Arial" w:hAnsi="Arial" w:eastAsia="Arial"/>
                <w:b/>
                <w:bCs/>
                <w:color w:val="FFFFFF"/>
                <w:sz w:val="16"/>
              </w:rPr>
              <w:t>PCC Requirement</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Tier 1</w:t>
            </w:r>
          </w:p>
        </w:tc>
        <w:tc>
          <w:tcPr>
            <w:vAlign w:val="top"/>
            <w:tcMar>
              <w:top w:w="70" w:type="dxa"/>
              <w:start w:w="80" w:type="dxa"/>
              <w:bottom w:w="70" w:type="dxa"/>
              <w:end w:w="80" w:type="dxa"/>
            </w:tcMar>
            <w:shd w:fill="D9EAF7"/>
          </w:tcPr>
          <w:p>
            <w:pPr>
              <w:pStyle w:val="Compact"/>
              <w:jc w:val="left"/>
            </w:pPr>
            <w:r>
              <w:rPr>
                <w:rFonts w:ascii="Arial" w:hAnsi="Arial" w:eastAsia="Arial"/>
                <w:sz w:val="16"/>
              </w:rPr>
              <w:t>Optional but recommended for learning</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Tier 2</w:t>
            </w:r>
          </w:p>
        </w:tc>
        <w:tc>
          <w:tcPr>
            <w:vAlign w:val="top"/>
            <w:tcMar>
              <w:top w:w="70" w:type="dxa"/>
              <w:start w:w="80" w:type="dxa"/>
              <w:bottom w:w="70" w:type="dxa"/>
              <w:end w:w="80" w:type="dxa"/>
            </w:tcMar>
            <w:shd w:fill="FFFFFF"/>
          </w:tcPr>
          <w:p>
            <w:pPr>
              <w:pStyle w:val="Compact"/>
              <w:jc w:val="left"/>
            </w:pPr>
            <w:r>
              <w:rPr>
                <w:rFonts w:ascii="Arial" w:hAnsi="Arial" w:eastAsia="Arial"/>
                <w:sz w:val="16"/>
              </w:rPr>
              <w:t>REQUIRED (basic) including Scope Coverage Declaration and Stakeholder Coverage Index (SCI ≥ 1). A full Stakeholder Discovery Protocol (SDP) record is REQUIRED when any SDP trigger holds (Section 2.2A); otherwise the PCC MUST include either a lightweight stakeholder note stating that no trigger held and why, or an SDP record voluntarily. InstanceMap is REQUIRED when any SDP trigger holds (Section 2.2A).</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Tier 3</w:t>
            </w:r>
          </w:p>
        </w:tc>
        <w:tc>
          <w:tcPr>
            <w:vAlign w:val="top"/>
            <w:tcMar>
              <w:top w:w="70" w:type="dxa"/>
              <w:start w:w="80" w:type="dxa"/>
              <w:bottom w:w="70" w:type="dxa"/>
              <w:end w:w="80" w:type="dxa"/>
            </w:tcMar>
            <w:shd w:fill="D9EAF7"/>
          </w:tcPr>
          <w:p>
            <w:pPr>
              <w:pStyle w:val="Compact"/>
              <w:jc w:val="left"/>
            </w:pPr>
            <w:r>
              <w:rPr>
                <w:rFonts w:ascii="Arial" w:hAnsi="Arial" w:eastAsia="Arial"/>
                <w:sz w:val="16"/>
              </w:rPr>
              <w:t>REQUIRED (full) including subgroup rights checks, TRC scenario table, containment results, sensitivity analysis bundle, Scope Coverage Declaration, Stakeholder Coverage Index (SCI ≥ 2), and full InstanceMap with multi-scope redundancy handling disclosures.</w:t>
            </w:r>
          </w:p>
        </w:tc>
      </w:tr>
    </w:tbl>
    <w:bookmarkEnd w:id="225"/>
    <w:bookmarkStart w:id="226" w:name="X4b3acfa890e9e42a10284885302af17332979a2"/>
    <w:p>
      <w:pPr>
        <w:pStyle w:val="Heading2"/>
      </w:pPr>
      <w:r>
        <w:t>14.3 Audit Flags (Normative)</w:t>
      </w:r>
    </w:p>
    <w:p>
      <w:pPr>
        <w:pStyle w:val="FirstParagraph"/>
      </w:pPr>
      <w:r>
        <w:t>Audit flags are standardized labels for integrity failures or risk warnings. Flags MUST be recorded in PCC when triggered. If any INVALID flag triggers, the PCC is invalid and the decision run MUST be recomputed after correction.</w:t>
      </w:r>
    </w:p>
    <w:p>
      <w:pPr>
        <w:pStyle w:val="BodyText"/>
      </w:pPr>
      <w:r>
        <w:t>Definitions for this section:</w:t>
      </w:r>
    </w:p>
    <w:p>
      <w:pPr>
        <w:pStyle w:val="Compact"/>
        <w:numPr>
          <w:ilvl w:val="0"/>
          <w:numId w:val="1154"/>
        </w:numPr>
      </w:pPr>
      <w:r>
        <w:t>Mode A (Containment as binding gate): Containment evaluation determines which options are selectable; options failing containment MUST NOT be selected. See Section 9.3.</w:t>
      </w:r>
    </w:p>
    <w:p>
      <w:pPr>
        <w:pStyle w:val="Compact"/>
        <w:numPr>
          <w:ilvl w:val="0"/>
          <w:numId w:val="1155"/>
        </w:numPr>
      </w:pPr>
      <w:r>
        <w:t>Mode B (Containment as diagnostic only): Containment is computed for informational purposes but does not affect selection. Mode B is PROHIBITED for determining selection outcomes. See Section 9.5.</w:t>
      </w:r>
    </w:p>
    <w:p>
      <w:pPr>
        <w:pStyle w:val="Compact"/>
        <w:numPr>
          <w:ilvl w:val="0"/>
          <w:numId w:val="1156"/>
        </w:numPr>
      </w:pPr>
      <w:r>
        <w:t>KQS (Kernel Quality Score): Summary score indicating kernel readiness for propagation. See Section 6.5.</w:t>
      </w:r>
    </w:p>
    <w:p>
      <w:pPr>
        <w:pStyle w:val="Compact"/>
        <w:numPr>
          <w:ilvl w:val="0"/>
          <w:numId w:val="1157"/>
        </w:numPr>
      </w:pPr>
      <w:r>
        <w:t>Kernel perturbation test: Systematic edge perturbation of ±0.05 (or ±10% of magnitude, whichever is larger) applied one-at-a-time to relied-upon non-zero kernel edges. See Section 6.6.</w:t>
      </w:r>
    </w:p>
    <w:p>
      <w:pPr>
        <w:pStyle w:val="FirstParagraph"/>
      </w:pPr>
      <w:r>
        <w:t>Canonical Audit Flags - Current v12.3 Specification</w:t>
      </w:r>
    </w:p>
    <w:bookmarkEnd w:id="226"/>
    <w:bookmarkStart w:id="227" w:name="X8a1c58d1b271cb7dbfc5b5d44f314414353d5eb"/>
    <w:p>
      <w:pPr>
        <w:pStyle w:val="Heading2"/>
      </w:pPr>
      <w:r>
        <w:t>14.3A Canonical Audit Flag Registry v12.2 (Normative)</w:t>
      </w:r>
    </w:p>
    <w:p>
      <w:pPr>
        <w:pStyle w:val="FirstParagraph"/>
      </w:pPr>
      <w:r>
        <w:t>Section 14.3 is the controlling audit-flag registry for the Canon. Appendix H.3 may reproduce, summarize, or point to this registry, but it SHALL NOT redefine a flag differently from Section 14.3. If a flag is introduced in an appendix, workbook, validation script, or companion standard, the flag MUST either appear in this registry or be explicitly labeled local/informative and non-controlling.</w:t>
      </w:r>
    </w:p>
    <w:tbl>
      <w:tblPr>
        <w:tblStyle w:val="Table"/>
        <w:tblW w:type="auto" w:w="0"/>
        <w:jc w:val="center"/>
        <w:tblLook w:firstRow="1" w:lastRow="0" w:firstColumn="0" w:lastColumn="0" w:noHBand="0" w:noVBand="0" w:val="0020"/>
      </w:tblPr>
      <w:tblGrid>
        <w:gridCol w:w="1980"/>
        <w:gridCol w:w="1980"/>
        <w:gridCol w:w="1980"/>
        <w:gridCol w:w="1980"/>
      </w:tblGrid>
      <w:tr>
        <w:trPr>
          <w:tblHeader w:val="on"/>
          <w:tblHeader w:val="true"/>
          <w:cantSplit/>
        </w:trPr>
        <w:tc>
          <w:tcPr>
            <w:vAlign w:val="top"/>
            <w:tcMar>
              <w:top w:w="70" w:type="dxa"/>
              <w:start w:w="80" w:type="dxa"/>
              <w:bottom w:w="70" w:type="dxa"/>
              <w:end w:w="80" w:type="dxa"/>
            </w:tcMar>
            <w:shd w:fill="1F4E78"/>
          </w:tcPr>
          <w:p>
            <w:pPr>
              <w:pStyle w:val="Compact"/>
              <w:jc w:val="left"/>
            </w:pPr>
            <w:r>
              <w:rPr>
                <w:rFonts w:ascii="Arial" w:hAnsi="Arial" w:eastAsia="Arial"/>
                <w:b/>
                <w:color w:val="FFFFFF"/>
                <w:sz w:val="16"/>
              </w:rPr>
              <w:t>Flag</w:t>
            </w:r>
          </w:p>
        </w:tc>
        <w:tc>
          <w:tcPr>
            <w:vAlign w:val="top"/>
            <w:tcMar>
              <w:top w:w="70" w:type="dxa"/>
              <w:start w:w="80" w:type="dxa"/>
              <w:bottom w:w="70" w:type="dxa"/>
              <w:end w:w="80" w:type="dxa"/>
            </w:tcMar>
            <w:shd w:fill="1F4E78"/>
          </w:tcPr>
          <w:p>
            <w:pPr>
              <w:pStyle w:val="Compact"/>
              <w:jc w:val="left"/>
            </w:pPr>
            <w:r>
              <w:rPr>
                <w:rFonts w:ascii="Arial" w:hAnsi="Arial" w:eastAsia="Arial"/>
                <w:b/>
                <w:color w:val="FFFFFF"/>
                <w:sz w:val="16"/>
              </w:rPr>
              <w:t>Trigger</w:t>
            </w:r>
          </w:p>
        </w:tc>
        <w:tc>
          <w:tcPr>
            <w:vAlign w:val="top"/>
            <w:tcMar>
              <w:top w:w="70" w:type="dxa"/>
              <w:start w:w="80" w:type="dxa"/>
              <w:bottom w:w="70" w:type="dxa"/>
              <w:end w:w="80" w:type="dxa"/>
            </w:tcMar>
            <w:shd w:fill="1F4E78"/>
          </w:tcPr>
          <w:p>
            <w:pPr>
              <w:pStyle w:val="Compact"/>
              <w:jc w:val="left"/>
            </w:pPr>
            <w:r>
              <w:rPr>
                <w:rFonts w:ascii="Arial" w:hAnsi="Arial" w:eastAsia="Arial"/>
                <w:b/>
                <w:color w:val="FFFFFF"/>
                <w:sz w:val="16"/>
              </w:rPr>
              <w:t>Required action</w:t>
            </w:r>
          </w:p>
        </w:tc>
        <w:tc>
          <w:tcPr>
            <w:vAlign w:val="top"/>
            <w:tcMar>
              <w:top w:w="70" w:type="dxa"/>
              <w:start w:w="80" w:type="dxa"/>
              <w:bottom w:w="70" w:type="dxa"/>
              <w:end w:w="80" w:type="dxa"/>
            </w:tcMar>
            <w:shd w:fill="1F4E78"/>
          </w:tcPr>
          <w:p>
            <w:pPr>
              <w:pStyle w:val="Compact"/>
              <w:jc w:val="left"/>
            </w:pPr>
            <w:r>
              <w:rPr>
                <w:rFonts w:ascii="Arial" w:hAnsi="Arial" w:eastAsia="Arial"/>
                <w:b/>
                <w:color w:val="FFFFFF"/>
                <w:sz w:val="16"/>
              </w:rPr>
              <w:t>Severity</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CATEGORY_GROUNDING_RECORD_MISSING</w:t>
            </w:r>
          </w:p>
        </w:tc>
        <w:tc>
          <w:tcPr>
            <w:vAlign w:val="top"/>
            <w:tcMar>
              <w:top w:w="70" w:type="dxa"/>
              <w:start w:w="80" w:type="dxa"/>
              <w:bottom w:w="70" w:type="dxa"/>
              <w:end w:w="80" w:type="dxa"/>
            </w:tcMar>
            <w:shd w:fill="D9EAF7"/>
          </w:tcPr>
          <w:p>
            <w:pPr>
              <w:pStyle w:val="Compact"/>
              <w:jc w:val="left"/>
            </w:pPr>
            <w:r>
              <w:rPr>
                <w:rFonts w:ascii="Arial" w:hAnsi="Arial" w:eastAsia="Arial"/>
                <w:sz w:val="16"/>
              </w:rPr>
              <w:t>Category Grounding is required and PCC.CategoryGroundingRecord is missing.</w:t>
            </w:r>
          </w:p>
        </w:tc>
        <w:tc>
          <w:tcPr>
            <w:vAlign w:val="top"/>
            <w:tcMar>
              <w:top w:w="70" w:type="dxa"/>
              <w:start w:w="80" w:type="dxa"/>
              <w:bottom w:w="70" w:type="dxa"/>
              <w:end w:w="80" w:type="dxa"/>
            </w:tcMar>
            <w:shd w:fill="D9EAF7"/>
          </w:tcPr>
          <w:p>
            <w:pPr>
              <w:pStyle w:val="Compact"/>
              <w:jc w:val="left"/>
            </w:pPr>
            <w:r>
              <w:rPr>
                <w:rFonts w:ascii="Arial" w:hAnsi="Arial" w:eastAsia="Arial"/>
                <w:sz w:val="16"/>
              </w:rPr>
              <w:t>Block deterministic framework selection, conformance, public-deployment, and optimized-metric claims until the claim is narrowed, escalated, marked sensitivity-only / monitor-only, or refused.</w:t>
            </w:r>
          </w:p>
        </w:tc>
        <w:tc>
          <w:tcPr>
            <w:vAlign w:val="top"/>
            <w:tcMar>
              <w:top w:w="70" w:type="dxa"/>
              <w:start w:w="80" w:type="dxa"/>
              <w:bottom w:w="70" w:type="dxa"/>
              <w:end w:w="80" w:type="dxa"/>
            </w:tcMar>
            <w:shd w:fill="D9EAF7"/>
          </w:tcPr>
          <w:p>
            <w:pPr>
              <w:pStyle w:val="Compact"/>
              <w:jc w:val="left"/>
            </w:pPr>
            <w:r>
              <w:rPr>
                <w:rFonts w:ascii="Arial" w:hAnsi="Arial" w:eastAsia="Arial"/>
                <w:sz w:val="16"/>
              </w:rPr>
              <w:t>INVALID</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SEMANTIC_DEBT_AGGREGATE_HIGH</w:t>
            </w:r>
          </w:p>
        </w:tc>
        <w:tc>
          <w:tcPr>
            <w:vAlign w:val="top"/>
            <w:tcMar>
              <w:top w:w="70" w:type="dxa"/>
              <w:start w:w="80" w:type="dxa"/>
              <w:bottom w:w="70" w:type="dxa"/>
              <w:end w:w="80" w:type="dxa"/>
            </w:tcMar>
            <w:shd w:fill="FFFFFF"/>
          </w:tcPr>
          <w:p>
            <w:pPr>
              <w:pStyle w:val="Compact"/>
              <w:jc w:val="left"/>
            </w:pPr>
            <w:r>
              <w:rPr>
                <w:rFonts w:ascii="Arial" w:hAnsi="Arial" w:eastAsia="Arial"/>
                <w:sz w:val="16"/>
              </w:rPr>
              <w:t>Semantic debt score reaches or exceeds the governed threshold for the claim context.</w:t>
            </w:r>
          </w:p>
        </w:tc>
        <w:tc>
          <w:tcPr>
            <w:vAlign w:val="top"/>
            <w:tcMar>
              <w:top w:w="70" w:type="dxa"/>
              <w:start w:w="80" w:type="dxa"/>
              <w:bottom w:w="70" w:type="dxa"/>
              <w:end w:w="80" w:type="dxa"/>
            </w:tcMar>
            <w:shd w:fill="FFFFFF"/>
          </w:tcPr>
          <w:p>
            <w:pPr>
              <w:pStyle w:val="Compact"/>
              <w:jc w:val="left"/>
            </w:pPr>
            <w:r>
              <w:rPr>
                <w:rFonts w:ascii="Arial" w:hAnsi="Arial" w:eastAsia="Arial"/>
                <w:sz w:val="16"/>
              </w:rPr>
              <w:t>Require reviewer disposition before stronger public, conformance, authority-selection, deployment-readiness, or deterministic-selection claims.</w:t>
            </w:r>
          </w:p>
        </w:tc>
        <w:tc>
          <w:tcPr>
            <w:vAlign w:val="top"/>
            <w:tcMar>
              <w:top w:w="70" w:type="dxa"/>
              <w:start w:w="80" w:type="dxa"/>
              <w:bottom w:w="70" w:type="dxa"/>
              <w:end w:w="80" w:type="dxa"/>
            </w:tcMar>
            <w:shd w:fill="FFFFFF"/>
          </w:tcPr>
          <w:p>
            <w:pPr>
              <w:pStyle w:val="Compact"/>
              <w:jc w:val="left"/>
            </w:pPr>
            <w:r>
              <w:rPr>
                <w:rFonts w:ascii="Arial" w:hAnsi="Arial" w:eastAsia="Arial"/>
                <w:sz w:val="16"/>
              </w:rPr>
              <w:t>ESCALATE</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SILENT_REMAINDER_INVALID</w:t>
            </w:r>
          </w:p>
        </w:tc>
        <w:tc>
          <w:tcPr>
            <w:vAlign w:val="top"/>
            <w:tcMar>
              <w:top w:w="70" w:type="dxa"/>
              <w:start w:w="80" w:type="dxa"/>
              <w:bottom w:w="70" w:type="dxa"/>
              <w:end w:w="80" w:type="dxa"/>
            </w:tcMar>
            <w:shd w:fill="D9EAF7"/>
          </w:tcPr>
          <w:p>
            <w:pPr>
              <w:pStyle w:val="Compact"/>
              <w:jc w:val="left"/>
            </w:pPr>
            <w:r>
              <w:rPr>
                <w:rFonts w:ascii="Arial" w:hAnsi="Arial" w:eastAsia="Arial"/>
                <w:sz w:val="16"/>
              </w:rPr>
              <w:t>A required field is missing or an undefined remainder is silently treated as pass, zero, or non-material.</w:t>
            </w:r>
          </w:p>
        </w:tc>
        <w:tc>
          <w:tcPr>
            <w:vAlign w:val="top"/>
            <w:tcMar>
              <w:top w:w="70" w:type="dxa"/>
              <w:start w:w="80" w:type="dxa"/>
              <w:bottom w:w="70" w:type="dxa"/>
              <w:end w:w="80" w:type="dxa"/>
            </w:tcMar>
            <w:shd w:fill="D9EAF7"/>
          </w:tcPr>
          <w:p>
            <w:pPr>
              <w:pStyle w:val="Compact"/>
              <w:jc w:val="left"/>
            </w:pPr>
            <w:r>
              <w:rPr>
                <w:rFonts w:ascii="Arial" w:hAnsi="Arial" w:eastAsia="Arial"/>
                <w:sz w:val="16"/>
              </w:rPr>
              <w:t>Declare the remainder, collect evidence, rerun, narrow the claim, escalate, or refuse.</w:t>
            </w:r>
          </w:p>
        </w:tc>
        <w:tc>
          <w:tcPr>
            <w:vAlign w:val="top"/>
            <w:tcMar>
              <w:top w:w="70" w:type="dxa"/>
              <w:start w:w="80" w:type="dxa"/>
              <w:bottom w:w="70" w:type="dxa"/>
              <w:end w:w="80" w:type="dxa"/>
            </w:tcMar>
            <w:shd w:fill="D9EAF7"/>
          </w:tcPr>
          <w:p>
            <w:pPr>
              <w:pStyle w:val="Compact"/>
              <w:jc w:val="left"/>
            </w:pPr>
            <w:r>
              <w:rPr>
                <w:rFonts w:ascii="Arial" w:hAnsi="Arial" w:eastAsia="Arial"/>
                <w:sz w:val="16"/>
              </w:rPr>
              <w:t>INVALID</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INSUFFICIENT_GROUNDING</w:t>
            </w:r>
          </w:p>
        </w:tc>
        <w:tc>
          <w:tcPr>
            <w:vAlign w:val="top"/>
            <w:tcMar>
              <w:top w:w="70" w:type="dxa"/>
              <w:start w:w="80" w:type="dxa"/>
              <w:bottom w:w="70" w:type="dxa"/>
              <w:end w:w="80" w:type="dxa"/>
            </w:tcMar>
            <w:shd w:fill="FFFFFF"/>
          </w:tcPr>
          <w:p>
            <w:pPr>
              <w:pStyle w:val="Compact"/>
              <w:jc w:val="left"/>
            </w:pPr>
            <w:r>
              <w:rPr>
                <w:rFonts w:ascii="Arial" w:hAnsi="Arial" w:eastAsia="Arial"/>
                <w:sz w:val="16"/>
              </w:rPr>
              <w:t>The declared reality surface is insufficient for a material rights, tail-risk, CSV, authority, conformance, or selection claim.</w:t>
            </w:r>
          </w:p>
        </w:tc>
        <w:tc>
          <w:tcPr>
            <w:vAlign w:val="top"/>
            <w:tcMar>
              <w:top w:w="70" w:type="dxa"/>
              <w:start w:w="80" w:type="dxa"/>
              <w:bottom w:w="70" w:type="dxa"/>
              <w:end w:w="80" w:type="dxa"/>
            </w:tcMar>
            <w:shd w:fill="FFFFFF"/>
          </w:tcPr>
          <w:p>
            <w:pPr>
              <w:pStyle w:val="Compact"/>
              <w:jc w:val="left"/>
            </w:pPr>
            <w:r>
              <w:rPr>
                <w:rFonts w:ascii="Arial" w:hAnsi="Arial" w:eastAsia="Arial"/>
                <w:sz w:val="16"/>
              </w:rPr>
              <w:t>Narrow the claim, collect evidence, rerun, mark exploratory/sensitivity-only, escalate, or refuse the stronger claim.</w:t>
            </w:r>
          </w:p>
        </w:tc>
        <w:tc>
          <w:tcPr>
            <w:vAlign w:val="top"/>
            <w:tcMar>
              <w:top w:w="70" w:type="dxa"/>
              <w:start w:w="80" w:type="dxa"/>
              <w:bottom w:w="70" w:type="dxa"/>
              <w:end w:w="80" w:type="dxa"/>
            </w:tcMar>
            <w:shd w:fill="FFFFFF"/>
          </w:tcPr>
          <w:p>
            <w:pPr>
              <w:pStyle w:val="Compact"/>
              <w:jc w:val="left"/>
            </w:pPr>
            <w:r>
              <w:rPr>
                <w:rFonts w:ascii="Arial" w:hAnsi="Arial" w:eastAsia="Arial"/>
                <w:sz w:val="16"/>
              </w:rPr>
              <w:t>ESCALATE/REFUSE</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CONTAINMENT_STRUCTURAL_DIAGNOSTIC_UNAVAILABLE</w:t>
            </w:r>
          </w:p>
        </w:tc>
        <w:tc>
          <w:tcPr>
            <w:vAlign w:val="top"/>
            <w:tcMar>
              <w:top w:w="70" w:type="dxa"/>
              <w:start w:w="80" w:type="dxa"/>
              <w:bottom w:w="70" w:type="dxa"/>
              <w:end w:w="80" w:type="dxa"/>
            </w:tcMar>
            <w:shd w:fill="D9EAF7"/>
          </w:tcPr>
          <w:p>
            <w:pPr>
              <w:pStyle w:val="Compact"/>
              <w:jc w:val="left"/>
            </w:pPr>
            <w:r>
              <w:rPr>
                <w:rFonts w:ascii="Arial" w:hAnsi="Arial" w:eastAsia="Arial"/>
                <w:sz w:val="16"/>
              </w:rPr>
              <w:t>Structural diagnostic evidence required for CSV, including UCI/HOI or declared equivalent where material, is unavailable or unresolved.</w:t>
            </w:r>
          </w:p>
        </w:tc>
        <w:tc>
          <w:tcPr>
            <w:vAlign w:val="top"/>
            <w:tcMar>
              <w:top w:w="70" w:type="dxa"/>
              <w:start w:w="80" w:type="dxa"/>
              <w:bottom w:w="70" w:type="dxa"/>
              <w:end w:w="80" w:type="dxa"/>
            </w:tcMar>
            <w:shd w:fill="D9EAF7"/>
          </w:tcPr>
          <w:p>
            <w:pPr>
              <w:pStyle w:val="Compact"/>
              <w:jc w:val="left"/>
            </w:pPr>
            <w:r>
              <w:rPr>
                <w:rFonts w:ascii="Arial" w:hAnsi="Arial" w:eastAsia="Arial"/>
                <w:sz w:val="16"/>
              </w:rPr>
              <w:t>Downgrade claim strength, collect evidence, rerun, escalate, refuse the stronger claim, or record permitted waiver where allowed.</w:t>
            </w:r>
          </w:p>
        </w:tc>
        <w:tc>
          <w:tcPr>
            <w:vAlign w:val="top"/>
            <w:tcMar>
              <w:top w:w="70" w:type="dxa"/>
              <w:start w:w="80" w:type="dxa"/>
              <w:bottom w:w="70" w:type="dxa"/>
              <w:end w:w="80" w:type="dxa"/>
            </w:tcMar>
            <w:shd w:fill="D9EAF7"/>
          </w:tcPr>
          <w:p>
            <w:pPr>
              <w:pStyle w:val="Compact"/>
              <w:jc w:val="left"/>
            </w:pPr>
            <w:r>
              <w:rPr>
                <w:rFonts w:ascii="Arial" w:hAnsi="Arial" w:eastAsia="Arial"/>
                <w:sz w:val="16"/>
              </w:rPr>
              <w:t>ESCALATE</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STRUCTURAL_DIAGNOSTIC_MISPLACED_TO_TIEBREAK</w:t>
            </w:r>
          </w:p>
        </w:tc>
        <w:tc>
          <w:tcPr>
            <w:vAlign w:val="top"/>
            <w:tcMar>
              <w:top w:w="70" w:type="dxa"/>
              <w:start w:w="80" w:type="dxa"/>
              <w:bottom w:w="70" w:type="dxa"/>
              <w:end w:w="80" w:type="dxa"/>
            </w:tcMar>
            <w:shd w:fill="FFFFFF"/>
          </w:tcPr>
          <w:p>
            <w:pPr>
              <w:pStyle w:val="Compact"/>
              <w:jc w:val="left"/>
            </w:pPr>
            <w:r>
              <w:rPr>
                <w:rFonts w:ascii="Arial" w:hAnsi="Arial" w:eastAsia="Arial"/>
                <w:sz w:val="16"/>
              </w:rPr>
              <w:t>A structural diagnostic that was gate-relevant to CSV was treated only as residual tie-break evidence after RLS.</w:t>
            </w:r>
          </w:p>
        </w:tc>
        <w:tc>
          <w:tcPr>
            <w:vAlign w:val="top"/>
            <w:tcMar>
              <w:top w:w="70" w:type="dxa"/>
              <w:start w:w="80" w:type="dxa"/>
              <w:bottom w:w="70" w:type="dxa"/>
              <w:end w:w="80" w:type="dxa"/>
            </w:tcMar>
            <w:shd w:fill="FFFFFF"/>
          </w:tcPr>
          <w:p>
            <w:pPr>
              <w:pStyle w:val="Compact"/>
              <w:jc w:val="left"/>
            </w:pPr>
            <w:r>
              <w:rPr>
                <w:rFonts w:ascii="Arial" w:hAnsi="Arial" w:eastAsia="Arial"/>
                <w:sz w:val="16"/>
              </w:rPr>
              <w:t>Rerun CSV with the diagnostic included or refuse the stronger claim.</w:t>
            </w:r>
          </w:p>
        </w:tc>
        <w:tc>
          <w:tcPr>
            <w:vAlign w:val="top"/>
            <w:tcMar>
              <w:top w:w="70" w:type="dxa"/>
              <w:start w:w="80" w:type="dxa"/>
              <w:bottom w:w="70" w:type="dxa"/>
              <w:end w:w="80" w:type="dxa"/>
            </w:tcMar>
            <w:shd w:fill="FFFFFF"/>
          </w:tcPr>
          <w:p>
            <w:pPr>
              <w:pStyle w:val="Compact"/>
              <w:jc w:val="left"/>
            </w:pPr>
            <w:r>
              <w:rPr>
                <w:rFonts w:ascii="Arial" w:hAnsi="Arial" w:eastAsia="Arial"/>
                <w:sz w:val="16"/>
              </w:rPr>
              <w:t>INVALID for Tier 3; ESCALATE otherwise</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PLSS_STRUCTURAL_DIAGNOSTIC_OMISSION</w:t>
            </w:r>
          </w:p>
        </w:tc>
        <w:tc>
          <w:tcPr>
            <w:vAlign w:val="top"/>
            <w:tcMar>
              <w:top w:w="70" w:type="dxa"/>
              <w:start w:w="80" w:type="dxa"/>
              <w:bottom w:w="70" w:type="dxa"/>
              <w:end w:w="80" w:type="dxa"/>
            </w:tcMar>
            <w:shd w:fill="D9EAF7"/>
          </w:tcPr>
          <w:p>
            <w:pPr>
              <w:pStyle w:val="Compact"/>
              <w:jc w:val="left"/>
            </w:pPr>
            <w:r>
              <w:rPr>
                <w:rFonts w:ascii="Arial" w:hAnsi="Arial" w:eastAsia="Arial"/>
                <w:sz w:val="16"/>
              </w:rPr>
              <w:t>A PLSS run omitted, down-weighted, or deferred structural diagnostic evidence that was plausibly CSV-relevant.</w:t>
            </w:r>
          </w:p>
        </w:tc>
        <w:tc>
          <w:tcPr>
            <w:vAlign w:val="top"/>
            <w:tcMar>
              <w:top w:w="70" w:type="dxa"/>
              <w:start w:w="80" w:type="dxa"/>
              <w:bottom w:w="70" w:type="dxa"/>
              <w:end w:w="80" w:type="dxa"/>
            </w:tcMar>
            <w:shd w:fill="D9EAF7"/>
          </w:tcPr>
          <w:p>
            <w:pPr>
              <w:pStyle w:val="Compact"/>
              <w:jc w:val="left"/>
            </w:pPr>
            <w:r>
              <w:rPr>
                <w:rFonts w:ascii="Arial" w:hAnsi="Arial" w:eastAsia="Arial"/>
                <w:sz w:val="16"/>
              </w:rPr>
              <w:t>Rerun with broader scrutiny, document non-relevance, or escalate.</w:t>
            </w:r>
          </w:p>
        </w:tc>
        <w:tc>
          <w:tcPr>
            <w:vAlign w:val="top"/>
            <w:tcMar>
              <w:top w:w="70" w:type="dxa"/>
              <w:start w:w="80" w:type="dxa"/>
              <w:bottom w:w="70" w:type="dxa"/>
              <w:end w:w="80" w:type="dxa"/>
            </w:tcMar>
            <w:shd w:fill="D9EAF7"/>
          </w:tcPr>
          <w:p>
            <w:pPr>
              <w:pStyle w:val="Compact"/>
              <w:jc w:val="left"/>
            </w:pPr>
            <w:r>
              <w:rPr>
                <w:rFonts w:ascii="Arial" w:hAnsi="Arial" w:eastAsia="Arial"/>
                <w:sz w:val="16"/>
              </w:rPr>
              <w:t>ESCALATE</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GATE_CRITICAL_CONFIDENCE_UNDERBOUNDED</w:t>
            </w:r>
          </w:p>
        </w:tc>
        <w:tc>
          <w:tcPr>
            <w:vAlign w:val="top"/>
            <w:tcMar>
              <w:top w:w="70" w:type="dxa"/>
              <w:start w:w="80" w:type="dxa"/>
              <w:bottom w:w="70" w:type="dxa"/>
              <w:end w:w="80" w:type="dxa"/>
            </w:tcMar>
            <w:shd w:fill="FFFFFF"/>
          </w:tcPr>
          <w:p>
            <w:pPr>
              <w:pStyle w:val="Compact"/>
              <w:jc w:val="left"/>
            </w:pPr>
            <w:r>
              <w:rPr>
                <w:rFonts w:ascii="Arial" w:hAnsi="Arial" w:eastAsia="Arial"/>
                <w:sz w:val="16"/>
              </w:rPr>
              <w:t>A low-confidence adverse impact in C_r, C_cat, or a material CSV indicator is used to reduce apparent severity such that RF/NCRC, TRC, or CSV would pass when a conservative bound, rerun, downgrade, escalation, or Refusal is required.</w:t>
            </w:r>
          </w:p>
        </w:tc>
        <w:tc>
          <w:tcPr>
            <w:vAlign w:val="top"/>
            <w:tcMar>
              <w:top w:w="70" w:type="dxa"/>
              <w:start w:w="80" w:type="dxa"/>
              <w:bottom w:w="70" w:type="dxa"/>
              <w:end w:w="80" w:type="dxa"/>
            </w:tcMar>
            <w:shd w:fill="FFFFFF"/>
          </w:tcPr>
          <w:p>
            <w:pPr>
              <w:pStyle w:val="Compact"/>
              <w:jc w:val="left"/>
            </w:pPr>
            <w:r>
              <w:rPr>
                <w:rFonts w:ascii="Arial" w:hAnsi="Arial" w:eastAsia="Arial"/>
                <w:sz w:val="16"/>
              </w:rPr>
              <w:t>Apply the gate-critical confidence guard; record conservative bound or unresolved gate disposition in PCC.</w:t>
            </w:r>
          </w:p>
        </w:tc>
        <w:tc>
          <w:tcPr>
            <w:vAlign w:val="top"/>
            <w:tcMar>
              <w:top w:w="70" w:type="dxa"/>
              <w:start w:w="80" w:type="dxa"/>
              <w:bottom w:w="70" w:type="dxa"/>
              <w:end w:w="80" w:type="dxa"/>
            </w:tcMar>
            <w:shd w:fill="FFFFFF"/>
          </w:tcPr>
          <w:p>
            <w:pPr>
              <w:pStyle w:val="Compact"/>
              <w:jc w:val="left"/>
            </w:pPr>
            <w:r>
              <w:rPr>
                <w:rFonts w:ascii="Arial" w:hAnsi="Arial" w:eastAsia="Arial"/>
                <w:sz w:val="16"/>
              </w:rPr>
              <w:t>ESCALATE</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SGP_BINDING_INTEGRITY_FAIL</w:t>
            </w:r>
          </w:p>
        </w:tc>
        <w:tc>
          <w:tcPr>
            <w:vAlign w:val="top"/>
            <w:tcMar>
              <w:top w:w="70" w:type="dxa"/>
              <w:start w:w="80" w:type="dxa"/>
              <w:bottom w:w="70" w:type="dxa"/>
              <w:end w:w="80" w:type="dxa"/>
            </w:tcMar>
            <w:shd w:fill="D9EAF7"/>
          </w:tcPr>
          <w:p>
            <w:pPr>
              <w:pStyle w:val="Compact"/>
              <w:jc w:val="left"/>
            </w:pPr>
            <w:r>
              <w:rPr>
                <w:rFonts w:ascii="Arial" w:hAnsi="Arial" w:eastAsia="Arial"/>
                <w:sz w:val="16"/>
              </w:rPr>
              <w:t>A run claims SGP-aware protection, welfare-inclusion hypothesis sensitivity, FPP, GPR, SPR, or ICP use but omits the valid version-pinned record, target boundary, band/interval, hypotheses evaluated, or required registry fields; or it silently falls back to MPS-0, zero, a convenient coefficient, or a legacy v7 scalar.</w:t>
            </w:r>
          </w:p>
        </w:tc>
        <w:tc>
          <w:tcPr>
            <w:vAlign w:val="top"/>
            <w:tcMar>
              <w:top w:w="70" w:type="dxa"/>
              <w:start w:w="80" w:type="dxa"/>
              <w:bottom w:w="70" w:type="dxa"/>
              <w:end w:w="80" w:type="dxa"/>
            </w:tcMar>
            <w:shd w:fill="D9EAF7"/>
          </w:tcPr>
          <w:p>
            <w:pPr>
              <w:pStyle w:val="Compact"/>
              <w:jc w:val="left"/>
            </w:pPr>
            <w:r>
              <w:rPr>
                <w:rFonts w:ascii="Arial" w:hAnsi="Arial" w:eastAsia="Arial"/>
                <w:sz w:val="16"/>
              </w:rPr>
              <w:t>Mark the affected PCC claim INVALID; restore the valid record and governed hypothesis set, rerun sensitivity, or remove/narrow the SGP-aware claim. No silent fallback is permitted.</w:t>
            </w:r>
          </w:p>
        </w:tc>
        <w:tc>
          <w:tcPr>
            <w:vAlign w:val="top"/>
            <w:tcMar>
              <w:top w:w="70" w:type="dxa"/>
              <w:start w:w="80" w:type="dxa"/>
              <w:bottom w:w="70" w:type="dxa"/>
              <w:end w:w="80" w:type="dxa"/>
            </w:tcMar>
            <w:shd w:fill="D9EAF7"/>
          </w:tcPr>
          <w:p>
            <w:pPr>
              <w:pStyle w:val="Compact"/>
              <w:jc w:val="left"/>
            </w:pPr>
            <w:r>
              <w:rPr>
                <w:rFonts w:ascii="Arial" w:hAnsi="Arial" w:eastAsia="Arial"/>
                <w:sz w:val="16"/>
              </w:rPr>
              <w:t>INVALID for affected SGP-aware claim</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RLS_DEPENDENCE_SENSITIVE</w:t>
            </w:r>
          </w:p>
        </w:tc>
        <w:tc>
          <w:tcPr>
            <w:vAlign w:val="top"/>
            <w:tcMar>
              <w:top w:w="70" w:type="dxa"/>
              <w:start w:w="80" w:type="dxa"/>
              <w:bottom w:w="70" w:type="dxa"/>
              <w:end w:w="80" w:type="dxa"/>
            </w:tcMar>
            <w:shd w:fill="FFFFFF"/>
          </w:tcPr>
          <w:p>
            <w:pPr>
              <w:pStyle w:val="Compact"/>
              <w:jc w:val="left"/>
            </w:pPr>
            <w:r>
              <w:rPr>
                <w:rFonts w:ascii="Arial" w:hAnsi="Arial" w:eastAsia="Arial"/>
                <w:sz w:val="16"/>
              </w:rPr>
              <w:t>Ranking or decisiveness changes when uncertainty dependence clusters, perfect-correlation stress, or covariance-aware aggregation is applied.</w:t>
            </w:r>
          </w:p>
        </w:tc>
        <w:tc>
          <w:tcPr>
            <w:vAlign w:val="top"/>
            <w:tcMar>
              <w:top w:w="70" w:type="dxa"/>
              <w:start w:w="80" w:type="dxa"/>
              <w:bottom w:w="70" w:type="dxa"/>
              <w:end w:w="80" w:type="dxa"/>
            </w:tcMar>
            <w:shd w:fill="FFFFFF"/>
          </w:tcPr>
          <w:p>
            <w:pPr>
              <w:pStyle w:val="Compact"/>
              <w:jc w:val="left"/>
            </w:pPr>
            <w:r>
              <w:rPr>
                <w:rFonts w:ascii="Arial" w:hAnsi="Arial" w:eastAsia="Arial"/>
                <w:sz w:val="16"/>
              </w:rPr>
              <w:t>Treat the result as non-decisive; disclose the dependence structure and complete the tie-break or governance review.</w:t>
            </w:r>
          </w:p>
        </w:tc>
        <w:tc>
          <w:tcPr>
            <w:vAlign w:val="top"/>
            <w:tcMar>
              <w:top w:w="70" w:type="dxa"/>
              <w:start w:w="80" w:type="dxa"/>
              <w:bottom w:w="70" w:type="dxa"/>
              <w:end w:w="80" w:type="dxa"/>
            </w:tcMar>
            <w:shd w:fill="FFFFFF"/>
          </w:tcPr>
          <w:p>
            <w:pPr>
              <w:pStyle w:val="Compact"/>
              <w:jc w:val="left"/>
            </w:pPr>
            <w:r>
              <w:rPr>
                <w:rFonts w:ascii="Arial" w:hAnsi="Arial" w:eastAsia="Arial"/>
                <w:sz w:val="16"/>
              </w:rPr>
              <w:t>ESCALATE</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SOURCE_COUPLING_RECORD_MISSING</w:t>
            </w:r>
          </w:p>
        </w:tc>
        <w:tc>
          <w:tcPr>
            <w:vAlign w:val="top"/>
            <w:tcMar>
              <w:top w:w="70" w:type="dxa"/>
              <w:start w:w="80" w:type="dxa"/>
              <w:bottom w:w="70" w:type="dxa"/>
              <w:end w:w="80" w:type="dxa"/>
            </w:tcMar>
            <w:shd w:fill="D9EAF7"/>
          </w:tcPr>
          <w:p>
            <w:pPr>
              <w:pStyle w:val="Compact"/>
              <w:jc w:val="left"/>
            </w:pPr>
            <w:r>
              <w:rPr>
                <w:rFonts w:ascii="Arial" w:hAnsi="Arial" w:eastAsia="Arial"/>
                <w:sz w:val="16"/>
              </w:rPr>
              <w:t>Source-Coupling Integrity is triggered but the required SourceCouplingRecord is absent.</w:t>
            </w:r>
          </w:p>
        </w:tc>
        <w:tc>
          <w:tcPr>
            <w:vAlign w:val="top"/>
            <w:tcMar>
              <w:top w:w="70" w:type="dxa"/>
              <w:start w:w="80" w:type="dxa"/>
              <w:bottom w:w="70" w:type="dxa"/>
              <w:end w:w="80" w:type="dxa"/>
            </w:tcMar>
            <w:shd w:fill="D9EAF7"/>
          </w:tcPr>
          <w:p>
            <w:pPr>
              <w:pStyle w:val="Compact"/>
              <w:jc w:val="left"/>
            </w:pPr>
            <w:r>
              <w:rPr>
                <w:rFonts w:ascii="Arial" w:hAnsi="Arial" w:eastAsia="Arial"/>
                <w:sz w:val="16"/>
              </w:rPr>
              <w:t>Add the SourceCouplingRecord, narrow the claim, downgrade to exploratory/monitor-only, escalate, or refuse the stronger claim.</w:t>
            </w:r>
          </w:p>
        </w:tc>
        <w:tc>
          <w:tcPr>
            <w:vAlign w:val="top"/>
            <w:tcMar>
              <w:top w:w="70" w:type="dxa"/>
              <w:start w:w="80" w:type="dxa"/>
              <w:bottom w:w="70" w:type="dxa"/>
              <w:end w:w="80" w:type="dxa"/>
            </w:tcMar>
            <w:shd w:fill="D9EAF7"/>
          </w:tcPr>
          <w:p>
            <w:pPr>
              <w:pStyle w:val="Compact"/>
              <w:jc w:val="left"/>
            </w:pPr>
            <w:r>
              <w:rPr>
                <w:rFonts w:ascii="Arial" w:hAnsi="Arial" w:eastAsia="Arial"/>
                <w:sz w:val="16"/>
              </w:rPr>
              <w:t>INVALID for affected strong claim</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SOURCE_COUPLING_STATUS_UNSUPPORTED</w:t>
            </w:r>
          </w:p>
        </w:tc>
        <w:tc>
          <w:tcPr>
            <w:vAlign w:val="top"/>
            <w:tcMar>
              <w:top w:w="70" w:type="dxa"/>
              <w:start w:w="80" w:type="dxa"/>
              <w:bottom w:w="70" w:type="dxa"/>
              <w:end w:w="80" w:type="dxa"/>
            </w:tcMar>
            <w:shd w:fill="FFFFFF"/>
          </w:tcPr>
          <w:p>
            <w:pPr>
              <w:pStyle w:val="Compact"/>
              <w:jc w:val="left"/>
            </w:pPr>
            <w:r>
              <w:rPr>
                <w:rFonts w:ascii="Arial" w:hAnsi="Arial" w:eastAsia="Arial"/>
                <w:sz w:val="16"/>
              </w:rPr>
              <w:t>Declared Source-Coupling status is stronger than the evidence, capability surface, or warrant supports.</w:t>
            </w:r>
          </w:p>
        </w:tc>
        <w:tc>
          <w:tcPr>
            <w:vAlign w:val="top"/>
            <w:tcMar>
              <w:top w:w="70" w:type="dxa"/>
              <w:start w:w="80" w:type="dxa"/>
              <w:bottom w:w="70" w:type="dxa"/>
              <w:end w:w="80" w:type="dxa"/>
            </w:tcMar>
            <w:shd w:fill="FFFFFF"/>
          </w:tcPr>
          <w:p>
            <w:pPr>
              <w:pStyle w:val="Compact"/>
              <w:jc w:val="left"/>
            </w:pPr>
            <w:r>
              <w:rPr>
                <w:rFonts w:ascii="Arial" w:hAnsi="Arial" w:eastAsia="Arial"/>
                <w:sz w:val="16"/>
              </w:rPr>
              <w:t>Downgrade the status, add evidence, rerun RG/CSV if material, or invalidate the affected claim.</w:t>
            </w:r>
          </w:p>
        </w:tc>
        <w:tc>
          <w:tcPr>
            <w:vAlign w:val="top"/>
            <w:tcMar>
              <w:top w:w="70" w:type="dxa"/>
              <w:start w:w="80" w:type="dxa"/>
              <w:bottom w:w="70" w:type="dxa"/>
              <w:end w:w="80" w:type="dxa"/>
            </w:tcMar>
            <w:shd w:fill="FFFFFF"/>
          </w:tcPr>
          <w:p>
            <w:pPr>
              <w:pStyle w:val="Compact"/>
              <w:jc w:val="left"/>
            </w:pPr>
            <w:r>
              <w:rPr>
                <w:rFonts w:ascii="Arial" w:hAnsi="Arial" w:eastAsia="Arial"/>
                <w:sz w:val="16"/>
              </w:rPr>
              <w:t>ESCALATE/INVALID</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PC_AEP_RECORD_MISSING</w:t>
            </w:r>
          </w:p>
        </w:tc>
        <w:tc>
          <w:tcPr>
            <w:vAlign w:val="top"/>
            <w:tcMar>
              <w:top w:w="70" w:type="dxa"/>
              <w:start w:w="80" w:type="dxa"/>
              <w:bottom w:w="70" w:type="dxa"/>
              <w:end w:w="80" w:type="dxa"/>
            </w:tcMar>
            <w:shd w:fill="D9EAF7"/>
          </w:tcPr>
          <w:p>
            <w:pPr>
              <w:pStyle w:val="Compact"/>
              <w:jc w:val="left"/>
            </w:pPr>
            <w:r>
              <w:rPr>
                <w:rFonts w:ascii="Arial" w:hAnsi="Arial" w:eastAsia="Arial"/>
                <w:sz w:val="16"/>
              </w:rPr>
              <w:t>PC-AEP is triggered for a physical, causal, cyber-physical, medical, ecological, infrastructure, weapons, nuclear-command, planetary-cognition, or other high-consequence execution claim, but the profile is absent.</w:t>
            </w:r>
          </w:p>
        </w:tc>
        <w:tc>
          <w:tcPr>
            <w:vAlign w:val="top"/>
            <w:tcMar>
              <w:top w:w="70" w:type="dxa"/>
              <w:start w:w="80" w:type="dxa"/>
              <w:bottom w:w="70" w:type="dxa"/>
              <w:end w:w="80" w:type="dxa"/>
            </w:tcMar>
            <w:shd w:fill="D9EAF7"/>
          </w:tcPr>
          <w:p>
            <w:pPr>
              <w:pStyle w:val="Compact"/>
              <w:jc w:val="left"/>
            </w:pPr>
            <w:r>
              <w:rPr>
                <w:rFonts w:ascii="Arial" w:hAnsi="Arial" w:eastAsia="Arial"/>
                <w:sz w:val="16"/>
              </w:rPr>
              <w:t>Add the PC-AEP, narrow the claim, mark governance-permission-only, escalate, or refuse the physical-execution claim.</w:t>
            </w:r>
          </w:p>
        </w:tc>
        <w:tc>
          <w:tcPr>
            <w:vAlign w:val="top"/>
            <w:tcMar>
              <w:top w:w="70" w:type="dxa"/>
              <w:start w:w="80" w:type="dxa"/>
              <w:bottom w:w="70" w:type="dxa"/>
              <w:end w:w="80" w:type="dxa"/>
            </w:tcMar>
            <w:shd w:fill="D9EAF7"/>
          </w:tcPr>
          <w:p>
            <w:pPr>
              <w:pStyle w:val="Compact"/>
              <w:jc w:val="left"/>
            </w:pPr>
            <w:r>
              <w:rPr>
                <w:rFonts w:ascii="Arial" w:hAnsi="Arial" w:eastAsia="Arial"/>
                <w:sz w:val="16"/>
              </w:rPr>
              <w:t>INVALID for physical-execution claim</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PC_AEP_STATUS_UNSUPPORTED</w:t>
            </w:r>
          </w:p>
        </w:tc>
        <w:tc>
          <w:tcPr>
            <w:vAlign w:val="top"/>
            <w:tcMar>
              <w:top w:w="70" w:type="dxa"/>
              <w:start w:w="80" w:type="dxa"/>
              <w:bottom w:w="70" w:type="dxa"/>
              <w:end w:w="80" w:type="dxa"/>
            </w:tcMar>
            <w:shd w:fill="FFFFFF"/>
          </w:tcPr>
          <w:p>
            <w:pPr>
              <w:pStyle w:val="Compact"/>
              <w:jc w:val="left"/>
            </w:pPr>
            <w:r>
              <w:rPr>
                <w:rFonts w:ascii="Arial" w:hAnsi="Arial" w:eastAsia="Arial"/>
                <w:sz w:val="16"/>
              </w:rPr>
              <w:t>Declared Physical/Causal Admissibility status exceeds what the supplied domain evidence, validity domain, boundary conditions, verification surface, monitoring, shutoff, or expert warrant supports.</w:t>
            </w:r>
          </w:p>
        </w:tc>
        <w:tc>
          <w:tcPr>
            <w:vAlign w:val="top"/>
            <w:tcMar>
              <w:top w:w="70" w:type="dxa"/>
              <w:start w:w="80" w:type="dxa"/>
              <w:bottom w:w="70" w:type="dxa"/>
              <w:end w:w="80" w:type="dxa"/>
            </w:tcMar>
            <w:shd w:fill="FFFFFF"/>
          </w:tcPr>
          <w:p>
            <w:pPr>
              <w:pStyle w:val="Compact"/>
              <w:jc w:val="left"/>
            </w:pPr>
            <w:r>
              <w:rPr>
                <w:rFonts w:ascii="Arial" w:hAnsi="Arial" w:eastAsia="Arial"/>
                <w:sz w:val="16"/>
              </w:rPr>
              <w:t>Downgrade status, collect domain evidence, narrow validity domain, rerun RG/CSV/TRC as needed, or refuse.</w:t>
            </w:r>
          </w:p>
        </w:tc>
        <w:tc>
          <w:tcPr>
            <w:vAlign w:val="top"/>
            <w:tcMar>
              <w:top w:w="70" w:type="dxa"/>
              <w:start w:w="80" w:type="dxa"/>
              <w:bottom w:w="70" w:type="dxa"/>
              <w:end w:w="80" w:type="dxa"/>
            </w:tcMar>
            <w:shd w:fill="FFFFFF"/>
          </w:tcPr>
          <w:p>
            <w:pPr>
              <w:pStyle w:val="Compact"/>
              <w:jc w:val="left"/>
            </w:pPr>
            <w:r>
              <w:rPr>
                <w:rFonts w:ascii="Arial" w:hAnsi="Arial" w:eastAsia="Arial"/>
                <w:sz w:val="16"/>
              </w:rPr>
              <w:t>ESCALATE/INVALID</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PHYSICAL_EXECUTION_CLAIM_OVERSTATED</w:t>
            </w:r>
          </w:p>
        </w:tc>
        <w:tc>
          <w:tcPr>
            <w:vAlign w:val="top"/>
            <w:tcMar>
              <w:top w:w="70" w:type="dxa"/>
              <w:start w:w="80" w:type="dxa"/>
              <w:bottom w:w="70" w:type="dxa"/>
              <w:end w:w="80" w:type="dxa"/>
            </w:tcMar>
            <w:shd w:fill="D9EAF7"/>
          </w:tcPr>
          <w:p>
            <w:pPr>
              <w:pStyle w:val="Compact"/>
              <w:jc w:val="left"/>
            </w:pPr>
            <w:r>
              <w:rPr>
                <w:rFonts w:ascii="Arial" w:hAnsi="Arial" w:eastAsia="Arial"/>
                <w:sz w:val="16"/>
              </w:rPr>
              <w:t>Governance permission, compliance, simulation success, fluent model output, approval, or an RLS score is represented as physical admissibility or physical safety proof.</w:t>
            </w:r>
          </w:p>
        </w:tc>
        <w:tc>
          <w:tcPr>
            <w:vAlign w:val="top"/>
            <w:tcMar>
              <w:top w:w="70" w:type="dxa"/>
              <w:start w:w="80" w:type="dxa"/>
              <w:bottom w:w="70" w:type="dxa"/>
              <w:end w:w="80" w:type="dxa"/>
            </w:tcMar>
            <w:shd w:fill="D9EAF7"/>
          </w:tcPr>
          <w:p>
            <w:pPr>
              <w:pStyle w:val="Compact"/>
              <w:jc w:val="left"/>
            </w:pPr>
            <w:r>
              <w:rPr>
                <w:rFonts w:ascii="Arial" w:hAnsi="Arial" w:eastAsia="Arial"/>
                <w:sz w:val="16"/>
              </w:rPr>
              <w:t>Correct the claim language, require PC-AEP support, downgrade to governance-permission-only or not-established, and invalidate the overstated claim until corrected.</w:t>
            </w:r>
          </w:p>
        </w:tc>
        <w:tc>
          <w:tcPr>
            <w:vAlign w:val="top"/>
            <w:tcMar>
              <w:top w:w="70" w:type="dxa"/>
              <w:start w:w="80" w:type="dxa"/>
              <w:bottom w:w="70" w:type="dxa"/>
              <w:end w:w="80" w:type="dxa"/>
            </w:tcMar>
            <w:shd w:fill="D9EAF7"/>
          </w:tcPr>
          <w:p>
            <w:pPr>
              <w:pStyle w:val="Compact"/>
              <w:jc w:val="left"/>
            </w:pPr>
            <w:r>
              <w:rPr>
                <w:rFonts w:ascii="Arial" w:hAnsi="Arial" w:eastAsia="Arial"/>
                <w:sz w:val="16"/>
              </w:rPr>
              <w:t>INVALID</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CANDIDATE_GENERATOR_TREATED_AS_WARRANT</w:t>
            </w:r>
          </w:p>
        </w:tc>
        <w:tc>
          <w:tcPr>
            <w:vAlign w:val="top"/>
            <w:tcMar>
              <w:top w:w="70" w:type="dxa"/>
              <w:start w:w="80" w:type="dxa"/>
              <w:bottom w:w="70" w:type="dxa"/>
              <w:end w:w="80" w:type="dxa"/>
            </w:tcMar>
            <w:shd w:fill="FFFFFF"/>
          </w:tcPr>
          <w:p>
            <w:pPr>
              <w:pStyle w:val="Compact"/>
              <w:jc w:val="left"/>
            </w:pPr>
            <w:r>
              <w:rPr>
                <w:rFonts w:ascii="Arial" w:hAnsi="Arial" w:eastAsia="Arial"/>
                <w:sz w:val="16"/>
              </w:rPr>
              <w:t>The system that generated a candidate action, plan, design, or output is treated as the admissibility warrant for that same candidate without independent evidence or anti-circularity disclosure.</w:t>
            </w:r>
          </w:p>
        </w:tc>
        <w:tc>
          <w:tcPr>
            <w:vAlign w:val="top"/>
            <w:tcMar>
              <w:top w:w="70" w:type="dxa"/>
              <w:start w:w="80" w:type="dxa"/>
              <w:bottom w:w="70" w:type="dxa"/>
              <w:end w:w="80" w:type="dxa"/>
            </w:tcMar>
            <w:shd w:fill="FFFFFF"/>
          </w:tcPr>
          <w:p>
            <w:pPr>
              <w:pStyle w:val="Compact"/>
              <w:jc w:val="left"/>
            </w:pPr>
            <w:r>
              <w:rPr>
                <w:rFonts w:ascii="Arial" w:hAnsi="Arial" w:eastAsia="Arial"/>
                <w:sz w:val="16"/>
              </w:rPr>
              <w:t>Separate candidate-generation source from admissibility-warrant source, add independent evidence or anti-circularity justification, or refuse the physical/causal claim.</w:t>
            </w:r>
          </w:p>
        </w:tc>
        <w:tc>
          <w:tcPr>
            <w:vAlign w:val="top"/>
            <w:tcMar>
              <w:top w:w="70" w:type="dxa"/>
              <w:start w:w="80" w:type="dxa"/>
              <w:bottom w:w="70" w:type="dxa"/>
              <w:end w:w="80" w:type="dxa"/>
            </w:tcMar>
            <w:shd w:fill="FFFFFF"/>
          </w:tcPr>
          <w:p>
            <w:pPr>
              <w:pStyle w:val="Compact"/>
              <w:jc w:val="left"/>
            </w:pPr>
            <w:r>
              <w:rPr>
                <w:rFonts w:ascii="Arial" w:hAnsi="Arial" w:eastAsia="Arial"/>
                <w:sz w:val="16"/>
              </w:rPr>
              <w:t>INVALID</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METHODOLOGICAL_INTEGRITY_RECORD_MISSING</w:t>
            </w:r>
          </w:p>
        </w:tc>
        <w:tc>
          <w:tcPr>
            <w:vAlign w:val="top"/>
            <w:tcMar>
              <w:top w:w="70" w:type="dxa"/>
              <w:start w:w="80" w:type="dxa"/>
              <w:bottom w:w="70" w:type="dxa"/>
              <w:end w:w="80" w:type="dxa"/>
            </w:tcMar>
            <w:shd w:fill="D9EAF7"/>
          </w:tcPr>
          <w:p>
            <w:pPr>
              <w:pStyle w:val="Compact"/>
              <w:jc w:val="left"/>
            </w:pPr>
            <w:r>
              <w:rPr>
                <w:rFonts w:ascii="Arial" w:hAnsi="Arial" w:eastAsia="Arial"/>
                <w:sz w:val="16"/>
              </w:rPr>
              <w:t>MFDI is triggered for a strong methodological, dependency, falsification, or necessity claim, but the required MethodologicalIntegrityRecord is absent.</w:t>
            </w:r>
          </w:p>
        </w:tc>
        <w:tc>
          <w:tcPr>
            <w:vAlign w:val="top"/>
            <w:tcMar>
              <w:top w:w="70" w:type="dxa"/>
              <w:start w:w="80" w:type="dxa"/>
              <w:bottom w:w="70" w:type="dxa"/>
              <w:end w:w="80" w:type="dxa"/>
            </w:tcMar>
            <w:shd w:fill="D9EAF7"/>
          </w:tcPr>
          <w:p>
            <w:pPr>
              <w:pStyle w:val="Compact"/>
              <w:jc w:val="left"/>
            </w:pPr>
            <w:r>
              <w:rPr>
                <w:rFonts w:ascii="Arial" w:hAnsi="Arial" w:eastAsia="Arial"/>
                <w:sz w:val="16"/>
              </w:rPr>
              <w:t>Add the record, narrow the claim, label it exploratory, rerun affected surfaces, escalate, or refuse the stronger claim.</w:t>
            </w:r>
          </w:p>
        </w:tc>
        <w:tc>
          <w:tcPr>
            <w:vAlign w:val="top"/>
            <w:tcMar>
              <w:top w:w="70" w:type="dxa"/>
              <w:start w:w="80" w:type="dxa"/>
              <w:bottom w:w="70" w:type="dxa"/>
              <w:end w:w="80" w:type="dxa"/>
            </w:tcMar>
            <w:shd w:fill="D9EAF7"/>
          </w:tcPr>
          <w:p>
            <w:pPr>
              <w:pStyle w:val="Compact"/>
              <w:jc w:val="left"/>
            </w:pPr>
            <w:r>
              <w:rPr>
                <w:rFonts w:ascii="Arial" w:hAnsi="Arial" w:eastAsia="Arial"/>
                <w:sz w:val="16"/>
              </w:rPr>
              <w:t>INVALID for affected strong claim</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METHODOLOGICAL_STATUS_UNSUPPORTED</w:t>
            </w:r>
          </w:p>
        </w:tc>
        <w:tc>
          <w:tcPr>
            <w:vAlign w:val="top"/>
            <w:tcMar>
              <w:top w:w="70" w:type="dxa"/>
              <w:start w:w="80" w:type="dxa"/>
              <w:bottom w:w="70" w:type="dxa"/>
              <w:end w:w="80" w:type="dxa"/>
            </w:tcMar>
            <w:shd w:fill="FFFFFF"/>
          </w:tcPr>
          <w:p>
            <w:pPr>
              <w:pStyle w:val="Compact"/>
              <w:jc w:val="left"/>
            </w:pPr>
            <w:r>
              <w:rPr>
                <w:rFonts w:ascii="Arial" w:hAnsi="Arial" w:eastAsia="Arial"/>
                <w:sz w:val="16"/>
              </w:rPr>
              <w:t>Declared methodological integrity status exceeds the evidence, dependency position, alternatives analysis, uncertainty basis, or revision-trigger record.</w:t>
            </w:r>
          </w:p>
        </w:tc>
        <w:tc>
          <w:tcPr>
            <w:vAlign w:val="top"/>
            <w:tcMar>
              <w:top w:w="70" w:type="dxa"/>
              <w:start w:w="80" w:type="dxa"/>
              <w:bottom w:w="70" w:type="dxa"/>
              <w:end w:w="80" w:type="dxa"/>
            </w:tcMar>
            <w:shd w:fill="FFFFFF"/>
          </w:tcPr>
          <w:p>
            <w:pPr>
              <w:pStyle w:val="Compact"/>
              <w:jc w:val="left"/>
            </w:pPr>
            <w:r>
              <w:rPr>
                <w:rFonts w:ascii="Arial" w:hAnsi="Arial" w:eastAsia="Arial"/>
                <w:sz w:val="16"/>
              </w:rPr>
              <w:t>Downgrade status, add evidence, rerun dependent surfaces, or invalidate the affected methodological claim.</w:t>
            </w:r>
          </w:p>
        </w:tc>
        <w:tc>
          <w:tcPr>
            <w:vAlign w:val="top"/>
            <w:tcMar>
              <w:top w:w="70" w:type="dxa"/>
              <w:start w:w="80" w:type="dxa"/>
              <w:bottom w:w="70" w:type="dxa"/>
              <w:end w:w="80" w:type="dxa"/>
            </w:tcMar>
            <w:shd w:fill="FFFFFF"/>
          </w:tcPr>
          <w:p>
            <w:pPr>
              <w:pStyle w:val="Compact"/>
              <w:jc w:val="left"/>
            </w:pPr>
            <w:r>
              <w:rPr>
                <w:rFonts w:ascii="Arial" w:hAnsi="Arial" w:eastAsia="Arial"/>
                <w:sz w:val="16"/>
              </w:rPr>
              <w:t>ESCALATE/INVALID</w:t>
            </w:r>
          </w:p>
        </w:tc>
      </w:tr>
    </w:tbl>
    <w:p>
      <w:pPr>
        <w:pStyle w:val="BodyText"/>
      </w:pPr>
      <w:r>
        <w:t>CBI PCC fields (Normative for triggered cases). When COMPUTABLE_BUT_INADMISSIBLE is triggered, the PCC MUST record: PCC.CBI.ComputedObject; PCC.CBI.InadmissibilityReason; PCC.CBI.Layer; PCC.CBI.AllowedUse; PCC.CBI.ProhibitedUse; PCC.CBI.ReviewStatus; and, where applicable, PCC.CBI.ReviewerNote or EscalationPath.</w:t>
      </w:r>
    </w:p>
    <w:p>
      <w:pPr>
        <w:pStyle w:val="BodyText"/>
      </w:pPr>
      <w:r>
        <w:t>Stewardship audit-flag tokens are defined canonically in Appendix N.7 and MUST NOT be redefined in downstream specifications; downstream documents SHALL reference Appendix N.7.</w:t>
      </w:r>
    </w:p>
    <w:p>
      <w:pPr>
        <w:pStyle w:val="BodyText"/>
      </w:pPr>
      <w:r>
        <w:t>Additional v9.0–v9.6 hardening flags (Normative). The canonical audit-flag set SHALL include PLSS_ESCALATION_TRIGGER_UNRESOLVED, DECISIVENESS_METHOD_POSTHOC, EK_NONDEFAULT_TIER2_INVALID, EK_PARAMETER_UNJUSTIFIED, UNCERTAINTY_PROVENANCE_MISSING, RIGHTS_CELL_UNKNOWN_GATE_CRITICAL, and CATASTROPHE_CELL_UNKNOWN_GATE_CRITICAL. These flags are triggered as specified in Sections 10.2A.7, 10.2A.8, 5.2, 5.7, and 15.1 and MUST be recorded in the PCC when applicable.</w:t>
      </w:r>
    </w:p>
    <w:p>
      <w:pPr>
        <w:pStyle w:val="BodyText"/>
      </w:pPr>
      <w:r>
        <w:t>EK_PARAMETER_UNJUSTIFIED (Normative). Trigger: non-default e_k is used without (i) a matching PCC.EKRegistry entry when required, (ii) declared rationale and source/instrument note, (iii) stated bounds, or (iv) the required tier-appropriate sensitivity disclosure. Required action: populate PCC.EKRegistry and missing disclosures, or reset e_k to 1.00 and recompute. Severity: INVALID.</w:t>
      </w:r>
    </w:p>
    <w:tbl>
      <w:tblPr>
        <w:tblStyle w:val="Table"/>
        <w:tblW w:type="auto" w:w="0"/>
        <w:jc w:val="center"/>
        <w:tblLook w:firstRow="1" w:lastRow="0" w:firstColumn="0" w:lastColumn="0" w:noHBand="0" w:noVBand="0" w:val="0020"/>
      </w:tblPr>
      <w:tblGrid>
        <w:gridCol w:w="1980"/>
        <w:gridCol w:w="1980"/>
        <w:gridCol w:w="1980"/>
        <w:gridCol w:w="1980"/>
      </w:tblGrid>
      <w:tr>
        <w:trPr>
          <w:tblHeader w:val="on"/>
          <w:tblHeader w:val="true"/>
          <w:cantSplit/>
        </w:trPr>
        <w:tc>
          <w:tcPr>
            <w:vAlign w:val="top"/>
            <w:tcMar>
              <w:top w:w="70" w:type="dxa"/>
              <w:start w:w="80" w:type="dxa"/>
              <w:bottom w:w="70" w:type="dxa"/>
              <w:end w:w="80" w:type="dxa"/>
            </w:tcMar>
            <w:shd w:fill="1F4E78"/>
          </w:tcPr>
          <w:p>
            <w:pPr>
              <w:pStyle w:val="Compact"/>
              <w:jc w:val="left"/>
            </w:pPr>
            <w:r>
              <w:rPr>
                <w:rFonts w:ascii="Arial" w:hAnsi="Arial" w:eastAsia="Arial"/>
                <w:b/>
                <w:bCs/>
                <w:color w:val="FFFFFF"/>
                <w:sz w:val="16"/>
              </w:rPr>
              <w:t>Flag</w:t>
            </w:r>
          </w:p>
        </w:tc>
        <w:tc>
          <w:tcPr>
            <w:vAlign w:val="top"/>
            <w:tcMar>
              <w:top w:w="70" w:type="dxa"/>
              <w:start w:w="80" w:type="dxa"/>
              <w:bottom w:w="70" w:type="dxa"/>
              <w:end w:w="80" w:type="dxa"/>
            </w:tcMar>
            <w:shd w:fill="1F4E78"/>
          </w:tcPr>
          <w:p>
            <w:pPr>
              <w:pStyle w:val="Compact"/>
              <w:jc w:val="left"/>
            </w:pPr>
            <w:r>
              <w:rPr>
                <w:rFonts w:ascii="Arial" w:hAnsi="Arial" w:eastAsia="Arial"/>
                <w:b/>
                <w:bCs/>
                <w:color w:val="FFFFFF"/>
                <w:sz w:val="16"/>
              </w:rPr>
              <w:t>Trigger</w:t>
            </w:r>
          </w:p>
        </w:tc>
        <w:tc>
          <w:tcPr>
            <w:vAlign w:val="top"/>
            <w:tcMar>
              <w:top w:w="70" w:type="dxa"/>
              <w:start w:w="80" w:type="dxa"/>
              <w:bottom w:w="70" w:type="dxa"/>
              <w:end w:w="80" w:type="dxa"/>
            </w:tcMar>
            <w:shd w:fill="1F4E78"/>
          </w:tcPr>
          <w:p>
            <w:pPr>
              <w:pStyle w:val="Compact"/>
              <w:jc w:val="left"/>
            </w:pPr>
            <w:r>
              <w:rPr>
                <w:rFonts w:ascii="Arial" w:hAnsi="Arial" w:eastAsia="Arial"/>
                <w:b/>
                <w:bCs/>
                <w:color w:val="FFFFFF"/>
                <w:sz w:val="16"/>
              </w:rPr>
              <w:t>Required Action</w:t>
            </w:r>
          </w:p>
        </w:tc>
        <w:tc>
          <w:tcPr>
            <w:vAlign w:val="top"/>
            <w:tcMar>
              <w:top w:w="70" w:type="dxa"/>
              <w:start w:w="80" w:type="dxa"/>
              <w:bottom w:w="70" w:type="dxa"/>
              <w:end w:w="80" w:type="dxa"/>
            </w:tcMar>
            <w:shd w:fill="1F4E78"/>
          </w:tcPr>
          <w:p>
            <w:pPr>
              <w:pStyle w:val="Compact"/>
              <w:jc w:val="left"/>
            </w:pPr>
            <w:r>
              <w:rPr>
                <w:rFonts w:ascii="Arial" w:hAnsi="Arial" w:eastAsia="Arial"/>
                <w:b/>
                <w:bCs/>
                <w:color w:val="FFFFFF"/>
                <w:sz w:val="16"/>
              </w:rPr>
              <w:t>Severity</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RIGHTS_CELL_MASKED_INVALID</w:t>
            </w:r>
          </w:p>
        </w:tc>
        <w:tc>
          <w:tcPr>
            <w:vAlign w:val="top"/>
            <w:tcMar>
              <w:top w:w="70" w:type="dxa"/>
              <w:start w:w="80" w:type="dxa"/>
              <w:bottom w:w="70" w:type="dxa"/>
              <w:end w:w="80" w:type="dxa"/>
            </w:tcMar>
            <w:shd w:fill="D9EAF7"/>
          </w:tcPr>
          <w:p>
            <w:pPr>
              <w:pStyle w:val="Compact"/>
              <w:jc w:val="left"/>
            </w:pPr>
            <w:r>
              <w:rPr>
                <w:rFonts w:ascii="Arial" w:hAnsi="Arial" w:eastAsia="Arial"/>
                <w:sz w:val="16"/>
              </w:rPr>
              <w:t>Any rights-covered cell is masked, excluded, null'd, pooled, or otherwise not individually included in RLS aggregation (including any case where m(u,d)=0 for a cell in any C_r).</w:t>
            </w:r>
          </w:p>
        </w:tc>
        <w:tc>
          <w:tcPr>
            <w:vAlign w:val="top"/>
            <w:tcMar>
              <w:top w:w="70" w:type="dxa"/>
              <w:start w:w="80" w:type="dxa"/>
              <w:bottom w:w="70" w:type="dxa"/>
              <w:end w:w="80" w:type="dxa"/>
            </w:tcMar>
            <w:shd w:fill="D9EAF7"/>
          </w:tcPr>
          <w:p>
            <w:pPr>
              <w:pStyle w:val="Compact"/>
              <w:jc w:val="left"/>
            </w:pPr>
            <w:r>
              <w:rPr>
                <w:rFonts w:ascii="Arial" w:hAnsi="Arial" w:eastAsia="Arial"/>
                <w:sz w:val="16"/>
              </w:rPr>
              <w:t>PCC invalid; recompute without masking</w:t>
            </w:r>
          </w:p>
        </w:tc>
        <w:tc>
          <w:tcPr>
            <w:vAlign w:val="top"/>
            <w:tcMar>
              <w:top w:w="70" w:type="dxa"/>
              <w:start w:w="80" w:type="dxa"/>
              <w:bottom w:w="70" w:type="dxa"/>
              <w:end w:w="80" w:type="dxa"/>
            </w:tcMar>
            <w:shd w:fill="D9EAF7"/>
          </w:tcPr>
          <w:p>
            <w:pPr>
              <w:pStyle w:val="Compact"/>
              <w:jc w:val="left"/>
            </w:pPr>
            <w:r>
              <w:rPr>
                <w:rFonts w:ascii="Arial" w:hAnsi="Arial" w:eastAsia="Arial"/>
                <w:sz w:val="16"/>
              </w:rPr>
              <w:t>INVALID</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RIGHTS_CELL_OMITTED_INVALID</w:t>
            </w:r>
          </w:p>
        </w:tc>
        <w:tc>
          <w:tcPr>
            <w:vAlign w:val="top"/>
            <w:tcMar>
              <w:top w:w="70" w:type="dxa"/>
              <w:start w:w="80" w:type="dxa"/>
              <w:bottom w:w="70" w:type="dxa"/>
              <w:end w:w="80" w:type="dxa"/>
            </w:tcMar>
            <w:shd w:fill="FFFFFF"/>
          </w:tcPr>
          <w:p>
            <w:pPr>
              <w:pStyle w:val="Compact"/>
              <w:jc w:val="left"/>
            </w:pPr>
            <w:r>
              <w:rPr>
                <w:rFonts w:ascii="Arial" w:hAnsi="Arial" w:eastAsia="Arial"/>
                <w:sz w:val="16"/>
              </w:rPr>
              <w:t>Any rights-covered cell required to evaluate NCRC is omitted/excluded/not disclosed such that NCRC cannot be recomputed.</w:t>
            </w:r>
          </w:p>
        </w:tc>
        <w:tc>
          <w:tcPr>
            <w:vAlign w:val="top"/>
            <w:tcMar>
              <w:top w:w="70" w:type="dxa"/>
              <w:start w:w="80" w:type="dxa"/>
              <w:bottom w:w="70" w:type="dxa"/>
              <w:end w:w="80" w:type="dxa"/>
            </w:tcMar>
            <w:shd w:fill="FFFFFF"/>
          </w:tcPr>
          <w:p>
            <w:pPr>
              <w:pStyle w:val="Compact"/>
              <w:jc w:val="left"/>
            </w:pPr>
            <w:r>
              <w:rPr>
                <w:rFonts w:ascii="Arial" w:hAnsi="Arial" w:eastAsia="Arial"/>
                <w:sz w:val="16"/>
              </w:rPr>
              <w:t>PCC invalid; include and disclose all required rights-covered cells and recompute NCRC.</w:t>
            </w:r>
          </w:p>
        </w:tc>
        <w:tc>
          <w:tcPr>
            <w:vAlign w:val="top"/>
            <w:tcMar>
              <w:top w:w="70" w:type="dxa"/>
              <w:start w:w="80" w:type="dxa"/>
              <w:bottom w:w="70" w:type="dxa"/>
              <w:end w:w="80" w:type="dxa"/>
            </w:tcMar>
            <w:shd w:fill="FFFFFF"/>
          </w:tcPr>
          <w:p>
            <w:pPr>
              <w:pStyle w:val="Compact"/>
              <w:jc w:val="left"/>
            </w:pPr>
            <w:r>
              <w:rPr>
                <w:rFonts w:ascii="Arial" w:hAnsi="Arial" w:eastAsia="Arial"/>
                <w:sz w:val="16"/>
              </w:rPr>
              <w:t>INVALID</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CATASTROPHE_CELL_MASKED_INVALID</w:t>
            </w:r>
          </w:p>
        </w:tc>
        <w:tc>
          <w:tcPr>
            <w:vAlign w:val="top"/>
            <w:tcMar>
              <w:top w:w="70" w:type="dxa"/>
              <w:start w:w="80" w:type="dxa"/>
              <w:bottom w:w="70" w:type="dxa"/>
              <w:end w:w="80" w:type="dxa"/>
            </w:tcMar>
            <w:shd w:fill="D9EAF7"/>
          </w:tcPr>
          <w:p>
            <w:pPr>
              <w:pStyle w:val="Compact"/>
              <w:jc w:val="left"/>
            </w:pPr>
            <w:r>
              <w:rPr>
                <w:rFonts w:ascii="Arial" w:hAnsi="Arial" w:eastAsia="Arial"/>
                <w:sz w:val="16"/>
              </w:rPr>
              <w:t>Any catastrophe cell in C_cat is masked (m(u,d)=0) or otherwise excluded from RLS aggregation (including any case where m(u,d)=0 for a cell in C_cat).</w:t>
            </w:r>
          </w:p>
        </w:tc>
        <w:tc>
          <w:tcPr>
            <w:vAlign w:val="top"/>
            <w:tcMar>
              <w:top w:w="70" w:type="dxa"/>
              <w:start w:w="80" w:type="dxa"/>
              <w:bottom w:w="70" w:type="dxa"/>
              <w:end w:w="80" w:type="dxa"/>
            </w:tcMar>
            <w:shd w:fill="D9EAF7"/>
          </w:tcPr>
          <w:p>
            <w:pPr>
              <w:pStyle w:val="Compact"/>
              <w:jc w:val="left"/>
            </w:pPr>
            <w:r>
              <w:rPr>
                <w:rFonts w:ascii="Arial" w:hAnsi="Arial" w:eastAsia="Arial"/>
                <w:sz w:val="16"/>
              </w:rPr>
              <w:t>PCC invalid; set m(u,d)=1 for all catastrophe cells and recompute RLS.</w:t>
            </w:r>
          </w:p>
        </w:tc>
        <w:tc>
          <w:tcPr>
            <w:vAlign w:val="top"/>
            <w:tcMar>
              <w:top w:w="70" w:type="dxa"/>
              <w:start w:w="80" w:type="dxa"/>
              <w:bottom w:w="70" w:type="dxa"/>
              <w:end w:w="80" w:type="dxa"/>
            </w:tcMar>
            <w:shd w:fill="D9EAF7"/>
          </w:tcPr>
          <w:p>
            <w:pPr>
              <w:pStyle w:val="Compact"/>
              <w:jc w:val="left"/>
            </w:pPr>
            <w:r>
              <w:rPr>
                <w:rFonts w:ascii="Arial" w:hAnsi="Arial" w:eastAsia="Arial"/>
                <w:sz w:val="16"/>
              </w:rPr>
              <w:t>INVALID</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CATASTROPHE_CELL_OMITTED_INVALID</w:t>
            </w:r>
          </w:p>
        </w:tc>
        <w:tc>
          <w:tcPr>
            <w:vAlign w:val="top"/>
            <w:tcMar>
              <w:top w:w="70" w:type="dxa"/>
              <w:start w:w="80" w:type="dxa"/>
              <w:bottom w:w="70" w:type="dxa"/>
              <w:end w:w="80" w:type="dxa"/>
            </w:tcMar>
            <w:shd w:fill="FFFFFF"/>
          </w:tcPr>
          <w:p>
            <w:pPr>
              <w:pStyle w:val="Compact"/>
              <w:jc w:val="left"/>
            </w:pPr>
            <w:r>
              <w:rPr>
                <w:rFonts w:ascii="Arial" w:hAnsi="Arial" w:eastAsia="Arial"/>
                <w:sz w:val="16"/>
              </w:rPr>
              <w:t>Any catastrophe cell in C_cat used in TRC loss computation/disclosure is omitted/excluded/not disclosed such that TRC CVaR cannot be independently recomputed.</w:t>
            </w:r>
          </w:p>
        </w:tc>
        <w:tc>
          <w:tcPr>
            <w:vAlign w:val="top"/>
            <w:tcMar>
              <w:top w:w="70" w:type="dxa"/>
              <w:start w:w="80" w:type="dxa"/>
              <w:bottom w:w="70" w:type="dxa"/>
              <w:end w:w="80" w:type="dxa"/>
            </w:tcMar>
            <w:shd w:fill="FFFFFF"/>
          </w:tcPr>
          <w:p>
            <w:pPr>
              <w:pStyle w:val="Compact"/>
              <w:jc w:val="left"/>
            </w:pPr>
            <w:r>
              <w:rPr>
                <w:rFonts w:ascii="Arial" w:hAnsi="Arial" w:eastAsia="Arial"/>
                <w:sz w:val="16"/>
              </w:rPr>
              <w:t>PCC invalid; include and disclose all catastrophe cells used in TRC loss computation (and any required scenario-to-cell mapping), then recompute TRC.</w:t>
            </w:r>
          </w:p>
        </w:tc>
        <w:tc>
          <w:tcPr>
            <w:vAlign w:val="top"/>
            <w:tcMar>
              <w:top w:w="70" w:type="dxa"/>
              <w:start w:w="80" w:type="dxa"/>
              <w:bottom w:w="70" w:type="dxa"/>
              <w:end w:w="80" w:type="dxa"/>
            </w:tcMar>
            <w:shd w:fill="FFFFFF"/>
          </w:tcPr>
          <w:p>
            <w:pPr>
              <w:pStyle w:val="Compact"/>
              <w:jc w:val="left"/>
            </w:pPr>
            <w:r>
              <w:rPr>
                <w:rFonts w:ascii="Arial" w:hAnsi="Arial" w:eastAsia="Arial"/>
                <w:sz w:val="16"/>
              </w:rPr>
              <w:t>INVALID</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CONTAINMENT_MODE_B_USED_FOR_SELECTION</w:t>
            </w:r>
          </w:p>
        </w:tc>
        <w:tc>
          <w:tcPr>
            <w:vAlign w:val="top"/>
            <w:tcMar>
              <w:top w:w="70" w:type="dxa"/>
              <w:start w:w="80" w:type="dxa"/>
              <w:bottom w:w="70" w:type="dxa"/>
              <w:end w:w="80" w:type="dxa"/>
            </w:tcMar>
            <w:shd w:fill="D9EAF7"/>
          </w:tcPr>
          <w:p>
            <w:pPr>
              <w:pStyle w:val="Compact"/>
              <w:jc w:val="left"/>
            </w:pPr>
            <w:r>
              <w:rPr>
                <w:rFonts w:ascii="Arial" w:hAnsi="Arial" w:eastAsia="Arial"/>
                <w:sz w:val="16"/>
              </w:rPr>
              <w:t>Mode B (diagnostic-only containment) influenced selection outcome; see Section 9.5</w:t>
            </w:r>
          </w:p>
        </w:tc>
        <w:tc>
          <w:tcPr>
            <w:vAlign w:val="top"/>
            <w:tcMar>
              <w:top w:w="70" w:type="dxa"/>
              <w:start w:w="80" w:type="dxa"/>
              <w:bottom w:w="70" w:type="dxa"/>
              <w:end w:w="80" w:type="dxa"/>
            </w:tcMar>
            <w:shd w:fill="D9EAF7"/>
          </w:tcPr>
          <w:p>
            <w:pPr>
              <w:pStyle w:val="Compact"/>
              <w:jc w:val="left"/>
            </w:pPr>
            <w:r>
              <w:rPr>
                <w:rFonts w:ascii="Arial" w:hAnsi="Arial" w:eastAsia="Arial"/>
                <w:sz w:val="16"/>
              </w:rPr>
              <w:t>PCC invalid; rerun with Mode A only</w:t>
            </w:r>
          </w:p>
        </w:tc>
        <w:tc>
          <w:tcPr>
            <w:vAlign w:val="top"/>
            <w:tcMar>
              <w:top w:w="70" w:type="dxa"/>
              <w:start w:w="80" w:type="dxa"/>
              <w:bottom w:w="70" w:type="dxa"/>
              <w:end w:w="80" w:type="dxa"/>
            </w:tcMar>
            <w:shd w:fill="D9EAF7"/>
          </w:tcPr>
          <w:p>
            <w:pPr>
              <w:pStyle w:val="Compact"/>
              <w:jc w:val="left"/>
            </w:pPr>
            <w:r>
              <w:rPr>
                <w:rFonts w:ascii="Arial" w:hAnsi="Arial" w:eastAsia="Arial"/>
                <w:sz w:val="16"/>
              </w:rPr>
              <w:t>INVALID</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SCENARIO_LIBRARY_MIN_EXCEPTION</w:t>
            </w:r>
          </w:p>
        </w:tc>
        <w:tc>
          <w:tcPr>
            <w:vAlign w:val="top"/>
            <w:tcMar>
              <w:top w:w="70" w:type="dxa"/>
              <w:start w:w="80" w:type="dxa"/>
              <w:bottom w:w="70" w:type="dxa"/>
              <w:end w:w="80" w:type="dxa"/>
            </w:tcMar>
            <w:shd w:fill="FFFFFF"/>
          </w:tcPr>
          <w:p>
            <w:pPr>
              <w:pStyle w:val="Compact"/>
              <w:jc w:val="left"/>
            </w:pPr>
            <w:r>
              <w:rPr>
                <w:rFonts w:ascii="Arial" w:hAnsi="Arial" w:eastAsia="Arial"/>
                <w:sz w:val="16"/>
              </w:rPr>
              <w:t>Scenario library size |S| is below the tier minimum when TRC is required (Tier 2: |S| &lt; 5; Tier 3: |S| &lt; 20)</w:t>
            </w:r>
          </w:p>
        </w:tc>
        <w:tc>
          <w:tcPr>
            <w:vAlign w:val="top"/>
            <w:tcMar>
              <w:top w:w="70" w:type="dxa"/>
              <w:start w:w="80" w:type="dxa"/>
              <w:bottom w:w="70" w:type="dxa"/>
              <w:end w:w="80" w:type="dxa"/>
            </w:tcMar>
            <w:shd w:fill="FFFFFF"/>
          </w:tcPr>
          <w:p>
            <w:pPr>
              <w:pStyle w:val="Compact"/>
              <w:jc w:val="left"/>
            </w:pPr>
            <w:r>
              <w:rPr>
                <w:rFonts w:ascii="Arial" w:hAnsi="Arial" w:eastAsia="Arial"/>
                <w:sz w:val="16"/>
              </w:rPr>
              <w:t>PCC remains valid only with: (i) written justification, (ii) independent reviewer sign-off (Tier 3 required; Tier 2 recommended), and (iii) a remediation plan to reach minimum scenario count before the next comparable run. Record this flag in PCC.</w:t>
            </w:r>
          </w:p>
        </w:tc>
        <w:tc>
          <w:tcPr>
            <w:vAlign w:val="top"/>
            <w:tcMar>
              <w:top w:w="70" w:type="dxa"/>
              <w:start w:w="80" w:type="dxa"/>
              <w:bottom w:w="70" w:type="dxa"/>
              <w:end w:w="80" w:type="dxa"/>
            </w:tcMar>
            <w:shd w:fill="FFFFFF"/>
          </w:tcPr>
          <w:p>
            <w:pPr>
              <w:pStyle w:val="Compact"/>
              <w:jc w:val="left"/>
            </w:pPr>
            <w:r>
              <w:rPr>
                <w:rFonts w:ascii="Arial" w:hAnsi="Arial" w:eastAsia="Arial"/>
                <w:sz w:val="16"/>
              </w:rPr>
              <w:t>ESCALATE</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MANDATORY_TAIL_CATEGORY_MISSING</w:t>
            </w:r>
          </w:p>
        </w:tc>
        <w:tc>
          <w:tcPr>
            <w:vAlign w:val="top"/>
            <w:tcMar>
              <w:top w:w="70" w:type="dxa"/>
              <w:start w:w="80" w:type="dxa"/>
              <w:bottom w:w="70" w:type="dxa"/>
              <w:end w:w="80" w:type="dxa"/>
            </w:tcMar>
            <w:shd w:fill="D9EAF7"/>
          </w:tcPr>
          <w:p>
            <w:pPr>
              <w:pStyle w:val="Compact"/>
              <w:jc w:val="left"/>
            </w:pPr>
            <w:r>
              <w:rPr>
                <w:rFonts w:ascii="Arial" w:hAnsi="Arial" w:eastAsia="Arial"/>
                <w:sz w:val="16"/>
              </w:rPr>
              <w:t>Missing mandatory tail category without justification</w:t>
            </w:r>
          </w:p>
        </w:tc>
        <w:tc>
          <w:tcPr>
            <w:vAlign w:val="top"/>
            <w:tcMar>
              <w:top w:w="70" w:type="dxa"/>
              <w:start w:w="80" w:type="dxa"/>
              <w:bottom w:w="70" w:type="dxa"/>
              <w:end w:w="80" w:type="dxa"/>
            </w:tcMar>
            <w:shd w:fill="D9EAF7"/>
          </w:tcPr>
          <w:p>
            <w:pPr>
              <w:pStyle w:val="Compact"/>
              <w:jc w:val="left"/>
            </w:pPr>
            <w:r>
              <w:rPr>
                <w:rFonts w:ascii="Arial" w:hAnsi="Arial" w:eastAsia="Arial"/>
                <w:sz w:val="16"/>
              </w:rPr>
              <w:t>Add scenarios or justify per Section 8.3.2</w:t>
            </w:r>
          </w:p>
        </w:tc>
        <w:tc>
          <w:tcPr>
            <w:vAlign w:val="top"/>
            <w:tcMar>
              <w:top w:w="70" w:type="dxa"/>
              <w:start w:w="80" w:type="dxa"/>
              <w:bottom w:w="70" w:type="dxa"/>
              <w:end w:w="80" w:type="dxa"/>
            </w:tcMar>
            <w:shd w:fill="D9EAF7"/>
          </w:tcPr>
          <w:p>
            <w:pPr>
              <w:pStyle w:val="Compact"/>
              <w:jc w:val="left"/>
            </w:pPr>
            <w:r>
              <w:rPr>
                <w:rFonts w:ascii="Arial" w:hAnsi="Arial" w:eastAsia="Arial"/>
                <w:sz w:val="16"/>
              </w:rPr>
              <w:t>ESCALATE</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MANDATORY_TAIL_CATEGORY_MISSING_WITH_JUSTIFICATION</w:t>
            </w:r>
          </w:p>
        </w:tc>
        <w:tc>
          <w:tcPr>
            <w:vAlign w:val="top"/>
            <w:tcMar>
              <w:top w:w="70" w:type="dxa"/>
              <w:start w:w="80" w:type="dxa"/>
              <w:bottom w:w="70" w:type="dxa"/>
              <w:end w:w="80" w:type="dxa"/>
            </w:tcMar>
            <w:shd w:fill="FFFFFF"/>
          </w:tcPr>
          <w:p>
            <w:pPr>
              <w:pStyle w:val="Compact"/>
              <w:jc w:val="left"/>
            </w:pPr>
            <w:r>
              <w:rPr>
                <w:rFonts w:ascii="Arial" w:hAnsi="Arial" w:eastAsia="Arial"/>
                <w:sz w:val="16"/>
              </w:rPr>
              <w:t>Missing mandatory tail category with proper justification per Section 8.3.2</w:t>
            </w:r>
          </w:p>
        </w:tc>
        <w:tc>
          <w:tcPr>
            <w:vAlign w:val="top"/>
            <w:tcMar>
              <w:top w:w="70" w:type="dxa"/>
              <w:start w:w="80" w:type="dxa"/>
              <w:bottom w:w="70" w:type="dxa"/>
              <w:end w:w="80" w:type="dxa"/>
            </w:tcMar>
            <w:shd w:fill="FFFFFF"/>
          </w:tcPr>
          <w:p>
            <w:pPr>
              <w:pStyle w:val="Compact"/>
              <w:jc w:val="left"/>
            </w:pPr>
            <w:r>
              <w:rPr>
                <w:rFonts w:ascii="Arial" w:hAnsi="Arial" w:eastAsia="Arial"/>
                <w:sz w:val="16"/>
              </w:rPr>
              <w:t>Record justification; monitor for category emergence</w:t>
            </w:r>
          </w:p>
        </w:tc>
        <w:tc>
          <w:tcPr>
            <w:vAlign w:val="top"/>
            <w:tcMar>
              <w:top w:w="70" w:type="dxa"/>
              <w:start w:w="80" w:type="dxa"/>
              <w:bottom w:w="70" w:type="dxa"/>
              <w:end w:w="80" w:type="dxa"/>
            </w:tcMar>
            <w:shd w:fill="FFFFFF"/>
          </w:tcPr>
          <w:p>
            <w:pPr>
              <w:pStyle w:val="Compact"/>
              <w:jc w:val="left"/>
            </w:pPr>
            <w:r>
              <w:rPr>
                <w:rFonts w:ascii="Arial" w:hAnsi="Arial" w:eastAsia="Arial"/>
                <w:sz w:val="16"/>
              </w:rPr>
              <w:t>REVIEW</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MANDATORY_TAIL_PROB_FLOOR_VIOLATION</w:t>
            </w:r>
          </w:p>
        </w:tc>
        <w:tc>
          <w:tcPr>
            <w:vAlign w:val="top"/>
            <w:tcMar>
              <w:top w:w="70" w:type="dxa"/>
              <w:start w:w="80" w:type="dxa"/>
              <w:bottom w:w="70" w:type="dxa"/>
              <w:end w:w="80" w:type="dxa"/>
            </w:tcMar>
            <w:shd w:fill="D9EAF7"/>
          </w:tcPr>
          <w:p>
            <w:pPr>
              <w:pStyle w:val="Compact"/>
              <w:jc w:val="left"/>
            </w:pPr>
            <w:r>
              <w:rPr>
                <w:rFonts w:ascii="Arial" w:hAnsi="Arial" w:eastAsia="Arial"/>
                <w:sz w:val="16"/>
              </w:rPr>
              <w:t>Category probability sum &lt; p_floor (0.02)</w:t>
            </w:r>
          </w:p>
        </w:tc>
        <w:tc>
          <w:tcPr>
            <w:vAlign w:val="top"/>
            <w:tcMar>
              <w:top w:w="70" w:type="dxa"/>
              <w:start w:w="80" w:type="dxa"/>
              <w:bottom w:w="70" w:type="dxa"/>
              <w:end w:w="80" w:type="dxa"/>
            </w:tcMar>
            <w:shd w:fill="D9EAF7"/>
          </w:tcPr>
          <w:p>
            <w:pPr>
              <w:pStyle w:val="Compact"/>
              <w:jc w:val="left"/>
            </w:pPr>
            <w:r>
              <w:rPr>
                <w:rFonts w:ascii="Arial" w:hAnsi="Arial" w:eastAsia="Arial"/>
                <w:sz w:val="16"/>
              </w:rPr>
              <w:t>Revise probabilities or add scenarios to category</w:t>
            </w:r>
          </w:p>
        </w:tc>
        <w:tc>
          <w:tcPr>
            <w:vAlign w:val="top"/>
            <w:tcMar>
              <w:top w:w="70" w:type="dxa"/>
              <w:start w:w="80" w:type="dxa"/>
              <w:bottom w:w="70" w:type="dxa"/>
              <w:end w:w="80" w:type="dxa"/>
            </w:tcMar>
            <w:shd w:fill="D9EAF7"/>
          </w:tcPr>
          <w:p>
            <w:pPr>
              <w:pStyle w:val="Compact"/>
              <w:jc w:val="left"/>
            </w:pPr>
            <w:r>
              <w:rPr>
                <w:rFonts w:ascii="Arial" w:hAnsi="Arial" w:eastAsia="Arial"/>
                <w:sz w:val="16"/>
              </w:rPr>
              <w:t>ESCALATE</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SUBGROUP_LIMITATION</w:t>
            </w:r>
          </w:p>
        </w:tc>
        <w:tc>
          <w:tcPr>
            <w:vAlign w:val="top"/>
            <w:tcMar>
              <w:top w:w="70" w:type="dxa"/>
              <w:start w:w="80" w:type="dxa"/>
              <w:bottom w:w="70" w:type="dxa"/>
              <w:end w:w="80" w:type="dxa"/>
            </w:tcMar>
            <w:shd w:fill="FFFFFF"/>
          </w:tcPr>
          <w:p>
            <w:pPr>
              <w:pStyle w:val="Compact"/>
              <w:jc w:val="left"/>
            </w:pPr>
            <w:r>
              <w:rPr>
                <w:rFonts w:ascii="Arial" w:hAnsi="Arial" w:eastAsia="Arial"/>
                <w:sz w:val="16"/>
              </w:rPr>
              <w:t>Cannot disaggregate subgroups for rights-covered cell</w:t>
            </w:r>
          </w:p>
        </w:tc>
        <w:tc>
          <w:tcPr>
            <w:vAlign w:val="top"/>
            <w:tcMar>
              <w:top w:w="70" w:type="dxa"/>
              <w:start w:w="80" w:type="dxa"/>
              <w:bottom w:w="70" w:type="dxa"/>
              <w:end w:w="80" w:type="dxa"/>
            </w:tcMar>
            <w:shd w:fill="FFFFFF"/>
          </w:tcPr>
          <w:p>
            <w:pPr>
              <w:pStyle w:val="Compact"/>
              <w:jc w:val="left"/>
            </w:pPr>
            <w:r>
              <w:rPr>
                <w:rFonts w:ascii="Arial" w:hAnsi="Arial" w:eastAsia="Arial"/>
                <w:sz w:val="16"/>
              </w:rPr>
              <w:t>Apply γ_subgroup conservative bound (Section 7.3.2); escalate if high stakes</w:t>
            </w:r>
          </w:p>
        </w:tc>
        <w:tc>
          <w:tcPr>
            <w:vAlign w:val="top"/>
            <w:tcMar>
              <w:top w:w="70" w:type="dxa"/>
              <w:start w:w="80" w:type="dxa"/>
              <w:bottom w:w="70" w:type="dxa"/>
              <w:end w:w="80" w:type="dxa"/>
            </w:tcMar>
            <w:shd w:fill="FFFFFF"/>
          </w:tcPr>
          <w:p>
            <w:pPr>
              <w:pStyle w:val="Compact"/>
              <w:jc w:val="left"/>
            </w:pPr>
            <w:r>
              <w:rPr>
                <w:rFonts w:ascii="Arial" w:hAnsi="Arial" w:eastAsia="Arial"/>
                <w:sz w:val="16"/>
              </w:rPr>
              <w:t>REVIEW</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CHALLENGE_DEFERRED_EMERGENCY</w:t>
            </w:r>
          </w:p>
        </w:tc>
        <w:tc>
          <w:tcPr>
            <w:vAlign w:val="top"/>
            <w:tcMar>
              <w:top w:w="70" w:type="dxa"/>
              <w:start w:w="80" w:type="dxa"/>
              <w:bottom w:w="70" w:type="dxa"/>
              <w:end w:w="80" w:type="dxa"/>
            </w:tcMar>
            <w:shd w:fill="D9EAF7"/>
          </w:tcPr>
          <w:p>
            <w:pPr>
              <w:pStyle w:val="Compact"/>
              <w:jc w:val="left"/>
            </w:pPr>
            <w:r>
              <w:rPr>
                <w:rFonts w:ascii="Arial" w:hAnsi="Arial" w:eastAsia="Arial"/>
                <w:sz w:val="16"/>
              </w:rPr>
              <w:t>Emergency Mode invoked without independent challenger</w:t>
            </w:r>
          </w:p>
        </w:tc>
        <w:tc>
          <w:tcPr>
            <w:vAlign w:val="top"/>
            <w:tcMar>
              <w:top w:w="70" w:type="dxa"/>
              <w:start w:w="80" w:type="dxa"/>
              <w:bottom w:w="70" w:type="dxa"/>
              <w:end w:w="80" w:type="dxa"/>
            </w:tcMar>
            <w:shd w:fill="D9EAF7"/>
          </w:tcPr>
          <w:p>
            <w:pPr>
              <w:pStyle w:val="Compact"/>
              <w:jc w:val="left"/>
            </w:pPr>
            <w:r>
              <w:rPr>
                <w:rFonts w:ascii="Arial" w:hAnsi="Arial" w:eastAsia="Arial"/>
                <w:sz w:val="16"/>
              </w:rPr>
              <w:t>Retrospective challenge MUST occur within 24 hours or next business day, whichever is sooner</w:t>
            </w:r>
          </w:p>
        </w:tc>
        <w:tc>
          <w:tcPr>
            <w:vAlign w:val="top"/>
            <w:tcMar>
              <w:top w:w="70" w:type="dxa"/>
              <w:start w:w="80" w:type="dxa"/>
              <w:bottom w:w="70" w:type="dxa"/>
              <w:end w:w="80" w:type="dxa"/>
            </w:tcMar>
            <w:shd w:fill="D9EAF7"/>
          </w:tcPr>
          <w:p>
            <w:pPr>
              <w:pStyle w:val="Compact"/>
              <w:jc w:val="left"/>
            </w:pPr>
            <w:r>
              <w:rPr>
                <w:rFonts w:ascii="Arial" w:hAnsi="Arial" w:eastAsia="Arial"/>
                <w:sz w:val="16"/>
              </w:rPr>
              <w:t>ESCALATE</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EMERGENCY_MODE_INVOKED</w:t>
            </w:r>
          </w:p>
        </w:tc>
        <w:tc>
          <w:tcPr>
            <w:vAlign w:val="top"/>
            <w:tcMar>
              <w:top w:w="70" w:type="dxa"/>
              <w:start w:w="80" w:type="dxa"/>
              <w:bottom w:w="70" w:type="dxa"/>
              <w:end w:w="80" w:type="dxa"/>
            </w:tcMar>
            <w:shd w:fill="FFFFFF"/>
          </w:tcPr>
          <w:p>
            <w:pPr>
              <w:pStyle w:val="Compact"/>
              <w:jc w:val="left"/>
            </w:pPr>
            <w:r>
              <w:rPr>
                <w:rFonts w:ascii="Arial" w:hAnsi="Arial" w:eastAsia="Arial"/>
                <w:sz w:val="16"/>
              </w:rPr>
              <w:t>A_NCRC = ∅ (no rights-admissible options exist)</w:t>
            </w:r>
          </w:p>
        </w:tc>
        <w:tc>
          <w:tcPr>
            <w:vAlign w:val="top"/>
            <w:tcMar>
              <w:top w:w="70" w:type="dxa"/>
              <w:start w:w="80" w:type="dxa"/>
              <w:bottom w:w="70" w:type="dxa"/>
              <w:end w:w="80" w:type="dxa"/>
            </w:tcMar>
            <w:shd w:fill="FFFFFF"/>
          </w:tcPr>
          <w:p>
            <w:pPr>
              <w:pStyle w:val="Compact"/>
              <w:jc w:val="left"/>
            </w:pPr>
            <w:r>
              <w:rPr>
                <w:rFonts w:ascii="Arial" w:hAnsi="Arial" w:eastAsia="Arial"/>
                <w:sz w:val="16"/>
              </w:rPr>
              <w:t>Remediation plan required; high scrutiny review</w:t>
            </w:r>
          </w:p>
        </w:tc>
        <w:tc>
          <w:tcPr>
            <w:vAlign w:val="top"/>
            <w:tcMar>
              <w:top w:w="70" w:type="dxa"/>
              <w:start w:w="80" w:type="dxa"/>
              <w:bottom w:w="70" w:type="dxa"/>
              <w:end w:w="80" w:type="dxa"/>
            </w:tcMar>
            <w:shd w:fill="FFFFFF"/>
          </w:tcPr>
          <w:p>
            <w:pPr>
              <w:pStyle w:val="Compact"/>
              <w:jc w:val="left"/>
            </w:pPr>
            <w:r>
              <w:rPr>
                <w:rFonts w:ascii="Arial" w:hAnsi="Arial" w:eastAsia="Arial"/>
                <w:sz w:val="16"/>
              </w:rPr>
              <w:t>ESCALATE</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TAIL_EMERGENCY_MODE_INVOKED</w:t>
            </w:r>
          </w:p>
        </w:tc>
        <w:tc>
          <w:tcPr>
            <w:vAlign w:val="top"/>
            <w:tcMar>
              <w:top w:w="70" w:type="dxa"/>
              <w:start w:w="80" w:type="dxa"/>
              <w:bottom w:w="70" w:type="dxa"/>
              <w:end w:w="80" w:type="dxa"/>
            </w:tcMar>
            <w:shd w:fill="D9EAF7"/>
          </w:tcPr>
          <w:p>
            <w:pPr>
              <w:pStyle w:val="Compact"/>
              <w:jc w:val="left"/>
            </w:pPr>
            <w:r>
              <w:rPr>
                <w:rFonts w:ascii="Arial" w:hAnsi="Arial" w:eastAsia="Arial"/>
                <w:sz w:val="16"/>
              </w:rPr>
              <w:t>A_adm = ∅ after TRC (A_NCRC is non-empty but all rights-admissible options fail TRC)</w:t>
            </w:r>
          </w:p>
        </w:tc>
        <w:tc>
          <w:tcPr>
            <w:vAlign w:val="top"/>
            <w:tcMar>
              <w:top w:w="70" w:type="dxa"/>
              <w:start w:w="80" w:type="dxa"/>
              <w:bottom w:w="70" w:type="dxa"/>
              <w:end w:w="80" w:type="dxa"/>
            </w:tcMar>
            <w:shd w:fill="D9EAF7"/>
          </w:tcPr>
          <w:p>
            <w:pPr>
              <w:pStyle w:val="Compact"/>
              <w:jc w:val="left"/>
            </w:pPr>
            <w:r>
              <w:rPr>
                <w:rFonts w:ascii="Arial" w:hAnsi="Arial" w:eastAsia="Arial"/>
                <w:sz w:val="16"/>
              </w:rPr>
              <w:t>Higher-tier approval required; mitigation plan</w:t>
            </w:r>
          </w:p>
        </w:tc>
        <w:tc>
          <w:tcPr>
            <w:vAlign w:val="top"/>
            <w:tcMar>
              <w:top w:w="70" w:type="dxa"/>
              <w:start w:w="80" w:type="dxa"/>
              <w:bottom w:w="70" w:type="dxa"/>
              <w:end w:w="80" w:type="dxa"/>
            </w:tcMar>
            <w:shd w:fill="D9EAF7"/>
          </w:tcPr>
          <w:p>
            <w:pPr>
              <w:pStyle w:val="Compact"/>
              <w:jc w:val="left"/>
            </w:pPr>
            <w:r>
              <w:rPr>
                <w:rFonts w:ascii="Arial" w:hAnsi="Arial" w:eastAsia="Arial"/>
                <w:sz w:val="16"/>
              </w:rPr>
              <w:t>ESCALATE</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DECISION_FRAGILE_KERNEL</w:t>
            </w:r>
          </w:p>
        </w:tc>
        <w:tc>
          <w:tcPr>
            <w:vAlign w:val="top"/>
            <w:tcMar>
              <w:top w:w="70" w:type="dxa"/>
              <w:start w:w="80" w:type="dxa"/>
              <w:bottom w:w="70" w:type="dxa"/>
              <w:end w:w="80" w:type="dxa"/>
            </w:tcMar>
            <w:shd w:fill="FFFFFF"/>
          </w:tcPr>
          <w:p>
            <w:pPr>
              <w:pStyle w:val="Compact"/>
              <w:jc w:val="left"/>
            </w:pPr>
            <w:r>
              <w:rPr>
                <w:rFonts w:ascii="Arial" w:hAnsi="Arial" w:eastAsia="Arial"/>
                <w:sz w:val="16"/>
              </w:rPr>
              <w:t>Selected option changes under kernel perturbation test (Section 6.6)</w:t>
            </w:r>
          </w:p>
        </w:tc>
        <w:tc>
          <w:tcPr>
            <w:vAlign w:val="top"/>
            <w:tcMar>
              <w:top w:w="70" w:type="dxa"/>
              <w:start w:w="80" w:type="dxa"/>
              <w:bottom w:w="70" w:type="dxa"/>
              <w:end w:w="80" w:type="dxa"/>
            </w:tcMar>
            <w:shd w:fill="FFFFFF"/>
          </w:tcPr>
          <w:p>
            <w:pPr>
              <w:pStyle w:val="Compact"/>
              <w:jc w:val="left"/>
            </w:pPr>
            <w:r>
              <w:rPr>
                <w:rFonts w:ascii="Arial" w:hAnsi="Arial" w:eastAsia="Arial"/>
                <w:sz w:val="16"/>
              </w:rPr>
              <w:t>Escalation required; consider NONE mode</w:t>
            </w:r>
          </w:p>
        </w:tc>
        <w:tc>
          <w:tcPr>
            <w:vAlign w:val="top"/>
            <w:tcMar>
              <w:top w:w="70" w:type="dxa"/>
              <w:start w:w="80" w:type="dxa"/>
              <w:bottom w:w="70" w:type="dxa"/>
              <w:end w:w="80" w:type="dxa"/>
            </w:tcMar>
            <w:shd w:fill="FFFFFF"/>
          </w:tcPr>
          <w:p>
            <w:pPr>
              <w:pStyle w:val="Compact"/>
              <w:jc w:val="left"/>
            </w:pPr>
            <w:r>
              <w:rPr>
                <w:rFonts w:ascii="Arial" w:hAnsi="Arial" w:eastAsia="Arial"/>
                <w:sz w:val="16"/>
              </w:rPr>
              <w:t>ESCALATE</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KERNEL_HUMILITY_FALLBACK</w:t>
            </w:r>
          </w:p>
        </w:tc>
        <w:tc>
          <w:tcPr>
            <w:vAlign w:val="top"/>
            <w:tcMar>
              <w:top w:w="70" w:type="dxa"/>
              <w:start w:w="80" w:type="dxa"/>
              <w:bottom w:w="70" w:type="dxa"/>
              <w:end w:w="80" w:type="dxa"/>
            </w:tcMar>
            <w:shd w:fill="D9EAF7"/>
          </w:tcPr>
          <w:p>
            <w:pPr>
              <w:pStyle w:val="Compact"/>
              <w:jc w:val="left"/>
            </w:pPr>
            <w:r>
              <w:rPr>
                <w:rFonts w:ascii="Arial" w:hAnsi="Arial" w:eastAsia="Arial"/>
                <w:sz w:val="16"/>
              </w:rPr>
              <w:t>Kernel disabled due to KQS &lt; 0.40 or stability violation (Section 6.4, 6.5)</w:t>
            </w:r>
          </w:p>
        </w:tc>
        <w:tc>
          <w:tcPr>
            <w:vAlign w:val="top"/>
            <w:tcMar>
              <w:top w:w="70" w:type="dxa"/>
              <w:start w:w="80" w:type="dxa"/>
              <w:bottom w:w="70" w:type="dxa"/>
              <w:end w:w="80" w:type="dxa"/>
            </w:tcMar>
            <w:shd w:fill="D9EAF7"/>
          </w:tcPr>
          <w:p>
            <w:pPr>
              <w:pStyle w:val="Compact"/>
              <w:jc w:val="left"/>
            </w:pPr>
            <w:r>
              <w:rPr>
                <w:rFonts w:ascii="Arial" w:hAnsi="Arial" w:eastAsia="Arial"/>
                <w:sz w:val="16"/>
              </w:rPr>
              <w:t>Note limitation in PCC; plan kernel improvement</w:t>
            </w:r>
          </w:p>
        </w:tc>
        <w:tc>
          <w:tcPr>
            <w:vAlign w:val="top"/>
            <w:tcMar>
              <w:top w:w="70" w:type="dxa"/>
              <w:start w:w="80" w:type="dxa"/>
              <w:bottom w:w="70" w:type="dxa"/>
              <w:end w:w="80" w:type="dxa"/>
            </w:tcMar>
            <w:shd w:fill="D9EAF7"/>
          </w:tcPr>
          <w:p>
            <w:pPr>
              <w:pStyle w:val="Compact"/>
              <w:jc w:val="left"/>
            </w:pPr>
            <w:r>
              <w:rPr>
                <w:rFonts w:ascii="Arial" w:hAnsi="Arial" w:eastAsia="Arial"/>
                <w:sz w:val="16"/>
              </w:rPr>
              <w:t>REVIEW</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JUDGMENT_CALL_UCI_UNAVAILABLE</w:t>
            </w:r>
          </w:p>
        </w:tc>
        <w:tc>
          <w:tcPr>
            <w:vAlign w:val="top"/>
            <w:tcMar>
              <w:top w:w="70" w:type="dxa"/>
              <w:start w:w="80" w:type="dxa"/>
              <w:bottom w:w="70" w:type="dxa"/>
              <w:end w:w="80" w:type="dxa"/>
            </w:tcMar>
            <w:shd w:fill="FFFFFF"/>
          </w:tcPr>
          <w:p>
            <w:pPr>
              <w:pStyle w:val="Compact"/>
              <w:jc w:val="left"/>
            </w:pPr>
            <w:r>
              <w:rPr>
                <w:rFonts w:ascii="Arial" w:hAnsi="Arial" w:eastAsia="Arial"/>
                <w:sz w:val="16"/>
              </w:rPr>
              <w:t>UCI unavailable in non-decisive RLS tie</w:t>
            </w:r>
          </w:p>
        </w:tc>
        <w:tc>
          <w:tcPr>
            <w:vAlign w:val="top"/>
            <w:tcMar>
              <w:top w:w="70" w:type="dxa"/>
              <w:start w:w="80" w:type="dxa"/>
              <w:bottom w:w="70" w:type="dxa"/>
              <w:end w:w="80" w:type="dxa"/>
            </w:tcMar>
            <w:shd w:fill="FFFFFF"/>
          </w:tcPr>
          <w:p>
            <w:pPr>
              <w:pStyle w:val="Compact"/>
              <w:jc w:val="left"/>
            </w:pPr>
            <w:r>
              <w:rPr>
                <w:rFonts w:ascii="Arial" w:hAnsi="Arial" w:eastAsia="Arial"/>
                <w:sz w:val="16"/>
              </w:rPr>
              <w:t>Document why UCI unavailable, when UCI measurement returns, and interim decision basis; monitoring plan required</w:t>
            </w:r>
          </w:p>
        </w:tc>
        <w:tc>
          <w:tcPr>
            <w:vAlign w:val="top"/>
            <w:tcMar>
              <w:top w:w="70" w:type="dxa"/>
              <w:start w:w="80" w:type="dxa"/>
              <w:bottom w:w="70" w:type="dxa"/>
              <w:end w:w="80" w:type="dxa"/>
            </w:tcMar>
            <w:shd w:fill="FFFFFF"/>
          </w:tcPr>
          <w:p>
            <w:pPr>
              <w:pStyle w:val="Compact"/>
              <w:jc w:val="left"/>
            </w:pPr>
            <w:r>
              <w:rPr>
                <w:rFonts w:ascii="Arial" w:hAnsi="Arial" w:eastAsia="Arial"/>
                <w:sz w:val="16"/>
              </w:rPr>
              <w:t>REVIEW</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JUDGMENT_CALL_TIEBREAK_NONDECISIVE</w:t>
            </w:r>
          </w:p>
        </w:tc>
        <w:tc>
          <w:tcPr>
            <w:vAlign w:val="top"/>
            <w:tcMar>
              <w:top w:w="70" w:type="dxa"/>
              <w:start w:w="80" w:type="dxa"/>
              <w:bottom w:w="70" w:type="dxa"/>
              <w:end w:w="80" w:type="dxa"/>
            </w:tcMar>
            <w:shd w:fill="D9EAF7"/>
          </w:tcPr>
          <w:p>
            <w:pPr>
              <w:pStyle w:val="Compact"/>
              <w:jc w:val="left"/>
            </w:pPr>
            <w:r>
              <w:rPr>
                <w:rFonts w:ascii="Arial" w:hAnsi="Arial" w:eastAsia="Arial"/>
                <w:sz w:val="16"/>
              </w:rPr>
              <w:t>Tie-break chain did not resolve selection</w:t>
            </w:r>
          </w:p>
        </w:tc>
        <w:tc>
          <w:tcPr>
            <w:vAlign w:val="top"/>
            <w:tcMar>
              <w:top w:w="70" w:type="dxa"/>
              <w:start w:w="80" w:type="dxa"/>
              <w:bottom w:w="70" w:type="dxa"/>
              <w:end w:w="80" w:type="dxa"/>
            </w:tcMar>
            <w:shd w:fill="D9EAF7"/>
          </w:tcPr>
          <w:p>
            <w:pPr>
              <w:pStyle w:val="Compact"/>
              <w:jc w:val="left"/>
            </w:pPr>
            <w:r>
              <w:rPr>
                <w:rFonts w:ascii="Arial" w:hAnsi="Arial" w:eastAsia="Arial"/>
                <w:sz w:val="16"/>
              </w:rPr>
              <w:t>Explicit manual judgment record required; independent reviewer recommended (Tier 3)</w:t>
            </w:r>
          </w:p>
        </w:tc>
        <w:tc>
          <w:tcPr>
            <w:vAlign w:val="top"/>
            <w:tcMar>
              <w:top w:w="70" w:type="dxa"/>
              <w:start w:w="80" w:type="dxa"/>
              <w:bottom w:w="70" w:type="dxa"/>
              <w:end w:w="80" w:type="dxa"/>
            </w:tcMar>
            <w:shd w:fill="D9EAF7"/>
          </w:tcPr>
          <w:p>
            <w:pPr>
              <w:pStyle w:val="Compact"/>
              <w:jc w:val="left"/>
            </w:pPr>
            <w:r>
              <w:rPr>
                <w:rFonts w:ascii="Arial" w:hAnsi="Arial" w:eastAsia="Arial"/>
                <w:sz w:val="16"/>
              </w:rPr>
              <w:t>REVIEW</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SCI_BELOW_MINIMUM</w:t>
            </w:r>
          </w:p>
        </w:tc>
        <w:tc>
          <w:tcPr>
            <w:vAlign w:val="top"/>
            <w:tcMar>
              <w:top w:w="70" w:type="dxa"/>
              <w:start w:w="80" w:type="dxa"/>
              <w:bottom w:w="70" w:type="dxa"/>
              <w:end w:w="80" w:type="dxa"/>
            </w:tcMar>
            <w:shd w:fill="FFFFFF"/>
          </w:tcPr>
          <w:p>
            <w:pPr>
              <w:pStyle w:val="Compact"/>
              <w:jc w:val="left"/>
            </w:pPr>
            <w:r>
              <w:rPr>
                <w:rFonts w:ascii="Arial" w:hAnsi="Arial" w:eastAsia="Arial"/>
                <w:sz w:val="16"/>
              </w:rPr>
              <w:t>SCI &lt; tier minimum for the claimed tier, OR (SCI = tier minimum AND PCC missing required Next‑Run Upgrade action).</w:t>
            </w:r>
          </w:p>
        </w:tc>
        <w:tc>
          <w:tcPr>
            <w:vAlign w:val="top"/>
            <w:tcMar>
              <w:top w:w="70" w:type="dxa"/>
              <w:start w:w="80" w:type="dxa"/>
              <w:bottom w:w="70" w:type="dxa"/>
              <w:end w:w="80" w:type="dxa"/>
            </w:tcMar>
            <w:shd w:fill="FFFFFF"/>
          </w:tcPr>
          <w:p>
            <w:pPr>
              <w:pStyle w:val="Compact"/>
              <w:jc w:val="left"/>
            </w:pPr>
            <w:r>
              <w:rPr>
                <w:rFonts w:ascii="Arial" w:hAnsi="Arial" w:eastAsia="Arial"/>
                <w:sz w:val="16"/>
              </w:rPr>
              <w:t>PCC MUST record PCC.SCI.BelowMinimumDisposition = DOWNGRADE_TIER or RERUN_TO_MEET_MINIMUM. If SCI equals tier minimum and NextRunUpgradeAction is missing, treat as SCI_BELOW_MINIMUM. No tier compliance above achieved SCI may be claimed.</w:t>
            </w:r>
          </w:p>
        </w:tc>
        <w:tc>
          <w:tcPr>
            <w:vAlign w:val="top"/>
            <w:tcMar>
              <w:top w:w="70" w:type="dxa"/>
              <w:start w:w="80" w:type="dxa"/>
              <w:bottom w:w="70" w:type="dxa"/>
              <w:end w:w="80" w:type="dxa"/>
            </w:tcMar>
            <w:shd w:fill="FFFFFF"/>
          </w:tcPr>
          <w:p>
            <w:pPr>
              <w:pStyle w:val="Compact"/>
              <w:jc w:val="left"/>
            </w:pPr>
            <w:r>
              <w:rPr>
                <w:rFonts w:ascii="Arial" w:hAnsi="Arial" w:eastAsia="Arial"/>
                <w:sz w:val="16"/>
              </w:rPr>
              <w:t>ESCALATE</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CONFIG_DRIFT</w:t>
            </w:r>
          </w:p>
        </w:tc>
        <w:tc>
          <w:tcPr>
            <w:vAlign w:val="top"/>
            <w:tcMar>
              <w:top w:w="70" w:type="dxa"/>
              <w:start w:w="80" w:type="dxa"/>
              <w:bottom w:w="70" w:type="dxa"/>
              <w:end w:w="80" w:type="dxa"/>
            </w:tcMar>
            <w:shd w:fill="D9EAF7"/>
          </w:tcPr>
          <w:p>
            <w:pPr>
              <w:pStyle w:val="Compact"/>
              <w:jc w:val="left"/>
            </w:pPr>
            <w:r>
              <w:rPr>
                <w:rFonts w:ascii="Arial" w:hAnsi="Arial" w:eastAsia="Arial"/>
                <w:sz w:val="16"/>
              </w:rPr>
              <w:t>Parameters differ from prior run without governance update</w:t>
            </w:r>
          </w:p>
        </w:tc>
        <w:tc>
          <w:tcPr>
            <w:vAlign w:val="top"/>
            <w:tcMar>
              <w:top w:w="70" w:type="dxa"/>
              <w:start w:w="80" w:type="dxa"/>
              <w:bottom w:w="70" w:type="dxa"/>
              <w:end w:w="80" w:type="dxa"/>
            </w:tcMar>
            <w:shd w:fill="D9EAF7"/>
          </w:tcPr>
          <w:p>
            <w:pPr>
              <w:pStyle w:val="Compact"/>
              <w:jc w:val="left"/>
            </w:pPr>
            <w:r>
              <w:rPr>
                <w:rFonts w:ascii="Arial" w:hAnsi="Arial" w:eastAsia="Arial"/>
                <w:sz w:val="16"/>
              </w:rPr>
              <w:t>Governance review required before proceeding</w:t>
            </w:r>
          </w:p>
        </w:tc>
        <w:tc>
          <w:tcPr>
            <w:vAlign w:val="top"/>
            <w:tcMar>
              <w:top w:w="70" w:type="dxa"/>
              <w:start w:w="80" w:type="dxa"/>
              <w:bottom w:w="70" w:type="dxa"/>
              <w:end w:w="80" w:type="dxa"/>
            </w:tcMar>
            <w:shd w:fill="D9EAF7"/>
          </w:tcPr>
          <w:p>
            <w:pPr>
              <w:pStyle w:val="Compact"/>
              <w:jc w:val="left"/>
            </w:pPr>
            <w:r>
              <w:rPr>
                <w:rFonts w:ascii="Arial" w:hAnsi="Arial" w:eastAsia="Arial"/>
                <w:sz w:val="16"/>
              </w:rPr>
              <w:t>ESCALATE</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CONTAINMENT_UCI_UNAVAILABLE</w:t>
            </w:r>
          </w:p>
        </w:tc>
        <w:tc>
          <w:tcPr>
            <w:vAlign w:val="top"/>
            <w:tcMar>
              <w:top w:w="70" w:type="dxa"/>
              <w:start w:w="80" w:type="dxa"/>
              <w:bottom w:w="70" w:type="dxa"/>
              <w:end w:w="80" w:type="dxa"/>
            </w:tcMar>
            <w:shd w:fill="FFFFFF"/>
          </w:tcPr>
          <w:p>
            <w:pPr>
              <w:pStyle w:val="Compact"/>
              <w:jc w:val="left"/>
            </w:pPr>
            <w:r>
              <w:rPr>
                <w:rFonts w:ascii="Arial" w:hAnsi="Arial" w:eastAsia="Arial"/>
                <w:sz w:val="16"/>
              </w:rPr>
              <w:t>Containment evaluation required ΔUCI for containing union(s) but ΔUCI unavailable; or unknown ΔUCI treated as pass.</w:t>
            </w:r>
          </w:p>
        </w:tc>
        <w:tc>
          <w:tcPr>
            <w:vAlign w:val="top"/>
            <w:tcMar>
              <w:top w:w="70" w:type="dxa"/>
              <w:start w:w="80" w:type="dxa"/>
              <w:bottom w:w="70" w:type="dxa"/>
              <w:end w:w="80" w:type="dxa"/>
            </w:tcMar>
            <w:shd w:fill="FFFFFF"/>
          </w:tcPr>
          <w:p>
            <w:pPr>
              <w:pStyle w:val="Compact"/>
              <w:jc w:val="left"/>
            </w:pPr>
            <w:r>
              <w:rPr>
                <w:rFonts w:ascii="Arial" w:hAnsi="Arial" w:eastAsia="Arial"/>
                <w:sz w:val="16"/>
              </w:rPr>
              <w:t>Set flag. If Tier 3 was claimed or attempted, the run MUST NOT claim Tier 3 compliance. PCC MUST record PCC.Containment.UCIUnavailableDisposition = DOWNGRADE_TIER or COLLECT_DATA_RERUN and include PCC.Containment.UCIUnavailableRemediationTimeline (non-empty). If DOWNGRADE_TIER is chosen, the run proceeds under Tier 2 semantics (containment non-binding) and MUST set PCC.TierClaimDisposition = TIER_ATTEMPTED_NOT_ACHIEVED_DOWNGRADED with PCC.TierAttempted = 3 and PCC.TierAchieved = 2.</w:t>
            </w:r>
          </w:p>
        </w:tc>
        <w:tc>
          <w:tcPr>
            <w:vAlign w:val="top"/>
            <w:tcMar>
              <w:top w:w="70" w:type="dxa"/>
              <w:start w:w="80" w:type="dxa"/>
              <w:bottom w:w="70" w:type="dxa"/>
              <w:end w:w="80" w:type="dxa"/>
            </w:tcMar>
            <w:shd w:fill="FFFFFF"/>
          </w:tcPr>
          <w:p>
            <w:pPr>
              <w:pStyle w:val="Compact"/>
              <w:jc w:val="left"/>
            </w:pPr>
            <w:r>
              <w:rPr>
                <w:rFonts w:ascii="Arial" w:hAnsi="Arial" w:eastAsia="Arial"/>
                <w:sz w:val="16"/>
              </w:rPr>
              <w:t>ESCALATE</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PLSS_ESCALATION_TRIGGER_UNRESOLVED</w:t>
            </w:r>
          </w:p>
        </w:tc>
        <w:tc>
          <w:tcPr>
            <w:vAlign w:val="top"/>
            <w:tcMar>
              <w:top w:w="70" w:type="dxa"/>
              <w:start w:w="80" w:type="dxa"/>
              <w:bottom w:w="70" w:type="dxa"/>
              <w:end w:w="80" w:type="dxa"/>
            </w:tcMar>
            <w:shd w:fill="D9EAF7"/>
          </w:tcPr>
          <w:p>
            <w:pPr>
              <w:pStyle w:val="Compact"/>
              <w:jc w:val="left"/>
            </w:pPr>
            <w:r>
              <w:rPr>
                <w:rFonts w:ascii="Arial" w:hAnsi="Arial" w:eastAsia="Arial"/>
                <w:sz w:val="16"/>
              </w:rPr>
              <w:t>One or more Section 10.2A.7 escalation triggers is plausibly active, but the run proceeds in PLSS posture without an escalated posture or documented justification.</w:t>
            </w:r>
          </w:p>
        </w:tc>
        <w:tc>
          <w:tcPr>
            <w:vAlign w:val="top"/>
            <w:tcMar>
              <w:top w:w="70" w:type="dxa"/>
              <w:start w:w="80" w:type="dxa"/>
              <w:bottom w:w="70" w:type="dxa"/>
              <w:end w:w="80" w:type="dxa"/>
            </w:tcMar>
            <w:shd w:fill="D9EAF7"/>
          </w:tcPr>
          <w:p>
            <w:pPr>
              <w:pStyle w:val="Compact"/>
              <w:jc w:val="left"/>
            </w:pPr>
            <w:r>
              <w:rPr>
                <w:rFonts w:ascii="Arial" w:hAnsi="Arial" w:eastAsia="Arial"/>
                <w:sz w:val="16"/>
              </w:rPr>
              <w:t>Record a broader posture OR a specific non-escalation justification with evidence basis and reviewer sign-off where required by tier. If no such disposition is recorded, reject the run as non-conformant.</w:t>
            </w:r>
          </w:p>
        </w:tc>
        <w:tc>
          <w:tcPr>
            <w:vAlign w:val="top"/>
            <w:tcMar>
              <w:top w:w="70" w:type="dxa"/>
              <w:start w:w="80" w:type="dxa"/>
              <w:bottom w:w="70" w:type="dxa"/>
              <w:end w:w="80" w:type="dxa"/>
            </w:tcMar>
            <w:shd w:fill="D9EAF7"/>
          </w:tcPr>
          <w:p>
            <w:pPr>
              <w:pStyle w:val="Compact"/>
              <w:jc w:val="left"/>
            </w:pPr>
            <w:r>
              <w:rPr>
                <w:rFonts w:ascii="Arial" w:hAnsi="Arial" w:eastAsia="Arial"/>
                <w:sz w:val="16"/>
              </w:rPr>
              <w:t>ESCALATE</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REGISTRY_MISMATCH</w:t>
            </w:r>
          </w:p>
        </w:tc>
        <w:tc>
          <w:tcPr>
            <w:vAlign w:val="top"/>
            <w:tcMar>
              <w:top w:w="70" w:type="dxa"/>
              <w:start w:w="80" w:type="dxa"/>
              <w:bottom w:w="70" w:type="dxa"/>
              <w:end w:w="80" w:type="dxa"/>
            </w:tcMar>
            <w:shd w:fill="FFFFFF"/>
          </w:tcPr>
          <w:p>
            <w:pPr>
              <w:pStyle w:val="Compact"/>
              <w:jc w:val="left"/>
            </w:pPr>
            <w:r>
              <w:rPr>
                <w:rFonts w:ascii="Arial" w:hAnsi="Arial" w:eastAsia="Arial"/>
                <w:sz w:val="16"/>
              </w:rPr>
              <w:t>PCC snapshot differs from referenced registry hash</w:t>
            </w:r>
          </w:p>
        </w:tc>
        <w:tc>
          <w:tcPr>
            <w:vAlign w:val="top"/>
            <w:tcMar>
              <w:top w:w="70" w:type="dxa"/>
              <w:start w:w="80" w:type="dxa"/>
              <w:bottom w:w="70" w:type="dxa"/>
              <w:end w:w="80" w:type="dxa"/>
            </w:tcMar>
            <w:shd w:fill="FFFFFF"/>
          </w:tcPr>
          <w:p>
            <w:pPr>
              <w:pStyle w:val="Compact"/>
              <w:jc w:val="left"/>
            </w:pPr>
            <w:r>
              <w:rPr>
                <w:rFonts w:ascii="Arial" w:hAnsi="Arial" w:eastAsia="Arial"/>
                <w:sz w:val="16"/>
              </w:rPr>
              <w:t>Audit required; resolve discrepancy</w:t>
            </w:r>
          </w:p>
        </w:tc>
        <w:tc>
          <w:tcPr>
            <w:vAlign w:val="top"/>
            <w:tcMar>
              <w:top w:w="70" w:type="dxa"/>
              <w:start w:w="80" w:type="dxa"/>
              <w:bottom w:w="70" w:type="dxa"/>
              <w:end w:w="80" w:type="dxa"/>
            </w:tcMar>
            <w:shd w:fill="FFFFFF"/>
          </w:tcPr>
          <w:p>
            <w:pPr>
              <w:pStyle w:val="Compact"/>
              <w:jc w:val="left"/>
            </w:pPr>
            <w:r>
              <w:rPr>
                <w:rFonts w:ascii="Arial" w:hAnsi="Arial" w:eastAsia="Arial"/>
                <w:sz w:val="16"/>
              </w:rPr>
              <w:t>ESCALATE</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PLSS_PROMINENCE_SENSITIVE</w:t>
            </w:r>
          </w:p>
        </w:tc>
        <w:tc>
          <w:tcPr>
            <w:vAlign w:val="top"/>
            <w:tcMar>
              <w:top w:w="70" w:type="dxa"/>
              <w:start w:w="80" w:type="dxa"/>
              <w:bottom w:w="70" w:type="dxa"/>
              <w:end w:w="80" w:type="dxa"/>
            </w:tcMar>
            <w:shd w:fill="D9EAF7"/>
          </w:tcPr>
          <w:p>
            <w:pPr>
              <w:pStyle w:val="Compact"/>
              <w:jc w:val="left"/>
            </w:pPr>
            <w:r>
              <w:rPr>
                <w:rFonts w:ascii="Arial" w:hAnsi="Arial" w:eastAsia="Arial"/>
                <w:sz w:val="16"/>
              </w:rPr>
              <w:t>Valid alternative PLSS prominence constructions materially change the ranking order of selectable options or the selected option.</w:t>
            </w:r>
          </w:p>
        </w:tc>
        <w:tc>
          <w:tcPr>
            <w:vAlign w:val="top"/>
            <w:tcMar>
              <w:top w:w="70" w:type="dxa"/>
              <w:start w:w="80" w:type="dxa"/>
              <w:bottom w:w="70" w:type="dxa"/>
              <w:end w:w="80" w:type="dxa"/>
            </w:tcMar>
            <w:shd w:fill="D9EAF7"/>
          </w:tcPr>
          <w:p>
            <w:pPr>
              <w:pStyle w:val="Compact"/>
              <w:jc w:val="left"/>
            </w:pPr>
            <w:r>
              <w:rPr>
                <w:rFonts w:ascii="Arial" w:hAnsi="Arial" w:eastAsia="Arial"/>
                <w:sz w:val="16"/>
              </w:rPr>
              <w:t>Record the sensitivity, require reviewer attention, and do not present the PLSS outcome as uniquely robust without further justification.</w:t>
            </w:r>
          </w:p>
        </w:tc>
        <w:tc>
          <w:tcPr>
            <w:vAlign w:val="top"/>
            <w:tcMar>
              <w:top w:w="70" w:type="dxa"/>
              <w:start w:w="80" w:type="dxa"/>
              <w:bottom w:w="70" w:type="dxa"/>
              <w:end w:w="80" w:type="dxa"/>
            </w:tcMar>
            <w:shd w:fill="D9EAF7"/>
          </w:tcPr>
          <w:p>
            <w:pPr>
              <w:pStyle w:val="Compact"/>
              <w:jc w:val="left"/>
            </w:pPr>
            <w:r>
              <w:rPr>
                <w:rFonts w:ascii="Arial" w:hAnsi="Arial" w:eastAsia="Arial"/>
                <w:sz w:val="16"/>
              </w:rPr>
              <w:t>ESCALATE</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DECISIVENESS_METHOD_POSTHOC</w:t>
            </w:r>
          </w:p>
        </w:tc>
        <w:tc>
          <w:tcPr>
            <w:vAlign w:val="top"/>
            <w:tcMar>
              <w:top w:w="70" w:type="dxa"/>
              <w:start w:w="80" w:type="dxa"/>
              <w:bottom w:w="70" w:type="dxa"/>
              <w:end w:w="80" w:type="dxa"/>
            </w:tcMar>
            <w:shd w:fill="FFFFFF"/>
          </w:tcPr>
          <w:p>
            <w:pPr>
              <w:pStyle w:val="Compact"/>
              <w:jc w:val="left"/>
            </w:pPr>
            <w:r>
              <w:rPr>
                <w:rFonts w:ascii="Arial" w:hAnsi="Arial" w:eastAsia="Arial"/>
                <w:sz w:val="16"/>
              </w:rPr>
              <w:t>A method choice that can materially affect decisiveness, ranking within the selectable set, or tie-break outcome, including PLSS prominence construction, alternative PLSS operator, scope-posture escalation disposition, or UCI comparison method, is first declared only after comparative outcomes are observed and the PCC lacks the required reason code, reviewer disposition, or sensitivity note.</w:t>
            </w:r>
          </w:p>
        </w:tc>
        <w:tc>
          <w:tcPr>
            <w:vAlign w:val="top"/>
            <w:tcMar>
              <w:top w:w="70" w:type="dxa"/>
              <w:start w:w="80" w:type="dxa"/>
              <w:bottom w:w="70" w:type="dxa"/>
              <w:end w:w="80" w:type="dxa"/>
            </w:tcMar>
            <w:shd w:fill="FFFFFF"/>
          </w:tcPr>
          <w:p>
            <w:pPr>
              <w:pStyle w:val="Compact"/>
              <w:jc w:val="left"/>
            </w:pPr>
            <w:r>
              <w:rPr>
                <w:rFonts w:ascii="Arial" w:hAnsi="Arial" w:eastAsia="Arial"/>
                <w:sz w:val="16"/>
              </w:rPr>
              <w:t>Record the post hoc declaration, add the required reason code and sensitivity note, and require reviewer attention. If the missing disposition cannot be supplied, the run MUST NOT be presented as uniquely robust.</w:t>
            </w:r>
          </w:p>
        </w:tc>
        <w:tc>
          <w:tcPr>
            <w:vAlign w:val="top"/>
            <w:tcMar>
              <w:top w:w="70" w:type="dxa"/>
              <w:start w:w="80" w:type="dxa"/>
              <w:bottom w:w="70" w:type="dxa"/>
              <w:end w:w="80" w:type="dxa"/>
            </w:tcMar>
            <w:shd w:fill="FFFFFF"/>
          </w:tcPr>
          <w:p>
            <w:pPr>
              <w:pStyle w:val="Compact"/>
              <w:jc w:val="left"/>
            </w:pPr>
            <w:r>
              <w:rPr>
                <w:rFonts w:ascii="Arial" w:hAnsi="Arial" w:eastAsia="Arial"/>
                <w:sz w:val="16"/>
              </w:rPr>
              <w:t>ESCALATE</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EK_NONDEFAULT_TIER2_INVALID</w:t>
            </w:r>
          </w:p>
        </w:tc>
        <w:tc>
          <w:tcPr>
            <w:vAlign w:val="top"/>
            <w:tcMar>
              <w:top w:w="70" w:type="dxa"/>
              <w:start w:w="80" w:type="dxa"/>
              <w:bottom w:w="70" w:type="dxa"/>
              <w:end w:w="80" w:type="dxa"/>
            </w:tcMar>
            <w:shd w:fill="D9EAF7"/>
          </w:tcPr>
          <w:p>
            <w:pPr>
              <w:pStyle w:val="Compact"/>
              <w:jc w:val="left"/>
            </w:pPr>
            <w:r>
              <w:rPr>
                <w:rFonts w:ascii="Arial" w:hAnsi="Arial" w:eastAsia="Arial"/>
                <w:sz w:val="16"/>
              </w:rPr>
              <w:t>A Tier 2 run logs one or more instances with e_k ≠ 1.00 without a named governed instrument that explicitly permits a non-default value.</w:t>
            </w:r>
          </w:p>
        </w:tc>
        <w:tc>
          <w:tcPr>
            <w:vAlign w:val="top"/>
            <w:tcMar>
              <w:top w:w="70" w:type="dxa"/>
              <w:start w:w="80" w:type="dxa"/>
              <w:bottom w:w="70" w:type="dxa"/>
              <w:end w:w="80" w:type="dxa"/>
            </w:tcMar>
            <w:shd w:fill="D9EAF7"/>
          </w:tcPr>
          <w:p>
            <w:pPr>
              <w:pStyle w:val="Compact"/>
              <w:jc w:val="left"/>
            </w:pPr>
            <w:r>
              <w:rPr>
                <w:rFonts w:ascii="Arial" w:hAnsi="Arial" w:eastAsia="Arial"/>
                <w:sz w:val="16"/>
              </w:rPr>
              <w:t>Tier 2 runs MUST use e_k = 1.00 by default. Reset e_k to 1.00, or rerun under a governed Tier 3 posture with declared provenance and sensitivity evidence before claiming conformance.</w:t>
            </w:r>
          </w:p>
        </w:tc>
        <w:tc>
          <w:tcPr>
            <w:vAlign w:val="top"/>
            <w:tcMar>
              <w:top w:w="70" w:type="dxa"/>
              <w:start w:w="80" w:type="dxa"/>
              <w:bottom w:w="70" w:type="dxa"/>
              <w:end w:w="80" w:type="dxa"/>
            </w:tcMar>
            <w:shd w:fill="D9EAF7"/>
          </w:tcPr>
          <w:p>
            <w:pPr>
              <w:pStyle w:val="Compact"/>
              <w:jc w:val="left"/>
            </w:pPr>
            <w:r>
              <w:rPr>
                <w:rFonts w:ascii="Arial" w:hAnsi="Arial" w:eastAsia="Arial"/>
                <w:sz w:val="16"/>
              </w:rPr>
              <w:t>INVALID</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UNCERTAINTY_PROVENANCE_MISSING</w:t>
            </w:r>
          </w:p>
        </w:tc>
        <w:tc>
          <w:tcPr>
            <w:vAlign w:val="top"/>
            <w:tcMar>
              <w:top w:w="70" w:type="dxa"/>
              <w:start w:w="80" w:type="dxa"/>
              <w:bottom w:w="70" w:type="dxa"/>
              <w:end w:w="80" w:type="dxa"/>
            </w:tcMar>
            <w:shd w:fill="FFFFFF"/>
          </w:tcPr>
          <w:p>
            <w:pPr>
              <w:pStyle w:val="Compact"/>
              <w:jc w:val="left"/>
            </w:pPr>
            <w:r>
              <w:rPr>
                <w:rFonts w:ascii="Arial" w:hAnsi="Arial" w:eastAsia="Arial"/>
                <w:sz w:val="16"/>
              </w:rPr>
              <w:t>A Tier 2+ run requires uncertainty disclosure, provenance, or method declaration, but the PCC is missing the required uncertainty fields or basis record.</w:t>
            </w:r>
          </w:p>
        </w:tc>
        <w:tc>
          <w:tcPr>
            <w:vAlign w:val="top"/>
            <w:tcMar>
              <w:top w:w="70" w:type="dxa"/>
              <w:start w:w="80" w:type="dxa"/>
              <w:bottom w:w="70" w:type="dxa"/>
              <w:end w:w="80" w:type="dxa"/>
            </w:tcMar>
            <w:shd w:fill="FFFFFF"/>
          </w:tcPr>
          <w:p>
            <w:pPr>
              <w:pStyle w:val="Compact"/>
              <w:jc w:val="left"/>
            </w:pPr>
            <w:r>
              <w:rPr>
                <w:rFonts w:ascii="Arial" w:hAnsi="Arial" w:eastAsia="Arial"/>
                <w:sz w:val="16"/>
              </w:rPr>
              <w:t>Populate the required PCC uncertainty fields and provenance basis before claiming conformance. If the basis cannot be supplied, downgrade or reject the run as non-conformant.</w:t>
            </w:r>
          </w:p>
        </w:tc>
        <w:tc>
          <w:tcPr>
            <w:vAlign w:val="top"/>
            <w:tcMar>
              <w:top w:w="70" w:type="dxa"/>
              <w:start w:w="80" w:type="dxa"/>
              <w:bottom w:w="70" w:type="dxa"/>
              <w:end w:w="80" w:type="dxa"/>
            </w:tcMar>
            <w:shd w:fill="FFFFFF"/>
          </w:tcPr>
          <w:p>
            <w:pPr>
              <w:pStyle w:val="Compact"/>
              <w:jc w:val="left"/>
            </w:pPr>
            <w:r>
              <w:rPr>
                <w:rFonts w:ascii="Arial" w:hAnsi="Arial" w:eastAsia="Arial"/>
                <w:sz w:val="16"/>
              </w:rPr>
              <w:t>INVALID</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SCOPE_COVERAGE_REDUCED</w:t>
            </w:r>
          </w:p>
        </w:tc>
        <w:tc>
          <w:tcPr>
            <w:vAlign w:val="top"/>
            <w:tcMar>
              <w:top w:w="70" w:type="dxa"/>
              <w:start w:w="80" w:type="dxa"/>
              <w:bottom w:w="70" w:type="dxa"/>
              <w:end w:w="80" w:type="dxa"/>
            </w:tcMar>
            <w:shd w:fill="D9EAF7"/>
          </w:tcPr>
          <w:p>
            <w:pPr>
              <w:pStyle w:val="Compact"/>
              <w:jc w:val="left"/>
            </w:pPr>
            <w:r>
              <w:rPr>
                <w:rFonts w:ascii="Arial" w:hAnsi="Arial" w:eastAsia="Arial"/>
                <w:sz w:val="16"/>
              </w:rPr>
              <w:t>Reduced-scope mode is used (declared or implied by fewer than 7 active scopes) in a Tier 2+ run, OR the admissibility full-computation attestation for non-maskable cells is missing/incomplete.</w:t>
            </w:r>
          </w:p>
        </w:tc>
        <w:tc>
          <w:tcPr>
            <w:vAlign w:val="top"/>
            <w:tcMar>
              <w:top w:w="70" w:type="dxa"/>
              <w:start w:w="80" w:type="dxa"/>
              <w:bottom w:w="70" w:type="dxa"/>
              <w:end w:w="80" w:type="dxa"/>
            </w:tcMar>
            <w:shd w:fill="D9EAF7"/>
          </w:tcPr>
          <w:p>
            <w:pPr>
              <w:pStyle w:val="Compact"/>
              <w:jc w:val="left"/>
            </w:pPr>
            <w:r>
              <w:rPr>
                <w:rFonts w:ascii="Arial" w:hAnsi="Arial" w:eastAsia="Arial"/>
                <w:sz w:val="16"/>
              </w:rPr>
              <w:t>Reviewer MUST verify that NCRC/TRC/CSV were computed on all required non-maskable cells, and that omitted-scope blind spots plus escalation triggers are recorded. If reduced-scope is used repeatedly, require a next-run scope expansion plan.</w:t>
            </w:r>
          </w:p>
        </w:tc>
        <w:tc>
          <w:tcPr>
            <w:vAlign w:val="top"/>
            <w:tcMar>
              <w:top w:w="70" w:type="dxa"/>
              <w:start w:w="80" w:type="dxa"/>
              <w:bottom w:w="70" w:type="dxa"/>
              <w:end w:w="80" w:type="dxa"/>
            </w:tcMar>
            <w:shd w:fill="D9EAF7"/>
          </w:tcPr>
          <w:p>
            <w:pPr>
              <w:pStyle w:val="Compact"/>
              <w:jc w:val="left"/>
            </w:pPr>
            <w:r>
              <w:rPr>
                <w:rFonts w:ascii="Arial" w:hAnsi="Arial" w:eastAsia="Arial"/>
                <w:sz w:val="16"/>
              </w:rPr>
              <w:t>REVIEW</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UNCERTAINTY_DECISIVENESS_SENSITIVE</w:t>
            </w:r>
          </w:p>
        </w:tc>
        <w:tc>
          <w:tcPr>
            <w:vAlign w:val="top"/>
            <w:tcMar>
              <w:top w:w="70" w:type="dxa"/>
              <w:start w:w="80" w:type="dxa"/>
              <w:bottom w:w="70" w:type="dxa"/>
              <w:end w:w="80" w:type="dxa"/>
            </w:tcMar>
            <w:shd w:fill="FFFFFF"/>
          </w:tcPr>
          <w:p>
            <w:pPr>
              <w:pStyle w:val="Compact"/>
              <w:jc w:val="left"/>
            </w:pPr>
            <w:r>
              <w:rPr>
                <w:rFonts w:ascii="Arial" w:hAnsi="Arial" w:eastAsia="Arial"/>
                <w:sz w:val="16"/>
              </w:rPr>
              <w:t>Required uncertainty stress tests change whether the lead is decisive.</w:t>
            </w:r>
          </w:p>
        </w:tc>
        <w:tc>
          <w:tcPr>
            <w:vAlign w:val="top"/>
            <w:tcMar>
              <w:top w:w="70" w:type="dxa"/>
              <w:start w:w="80" w:type="dxa"/>
              <w:bottom w:w="70" w:type="dxa"/>
              <w:end w:w="80" w:type="dxa"/>
            </w:tcMar>
            <w:shd w:fill="FFFFFF"/>
          </w:tcPr>
          <w:p>
            <w:pPr>
              <w:pStyle w:val="Compact"/>
              <w:jc w:val="left"/>
            </w:pPr>
            <w:r>
              <w:rPr>
                <w:rFonts w:ascii="Arial" w:hAnsi="Arial" w:eastAsia="Arial"/>
                <w:sz w:val="16"/>
              </w:rPr>
              <w:t>Escalate or relabel the run non-decisive; apply tie-break or governance review before claiming a decisive welfare lead.</w:t>
            </w:r>
          </w:p>
        </w:tc>
        <w:tc>
          <w:tcPr>
            <w:vAlign w:val="top"/>
            <w:tcMar>
              <w:top w:w="70" w:type="dxa"/>
              <w:start w:w="80" w:type="dxa"/>
              <w:bottom w:w="70" w:type="dxa"/>
              <w:end w:w="80" w:type="dxa"/>
            </w:tcMar>
            <w:shd w:fill="FFFFFF"/>
          </w:tcPr>
          <w:p>
            <w:pPr>
              <w:pStyle w:val="Compact"/>
              <w:jc w:val="left"/>
            </w:pPr>
            <w:r>
              <w:rPr>
                <w:rFonts w:ascii="Arial" w:hAnsi="Arial" w:eastAsia="Arial"/>
                <w:sz w:val="16"/>
              </w:rPr>
              <w:t>ESCALATE</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RIGHTS_CELL_UNKNOWN_GATE_CRITICAL</w:t>
            </w:r>
          </w:p>
        </w:tc>
        <w:tc>
          <w:tcPr>
            <w:vAlign w:val="top"/>
            <w:tcMar>
              <w:top w:w="70" w:type="dxa"/>
              <w:start w:w="80" w:type="dxa"/>
              <w:bottom w:w="70" w:type="dxa"/>
              <w:end w:w="80" w:type="dxa"/>
            </w:tcMar>
            <w:shd w:fill="D9EAF7"/>
          </w:tcPr>
          <w:p>
            <w:pPr>
              <w:pStyle w:val="Compact"/>
              <w:jc w:val="left"/>
            </w:pPr>
            <w:r>
              <w:rPr>
                <w:rFonts w:ascii="Arial" w:hAnsi="Arial" w:eastAsia="Arial"/>
                <w:sz w:val="16"/>
              </w:rPr>
              <w:t>A rights-covered cell in C_r is declared UNKNOWN_IMPACT and admissibility is not preserved by a governed conservative bound or equivalent governed disposition.</w:t>
            </w:r>
          </w:p>
        </w:tc>
        <w:tc>
          <w:tcPr>
            <w:vAlign w:val="top"/>
            <w:tcMar>
              <w:top w:w="70" w:type="dxa"/>
              <w:start w:w="80" w:type="dxa"/>
              <w:bottom w:w="70" w:type="dxa"/>
              <w:end w:w="80" w:type="dxa"/>
            </w:tcMar>
            <w:shd w:fill="D9EAF7"/>
          </w:tcPr>
          <w:p>
            <w:pPr>
              <w:pStyle w:val="Compact"/>
              <w:jc w:val="left"/>
            </w:pPr>
            <w:r>
              <w:rPr>
                <w:rFonts w:ascii="Arial" w:hAnsi="Arial" w:eastAsia="Arial"/>
                <w:sz w:val="16"/>
              </w:rPr>
              <w:t>Do not resolve NCRC by phantom fallback alone. Apply a governed conservative bound sufficient to preserve the rights gate, or rerun / downgrade / escalate under a declared disposition.</w:t>
            </w:r>
          </w:p>
        </w:tc>
        <w:tc>
          <w:tcPr>
            <w:vAlign w:val="top"/>
            <w:tcMar>
              <w:top w:w="70" w:type="dxa"/>
              <w:start w:w="80" w:type="dxa"/>
              <w:bottom w:w="70" w:type="dxa"/>
              <w:end w:w="80" w:type="dxa"/>
            </w:tcMar>
            <w:shd w:fill="D9EAF7"/>
          </w:tcPr>
          <w:p>
            <w:pPr>
              <w:pStyle w:val="Compact"/>
              <w:jc w:val="left"/>
            </w:pPr>
            <w:r>
              <w:rPr>
                <w:rFonts w:ascii="Arial" w:hAnsi="Arial" w:eastAsia="Arial"/>
                <w:sz w:val="16"/>
              </w:rPr>
              <w:t>ESCALATE</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CATASTROPHE_CELL_UNKNOWN_GATE_CRITICAL</w:t>
            </w:r>
          </w:p>
        </w:tc>
        <w:tc>
          <w:tcPr>
            <w:vAlign w:val="top"/>
            <w:tcMar>
              <w:top w:w="70" w:type="dxa"/>
              <w:start w:w="80" w:type="dxa"/>
              <w:bottom w:w="70" w:type="dxa"/>
              <w:end w:w="80" w:type="dxa"/>
            </w:tcMar>
            <w:shd w:fill="FFFFFF"/>
          </w:tcPr>
          <w:p>
            <w:pPr>
              <w:pStyle w:val="Compact"/>
              <w:jc w:val="left"/>
            </w:pPr>
            <w:r>
              <w:rPr>
                <w:rFonts w:ascii="Arial" w:hAnsi="Arial" w:eastAsia="Arial"/>
                <w:sz w:val="16"/>
              </w:rPr>
              <w:t>A catastrophe-covered cell in C_cat is declared UNKNOWN_IMPACT and TRC is not preserved by a governed conservative scenario/cell bound or equivalent governed disposition.</w:t>
            </w:r>
          </w:p>
        </w:tc>
        <w:tc>
          <w:tcPr>
            <w:vAlign w:val="top"/>
            <w:tcMar>
              <w:top w:w="70" w:type="dxa"/>
              <w:start w:w="80" w:type="dxa"/>
              <w:bottom w:w="70" w:type="dxa"/>
              <w:end w:w="80" w:type="dxa"/>
            </w:tcMar>
            <w:shd w:fill="FFFFFF"/>
          </w:tcPr>
          <w:p>
            <w:pPr>
              <w:pStyle w:val="Compact"/>
              <w:jc w:val="left"/>
            </w:pPr>
            <w:r>
              <w:rPr>
                <w:rFonts w:ascii="Arial" w:hAnsi="Arial" w:eastAsia="Arial"/>
                <w:sz w:val="16"/>
              </w:rPr>
              <w:t>Do not resolve TRC by phantom fallback alone. Apply a governed conservative catastrophe bound, or rerun / downgrade / escalate under a declared disposition.</w:t>
            </w:r>
          </w:p>
        </w:tc>
        <w:tc>
          <w:tcPr>
            <w:vAlign w:val="top"/>
            <w:tcMar>
              <w:top w:w="70" w:type="dxa"/>
              <w:start w:w="80" w:type="dxa"/>
              <w:bottom w:w="70" w:type="dxa"/>
              <w:end w:w="80" w:type="dxa"/>
            </w:tcMar>
            <w:shd w:fill="FFFFFF"/>
          </w:tcPr>
          <w:p>
            <w:pPr>
              <w:pStyle w:val="Compact"/>
              <w:jc w:val="left"/>
            </w:pPr>
            <w:r>
              <w:rPr>
                <w:rFonts w:ascii="Arial" w:hAnsi="Arial" w:eastAsia="Arial"/>
                <w:sz w:val="16"/>
              </w:rPr>
              <w:t>ESCALATE</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NORMATIVE_INPUT_PROVENANCE_MISSING</w:t>
            </w:r>
          </w:p>
        </w:tc>
        <w:tc>
          <w:tcPr>
            <w:vAlign w:val="top"/>
            <w:tcMar>
              <w:top w:w="70" w:type="dxa"/>
              <w:start w:w="80" w:type="dxa"/>
              <w:bottom w:w="70" w:type="dxa"/>
              <w:end w:w="80" w:type="dxa"/>
            </w:tcMar>
            <w:shd w:fill="D9EAF7"/>
          </w:tcPr>
          <w:p>
            <w:pPr>
              <w:pStyle w:val="Compact"/>
              <w:jc w:val="left"/>
            </w:pPr>
            <w:r>
              <w:rPr>
                <w:rFonts w:ascii="Arial" w:hAnsi="Arial" w:eastAsia="Arial"/>
                <w:sz w:val="16"/>
              </w:rPr>
              <w:t>A welfare-relevant state, rights-relevant state, or enabling condition materially affects admissibility, precautionary handling, selection, or tie-break outcome, but the PCC lacks a corresponding NormativeInputRegister entry, or the entry lacks the required evidence basis, governed interpretation basis, or precautionary basis.</w:t>
            </w:r>
          </w:p>
        </w:tc>
        <w:tc>
          <w:tcPr>
            <w:vAlign w:val="top"/>
            <w:tcMar>
              <w:top w:w="70" w:type="dxa"/>
              <w:start w:w="80" w:type="dxa"/>
              <w:bottom w:w="70" w:type="dxa"/>
              <w:end w:w="80" w:type="dxa"/>
            </w:tcMar>
            <w:shd w:fill="D9EAF7"/>
          </w:tcPr>
          <w:p>
            <w:pPr>
              <w:pStyle w:val="Compact"/>
              <w:jc w:val="left"/>
            </w:pPr>
            <w:r>
              <w:rPr>
                <w:rFonts w:ascii="Arial" w:hAnsi="Arial" w:eastAsia="Arial"/>
                <w:sz w:val="16"/>
              </w:rPr>
              <w:t>Populate PCC.NormativeInputRegister with complete provenance and rerun the affected gate or ranking. No conformance claim may be made until corrected.</w:t>
            </w:r>
          </w:p>
        </w:tc>
        <w:tc>
          <w:tcPr>
            <w:vAlign w:val="top"/>
            <w:tcMar>
              <w:top w:w="70" w:type="dxa"/>
              <w:start w:w="80" w:type="dxa"/>
              <w:bottom w:w="70" w:type="dxa"/>
              <w:end w:w="80" w:type="dxa"/>
            </w:tcMar>
            <w:shd w:fill="D9EAF7"/>
          </w:tcPr>
          <w:p>
            <w:pPr>
              <w:pStyle w:val="Compact"/>
              <w:jc w:val="left"/>
            </w:pPr>
            <w:r>
              <w:rPr>
                <w:rFonts w:ascii="Arial" w:hAnsi="Arial" w:eastAsia="Arial"/>
                <w:sz w:val="16"/>
              </w:rPr>
              <w:t>INVALID</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CLAIM_EXCEEDS_CLOSURE_BOUNDARY</w:t>
            </w:r>
          </w:p>
        </w:tc>
        <w:tc>
          <w:tcPr>
            <w:vAlign w:val="top"/>
            <w:tcMar>
              <w:top w:w="70" w:type="dxa"/>
              <w:start w:w="80" w:type="dxa"/>
              <w:bottom w:w="70" w:type="dxa"/>
              <w:end w:w="80" w:type="dxa"/>
            </w:tcMar>
            <w:shd w:fill="FFFFFF"/>
          </w:tcPr>
          <w:p>
            <w:pPr>
              <w:pStyle w:val="Compact"/>
              <w:jc w:val="left"/>
            </w:pPr>
            <w:r>
              <w:rPr>
                <w:rFonts w:ascii="Arial" w:hAnsi="Arial" w:eastAsia="Arial"/>
                <w:sz w:val="16"/>
              </w:rPr>
              <w:t>A run makes a public, conformance, deployment-readiness, execution-bound, or validation claim beyond the declared PCC.ComputationalClosure boundary.</w:t>
            </w:r>
          </w:p>
        </w:tc>
        <w:tc>
          <w:tcPr>
            <w:vAlign w:val="top"/>
            <w:tcMar>
              <w:top w:w="70" w:type="dxa"/>
              <w:start w:w="80" w:type="dxa"/>
              <w:bottom w:w="70" w:type="dxa"/>
              <w:end w:w="80" w:type="dxa"/>
            </w:tcMar>
            <w:shd w:fill="FFFFFF"/>
          </w:tcPr>
          <w:p>
            <w:pPr>
              <w:pStyle w:val="Compact"/>
              <w:jc w:val="left"/>
            </w:pPr>
            <w:r>
              <w:rPr>
                <w:rFonts w:ascii="Arial" w:hAnsi="Arial" w:eastAsia="Arial"/>
                <w:sz w:val="16"/>
              </w:rPr>
              <w:t>Narrow the claim to the declared closure boundary, expand the computation and rerun, or enter Refusal/escalation. The unsupported claim is invalid until corrected.</w:t>
            </w:r>
          </w:p>
        </w:tc>
        <w:tc>
          <w:tcPr>
            <w:vAlign w:val="top"/>
            <w:tcMar>
              <w:top w:w="70" w:type="dxa"/>
              <w:start w:w="80" w:type="dxa"/>
              <w:bottom w:w="70" w:type="dxa"/>
              <w:end w:w="80" w:type="dxa"/>
            </w:tcMar>
            <w:shd w:fill="FFFFFF"/>
          </w:tcPr>
          <w:p>
            <w:pPr>
              <w:pStyle w:val="Compact"/>
              <w:jc w:val="left"/>
            </w:pPr>
            <w:r>
              <w:rPr>
                <w:rFonts w:ascii="Arial" w:hAnsi="Arial" w:eastAsia="Arial"/>
                <w:sz w:val="16"/>
              </w:rPr>
              <w:t>INVALID for the affected claim.</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CATEGORY_COLLAPSE_FLAG</w:t>
            </w:r>
          </w:p>
        </w:tc>
        <w:tc>
          <w:tcPr>
            <w:vAlign w:val="top"/>
            <w:tcMar>
              <w:top w:w="70" w:type="dxa"/>
              <w:start w:w="80" w:type="dxa"/>
              <w:bottom w:w="70" w:type="dxa"/>
              <w:end w:w="80" w:type="dxa"/>
            </w:tcMar>
            <w:shd w:fill="D9EAF7"/>
          </w:tcPr>
          <w:p>
            <w:pPr>
              <w:pStyle w:val="Compact"/>
              <w:jc w:val="left"/>
            </w:pPr>
            <w:r>
              <w:rPr>
                <w:rFonts w:ascii="Arial" w:hAnsi="Arial" w:eastAsia="Arial"/>
                <w:sz w:val="16"/>
              </w:rPr>
              <w:t>PCC.CategoryCollapseSelfTest returns FAIL on any category-collapse item, including treating compliance as correctness, traceability as admissibility, moral status as governance authority, or SGP welfare scalars as admissibility modifiers.</w:t>
            </w:r>
          </w:p>
        </w:tc>
        <w:tc>
          <w:tcPr>
            <w:vAlign w:val="top"/>
            <w:tcMar>
              <w:top w:w="70" w:type="dxa"/>
              <w:start w:w="80" w:type="dxa"/>
              <w:bottom w:w="70" w:type="dxa"/>
              <w:end w:w="80" w:type="dxa"/>
            </w:tcMar>
            <w:shd w:fill="D9EAF7"/>
          </w:tcPr>
          <w:p>
            <w:pPr>
              <w:pStyle w:val="Compact"/>
              <w:jc w:val="left"/>
            </w:pPr>
            <w:r>
              <w:rPr>
                <w:rFonts w:ascii="Arial" w:hAnsi="Arial" w:eastAsia="Arial"/>
                <w:sz w:val="16"/>
              </w:rPr>
              <w:t>Identify the collapsed layer, correct the run, or enter Refusal if the collapse affects admissibility, selectability, or selection.</w:t>
            </w:r>
          </w:p>
        </w:tc>
        <w:tc>
          <w:tcPr>
            <w:vAlign w:val="top"/>
            <w:tcMar>
              <w:top w:w="70" w:type="dxa"/>
              <w:start w:w="80" w:type="dxa"/>
              <w:bottom w:w="70" w:type="dxa"/>
              <w:end w:w="80" w:type="dxa"/>
            </w:tcMar>
            <w:shd w:fill="D9EAF7"/>
          </w:tcPr>
          <w:p>
            <w:pPr>
              <w:pStyle w:val="Compact"/>
              <w:jc w:val="left"/>
            </w:pPr>
            <w:r>
              <w:rPr>
                <w:rFonts w:ascii="Arial" w:hAnsi="Arial" w:eastAsia="Arial"/>
                <w:sz w:val="16"/>
              </w:rPr>
              <w:t>ESCALATE; INVALID if the collapse affects admissibility, selectability, selection, or conformance.</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PCC_MATURITY_SURFACE_INCOMPLETE</w:t>
            </w:r>
          </w:p>
        </w:tc>
        <w:tc>
          <w:tcPr>
            <w:vAlign w:val="top"/>
            <w:tcMar>
              <w:top w:w="70" w:type="dxa"/>
              <w:start w:w="80" w:type="dxa"/>
              <w:bottom w:w="70" w:type="dxa"/>
              <w:end w:w="80" w:type="dxa"/>
            </w:tcMar>
            <w:shd w:fill="FFFFFF"/>
          </w:tcPr>
          <w:p>
            <w:pPr>
              <w:pStyle w:val="Compact"/>
              <w:jc w:val="left"/>
            </w:pPr>
            <w:r>
              <w:rPr>
                <w:rFonts w:ascii="Arial" w:hAnsi="Arial" w:eastAsia="Arial"/>
                <w:sz w:val="16"/>
              </w:rPr>
              <w:t>A Tier 2-3 claim-bearing run lacks an applicable required measurement-maturity field under Section 14.3B / Appendix V, including UCI, Kernel, HDW, PLSS, Deployment Context, or Biological Evaluation Maturity fields.</w:t>
            </w:r>
          </w:p>
        </w:tc>
        <w:tc>
          <w:tcPr>
            <w:vAlign w:val="top"/>
            <w:tcMar>
              <w:top w:w="70" w:type="dxa"/>
              <w:start w:w="80" w:type="dxa"/>
              <w:bottom w:w="70" w:type="dxa"/>
              <w:end w:w="80" w:type="dxa"/>
            </w:tcMar>
            <w:shd w:fill="FFFFFF"/>
          </w:tcPr>
          <w:p>
            <w:pPr>
              <w:pStyle w:val="Compact"/>
              <w:jc w:val="left"/>
            </w:pPr>
            <w:r>
              <w:rPr>
                <w:rFonts w:ascii="Arial" w:hAnsi="Arial" w:eastAsia="Arial"/>
                <w:sz w:val="16"/>
              </w:rPr>
              <w:t>Populate the missing maturity field(s), downgrade/narrow the claim, or reject the run as non-conformant for the affected claim.</w:t>
            </w:r>
          </w:p>
        </w:tc>
        <w:tc>
          <w:tcPr>
            <w:vAlign w:val="top"/>
            <w:tcMar>
              <w:top w:w="70" w:type="dxa"/>
              <w:start w:w="80" w:type="dxa"/>
              <w:bottom w:w="70" w:type="dxa"/>
              <w:end w:w="80" w:type="dxa"/>
            </w:tcMar>
            <w:shd w:fill="FFFFFF"/>
          </w:tcPr>
          <w:p>
            <w:pPr>
              <w:pStyle w:val="Compact"/>
              <w:jc w:val="left"/>
            </w:pPr>
            <w:r>
              <w:rPr>
                <w:rFonts w:ascii="Arial" w:hAnsi="Arial" w:eastAsia="Arial"/>
                <w:sz w:val="16"/>
              </w:rPr>
              <w:t>ESCALATE; INVALID for any empirical-readiness, operational-completeness, validated-UCI, validated-kernel, biological-measurement-completeness, or Tier-4/ProofPack-adjacent claim.</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COMPUTABLE_BUT_INADMISSIBLE</w:t>
            </w:r>
          </w:p>
        </w:tc>
        <w:tc>
          <w:tcPr>
            <w:vAlign w:val="top"/>
            <w:tcMar>
              <w:top w:w="70" w:type="dxa"/>
              <w:start w:w="80" w:type="dxa"/>
              <w:bottom w:w="70" w:type="dxa"/>
              <w:end w:w="80" w:type="dxa"/>
            </w:tcMar>
            <w:shd w:fill="D9EAF7"/>
          </w:tcPr>
          <w:p>
            <w:pPr>
              <w:pStyle w:val="Compact"/>
              <w:jc w:val="left"/>
            </w:pPr>
            <w:r>
              <w:rPr>
                <w:rFonts w:ascii="Arial" w:hAnsi="Arial" w:eastAsia="Arial"/>
                <w:sz w:val="16"/>
              </w:rPr>
              <w:t>A value, formula, model output, scalar, ranking, or workflow result computes successfully, but declared domain rules bar its use as a decision state, conformance basis, public claim, or authorization basis.</w:t>
            </w:r>
          </w:p>
        </w:tc>
        <w:tc>
          <w:tcPr>
            <w:vAlign w:val="top"/>
            <w:tcMar>
              <w:top w:w="70" w:type="dxa"/>
              <w:start w:w="80" w:type="dxa"/>
              <w:bottom w:w="70" w:type="dxa"/>
              <w:end w:w="80" w:type="dxa"/>
            </w:tcMar>
            <w:shd w:fill="D9EAF7"/>
          </w:tcPr>
          <w:p>
            <w:pPr>
              <w:pStyle w:val="Compact"/>
              <w:jc w:val="left"/>
            </w:pPr>
            <w:r>
              <w:rPr>
                <w:rFonts w:ascii="Arial" w:hAnsi="Arial" w:eastAsia="Arial"/>
                <w:sz w:val="16"/>
              </w:rPr>
              <w:t>Record PCC.CBI.ComputedObject, PCC.CBI.InadmissibilityReason, PCC.CBI.Layer, PCC.CBI.AllowedUse, PCC.CBI.ProhibitedUse, and PCC.CBI.ReviewStatus. Mirror ripple.md W.3 where wrapper assurance applies. Disclose and escalate when gate-relevant.</w:t>
            </w:r>
          </w:p>
        </w:tc>
        <w:tc>
          <w:tcPr>
            <w:vAlign w:val="top"/>
            <w:tcMar>
              <w:top w:w="70" w:type="dxa"/>
              <w:start w:w="80" w:type="dxa"/>
              <w:bottom w:w="70" w:type="dxa"/>
              <w:end w:w="80" w:type="dxa"/>
            </w:tcMar>
            <w:shd w:fill="D9EAF7"/>
          </w:tcPr>
          <w:p>
            <w:pPr>
              <w:pStyle w:val="Compact"/>
              <w:jc w:val="left"/>
            </w:pPr>
            <w:r>
              <w:rPr>
                <w:rFonts w:ascii="Arial" w:hAnsi="Arial" w:eastAsia="Arial"/>
                <w:sz w:val="16"/>
              </w:rPr>
              <w:t>DISCLOSE; ESCALATE if gate-relevant; INVALID for any selection, deployment, conformance, or maturity claim relying on the barred computed value.</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REALITY_GROUNDING_RECORD_MISSING</w:t>
            </w:r>
          </w:p>
        </w:tc>
        <w:tc>
          <w:tcPr>
            <w:vAlign w:val="top"/>
            <w:tcMar>
              <w:top w:w="70" w:type="dxa"/>
              <w:start w:w="80" w:type="dxa"/>
              <w:bottom w:w="70" w:type="dxa"/>
              <w:end w:w="80" w:type="dxa"/>
            </w:tcMar>
            <w:shd w:fill="FFFFFF"/>
          </w:tcPr>
          <w:p>
            <w:pPr>
              <w:pStyle w:val="Compact"/>
              <w:jc w:val="left"/>
            </w:pPr>
            <w:r>
              <w:rPr>
                <w:rFonts w:ascii="Arial" w:hAnsi="Arial" w:eastAsia="Arial"/>
                <w:sz w:val="16"/>
              </w:rPr>
              <w:t>Required PCC.RealityGroundingRecord is absent for a claim-bearing Tier 2 or Tier 3 run, or for any run whose material reality claims affect NCRC, TRC, CSV, deterministic selection, authority-selection disclosure, or conformance claims.</w:t>
            </w:r>
          </w:p>
        </w:tc>
        <w:tc>
          <w:tcPr>
            <w:vAlign w:val="top"/>
            <w:tcMar>
              <w:top w:w="70" w:type="dxa"/>
              <w:start w:w="80" w:type="dxa"/>
              <w:bottom w:w="70" w:type="dxa"/>
              <w:end w:w="80" w:type="dxa"/>
            </w:tcMar>
            <w:shd w:fill="FFFFFF"/>
          </w:tcPr>
          <w:p>
            <w:pPr>
              <w:pStyle w:val="Compact"/>
              <w:jc w:val="left"/>
            </w:pPr>
            <w:r>
              <w:rPr>
                <w:rFonts w:ascii="Arial" w:hAnsi="Arial" w:eastAsia="Arial"/>
                <w:sz w:val="16"/>
              </w:rPr>
              <w:t>Add the RCR, narrow the claim, escalate, or refuse the stronger decision state. The affected claim cannot be treated as supported until the RCR exists.</w:t>
            </w:r>
          </w:p>
        </w:tc>
        <w:tc>
          <w:tcPr>
            <w:vAlign w:val="top"/>
            <w:tcMar>
              <w:top w:w="70" w:type="dxa"/>
              <w:start w:w="80" w:type="dxa"/>
              <w:bottom w:w="70" w:type="dxa"/>
              <w:end w:w="80" w:type="dxa"/>
            </w:tcMar>
            <w:shd w:fill="FFFFFF"/>
          </w:tcPr>
          <w:p>
            <w:pPr>
              <w:pStyle w:val="Compact"/>
              <w:jc w:val="left"/>
            </w:pPr>
            <w:r>
              <w:rPr>
                <w:rFonts w:ascii="Arial" w:hAnsi="Arial" w:eastAsia="Arial"/>
                <w:sz w:val="16"/>
              </w:rPr>
              <w:t>INVALID for affected claim</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REALITY_GROUNDING_STATUS_UNSUPPORTED</w:t>
            </w:r>
          </w:p>
        </w:tc>
        <w:tc>
          <w:tcPr>
            <w:vAlign w:val="top"/>
            <w:tcMar>
              <w:top w:w="70" w:type="dxa"/>
              <w:start w:w="80" w:type="dxa"/>
              <w:bottom w:w="70" w:type="dxa"/>
              <w:end w:w="80" w:type="dxa"/>
            </w:tcMar>
            <w:shd w:fill="D9EAF7"/>
          </w:tcPr>
          <w:p>
            <w:pPr>
              <w:pStyle w:val="Compact"/>
              <w:jc w:val="left"/>
            </w:pPr>
            <w:r>
              <w:rPr>
                <w:rFonts w:ascii="Arial" w:hAnsi="Arial" w:eastAsia="Arial"/>
                <w:sz w:val="16"/>
              </w:rPr>
              <w:t>Declared RealityGroundingStatus exceeds what the EvidenceTrace, reviewer status, or declared reality surface substantiates.</w:t>
            </w:r>
          </w:p>
        </w:tc>
        <w:tc>
          <w:tcPr>
            <w:vAlign w:val="top"/>
            <w:tcMar>
              <w:top w:w="70" w:type="dxa"/>
              <w:start w:w="80" w:type="dxa"/>
              <w:bottom w:w="70" w:type="dxa"/>
              <w:end w:w="80" w:type="dxa"/>
            </w:tcMar>
            <w:shd w:fill="D9EAF7"/>
          </w:tcPr>
          <w:p>
            <w:pPr>
              <w:pStyle w:val="Compact"/>
              <w:jc w:val="left"/>
            </w:pPr>
            <w:r>
              <w:rPr>
                <w:rFonts w:ascii="Arial" w:hAnsi="Arial" w:eastAsia="Arial"/>
                <w:sz w:val="16"/>
              </w:rPr>
              <w:t>Downgrade the status, add evidence and reviewer trace, or refuse the stronger claim. If used for a gate, deterministic selection, authority selection, or conformance claim, the claim is invalid until corrected.</w:t>
            </w:r>
          </w:p>
        </w:tc>
        <w:tc>
          <w:tcPr>
            <w:vAlign w:val="top"/>
            <w:tcMar>
              <w:top w:w="70" w:type="dxa"/>
              <w:start w:w="80" w:type="dxa"/>
              <w:bottom w:w="70" w:type="dxa"/>
              <w:end w:w="80" w:type="dxa"/>
            </w:tcMar>
            <w:shd w:fill="D9EAF7"/>
          </w:tcPr>
          <w:p>
            <w:pPr>
              <w:pStyle w:val="Compact"/>
              <w:jc w:val="left"/>
            </w:pPr>
            <w:r>
              <w:rPr>
                <w:rFonts w:ascii="Arial" w:hAnsi="Arial" w:eastAsia="Arial"/>
                <w:sz w:val="16"/>
              </w:rPr>
              <w:t>ESCALATE; INVALID if used for gate, selection, authority, or conformance</w:t>
            </w:r>
          </w:p>
        </w:tc>
      </w:tr>
    </w:tbl>
    <w:bookmarkEnd w:id="227"/>
    <w:bookmarkStart w:id="228" w:name="Xb8fde73338fcb035e38855d97eb993a1d94f256"/>
    <w:p>
      <w:pPr>
        <w:pStyle w:val="Heading2"/>
      </w:pPr>
      <w:r>
        <w:t>14.3B Minimal Validator Requirements (v10.6+; Normative)</w:t>
      </w:r>
    </w:p>
    <w:p>
      <w:pPr>
        <w:pStyle w:val="FirstParagraph"/>
      </w:pPr>
      <w:r>
        <w:t>Any conformant RippleLogic v12.3.1 validator MUST check the following:</w:t>
      </w:r>
    </w:p>
    <w:p>
      <w:pPr>
        <w:pStyle w:val="Compact"/>
        <w:numPr>
          <w:ilvl w:val="0"/>
          <w:numId w:val="1158"/>
        </w:numPr>
      </w:pPr>
      <w:r>
        <w:t>Every declared instance maps to ≥1 scope (InstanceMap completeness).</w:t>
      </w:r>
    </w:p>
    <w:p>
      <w:pPr>
        <w:pStyle w:val="Compact"/>
        <w:numPr>
          <w:ilvl w:val="0"/>
          <w:numId w:val="1159"/>
        </w:numPr>
      </w:pPr>
      <w:r>
        <w:t>Confirm PCC.ScopeCoverageDeclaration.Mode is declared as FULL_SCOPE or REDUCED_SCOPE; if Mode = REDUCED_SCOPE then ScopeCoverage block is present with a blind-spot statement and escalation triggers.</w:t>
      </w:r>
    </w:p>
    <w:p>
      <w:pPr>
        <w:pStyle w:val="Compact"/>
        <w:numPr>
          <w:ilvl w:val="0"/>
          <w:numId w:val="1160"/>
        </w:numPr>
      </w:pPr>
      <w:r>
        <w:t>If Mode = REDUCED_SCOPE: PCC.AdmissibilityAttestation.NCRC_full_Cr_computed is present and TRUE.</w:t>
      </w:r>
    </w:p>
    <w:p>
      <w:pPr>
        <w:pStyle w:val="FirstParagraph"/>
      </w:pPr>
      <w:r>
        <w:t>If Mode = REDUCED_SCOPE: PCC.AdmissibilityAttestation.TRC_full_Ccat_computed is present and (TRUE or NA).</w:t>
      </w:r>
    </w:p>
    <w:p>
      <w:pPr>
        <w:pStyle w:val="BodyText"/>
      </w:pPr>
      <w:r>
        <w:t>If TRC is computed/required (i.e., not NA): verify mandatory tail categories are present (or justified) and per-category probability sums meet p_floor; otherwise require the corresponding audit flags (MANDATORY_TAIL_CATEGORY_MISSING / ...WITH_JUSTIFICATION / MANDATORY_TAIL_PROB_FLOOR_VIOLATION).</w:t>
      </w:r>
    </w:p>
    <w:p>
      <w:pPr>
        <w:pStyle w:val="BodyText"/>
      </w:pPr>
      <w:r>
        <w:t>If Mode = REDUCED_SCOPE: PCC.AdmissibilityAttestation.Containment_computed_as_applicable is present and (TRUE or NA).</w:t>
      </w:r>
    </w:p>
    <w:p>
      <w:pPr>
        <w:pStyle w:val="BodyText"/>
      </w:pPr>
      <w:r>
        <w:t>If CONTAINMENT_UCI_UNAVAILABLE triggers: audit flag is present, and PCC.Containment.UCIUnavailableDisposition + PCC.Containment.UCIUnavailableRemediationTimeline are present (non-empty).</w:t>
      </w:r>
    </w:p>
    <w:p>
      <w:pPr>
        <w:pStyle w:val="BodyText"/>
      </w:pPr>
      <w:r>
        <w:t>Tier-3 claim enforcement (Normative). If Implementation Tier = 3 and CONTAINMENT_UCI_UNAVAILABLE is present, the validator MUST reject Tier 3 compliance unless PCC.TierClaimDisposition = TIER_ATTEMPTED_NOT_ACHIEVED_DOWNGRADED and PCC.TierAchieved = 2.</w:t>
      </w:r>
    </w:p>
    <w:p>
      <w:pPr>
        <w:pStyle w:val="Compact"/>
        <w:numPr>
          <w:ilvl w:val="0"/>
          <w:numId w:val="1161"/>
        </w:numPr>
      </w:pPr>
      <w:r>
        <w:t>Non-maskable checks: rights-covered cells and catastrophe cells are unmasked (no bypass).</w:t>
      </w:r>
    </w:p>
    <w:p>
      <w:pPr>
        <w:pStyle w:val="Compact"/>
        <w:numPr>
          <w:ilvl w:val="0"/>
          <w:numId w:val="1162"/>
        </w:numPr>
      </w:pPr>
      <w:r>
        <w:t>If ALLOCATION used: Σα ≤ 1 for each declared effect-token.</w:t>
      </w:r>
    </w:p>
    <w:p>
      <w:pPr>
        <w:pStyle w:val="Compact"/>
        <w:numPr>
          <w:ilvl w:val="0"/>
          <w:numId w:val="1163"/>
        </w:numPr>
      </w:pPr>
      <w:r>
        <w:t>SCI level meets tier minimum (Tier 2: SCI ≥ 1; Tier 3: SCI ≥ 2).</w:t>
      </w:r>
    </w:p>
    <w:p>
      <w:pPr>
        <w:pStyle w:val="Compact"/>
        <w:numPr>
          <w:ilvl w:val="0"/>
          <w:numId w:val="1164"/>
        </w:numPr>
      </w:pPr>
      <w:r>
        <w:t>If SCI equals tier minimum: Next-Run Upgrade action present.</w:t>
      </w:r>
    </w:p>
    <w:p>
      <w:pPr>
        <w:pStyle w:val="Compact"/>
        <w:numPr>
          <w:ilvl w:val="0"/>
          <w:numId w:val="1165"/>
        </w:numPr>
      </w:pPr>
      <w:r>
        <w:t>Tier 2+ uncertainty: σ(u,d,a) declared for all active cells using Method A, B, or C.</w:t>
      </w:r>
    </w:p>
    <w:p>
      <w:pPr>
        <w:pStyle w:val="FirstParagraph"/>
      </w:pPr>
      <w:r>
        <w:t>If PCC.Uncertainty.Method = B: verify PCC.Uncertainty.CellConfidenceAggregationMethod is present and valid, and that c(u,d,a) is recorded (or recomputable) for all active cells.</w:t>
      </w:r>
    </w:p>
    <w:p>
      <w:pPr>
        <w:pStyle w:val="Compact"/>
        <w:numPr>
          <w:ilvl w:val="0"/>
          <w:numId w:val="1166"/>
        </w:numPr>
      </w:pPr>
      <w:r>
        <w:t>Tier-2 mapping triggers: if any trigger holds, instance mapping is present.</w:t>
      </w:r>
    </w:p>
    <w:p>
      <w:pPr>
        <w:pStyle w:val="FirstParagraph"/>
      </w:pPr>
      <w:r>
        <w:t>Provenance binding (Normative). Any analyst-entered parameter that can steer admissibility or decisiveness - including uncertainty method choice, scenario probabilities p_s, PLSS prominence inputs q_u, and any non-default aggregation operator - MUST have a reason code, source note or elicitation note, and a compact sensitivity note if altered values plausibly change the outcome.</w:t>
      </w:r>
    </w:p>
    <w:p>
      <w:pPr>
        <w:pStyle w:val="BodyText"/>
      </w:pPr>
      <w:r>
        <w:t>If any welfare-relevant state, rights-relevant state, or enabling condition materially affects admissibility, precautionary handling, selection, or tie-break outcome, PCC.NormativeInputRegister is present.</w:t>
      </w:r>
    </w:p>
    <w:p>
      <w:pPr>
        <w:pStyle w:val="BodyText"/>
      </w:pPr>
      <w:r>
        <w:t>For each ADMISSIBILITY_MATERIAL, PRECAUTION_MATERIAL, SELECTION_MATERIAL, or TIEBREAK_MATERIAL entry in PCC.NormativeInputRegister, the validator MUST verify the presence of NormInputID, InputType, Materiality, AffectedObjects, EvidenceBasisType, and at least one of: EvidenceReference, GovernedInterpretationBasis (not NONE), or PrecautionaryBasis (not NONE).</w:t>
      </w:r>
    </w:p>
    <w:p>
      <w:pPr>
        <w:pStyle w:val="BodyText"/>
      </w:pPr>
      <w:r>
        <w:t>If PrecautionaryBasis ≠ NONE, the validator MUST verify that the precautionary basis is explicitly stated, the affected object(s) are identified, and, for Tier 3, a ReviewerNote is present.</w:t>
      </w:r>
    </w:p>
    <w:p>
      <w:pPr>
        <w:pStyle w:val="BodyText"/>
      </w:pPr>
      <w:r>
        <w:t>If OptionSymmetryStatus = OPTION_SPECIFIC_WITH_JUSTIFICATION, the validator MUST verify that a SensitivityNote is present.</w:t>
      </w:r>
    </w:p>
    <w:p>
      <w:pPr>
        <w:pStyle w:val="BodyText"/>
      </w:pPr>
      <w:r>
        <w:t>If the register is required but missing, or if a required material entry is incomplete, the validator MUST set NORMATIVE_INPUT_PROVENANCE_MISSING and reject the run as non-conformant.</w:t>
      </w:r>
    </w:p>
    <w:p>
      <w:pPr>
        <w:pStyle w:val="Compact"/>
        <w:numPr>
          <w:ilvl w:val="0"/>
          <w:numId w:val="1167"/>
        </w:numPr>
      </w:pPr>
      <w:r>
        <w:t>Rights-covered and catastrophe cells: never bypassed by reduced-scope mode or masking.</w:t>
      </w:r>
    </w:p>
    <w:p>
      <w:pPr>
        <w:pStyle w:val="FirstParagraph"/>
      </w:pPr>
      <w:r>
        <w:t>If PLSS is declared: q_u is present for all scopes, the operator is declared, the PLSS weight vector sums to 1, and each w_u^PLSS is greater than or equal to its constitutional floor.</w:t>
      </w:r>
    </w:p>
    <w:p>
      <w:pPr>
        <w:pStyle w:val="BodyText"/>
      </w:pPr>
      <w:r>
        <w:t>If UCI is used: every component is VALUE, ESTIMATE, UNKNOWN, or NA; NA components are excluded and weights renormalized; UNKNOWN components do not receive an inserted score. If U6 is material: every U6 record includes a valid U6_View_Tag and mixed values include decomposition.</w:t>
      </w:r>
    </w:p>
    <w:p>
      <w:pPr>
        <w:pStyle w:val="BodyText"/>
      </w:pPr>
      <w:r>
        <w:t>If all q_u = 0 under PLSS: the validator MUST verify that the declared uniform residual fallback (or another declared fallback with justification) was applied.</w:t>
      </w:r>
    </w:p>
    <w:p>
      <w:pPr>
        <w:pStyle w:val="BodyText"/>
      </w:pPr>
      <w:r>
        <w:t>If an alternative PLSS operator is used: justification and a sensitivity note are present in the PCC.</w:t>
      </w:r>
    </w:p>
    <w:p>
      <w:pPr>
        <w:pStyle w:val="BodyText"/>
      </w:pPr>
      <w:r>
        <w:t>If PLSS is declared: an escalation-trigger review field is present and the PCC.PLSS block is present.</w:t>
      </w:r>
    </w:p>
    <w:p>
      <w:pPr>
        <w:pStyle w:val="BodyText"/>
      </w:pPr>
      <w:r>
        <w:t>If a gate-critical UNKNOWN_IMPACT occurs in C_r or C_cat: the validator MUST reject any attempt to resolve admissibility by phantom-instance fallback alone and MUST require the corresponding audit flag plus a declared conservative bound or rerun / downgrade / escalation disposition consistent with Section 5.7.</w:t>
      </w:r>
    </w:p>
    <w:p>
      <w:pPr>
        <w:pStyle w:val="BodyText"/>
      </w:pPr>
      <w:r>
        <w:t>If a non-maskable rights or catastrophe cell remains in RLS aggregation: the validator MUST verify floor-baseline consistency or the presence of a governed dual-baseline declaration that preserves the floor-reference value as the controlling gate-consistency baseline.</w:t>
      </w:r>
    </w:p>
    <w:p>
      <w:pPr>
        <w:pStyle w:val="BodyText"/>
      </w:pPr>
      <w:r>
        <w:t>If a dual-baseline method is declared: the validator MUST verify that the PCC contains a per-cell or per-cell-class dual-baseline declaration identifying the affected welfare cells, the welfare baseline used, the gate baseline fixed at floor-reference, and the rationale for the exception.</w:t>
      </w:r>
    </w:p>
    <w:bookmarkEnd w:id="228"/>
    <w:bookmarkStart w:id="229" w:name="X5844e4452627d8d3fc1febb1fd3625009a94a9c"/>
    <w:p>
      <w:pPr>
        <w:pStyle w:val="Heading2"/>
      </w:pPr>
      <w:r>
        <w:t>14.3B v12.2 Measurement-Maturity Validator Requirements (Normative)</w:t>
      </w:r>
    </w:p>
    <w:p>
      <w:pPr>
        <w:pStyle w:val="FirstParagraph"/>
      </w:pPr>
      <w:r>
        <w:t>For Tier 2-3 claim-bearing runs, a conformant validator MUST verify that the PCC includes all Appendix V measurement-maturity fields applicable to the run. At minimum, the validator MUST check: PCC.UCI_Measurement_Readiness where UCI is used or unavailable at Containment or tie-break; PCC.Kernel_Use_Posture where numerical propagation is used or explicitly omitted; PCC.HDW_Capture_Audit for Tier 3 public or institutional weighting processes; PCC.PLSS_Escalation_Register whenever PLSS is used; PCC.Deployment_Context_Profile for Tier 2-3 claim-bearing deployments; and PCC.Biological_Evaluation_Maturity where biological SGP evidence is invoked.</w:t>
      </w:r>
    </w:p>
    <w:p>
      <w:pPr>
        <w:pStyle w:val="BodyText"/>
      </w:pPr>
      <w:r>
        <w:t>The validator MUST reject or downgrade any claim that treats UCI-M1, K0/K1, BEM-1/BEM-2, unreviewed HDW, or unchallenged PLSS localism as empirically validated, capture-resistant, or operationally complete. Missing maturity fields trigger PCC_MATURITY_SURFACE_INCOMPLETE. A maturity field marked provisional may support a worked-run or architecture claim, but MUST NOT support empirical validation, ProofPack readiness, Tier 4 readiness, validated UCI, validated kernel propagation, or biological measurement-completeness claims.</w:t>
      </w:r>
    </w:p>
    <w:bookmarkEnd w:id="229"/>
    <w:bookmarkStart w:id="230" w:name="Xfc38a78a3add84a967784b7e3ed639bbc255579"/>
    <w:p>
      <w:pPr>
        <w:pStyle w:val="Heading2"/>
      </w:pPr>
      <w:r>
        <w:t>14.4 Five-Sentence Public Rationale (5SPR) (Normative)</w:t>
      </w:r>
    </w:p>
    <w:p>
      <w:pPr>
        <w:pStyle w:val="FirstParagraph"/>
      </w:pPr>
      <w:r>
        <w:t>Tier 2-3 PCC MUST include a Five-Sentence Public Rationale:</w:t>
      </w:r>
    </w:p>
    <w:tbl>
      <w:tblPr>
        <w:tblStyle w:val="Table"/>
        <w:tblW w:type="auto" w:w="0"/>
        <w:jc w:val="center"/>
        <w:tblLook w:firstRow="1" w:lastRow="0" w:firstColumn="0" w:lastColumn="0" w:noHBand="0" w:noVBand="0" w:val="0020"/>
      </w:tblPr>
      <w:tblGrid>
        <w:gridCol w:w="3960"/>
        <w:gridCol w:w="3960"/>
      </w:tblGrid>
      <w:tr>
        <w:trPr>
          <w:tblHeader w:val="on"/>
          <w:tblHeader w:val="true"/>
          <w:cantSplit/>
        </w:trPr>
        <w:tc>
          <w:tcPr>
            <w:vAlign w:val="top"/>
            <w:tcMar>
              <w:top w:w="70" w:type="dxa"/>
              <w:start w:w="80" w:type="dxa"/>
              <w:bottom w:w="70" w:type="dxa"/>
              <w:end w:w="80" w:type="dxa"/>
            </w:tcMar>
            <w:shd w:fill="1F4E78"/>
          </w:tcPr>
          <w:p>
            <w:pPr>
              <w:pStyle w:val="Compact"/>
              <w:jc w:val="left"/>
            </w:pPr>
            <w:r>
              <w:rPr>
                <w:rFonts w:ascii="Arial" w:hAnsi="Arial" w:eastAsia="Arial"/>
                <w:b/>
                <w:bCs/>
                <w:color w:val="FFFFFF"/>
                <w:sz w:val="16"/>
              </w:rPr>
              <w:t>Element</w:t>
            </w:r>
          </w:p>
        </w:tc>
        <w:tc>
          <w:tcPr>
            <w:vAlign w:val="top"/>
            <w:tcMar>
              <w:top w:w="70" w:type="dxa"/>
              <w:start w:w="80" w:type="dxa"/>
              <w:bottom w:w="70" w:type="dxa"/>
              <w:end w:w="80" w:type="dxa"/>
            </w:tcMar>
            <w:shd w:fill="1F4E78"/>
          </w:tcPr>
          <w:p>
            <w:pPr>
              <w:pStyle w:val="Compact"/>
              <w:jc w:val="left"/>
            </w:pPr>
            <w:r>
              <w:rPr>
                <w:rFonts w:ascii="Arial" w:hAnsi="Arial" w:eastAsia="Arial"/>
                <w:b/>
                <w:bCs/>
                <w:color w:val="FFFFFF"/>
                <w:sz w:val="16"/>
              </w:rPr>
              <w:t>Question</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CONTEXT</w:t>
            </w:r>
          </w:p>
        </w:tc>
        <w:tc>
          <w:tcPr>
            <w:vAlign w:val="top"/>
            <w:tcMar>
              <w:top w:w="70" w:type="dxa"/>
              <w:start w:w="80" w:type="dxa"/>
              <w:bottom w:w="70" w:type="dxa"/>
              <w:end w:w="80" w:type="dxa"/>
            </w:tcMar>
            <w:shd w:fill="D9EAF7"/>
          </w:tcPr>
          <w:p>
            <w:pPr>
              <w:pStyle w:val="Compact"/>
              <w:jc w:val="left"/>
            </w:pPr>
            <w:r>
              <w:rPr>
                <w:rFonts w:ascii="Arial" w:hAnsi="Arial" w:eastAsia="Arial"/>
                <w:sz w:val="16"/>
              </w:rPr>
              <w:t>What decision was made and why now?</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OPTIONS</w:t>
            </w:r>
          </w:p>
        </w:tc>
        <w:tc>
          <w:tcPr>
            <w:vAlign w:val="top"/>
            <w:tcMar>
              <w:top w:w="70" w:type="dxa"/>
              <w:start w:w="80" w:type="dxa"/>
              <w:bottom w:w="70" w:type="dxa"/>
              <w:end w:w="80" w:type="dxa"/>
            </w:tcMar>
            <w:shd w:fill="FFFFFF"/>
          </w:tcPr>
          <w:p>
            <w:pPr>
              <w:pStyle w:val="Compact"/>
              <w:jc w:val="left"/>
            </w:pPr>
            <w:r>
              <w:rPr>
                <w:rFonts w:ascii="Arial" w:hAnsi="Arial" w:eastAsia="Arial"/>
                <w:sz w:val="16"/>
              </w:rPr>
              <w:t>What options were considered?</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CONSTRAINTS</w:t>
            </w:r>
          </w:p>
        </w:tc>
        <w:tc>
          <w:tcPr>
            <w:vAlign w:val="top"/>
            <w:tcMar>
              <w:top w:w="70" w:type="dxa"/>
              <w:start w:w="80" w:type="dxa"/>
              <w:bottom w:w="70" w:type="dxa"/>
              <w:end w:w="80" w:type="dxa"/>
            </w:tcMar>
            <w:shd w:fill="D9EAF7"/>
          </w:tcPr>
          <w:p>
            <w:pPr>
              <w:pStyle w:val="Compact"/>
              <w:jc w:val="left"/>
            </w:pPr>
            <w:r>
              <w:rPr>
                <w:rFonts w:ascii="Arial" w:hAnsi="Arial" w:eastAsia="Arial"/>
                <w:sz w:val="16"/>
              </w:rPr>
              <w:t>What was eliminated by NCRC, TRC, and/or Containment (and why)?</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SELECTION</w:t>
            </w:r>
          </w:p>
        </w:tc>
        <w:tc>
          <w:tcPr>
            <w:vAlign w:val="top"/>
            <w:tcMar>
              <w:top w:w="70" w:type="dxa"/>
              <w:start w:w="80" w:type="dxa"/>
              <w:bottom w:w="70" w:type="dxa"/>
              <w:end w:w="80" w:type="dxa"/>
            </w:tcMar>
            <w:shd w:fill="FFFFFF"/>
          </w:tcPr>
          <w:p>
            <w:pPr>
              <w:pStyle w:val="Compact"/>
              <w:jc w:val="left"/>
            </w:pPr>
            <w:r>
              <w:rPr>
                <w:rFonts w:ascii="Arial" w:hAnsi="Arial" w:eastAsia="Arial"/>
                <w:sz w:val="16"/>
              </w:rPr>
              <w:t>Why the chosen option won among selectable options?</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MONITORING</w:t>
            </w:r>
          </w:p>
        </w:tc>
        <w:tc>
          <w:tcPr>
            <w:vAlign w:val="top"/>
            <w:tcMar>
              <w:top w:w="70" w:type="dxa"/>
              <w:start w:w="80" w:type="dxa"/>
              <w:bottom w:w="70" w:type="dxa"/>
              <w:end w:w="80" w:type="dxa"/>
            </w:tcMar>
            <w:shd w:fill="D9EAF7"/>
          </w:tcPr>
          <w:p>
            <w:pPr>
              <w:pStyle w:val="Compact"/>
              <w:jc w:val="left"/>
            </w:pPr>
            <w:r>
              <w:rPr>
                <w:rFonts w:ascii="Arial" w:hAnsi="Arial" w:eastAsia="Arial"/>
                <w:sz w:val="16"/>
              </w:rPr>
              <w:t>What follow-up will be tracked and when will NCAR Reflect occur?</w:t>
            </w:r>
          </w:p>
        </w:tc>
      </w:tr>
    </w:tbl>
    <w:bookmarkEnd w:id="230"/>
    <w:bookmarkStart w:id="231" w:name="Xe1b65910f4f8e1e4e523508171a21b1a2cfc23d"/>
    <w:p>
      <w:pPr>
        <w:pStyle w:val="Heading2"/>
      </w:pPr>
      <w:r>
        <w:t>14.5 Tier-4 Design Target Boundary Statement (Normative)</w:t>
      </w:r>
    </w:p>
    <w:p>
      <w:pPr>
        <w:pStyle w:val="FirstParagraph"/>
      </w:pPr>
      <w:r>
        <w:t>Tier 4 compliance claims are PROHIBITED in the current v12.3 release. Tier-4 content is design target only (Appendix I). No determinism, hash-bound replay, or ProofPack claims may be asserted until ProofPack is publicly replayable and independently verified.</w:t>
      </w:r>
    </w:p>
    <w:bookmarkEnd w:id="231"/>
    <w:bookmarkStart w:id="232" w:name="X9f5c12d611c34fbfe06ff798d101f8a9a8225e0"/>
    <w:p>
      <w:pPr>
        <w:pStyle w:val="Heading2"/>
      </w:pPr>
      <w:r>
        <w:t>14.6 Socio-Technical Embedding: Legitimacy, Contestation, and Institutional Use (Informative)</w:t>
      </w:r>
    </w:p>
    <w:p>
      <w:pPr>
        <w:pStyle w:val="FirstParagraph"/>
      </w:pPr>
      <w:r>
        <w:t>RippleLogic is designed for socio-technical governance settings where values are plural, power is unevenly distributed, and institutional incentives can distort decision quality. The framework therefore treats legitimacy as a procedural property rather than an assumed outcome.</w:t>
      </w:r>
    </w:p>
    <w:p>
      <w:pPr>
        <w:pStyle w:val="BodyText"/>
      </w:pPr>
      <w:r>
        <w:t>Hybrid Democratic Weighting governs welfare weights through structured stakeholder participation with anti-capture safeguards, while constitutional rights and tail-risk constraints limit what can be traded away even when stakeholders disagree.</w:t>
      </w:r>
    </w:p>
    <w:p>
      <w:pPr>
        <w:pStyle w:val="BodyText"/>
      </w:pPr>
      <w:r>
        <w:t>The Provenance and Compliance Certificate supports contestability: it makes normative parameters, scenario assumptions, subgroup handling, and constraint-gate outcomes explicit so that affected parties can challenge decisions with evidence rather than rhetoric.</w:t>
      </w:r>
    </w:p>
    <w:p>
      <w:pPr>
        <w:pStyle w:val="BodyText"/>
      </w:pPr>
      <w:r>
        <w:t>Institutional embedding is expected to vary by context, but at minimum high-stakes deployments SHOULD include:</w:t>
      </w:r>
    </w:p>
    <w:p>
      <w:pPr>
        <w:pStyle w:val="BodyText"/>
      </w:pPr>
      <w:r>
        <w:t>- Independent review capacity (at least one reviewer with no reporting relationship to the decision owner)</w:t>
      </w:r>
    </w:p>
    <w:p>
      <w:pPr>
        <w:pStyle w:val="BodyText"/>
      </w:pPr>
      <w:r>
        <w:t>- Audit sampling (for example, random audit lotteries selecting ≥5% of Tier 3 PCCs for independent review)</w:t>
      </w:r>
    </w:p>
    <w:p>
      <w:pPr>
        <w:pStyle w:val="BodyText"/>
      </w:pPr>
      <w:r>
        <w:t>- An escalation pathway when rights, tail-risk, or containment conditions are near-binding or sensitive under perturbations</w:t>
      </w:r>
    </w:p>
    <w:p>
      <w:pPr>
        <w:pStyle w:val="BodyText"/>
      </w:pPr>
      <w:r>
        <w:t>- Designated channels through which affected stakeholders can access the PCC (or the 5SPR at minimum) and submit evidence-based challenges</w:t>
      </w:r>
    </w:p>
    <w:p>
      <w:pPr>
        <w:pStyle w:val="BodyText"/>
      </w:pPr>
      <w:r>
        <w:t>- A governance body or designated authority responsible for adjudicating challenges, with documented procedures and timelines</w:t>
      </w:r>
    </w:p>
    <w:p>
      <w:pPr>
        <w:pStyle w:val="BodyText"/>
      </w:pPr>
      <w:r>
        <w:t>RippleLogic does not remove politics; it makes the structure of political and ethical disagreement legible and auditable. The framework's value proposition is not that it eliminates conflict but that it converts implicit, opaque tradeoffs into explicit, traceable, and challengeable ones.</w:t>
      </w:r>
    </w:p>
    <w:p>
      <w:pPr>
        <w:pStyle w:val="BodyText"/>
      </w:pPr>
      <w:r>
        <w:t>Contestation architecture. The 5SPR (Five-Sentence Public Rationale) serves as the minimum contestability interface: any affected party should be able to read the 5SPR and understand what was decided, what was excluded and why, and what follow-up is planned. For Tier 3 decisions, the full PCC provides the detailed evidence base for substantive challenge. Challenges SHOULD be processed through a documented review procedure with:</w:t>
      </w:r>
    </w:p>
    <w:p>
      <w:pPr>
        <w:pStyle w:val="BodyText"/>
      </w:pPr>
      <w:r>
        <w:t>- A defined response timeline (recommended: ≤30 days for initial response)</w:t>
      </w:r>
    </w:p>
    <w:p>
      <w:pPr>
        <w:pStyle w:val="BodyText"/>
      </w:pPr>
      <w:r>
        <w:t>- Documented outcomes (challenge upheld, rejected with reasoning, or additional evidence requested)</w:t>
      </w:r>
    </w:p>
    <w:p>
      <w:pPr>
        <w:pStyle w:val="BodyText"/>
      </w:pPr>
      <w:r>
        <w:t>- Version increment if the challenge results in parameter changes</w:t>
      </w:r>
    </w:p>
    <w:p>
      <w:pPr>
        <w:pStyle w:val="BodyText"/>
      </w:pPr>
      <w:r>
        <w:t>- Preservation of the original PCC alongside the revised PCC</w:t>
      </w:r>
    </w:p>
    <w:p>
      <w:pPr>
        <w:pStyle w:val="BodyText"/>
      </w:pPr>
      <w:r>
        <w:t>Power asymmetry awareness. In contexts where decision owners have significantly more power than affected stakeholders, the framework's structural protections (NCRC, worst-off subgroup semantics, mandatory tail categories, independent challenger requirements) serve as institutional counterweights. However, these protections are only effective if the institutional context supports their enforcement. Deployments in contexts with weak rule of law, captured institutions, or suppressed civil society SHOULD be flagged for enhanced scrutiny and may require external oversight partnerships.</w:t>
      </w:r>
    </w:p>
    <w:bookmarkEnd w:id="232"/>
    <w:bookmarkStart w:id="236" w:name="X6013ff3c10a5e8a63fdd45fc545a4344e025be6"/>
    <w:p>
      <w:pPr>
        <w:pStyle w:val="Heading2"/>
      </w:pPr>
      <w:r>
        <w:t>14.7 Stewardship Layer (Normative): Applicability and Binding Semantics</w:t>
      </w:r>
    </w:p>
    <w:bookmarkStart w:id="233" w:name="Xc1d90821c129bd2fadcb13c27725fbf81934ae8"/>
    <w:p>
      <w:pPr>
        <w:pStyle w:val="Heading3"/>
      </w:pPr>
      <w:r>
        <w:t>14.7.1 Applicability Predicate (Normative)</w:t>
      </w:r>
    </w:p>
    <w:p>
      <w:pPr>
        <w:pStyle w:val="FirstParagraph"/>
      </w:pPr>
      <w:r>
        <w:t>RippleLogic Stewardship requirements apply only when a run is performed in a stewardship-relevant role (power asymmetry, delegated influence, public/institutional impact, or execution capability). Define:</w:t>
      </w:r>
    </w:p>
    <w:p>
      <w:pPr>
        <w:pStyle w:val="BodyText"/>
      </w:pPr>
      <w:r>
        <w:t>Stw_req(run) in {0,1}, where Stw_req(run) = 1 if and only if any of S1 through S4 holds. S5 is a modifier: it constrains provenance and influence controls when present, but S5 alone does not trigger Stw_req(run).</w:t>
      </w:r>
    </w:p>
    <w:p>
      <w:pPr>
        <w:pStyle w:val="BodyText"/>
      </w:pPr>
      <w:r>
        <w:t>The Stw_req(run) predicate is defined in Section 14.7.1 and MUST NOT be redefined in downstream specifications; downstream documents SHALL reference this section.</w:t>
      </w:r>
    </w:p>
    <w:p>
      <w:pPr>
        <w:pStyle w:val="Compact"/>
        <w:numPr>
          <w:ilvl w:val="0"/>
          <w:numId w:val="1168"/>
        </w:numPr>
      </w:pPr>
      <w:r>
        <w:t>S1 (Delegated Influence): An assisting system is asked to recommend, rank, or narrow option space for a decision owner, such that the decision owner may reasonably rely on it.</w:t>
      </w:r>
    </w:p>
    <w:p>
      <w:pPr>
        <w:pStyle w:val="Compact"/>
        <w:numPr>
          <w:ilvl w:val="0"/>
          <w:numId w:val="1169"/>
        </w:numPr>
      </w:pPr>
      <w:r>
        <w:t>S2 (Public/Institutional Effect): Outputs are intended for public posting or institutional/policy use beyond the private decision owner.</w:t>
      </w:r>
    </w:p>
    <w:p>
      <w:pPr>
        <w:pStyle w:val="Compact"/>
        <w:numPr>
          <w:ilvl w:val="0"/>
          <w:numId w:val="1170"/>
        </w:numPr>
      </w:pPr>
      <w:r>
        <w:t>S3 (Execution Capability): The assisting system can execute actions (write/post/act) or trigger downstream actions beyond drafting.</w:t>
      </w:r>
    </w:p>
    <w:p>
      <w:pPr>
        <w:pStyle w:val="Compact"/>
        <w:numPr>
          <w:ilvl w:val="0"/>
          <w:numId w:val="1171"/>
        </w:numPr>
      </w:pPr>
      <w:r>
        <w:t>S4 (High-Stakes Rights Exposure): The assisted decision materially affects rights, safety, liberty, livelihood, or access to essential services, or produces irreversible/high-impact outcomes for protected stakeholders.</w:t>
      </w:r>
    </w:p>
    <w:p>
      <w:pPr>
        <w:pStyle w:val="FirstParagraph"/>
      </w:pPr>
      <w:r>
        <w:t>S5 (Authenticated Operator Channel; modifier): The system has an authenticated operator channel capable of altering configuration, permissions, or deployment posture; when S5 co-occurs with any of S1 through S4, additional provenance and influence disclosure requirements apply per Appendix N.</w:t>
      </w:r>
    </w:p>
    <w:p>
      <w:pPr>
        <w:pStyle w:val="BodyText"/>
      </w:pPr>
      <w:r>
        <w:t>Interpretation notes (Normative).</w:t>
      </w:r>
    </w:p>
    <w:p>
      <w:pPr>
        <w:pStyle w:val="BodyText"/>
      </w:pPr>
      <w:r>
        <w:t>S1 scope limiter: Delegated influence applies when the decision owner may reasonably rely on the system’s output to materially shape a consequential decision (including meaningful option-narrowing or ranking that guides action). Purely informational or educational responses where independent judgment and verification capacity are preserved do not by themselves trigger S1.</w:t>
      </w:r>
    </w:p>
    <w:p>
      <w:pPr>
        <w:pStyle w:val="BodyText"/>
      </w:pPr>
      <w:r>
        <w:t>S5 scope limiter (no loophole): S5 alone, absent any of S1 through S4, does not trigger Stewardship instrumentation. When S5 co-occurs with any of S1 through S4, Stw_req(run)=1 is triggered by the co-occurring condition(s) (S1–S4), not by S5.</w:t>
      </w:r>
    </w:p>
    <w:p>
      <w:pPr>
        <w:pStyle w:val="BodyText"/>
      </w:pPr>
      <w:r>
        <w:t>If Stw_req(run) = 0, Stewardship instrumentation is OPTIONAL and Stewardship audit flags do not apply. If Stw_req(run) = 1, Stewardship instrumentation is REQUIRED per Appendix N.</w:t>
      </w:r>
    </w:p>
    <w:bookmarkEnd w:id="233"/>
    <w:bookmarkStart w:id="234" w:name="X3f54c4329cada8bde88a9d0a39bf163c044567a"/>
    <w:p>
      <w:pPr>
        <w:pStyle w:val="Heading3"/>
      </w:pPr>
      <w:r>
        <w:t>14.7.2 Stewardship vs Cascade (Normative)</w:t>
      </w:r>
    </w:p>
    <w:p>
      <w:pPr>
        <w:pStyle w:val="FirstParagraph"/>
      </w:pPr>
      <w:r>
        <w:t>Stewardship does not modify the RippleLogic cascade definitions for NCRC, TRC, CSV, RLS, or UCI/HOI. Stewardship governs assistance integrity (boundary stability, authorship preservation, influence transparency). When Stewardship is required (Stw_req = 1), failure conditions are enforced via audit flags and PCC validity rules defined in Appendix N.</w:t>
      </w:r>
    </w:p>
    <w:bookmarkEnd w:id="234"/>
    <w:bookmarkStart w:id="235" w:name="X990f0c111c95d9bb9155cb43d311799b3f39802"/>
    <w:p>
      <w:pPr>
        <w:pStyle w:val="Heading3"/>
      </w:pPr>
      <w:r>
        <w:t>14.7.3 Flag Semantics Pointer (Normative)</w:t>
      </w:r>
    </w:p>
    <w:p>
      <w:pPr>
        <w:pStyle w:val="FirstParagraph"/>
      </w:pPr>
      <w:r>
        <w:t>Stewardship flags follow the canonical audit-flag severity semantics:</w:t>
      </w:r>
    </w:p>
    <w:p>
      <w:pPr>
        <w:pStyle w:val="Compact"/>
        <w:numPr>
          <w:ilvl w:val="0"/>
          <w:numId w:val="1172"/>
        </w:numPr>
      </w:pPr>
      <w:r>
        <w:t>INVALID flags invalidate the PCC and require rerun/remediation.</w:t>
      </w:r>
    </w:p>
    <w:p>
      <w:pPr>
        <w:pStyle w:val="Compact"/>
        <w:numPr>
          <w:ilvl w:val="0"/>
          <w:numId w:val="1173"/>
        </w:numPr>
      </w:pPr>
      <w:r>
        <w:t>REVIEW flags require mitigation and monitoring but do not by themselves invalidate the PCC.</w:t>
      </w:r>
    </w:p>
    <w:p>
      <w:pPr>
        <w:pStyle w:val="FirstParagraph"/>
      </w:pPr>
      <w:r>
        <w:t>Stewardship audit flags are defined in Appendix N and apply only when Stw_req(run) = 1.</w:t>
      </w:r>
    </w:p>
    <w:bookmarkEnd w:id="235"/>
    <w:bookmarkEnd w:id="236"/>
    <w:bookmarkStart w:id="237" w:name="X11c230114089fb0790d215902f8cbcbb7a4ef6d"/>
    <w:p>
      <w:pPr>
        <w:pStyle w:val="Heading2"/>
      </w:pPr>
      <w:r>
        <w:t>14.8 Computational Closure Declaration (Normative)</w:t>
      </w:r>
    </w:p>
    <w:p>
      <w:pPr>
        <w:pStyle w:val="FirstParagraph"/>
      </w:pPr>
      <w:r>
        <w:t>Purpose. Every RippleLogic run SHALL declare the boundary of computation so that claims do not silently extend beyond the scopes, horizons, evidence classes, or propagation modes actually evaluated.</w:t>
      </w:r>
    </w:p>
    <w:p>
      <w:pPr>
        <w:pStyle w:val="BodyText"/>
      </w:pPr>
      <w:r>
        <w:t>A PCC.ComputationalClosure object SHALL include at minimum:</w:t>
      </w:r>
    </w:p>
    <w:p>
      <w:pPr>
        <w:pStyle w:val="BodyText"/>
      </w:pPr>
      <w:r>
        <w:t>- scopes_evaluated: Union Scopes included in the run;</w:t>
      </w:r>
    </w:p>
    <w:p>
      <w:pPr>
        <w:pStyle w:val="BodyText"/>
      </w:pPr>
      <w:r>
        <w:t>- scopes_guardrail_only: Union Scopes protected through floors, NCRC, TRC, or CSV but not materially weighted in residual welfare ranking;</w:t>
      </w:r>
    </w:p>
    <w:p>
      <w:pPr>
        <w:pStyle w:val="BodyText"/>
      </w:pPr>
      <w:r>
        <w:t>- scopes_outside_computation: scopes not evaluated beyond humility-horizon recognition;</w:t>
      </w:r>
    </w:p>
    <w:p>
      <w:pPr>
        <w:pStyle w:val="BodyText"/>
      </w:pPr>
      <w:r>
        <w:t>- time_horizon_evaluated: declared decision horizon;</w:t>
      </w:r>
    </w:p>
    <w:p>
      <w:pPr>
        <w:pStyle w:val="BodyText"/>
      </w:pPr>
      <w:r>
        <w:t>- time_horizon_outside_computation: time horizons acknowledged but not modeled;</w:t>
      </w:r>
    </w:p>
    <w:p>
      <w:pPr>
        <w:pStyle w:val="BodyText"/>
      </w:pPr>
      <w:r>
        <w:t>- kernel_mode: NONE, QUICK, or declared domain-kernel-id;</w:t>
      </w:r>
    </w:p>
    <w:p>
      <w:pPr>
        <w:pStyle w:val="BodyText"/>
      </w:pPr>
      <w:r>
        <w:t>- propagation_edges_included: declared kernel edges or NONE;</w:t>
      </w:r>
    </w:p>
    <w:p>
      <w:pPr>
        <w:pStyle w:val="BodyText"/>
      </w:pPr>
      <w:r>
        <w:t>- propagation_edges_excluded: known plausible edges excluded from computation;</w:t>
      </w:r>
    </w:p>
    <w:p>
      <w:pPr>
        <w:pStyle w:val="BodyText"/>
      </w:pPr>
      <w:r>
        <w:t>- externalities_excluded: known plausible externalities excluded, with reason codes;</w:t>
      </w:r>
    </w:p>
    <w:p>
      <w:pPr>
        <w:pStyle w:val="BodyText"/>
      </w:pPr>
      <w:r>
        <w:t>- claim_boundary: exact wording of what the run may and may not claim.</w:t>
      </w:r>
    </w:p>
    <w:p>
      <w:pPr>
        <w:pStyle w:val="BodyText"/>
      </w:pPr>
      <w:r>
        <w:t>A run SHALL NOT claim coverage over scopes, horizons, externalities, or propagation pathways outside its ComputationalClosure boundary. Any public-facing summary SHALL preserve this claim boundary.</w:t>
      </w:r>
    </w:p>
    <w:bookmarkEnd w:id="237"/>
    <w:bookmarkEnd w:id="238"/>
    <w:bookmarkStart w:id="247" w:name="X2d02abbacb84bdbbc9c6e3c37a9b0d9bdba7ff2"/>
    <w:p>
      <w:pPr>
        <w:pStyle w:val="Heading1"/>
      </w:pPr>
      <w:r>
        <w:t>SECTION 15: IMPLEMENTATION GUIDANCE AND TIERS (NORMATIVE)</w:t>
      </w:r>
    </w:p>
    <w:bookmarkStart w:id="239" w:name="X0be46f781636ed094a465aaa778b5f9a03c28b3"/>
    <w:p>
      <w:pPr>
        <w:pStyle w:val="Heading2"/>
      </w:pPr>
      <w:r>
        <w:t>15.0 Purpose (Normative)</w:t>
      </w:r>
    </w:p>
    <w:p>
      <w:pPr>
        <w:pStyle w:val="FirstParagraph"/>
      </w:pPr>
      <w:r>
        <w:t>This section specifies minimum compliance requirements by tier and provides operational guidance for applying RippleLogic in real decisions. Tiers define minimum obligations; deployments may exceed them. The framework is designed to improve over time via NCAR learning and governed updates.</w:t>
      </w:r>
    </w:p>
    <w:bookmarkEnd w:id="239"/>
    <w:bookmarkStart w:id="240" w:name="Xb97f555a75d89caa294982154cd03a4571fab85"/>
    <w:p>
      <w:pPr>
        <w:pStyle w:val="Heading2"/>
      </w:pPr>
      <w:r>
        <w:t>15.1 Tier Requirements Matrix (Authoritative; Normative)</w:t>
      </w:r>
    </w:p>
    <w:p>
      <w:pPr>
        <w:pStyle w:val="FirstParagraph"/>
      </w:pPr>
      <w:r>
        <w:t>Normative authority: This matrix is the single authoritative statement of tier compliance. If any other sentence in this document conflicts with this matrix, this matrix governs.</w:t>
      </w:r>
    </w:p>
    <w:tbl>
      <w:tblPr>
        <w:tblStyle w:val="Table"/>
        <w:tblW w:type="auto" w:w="0"/>
        <w:jc w:val="center"/>
        <w:tblLook w:firstRow="1" w:lastRow="0" w:firstColumn="0" w:lastColumn="0" w:noHBand="0" w:noVBand="0" w:val="0020"/>
      </w:tblPr>
      <w:tblGrid>
        <w:gridCol w:w="1980"/>
        <w:gridCol w:w="1980"/>
        <w:gridCol w:w="1980"/>
        <w:gridCol w:w="1980"/>
      </w:tblGrid>
      <w:tr>
        <w:trPr>
          <w:tblHeader w:val="on"/>
          <w:tblHeader w:val="true"/>
          <w:cantSplit/>
        </w:trPr>
        <w:tc>
          <w:tcPr>
            <w:vAlign w:val="top"/>
            <w:tcMar>
              <w:top w:w="70" w:type="dxa"/>
              <w:start w:w="80" w:type="dxa"/>
              <w:bottom w:w="70" w:type="dxa"/>
              <w:end w:w="80" w:type="dxa"/>
            </w:tcMar>
            <w:shd w:fill="1F4E78"/>
          </w:tcPr>
          <w:p>
            <w:pPr>
              <w:pStyle w:val="Compact"/>
              <w:jc w:val="left"/>
            </w:pPr>
            <w:r>
              <w:rPr>
                <w:rFonts w:ascii="Arial" w:hAnsi="Arial" w:eastAsia="Arial"/>
                <w:b/>
                <w:bCs/>
                <w:color w:val="FFFFFF"/>
                <w:sz w:val="16"/>
              </w:rPr>
              <w:t>Capability / Requirement</w:t>
            </w:r>
          </w:p>
        </w:tc>
        <w:tc>
          <w:tcPr>
            <w:vAlign w:val="top"/>
            <w:tcMar>
              <w:top w:w="70" w:type="dxa"/>
              <w:start w:w="80" w:type="dxa"/>
              <w:bottom w:w="70" w:type="dxa"/>
              <w:end w:w="80" w:type="dxa"/>
            </w:tcMar>
            <w:shd w:fill="1F4E78"/>
          </w:tcPr>
          <w:p>
            <w:pPr>
              <w:pStyle w:val="Compact"/>
              <w:jc w:val="left"/>
            </w:pPr>
            <w:r>
              <w:rPr>
                <w:rFonts w:ascii="Arial" w:hAnsi="Arial" w:eastAsia="Arial"/>
                <w:b/>
                <w:bCs/>
                <w:color w:val="FFFFFF"/>
                <w:sz w:val="16"/>
              </w:rPr>
              <w:t>Tier 1 (Heuristic)</w:t>
            </w:r>
          </w:p>
        </w:tc>
        <w:tc>
          <w:tcPr>
            <w:vAlign w:val="top"/>
            <w:tcMar>
              <w:top w:w="70" w:type="dxa"/>
              <w:start w:w="80" w:type="dxa"/>
              <w:bottom w:w="70" w:type="dxa"/>
              <w:end w:w="80" w:type="dxa"/>
            </w:tcMar>
            <w:shd w:fill="1F4E78"/>
          </w:tcPr>
          <w:p>
            <w:pPr>
              <w:pStyle w:val="Compact"/>
              <w:jc w:val="left"/>
            </w:pPr>
            <w:r>
              <w:rPr>
                <w:rFonts w:ascii="Arial" w:hAnsi="Arial" w:eastAsia="Arial"/>
                <w:b/>
                <w:bCs/>
                <w:color w:val="FFFFFF"/>
                <w:sz w:val="16"/>
              </w:rPr>
              <w:t>Tier 2 (Core, Strict TRC)</w:t>
            </w:r>
          </w:p>
        </w:tc>
        <w:tc>
          <w:tcPr>
            <w:vAlign w:val="top"/>
            <w:tcMar>
              <w:top w:w="70" w:type="dxa"/>
              <w:start w:w="80" w:type="dxa"/>
              <w:bottom w:w="70" w:type="dxa"/>
              <w:end w:w="80" w:type="dxa"/>
            </w:tcMar>
            <w:shd w:fill="1F4E78"/>
          </w:tcPr>
          <w:p>
            <w:pPr>
              <w:pStyle w:val="Compact"/>
              <w:jc w:val="left"/>
            </w:pPr>
            <w:r>
              <w:rPr>
                <w:rFonts w:ascii="Arial" w:hAnsi="Arial" w:eastAsia="Arial"/>
                <w:b/>
                <w:bCs/>
                <w:color w:val="FFFFFF"/>
                <w:sz w:val="16"/>
              </w:rPr>
              <w:t>Tier 3 (Auditable)</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Option set</w:t>
            </w:r>
          </w:p>
        </w:tc>
        <w:tc>
          <w:tcPr>
            <w:vAlign w:val="top"/>
            <w:tcMar>
              <w:top w:w="70" w:type="dxa"/>
              <w:start w:w="80" w:type="dxa"/>
              <w:bottom w:w="70" w:type="dxa"/>
              <w:end w:w="80" w:type="dxa"/>
            </w:tcMar>
            <w:shd w:fill="D9EAF7"/>
          </w:tcPr>
          <w:p>
            <w:pPr>
              <w:pStyle w:val="Compact"/>
              <w:jc w:val="left"/>
            </w:pPr>
            <w:r>
              <w:rPr>
                <w:rFonts w:ascii="Arial" w:hAnsi="Arial" w:eastAsia="Arial"/>
                <w:sz w:val="16"/>
              </w:rPr>
              <w:t>MUST list ≥2 options</w:t>
            </w:r>
          </w:p>
        </w:tc>
        <w:tc>
          <w:tcPr>
            <w:vAlign w:val="top"/>
            <w:tcMar>
              <w:top w:w="70" w:type="dxa"/>
              <w:start w:w="80" w:type="dxa"/>
              <w:bottom w:w="70" w:type="dxa"/>
              <w:end w:w="80" w:type="dxa"/>
            </w:tcMar>
            <w:shd w:fill="D9EAF7"/>
          </w:tcPr>
          <w:p>
            <w:pPr>
              <w:pStyle w:val="Compact"/>
              <w:jc w:val="left"/>
            </w:pPr>
            <w:r>
              <w:rPr>
                <w:rFonts w:ascii="Arial" w:hAnsi="Arial" w:eastAsia="Arial"/>
                <w:sz w:val="16"/>
              </w:rPr>
              <w:t>REQUIRED</w:t>
            </w:r>
          </w:p>
        </w:tc>
        <w:tc>
          <w:tcPr>
            <w:vAlign w:val="top"/>
            <w:tcMar>
              <w:top w:w="70" w:type="dxa"/>
              <w:start w:w="80" w:type="dxa"/>
              <w:bottom w:w="70" w:type="dxa"/>
              <w:end w:w="80" w:type="dxa"/>
            </w:tcMar>
            <w:shd w:fill="D9EAF7"/>
          </w:tcPr>
          <w:p>
            <w:pPr>
              <w:pStyle w:val="Compact"/>
              <w:jc w:val="left"/>
            </w:pPr>
            <w:r>
              <w:rPr>
                <w:rFonts w:ascii="Arial" w:hAnsi="Arial" w:eastAsia="Arial"/>
                <w:sz w:val="16"/>
              </w:rPr>
              <w:t>REQUIRED</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Baseline declaration</w:t>
            </w:r>
          </w:p>
        </w:tc>
        <w:tc>
          <w:tcPr>
            <w:vAlign w:val="top"/>
            <w:tcMar>
              <w:top w:w="70" w:type="dxa"/>
              <w:start w:w="80" w:type="dxa"/>
              <w:bottom w:w="70" w:type="dxa"/>
              <w:end w:w="80" w:type="dxa"/>
            </w:tcMar>
            <w:shd w:fill="FFFFFF"/>
          </w:tcPr>
          <w:p>
            <w:pPr>
              <w:pStyle w:val="Compact"/>
              <w:jc w:val="left"/>
            </w:pPr>
            <w:r>
              <w:rPr>
                <w:rFonts w:ascii="Arial" w:hAnsi="Arial" w:eastAsia="Arial"/>
                <w:sz w:val="16"/>
              </w:rPr>
              <w:t>REQUIRED</w:t>
            </w:r>
          </w:p>
        </w:tc>
        <w:tc>
          <w:tcPr>
            <w:vAlign w:val="top"/>
            <w:tcMar>
              <w:top w:w="70" w:type="dxa"/>
              <w:start w:w="80" w:type="dxa"/>
              <w:bottom w:w="70" w:type="dxa"/>
              <w:end w:w="80" w:type="dxa"/>
            </w:tcMar>
            <w:shd w:fill="FFFFFF"/>
          </w:tcPr>
          <w:p>
            <w:pPr>
              <w:pStyle w:val="Compact"/>
              <w:jc w:val="left"/>
            </w:pPr>
            <w:r>
              <w:rPr>
                <w:rFonts w:ascii="Arial" w:hAnsi="Arial" w:eastAsia="Arial"/>
                <w:sz w:val="16"/>
              </w:rPr>
              <w:t>REQUIRED</w:t>
            </w:r>
          </w:p>
        </w:tc>
        <w:tc>
          <w:tcPr>
            <w:vAlign w:val="top"/>
            <w:tcMar>
              <w:top w:w="70" w:type="dxa"/>
              <w:start w:w="80" w:type="dxa"/>
              <w:bottom w:w="70" w:type="dxa"/>
              <w:end w:w="80" w:type="dxa"/>
            </w:tcMar>
            <w:shd w:fill="FFFFFF"/>
          </w:tcPr>
          <w:p>
            <w:pPr>
              <w:pStyle w:val="Compact"/>
              <w:jc w:val="left"/>
            </w:pPr>
            <w:r>
              <w:rPr>
                <w:rFonts w:ascii="Arial" w:hAnsi="Arial" w:eastAsia="Arial"/>
                <w:sz w:val="16"/>
              </w:rPr>
              <w:t>REQUIRED</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Impact scale and Baseline-Zero</w:t>
            </w:r>
          </w:p>
        </w:tc>
        <w:tc>
          <w:tcPr>
            <w:vAlign w:val="top"/>
            <w:tcMar>
              <w:top w:w="70" w:type="dxa"/>
              <w:start w:w="80" w:type="dxa"/>
              <w:bottom w:w="70" w:type="dxa"/>
              <w:end w:w="80" w:type="dxa"/>
            </w:tcMar>
            <w:shd w:fill="D9EAF7"/>
          </w:tcPr>
          <w:p>
            <w:pPr>
              <w:pStyle w:val="Compact"/>
              <w:jc w:val="left"/>
            </w:pPr>
            <w:r>
              <w:rPr>
                <w:rFonts w:ascii="Arial" w:hAnsi="Arial" w:eastAsia="Arial"/>
                <w:sz w:val="16"/>
              </w:rPr>
              <w:t>REQUIRED (qualitative allowed)</w:t>
            </w:r>
          </w:p>
        </w:tc>
        <w:tc>
          <w:tcPr>
            <w:vAlign w:val="top"/>
            <w:tcMar>
              <w:top w:w="70" w:type="dxa"/>
              <w:start w:w="80" w:type="dxa"/>
              <w:bottom w:w="70" w:type="dxa"/>
              <w:end w:w="80" w:type="dxa"/>
            </w:tcMar>
            <w:shd w:fill="D9EAF7"/>
          </w:tcPr>
          <w:p>
            <w:pPr>
              <w:pStyle w:val="Compact"/>
              <w:jc w:val="left"/>
            </w:pPr>
            <w:r>
              <w:rPr>
                <w:rFonts w:ascii="Arial" w:hAnsi="Arial" w:eastAsia="Arial"/>
                <w:sz w:val="16"/>
              </w:rPr>
              <w:t>REQUIRED (quantitative recommended)</w:t>
            </w:r>
          </w:p>
        </w:tc>
        <w:tc>
          <w:tcPr>
            <w:vAlign w:val="top"/>
            <w:tcMar>
              <w:top w:w="70" w:type="dxa"/>
              <w:start w:w="80" w:type="dxa"/>
              <w:bottom w:w="70" w:type="dxa"/>
              <w:end w:w="80" w:type="dxa"/>
            </w:tcMar>
            <w:shd w:fill="D9EAF7"/>
          </w:tcPr>
          <w:p>
            <w:pPr>
              <w:pStyle w:val="Compact"/>
              <w:jc w:val="left"/>
            </w:pPr>
            <w:r>
              <w:rPr>
                <w:rFonts w:ascii="Arial" w:hAnsi="Arial" w:eastAsia="Arial"/>
                <w:sz w:val="16"/>
              </w:rPr>
              <w:t>REQUIRED (quantitative plus auditable)</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NCRC rights check</w:t>
            </w:r>
          </w:p>
        </w:tc>
        <w:tc>
          <w:tcPr>
            <w:vAlign w:val="top"/>
            <w:tcMar>
              <w:top w:w="70" w:type="dxa"/>
              <w:start w:w="80" w:type="dxa"/>
              <w:bottom w:w="70" w:type="dxa"/>
              <w:end w:w="80" w:type="dxa"/>
            </w:tcMar>
            <w:shd w:fill="FFFFFF"/>
          </w:tcPr>
          <w:p>
            <w:pPr>
              <w:pStyle w:val="Compact"/>
              <w:jc w:val="left"/>
            </w:pPr>
            <w:r>
              <w:rPr>
                <w:rFonts w:ascii="Arial" w:hAnsi="Arial" w:eastAsia="Arial"/>
                <w:sz w:val="16"/>
              </w:rPr>
              <w:t>REQUIRED (heuristic minimum)</w:t>
            </w:r>
          </w:p>
        </w:tc>
        <w:tc>
          <w:tcPr>
            <w:vAlign w:val="top"/>
            <w:tcMar>
              <w:top w:w="70" w:type="dxa"/>
              <w:start w:w="80" w:type="dxa"/>
              <w:bottom w:w="70" w:type="dxa"/>
              <w:end w:w="80" w:type="dxa"/>
            </w:tcMar>
            <w:shd w:fill="FFFFFF"/>
          </w:tcPr>
          <w:p>
            <w:pPr>
              <w:pStyle w:val="Compact"/>
              <w:jc w:val="left"/>
            </w:pPr>
            <w:r>
              <w:rPr>
                <w:rFonts w:ascii="Arial" w:hAnsi="Arial" w:eastAsia="Arial"/>
                <w:sz w:val="16"/>
              </w:rPr>
              <w:t>REQUIRED</w:t>
            </w:r>
          </w:p>
        </w:tc>
        <w:tc>
          <w:tcPr>
            <w:vAlign w:val="top"/>
            <w:tcMar>
              <w:top w:w="70" w:type="dxa"/>
              <w:start w:w="80" w:type="dxa"/>
              <w:bottom w:w="70" w:type="dxa"/>
              <w:end w:w="80" w:type="dxa"/>
            </w:tcMar>
            <w:shd w:fill="FFFFFF"/>
          </w:tcPr>
          <w:p>
            <w:pPr>
              <w:pStyle w:val="Compact"/>
              <w:jc w:val="left"/>
            </w:pPr>
            <w:r>
              <w:rPr>
                <w:rFonts w:ascii="Arial" w:hAnsi="Arial" w:eastAsia="Arial"/>
                <w:sz w:val="16"/>
              </w:rPr>
              <w:t>REQUIRED</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Worst-off subgroup for rights</w:t>
            </w:r>
          </w:p>
        </w:tc>
        <w:tc>
          <w:tcPr>
            <w:vAlign w:val="top"/>
            <w:tcMar>
              <w:top w:w="70" w:type="dxa"/>
              <w:start w:w="80" w:type="dxa"/>
              <w:bottom w:w="70" w:type="dxa"/>
              <w:end w:w="80" w:type="dxa"/>
            </w:tcMar>
            <w:shd w:fill="D9EAF7"/>
          </w:tcPr>
          <w:p>
            <w:pPr>
              <w:pStyle w:val="Compact"/>
              <w:jc w:val="left"/>
            </w:pPr>
            <w:r>
              <w:rPr>
                <w:rFonts w:ascii="Arial" w:hAnsi="Arial" w:eastAsia="Arial"/>
                <w:sz w:val="16"/>
              </w:rPr>
              <w:t>Recommended</w:t>
            </w:r>
          </w:p>
        </w:tc>
        <w:tc>
          <w:tcPr>
            <w:vAlign w:val="top"/>
            <w:tcMar>
              <w:top w:w="70" w:type="dxa"/>
              <w:start w:w="80" w:type="dxa"/>
              <w:bottom w:w="70" w:type="dxa"/>
              <w:end w:w="80" w:type="dxa"/>
            </w:tcMar>
            <w:shd w:fill="D9EAF7"/>
          </w:tcPr>
          <w:p>
            <w:pPr>
              <w:pStyle w:val="Compact"/>
              <w:jc w:val="left"/>
            </w:pPr>
            <w:r>
              <w:rPr>
                <w:rFonts w:ascii="Arial" w:hAnsi="Arial" w:eastAsia="Arial"/>
                <w:sz w:val="16"/>
              </w:rPr>
              <w:t>REQUIRED for directly affected rights cells</w:t>
            </w:r>
          </w:p>
        </w:tc>
        <w:tc>
          <w:tcPr>
            <w:vAlign w:val="top"/>
            <w:tcMar>
              <w:top w:w="70" w:type="dxa"/>
              <w:start w:w="80" w:type="dxa"/>
              <w:bottom w:w="70" w:type="dxa"/>
              <w:end w:w="80" w:type="dxa"/>
            </w:tcMar>
            <w:shd w:fill="D9EAF7"/>
          </w:tcPr>
          <w:p>
            <w:pPr>
              <w:pStyle w:val="Compact"/>
              <w:jc w:val="left"/>
            </w:pPr>
            <w:r>
              <w:rPr>
                <w:rFonts w:ascii="Arial" w:hAnsi="Arial" w:eastAsia="Arial"/>
                <w:sz w:val="16"/>
              </w:rPr>
              <w:t>REQUIRED for rights-covered cells</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TRC tail-risk</w:t>
            </w:r>
          </w:p>
        </w:tc>
        <w:tc>
          <w:tcPr>
            <w:vAlign w:val="top"/>
            <w:tcMar>
              <w:top w:w="70" w:type="dxa"/>
              <w:start w:w="80" w:type="dxa"/>
              <w:bottom w:w="70" w:type="dxa"/>
              <w:end w:w="80" w:type="dxa"/>
            </w:tcMar>
            <w:shd w:fill="FFFFFF"/>
          </w:tcPr>
          <w:p>
            <w:pPr>
              <w:pStyle w:val="Compact"/>
              <w:jc w:val="left"/>
            </w:pPr>
            <w:r>
              <w:rPr>
                <w:rFonts w:ascii="Arial" w:hAnsi="Arial" w:eastAsia="Arial"/>
                <w:sz w:val="16"/>
              </w:rPr>
              <w:t>Optional (qualitative screen)</w:t>
            </w:r>
          </w:p>
        </w:tc>
        <w:tc>
          <w:tcPr>
            <w:vAlign w:val="top"/>
            <w:tcMar>
              <w:top w:w="70" w:type="dxa"/>
              <w:start w:w="80" w:type="dxa"/>
              <w:bottom w:w="70" w:type="dxa"/>
              <w:end w:w="80" w:type="dxa"/>
            </w:tcMar>
            <w:shd w:fill="FFFFFF"/>
          </w:tcPr>
          <w:p>
            <w:pPr>
              <w:pStyle w:val="Compact"/>
              <w:jc w:val="left"/>
            </w:pPr>
            <w:r>
              <w:rPr>
                <w:rFonts w:ascii="Arial" w:hAnsi="Arial" w:eastAsia="Arial"/>
                <w:sz w:val="16"/>
              </w:rPr>
              <w:t>REQUIRED when catastrophe relevance plausible</w:t>
            </w:r>
          </w:p>
        </w:tc>
        <w:tc>
          <w:tcPr>
            <w:vAlign w:val="top"/>
            <w:tcMar>
              <w:top w:w="70" w:type="dxa"/>
              <w:start w:w="80" w:type="dxa"/>
              <w:bottom w:w="70" w:type="dxa"/>
              <w:end w:w="80" w:type="dxa"/>
            </w:tcMar>
            <w:shd w:fill="FFFFFF"/>
          </w:tcPr>
          <w:p>
            <w:pPr>
              <w:pStyle w:val="Compact"/>
              <w:jc w:val="left"/>
            </w:pPr>
            <w:r>
              <w:rPr>
                <w:rFonts w:ascii="Arial" w:hAnsi="Arial" w:eastAsia="Arial"/>
                <w:sz w:val="16"/>
              </w:rPr>
              <w:t>REQUIRED</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Scenario set size when TRC used</w:t>
            </w:r>
          </w:p>
        </w:tc>
        <w:tc>
          <w:tcPr>
            <w:vAlign w:val="top"/>
            <w:tcMar>
              <w:top w:w="70" w:type="dxa"/>
              <w:start w:w="80" w:type="dxa"/>
              <w:bottom w:w="70" w:type="dxa"/>
              <w:end w:w="80" w:type="dxa"/>
            </w:tcMar>
            <w:shd w:fill="D9EAF7"/>
          </w:tcPr>
          <w:p>
            <w:pPr>
              <w:pStyle w:val="Compact"/>
              <w:jc w:val="left"/>
            </w:pPr>
            <w:r>
              <w:rPr>
                <w:rFonts w:ascii="Arial" w:hAnsi="Arial" w:eastAsia="Arial"/>
                <w:sz w:val="16"/>
              </w:rPr>
              <w:t>N/A</w:t>
            </w:r>
          </w:p>
        </w:tc>
        <w:tc>
          <w:tcPr>
            <w:vAlign w:val="top"/>
            <w:tcMar>
              <w:top w:w="70" w:type="dxa"/>
              <w:start w:w="80" w:type="dxa"/>
              <w:bottom w:w="70" w:type="dxa"/>
              <w:end w:w="80" w:type="dxa"/>
            </w:tcMar>
            <w:shd w:fill="D9EAF7"/>
          </w:tcPr>
          <w:p>
            <w:pPr>
              <w:pStyle w:val="Compact"/>
              <w:jc w:val="left"/>
            </w:pPr>
            <w:r>
              <w:rPr>
                <w:rFonts w:ascii="Arial" w:hAnsi="Arial" w:eastAsia="Arial"/>
                <w:sz w:val="16"/>
              </w:rPr>
              <w:t>≥5 minimum</w:t>
            </w:r>
          </w:p>
        </w:tc>
        <w:tc>
          <w:tcPr>
            <w:vAlign w:val="top"/>
            <w:tcMar>
              <w:top w:w="70" w:type="dxa"/>
              <w:start w:w="80" w:type="dxa"/>
              <w:bottom w:w="70" w:type="dxa"/>
              <w:end w:w="80" w:type="dxa"/>
            </w:tcMar>
            <w:shd w:fill="D9EAF7"/>
          </w:tcPr>
          <w:p>
            <w:pPr>
              <w:pStyle w:val="Compact"/>
              <w:jc w:val="left"/>
            </w:pPr>
            <w:r>
              <w:rPr>
                <w:rFonts w:ascii="Arial" w:hAnsi="Arial" w:eastAsia="Arial"/>
                <w:sz w:val="16"/>
              </w:rPr>
              <w:t>≥20 minimum</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Mandatory tail categories plus p_floor</w:t>
            </w:r>
          </w:p>
        </w:tc>
        <w:tc>
          <w:tcPr>
            <w:vAlign w:val="top"/>
            <w:tcMar>
              <w:top w:w="70" w:type="dxa"/>
              <w:start w:w="80" w:type="dxa"/>
              <w:bottom w:w="70" w:type="dxa"/>
              <w:end w:w="80" w:type="dxa"/>
            </w:tcMar>
            <w:shd w:fill="FFFFFF"/>
          </w:tcPr>
          <w:p>
            <w:pPr>
              <w:pStyle w:val="Compact"/>
              <w:jc w:val="left"/>
            </w:pPr>
            <w:r>
              <w:rPr>
                <w:rFonts w:ascii="Arial" w:hAnsi="Arial" w:eastAsia="Arial"/>
                <w:sz w:val="16"/>
              </w:rPr>
              <w:t>Recommended if TRC used</w:t>
            </w:r>
          </w:p>
        </w:tc>
        <w:tc>
          <w:tcPr>
            <w:vAlign w:val="top"/>
            <w:tcMar>
              <w:top w:w="70" w:type="dxa"/>
              <w:start w:w="80" w:type="dxa"/>
              <w:bottom w:w="70" w:type="dxa"/>
              <w:end w:w="80" w:type="dxa"/>
            </w:tcMar>
            <w:shd w:fill="FFFFFF"/>
          </w:tcPr>
          <w:p>
            <w:pPr>
              <w:pStyle w:val="Compact"/>
              <w:jc w:val="left"/>
            </w:pPr>
            <w:r>
              <w:rPr>
                <w:rFonts w:ascii="Arial" w:hAnsi="Arial" w:eastAsia="Arial"/>
                <w:sz w:val="16"/>
              </w:rPr>
              <w:t>REQUIRED when TRC used</w:t>
            </w:r>
          </w:p>
        </w:tc>
        <w:tc>
          <w:tcPr>
            <w:vAlign w:val="top"/>
            <w:tcMar>
              <w:top w:w="70" w:type="dxa"/>
              <w:start w:w="80" w:type="dxa"/>
              <w:bottom w:w="70" w:type="dxa"/>
              <w:end w:w="80" w:type="dxa"/>
            </w:tcMar>
            <w:shd w:fill="FFFFFF"/>
          </w:tcPr>
          <w:p>
            <w:pPr>
              <w:pStyle w:val="Compact"/>
              <w:jc w:val="left"/>
            </w:pPr>
            <w:r>
              <w:rPr>
                <w:rFonts w:ascii="Arial" w:hAnsi="Arial" w:eastAsia="Arial"/>
                <w:sz w:val="16"/>
              </w:rPr>
              <w:t>REQUIRED</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CSV qualification (Containment and Structural Viability)</w:t>
            </w:r>
          </w:p>
        </w:tc>
        <w:tc>
          <w:tcPr>
            <w:vAlign w:val="top"/>
            <w:tcMar>
              <w:top w:w="70" w:type="dxa"/>
              <w:start w:w="80" w:type="dxa"/>
              <w:bottom w:w="70" w:type="dxa"/>
              <w:end w:w="80" w:type="dxa"/>
            </w:tcMar>
            <w:shd w:fill="D9EAF7"/>
          </w:tcPr>
          <w:p>
            <w:pPr>
              <w:pStyle w:val="Compact"/>
              <w:jc w:val="left"/>
            </w:pPr>
            <w:r>
              <w:rPr>
                <w:rFonts w:ascii="Arial" w:hAnsi="Arial" w:eastAsia="Arial"/>
                <w:sz w:val="16"/>
              </w:rPr>
              <w:t>REQUIRED before any ordinary ranking or selection claim; a brief qualitative screen or</w:t>
            </w:r>
            <w:r>
              <w:rPr>
                <w:rFonts w:ascii="Arial" w:hAnsi="Arial" w:eastAsia="Arial"/>
                <w:sz w:val="16"/>
              </w:rPr>
              <w:t xml:space="preserve"> </w:t>
            </w:r>
            <w:r>
              <w:rPr>
                <w:rStyle w:val="VerbatimChar"/>
                <w:rFonts w:ascii="Arial" w:hAnsi="Arial" w:eastAsia="Arial"/>
                <w:sz w:val="16"/>
              </w:rPr>
              <w:t>CSV_NOT_MATERIAL</w:t>
            </w:r>
            <w:r>
              <w:rPr>
                <w:rFonts w:ascii="Arial" w:hAnsi="Arial" w:eastAsia="Arial"/>
                <w:sz w:val="16"/>
              </w:rPr>
              <w:t xml:space="preserve"> </w:t>
            </w:r>
            <w:r>
              <w:rPr>
                <w:rFonts w:ascii="Arial" w:hAnsi="Arial" w:eastAsia="Arial"/>
                <w:sz w:val="16"/>
              </w:rPr>
              <w:t>rationale is sufficient</w:t>
            </w:r>
          </w:p>
        </w:tc>
        <w:tc>
          <w:tcPr>
            <w:vAlign w:val="top"/>
            <w:tcMar>
              <w:top w:w="70" w:type="dxa"/>
              <w:start w:w="80" w:type="dxa"/>
              <w:bottom w:w="70" w:type="dxa"/>
              <w:end w:w="80" w:type="dxa"/>
            </w:tcMar>
            <w:shd w:fill="D9EAF7"/>
          </w:tcPr>
          <w:p>
            <w:pPr>
              <w:pStyle w:val="Compact"/>
              <w:jc w:val="left"/>
            </w:pPr>
            <w:r>
              <w:rPr>
                <w:rFonts w:ascii="Arial" w:hAnsi="Arial" w:eastAsia="Arial"/>
                <w:sz w:val="16"/>
              </w:rPr>
              <w:t>REQUIRED proportional/assumption-bounded CSV result before RLS; quantitative UCI is not required unless material</w:t>
            </w:r>
          </w:p>
        </w:tc>
        <w:tc>
          <w:tcPr>
            <w:vAlign w:val="top"/>
            <w:tcMar>
              <w:top w:w="70" w:type="dxa"/>
              <w:start w:w="80" w:type="dxa"/>
              <w:bottom w:w="70" w:type="dxa"/>
              <w:end w:w="80" w:type="dxa"/>
            </w:tcMar>
            <w:shd w:fill="D9EAF7"/>
          </w:tcPr>
          <w:p>
            <w:pPr>
              <w:pStyle w:val="Compact"/>
              <w:jc w:val="left"/>
            </w:pPr>
            <w:r>
              <w:rPr>
                <w:rFonts w:ascii="Arial" w:hAnsi="Arial" w:eastAsia="Arial"/>
                <w:sz w:val="16"/>
              </w:rPr>
              <w:t>REQUIRED full and binding</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RLS scoring</w:t>
            </w:r>
          </w:p>
        </w:tc>
        <w:tc>
          <w:tcPr>
            <w:vAlign w:val="top"/>
            <w:tcMar>
              <w:top w:w="70" w:type="dxa"/>
              <w:start w:w="80" w:type="dxa"/>
              <w:bottom w:w="70" w:type="dxa"/>
              <w:end w:w="80" w:type="dxa"/>
            </w:tcMar>
            <w:shd w:fill="FFFFFF"/>
          </w:tcPr>
          <w:p>
            <w:pPr>
              <w:pStyle w:val="Compact"/>
              <w:jc w:val="left"/>
            </w:pPr>
            <w:r>
              <w:rPr>
                <w:rFonts w:ascii="Arial" w:hAnsi="Arial" w:eastAsia="Arial"/>
                <w:sz w:val="16"/>
              </w:rPr>
              <w:t>Optional; if used, only after a pass-equivalent CSV result</w:t>
            </w:r>
          </w:p>
        </w:tc>
        <w:tc>
          <w:tcPr>
            <w:vAlign w:val="top"/>
            <w:tcMar>
              <w:top w:w="70" w:type="dxa"/>
              <w:start w:w="80" w:type="dxa"/>
              <w:bottom w:w="70" w:type="dxa"/>
              <w:end w:w="80" w:type="dxa"/>
            </w:tcMar>
            <w:shd w:fill="FFFFFF"/>
          </w:tcPr>
          <w:p>
            <w:pPr>
              <w:pStyle w:val="Compact"/>
              <w:jc w:val="left"/>
            </w:pPr>
            <w:r>
              <w:rPr>
                <w:rFonts w:ascii="Arial" w:hAnsi="Arial" w:eastAsia="Arial"/>
                <w:sz w:val="16"/>
              </w:rPr>
              <w:t>REQUIRED only for selectable survivors after CSV</w:t>
            </w:r>
          </w:p>
        </w:tc>
        <w:tc>
          <w:tcPr>
            <w:vAlign w:val="top"/>
            <w:tcMar>
              <w:top w:w="70" w:type="dxa"/>
              <w:start w:w="80" w:type="dxa"/>
              <w:bottom w:w="70" w:type="dxa"/>
              <w:end w:w="80" w:type="dxa"/>
            </w:tcMar>
            <w:shd w:fill="FFFFFF"/>
          </w:tcPr>
          <w:p>
            <w:pPr>
              <w:pStyle w:val="Compact"/>
              <w:jc w:val="left"/>
            </w:pPr>
            <w:r>
              <w:rPr>
                <w:rFonts w:ascii="Arial" w:hAnsi="Arial" w:eastAsia="Arial"/>
                <w:sz w:val="16"/>
              </w:rPr>
              <w:t>REQUIRED only for selectable survivors after CSV</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Uncertainty plus discrimination band</w:t>
            </w:r>
          </w:p>
        </w:tc>
        <w:tc>
          <w:tcPr>
            <w:vAlign w:val="top"/>
            <w:tcMar>
              <w:top w:w="70" w:type="dxa"/>
              <w:start w:w="80" w:type="dxa"/>
              <w:bottom w:w="70" w:type="dxa"/>
              <w:end w:w="80" w:type="dxa"/>
            </w:tcMar>
            <w:shd w:fill="D9EAF7"/>
          </w:tcPr>
          <w:p>
            <w:pPr>
              <w:pStyle w:val="Compact"/>
              <w:jc w:val="left"/>
            </w:pPr>
            <w:r>
              <w:rPr>
                <w:rFonts w:ascii="Arial" w:hAnsi="Arial" w:eastAsia="Arial"/>
                <w:sz w:val="16"/>
              </w:rPr>
              <w:t>Optional</w:t>
            </w:r>
          </w:p>
        </w:tc>
        <w:tc>
          <w:tcPr>
            <w:vAlign w:val="top"/>
            <w:tcMar>
              <w:top w:w="70" w:type="dxa"/>
              <w:start w:w="80" w:type="dxa"/>
              <w:bottom w:w="70" w:type="dxa"/>
              <w:end w:w="80" w:type="dxa"/>
            </w:tcMar>
            <w:shd w:fill="D9EAF7"/>
          </w:tcPr>
          <w:p>
            <w:pPr>
              <w:pStyle w:val="Compact"/>
              <w:jc w:val="left"/>
            </w:pPr>
            <w:r>
              <w:rPr>
                <w:rFonts w:ascii="Arial" w:hAnsi="Arial" w:eastAsia="Arial"/>
                <w:sz w:val="16"/>
              </w:rPr>
              <w:t>REQUIRED (active cells)</w:t>
            </w:r>
          </w:p>
        </w:tc>
        <w:tc>
          <w:tcPr>
            <w:vAlign w:val="top"/>
            <w:tcMar>
              <w:top w:w="70" w:type="dxa"/>
              <w:start w:w="80" w:type="dxa"/>
              <w:bottom w:w="70" w:type="dxa"/>
              <w:end w:w="80" w:type="dxa"/>
            </w:tcMar>
            <w:shd w:fill="D9EAF7"/>
          </w:tcPr>
          <w:p>
            <w:pPr>
              <w:pStyle w:val="Compact"/>
              <w:jc w:val="left"/>
            </w:pPr>
            <w:r>
              <w:rPr>
                <w:rFonts w:ascii="Arial" w:hAnsi="Arial" w:eastAsia="Arial"/>
                <w:sz w:val="16"/>
              </w:rPr>
              <w:t>REQUIRED</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Tie-breaks (UCI/HOI)</w:t>
            </w:r>
          </w:p>
        </w:tc>
        <w:tc>
          <w:tcPr>
            <w:vAlign w:val="top"/>
            <w:tcMar>
              <w:top w:w="70" w:type="dxa"/>
              <w:start w:w="80" w:type="dxa"/>
              <w:bottom w:w="70" w:type="dxa"/>
              <w:end w:w="80" w:type="dxa"/>
            </w:tcMar>
            <w:shd w:fill="FFFFFF"/>
          </w:tcPr>
          <w:p>
            <w:pPr>
              <w:pStyle w:val="Compact"/>
              <w:jc w:val="left"/>
            </w:pPr>
            <w:r>
              <w:rPr>
                <w:rFonts w:ascii="Arial" w:hAnsi="Arial" w:eastAsia="Arial"/>
                <w:sz w:val="16"/>
              </w:rPr>
              <w:t>Optional</w:t>
            </w:r>
          </w:p>
        </w:tc>
        <w:tc>
          <w:tcPr>
            <w:vAlign w:val="top"/>
            <w:tcMar>
              <w:top w:w="70" w:type="dxa"/>
              <w:start w:w="80" w:type="dxa"/>
              <w:bottom w:w="70" w:type="dxa"/>
              <w:end w:w="80" w:type="dxa"/>
            </w:tcMar>
            <w:shd w:fill="FFFFFF"/>
          </w:tcPr>
          <w:p>
            <w:pPr>
              <w:pStyle w:val="Compact"/>
              <w:jc w:val="left"/>
            </w:pPr>
            <w:r>
              <w:rPr>
                <w:rFonts w:ascii="Arial" w:hAnsi="Arial" w:eastAsia="Arial"/>
                <w:sz w:val="16"/>
              </w:rPr>
              <w:t>Recommended</w:t>
            </w:r>
          </w:p>
        </w:tc>
        <w:tc>
          <w:tcPr>
            <w:vAlign w:val="top"/>
            <w:tcMar>
              <w:top w:w="70" w:type="dxa"/>
              <w:start w:w="80" w:type="dxa"/>
              <w:bottom w:w="70" w:type="dxa"/>
              <w:end w:w="80" w:type="dxa"/>
            </w:tcMar>
            <w:shd w:fill="FFFFFF"/>
          </w:tcPr>
          <w:p>
            <w:pPr>
              <w:pStyle w:val="Compact"/>
              <w:jc w:val="left"/>
            </w:pPr>
            <w:r>
              <w:rPr>
                <w:rFonts w:ascii="Arial" w:hAnsi="Arial" w:eastAsia="Arial"/>
                <w:sz w:val="16"/>
              </w:rPr>
              <w:t>REQUIRED when RLS non-decisive</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Kernel propagation</w:t>
            </w:r>
          </w:p>
        </w:tc>
        <w:tc>
          <w:tcPr>
            <w:vAlign w:val="top"/>
            <w:tcMar>
              <w:top w:w="70" w:type="dxa"/>
              <w:start w:w="80" w:type="dxa"/>
              <w:bottom w:w="70" w:type="dxa"/>
              <w:end w:w="80" w:type="dxa"/>
            </w:tcMar>
            <w:shd w:fill="D9EAF7"/>
          </w:tcPr>
          <w:p>
            <w:pPr>
              <w:pStyle w:val="Compact"/>
              <w:jc w:val="left"/>
            </w:pPr>
            <w:r>
              <w:rPr>
                <w:rFonts w:ascii="Arial" w:hAnsi="Arial" w:eastAsia="Arial"/>
                <w:sz w:val="16"/>
              </w:rPr>
              <w:t>NONE default</w:t>
            </w:r>
          </w:p>
        </w:tc>
        <w:tc>
          <w:tcPr>
            <w:vAlign w:val="top"/>
            <w:tcMar>
              <w:top w:w="70" w:type="dxa"/>
              <w:start w:w="80" w:type="dxa"/>
              <w:bottom w:w="70" w:type="dxa"/>
              <w:end w:w="80" w:type="dxa"/>
            </w:tcMar>
            <w:shd w:fill="D9EAF7"/>
          </w:tcPr>
          <w:p>
            <w:pPr>
              <w:pStyle w:val="Compact"/>
              <w:jc w:val="left"/>
            </w:pPr>
            <w:r>
              <w:rPr>
                <w:rFonts w:ascii="Arial" w:hAnsi="Arial" w:eastAsia="Arial"/>
                <w:sz w:val="16"/>
              </w:rPr>
              <w:t>NONE default; QUICK if KQS policy satisfied</w:t>
            </w:r>
          </w:p>
        </w:tc>
        <w:tc>
          <w:tcPr>
            <w:vAlign w:val="top"/>
            <w:tcMar>
              <w:top w:w="70" w:type="dxa"/>
              <w:start w:w="80" w:type="dxa"/>
              <w:bottom w:w="70" w:type="dxa"/>
              <w:end w:w="80" w:type="dxa"/>
            </w:tcMar>
            <w:shd w:fill="D9EAF7"/>
          </w:tcPr>
          <w:p>
            <w:pPr>
              <w:pStyle w:val="Compact"/>
              <w:jc w:val="left"/>
            </w:pPr>
            <w:r>
              <w:rPr>
                <w:rFonts w:ascii="Arial" w:hAnsi="Arial" w:eastAsia="Arial"/>
                <w:sz w:val="16"/>
              </w:rPr>
              <w:t>QUICK only if KQS policy satisfied plus sensitivity; else NONE</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KQS policy</w:t>
            </w:r>
          </w:p>
        </w:tc>
        <w:tc>
          <w:tcPr>
            <w:vAlign w:val="top"/>
            <w:tcMar>
              <w:top w:w="70" w:type="dxa"/>
              <w:start w:w="80" w:type="dxa"/>
              <w:bottom w:w="70" w:type="dxa"/>
              <w:end w:w="80" w:type="dxa"/>
            </w:tcMar>
            <w:shd w:fill="FFFFFF"/>
          </w:tcPr>
          <w:p>
            <w:pPr>
              <w:pStyle w:val="Compact"/>
              <w:jc w:val="left"/>
            </w:pPr>
            <w:r>
              <w:rPr>
                <w:rFonts w:ascii="Arial" w:hAnsi="Arial" w:eastAsia="Arial"/>
                <w:sz w:val="16"/>
              </w:rPr>
              <w:t>Optional</w:t>
            </w:r>
          </w:p>
        </w:tc>
        <w:tc>
          <w:tcPr>
            <w:vAlign w:val="top"/>
            <w:tcMar>
              <w:top w:w="70" w:type="dxa"/>
              <w:start w:w="80" w:type="dxa"/>
              <w:bottom w:w="70" w:type="dxa"/>
              <w:end w:w="80" w:type="dxa"/>
            </w:tcMar>
            <w:shd w:fill="FFFFFF"/>
          </w:tcPr>
          <w:p>
            <w:pPr>
              <w:pStyle w:val="Compact"/>
              <w:jc w:val="left"/>
            </w:pPr>
            <w:r>
              <w:rPr>
                <w:rFonts w:ascii="Arial" w:hAnsi="Arial" w:eastAsia="Arial"/>
                <w:sz w:val="16"/>
              </w:rPr>
              <w:t>REQUIRED if kernel used</w:t>
            </w:r>
          </w:p>
        </w:tc>
        <w:tc>
          <w:tcPr>
            <w:vAlign w:val="top"/>
            <w:tcMar>
              <w:top w:w="70" w:type="dxa"/>
              <w:start w:w="80" w:type="dxa"/>
              <w:bottom w:w="70" w:type="dxa"/>
              <w:end w:w="80" w:type="dxa"/>
            </w:tcMar>
            <w:shd w:fill="FFFFFF"/>
          </w:tcPr>
          <w:p>
            <w:pPr>
              <w:pStyle w:val="Compact"/>
              <w:jc w:val="left"/>
            </w:pPr>
            <w:r>
              <w:rPr>
                <w:rFonts w:ascii="Arial" w:hAnsi="Arial" w:eastAsia="Arial"/>
                <w:sz w:val="16"/>
              </w:rPr>
              <w:t>REQUIRED if kernel used</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Sensitivity analysis</w:t>
            </w:r>
          </w:p>
        </w:tc>
        <w:tc>
          <w:tcPr>
            <w:vAlign w:val="top"/>
            <w:tcMar>
              <w:top w:w="70" w:type="dxa"/>
              <w:start w:w="80" w:type="dxa"/>
              <w:bottom w:w="70" w:type="dxa"/>
              <w:end w:w="80" w:type="dxa"/>
            </w:tcMar>
            <w:shd w:fill="D9EAF7"/>
          </w:tcPr>
          <w:p>
            <w:pPr>
              <w:pStyle w:val="Compact"/>
              <w:jc w:val="left"/>
            </w:pPr>
            <w:r>
              <w:rPr>
                <w:rFonts w:ascii="Arial" w:hAnsi="Arial" w:eastAsia="Arial"/>
                <w:sz w:val="16"/>
              </w:rPr>
              <w:t>Optional</w:t>
            </w:r>
          </w:p>
        </w:tc>
        <w:tc>
          <w:tcPr>
            <w:vAlign w:val="top"/>
            <w:tcMar>
              <w:top w:w="70" w:type="dxa"/>
              <w:start w:w="80" w:type="dxa"/>
              <w:bottom w:w="70" w:type="dxa"/>
              <w:end w:w="80" w:type="dxa"/>
            </w:tcMar>
            <w:shd w:fill="D9EAF7"/>
          </w:tcPr>
          <w:p>
            <w:pPr>
              <w:pStyle w:val="Compact"/>
              <w:jc w:val="left"/>
            </w:pPr>
            <w:r>
              <w:rPr>
                <w:rFonts w:ascii="Arial" w:hAnsi="Arial" w:eastAsia="Arial"/>
                <w:sz w:val="16"/>
              </w:rPr>
              <w:t>Recommended</w:t>
            </w:r>
          </w:p>
        </w:tc>
        <w:tc>
          <w:tcPr>
            <w:vAlign w:val="top"/>
            <w:tcMar>
              <w:top w:w="70" w:type="dxa"/>
              <w:start w:w="80" w:type="dxa"/>
              <w:bottom w:w="70" w:type="dxa"/>
              <w:end w:w="80" w:type="dxa"/>
            </w:tcMar>
            <w:shd w:fill="D9EAF7"/>
          </w:tcPr>
          <w:p>
            <w:pPr>
              <w:pStyle w:val="Compact"/>
              <w:jc w:val="left"/>
            </w:pPr>
            <w:r>
              <w:rPr>
                <w:rFonts w:ascii="Arial" w:hAnsi="Arial" w:eastAsia="Arial"/>
                <w:sz w:val="16"/>
              </w:rPr>
              <w:t>REQUIRED</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PCC artifact</w:t>
            </w:r>
          </w:p>
        </w:tc>
        <w:tc>
          <w:tcPr>
            <w:vAlign w:val="top"/>
            <w:tcMar>
              <w:top w:w="70" w:type="dxa"/>
              <w:start w:w="80" w:type="dxa"/>
              <w:bottom w:w="70" w:type="dxa"/>
              <w:end w:w="80" w:type="dxa"/>
            </w:tcMar>
            <w:shd w:fill="FFFFFF"/>
          </w:tcPr>
          <w:p>
            <w:pPr>
              <w:pStyle w:val="Compact"/>
              <w:jc w:val="left"/>
            </w:pPr>
            <w:r>
              <w:rPr>
                <w:rFonts w:ascii="Arial" w:hAnsi="Arial" w:eastAsia="Arial"/>
                <w:sz w:val="16"/>
              </w:rPr>
              <w:t>Optional</w:t>
            </w:r>
          </w:p>
        </w:tc>
        <w:tc>
          <w:tcPr>
            <w:vAlign w:val="top"/>
            <w:tcMar>
              <w:top w:w="70" w:type="dxa"/>
              <w:start w:w="80" w:type="dxa"/>
              <w:bottom w:w="70" w:type="dxa"/>
              <w:end w:w="80" w:type="dxa"/>
            </w:tcMar>
            <w:shd w:fill="FFFFFF"/>
          </w:tcPr>
          <w:p>
            <w:pPr>
              <w:pStyle w:val="Compact"/>
              <w:jc w:val="left"/>
            </w:pPr>
            <w:r>
              <w:rPr>
                <w:rFonts w:ascii="Arial" w:hAnsi="Arial" w:eastAsia="Arial"/>
                <w:sz w:val="16"/>
              </w:rPr>
              <w:t>REQUIRED (basic)</w:t>
            </w:r>
          </w:p>
        </w:tc>
        <w:tc>
          <w:tcPr>
            <w:vAlign w:val="top"/>
            <w:tcMar>
              <w:top w:w="70" w:type="dxa"/>
              <w:start w:w="80" w:type="dxa"/>
              <w:bottom w:w="70" w:type="dxa"/>
              <w:end w:w="80" w:type="dxa"/>
            </w:tcMar>
            <w:shd w:fill="FFFFFF"/>
          </w:tcPr>
          <w:p>
            <w:pPr>
              <w:pStyle w:val="Compact"/>
              <w:jc w:val="left"/>
            </w:pPr>
            <w:r>
              <w:rPr>
                <w:rFonts w:ascii="Arial" w:hAnsi="Arial" w:eastAsia="Arial"/>
                <w:sz w:val="16"/>
              </w:rPr>
              <w:t>REQUIRED (full)</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Audit flags</w:t>
            </w:r>
          </w:p>
        </w:tc>
        <w:tc>
          <w:tcPr>
            <w:vAlign w:val="top"/>
            <w:tcMar>
              <w:top w:w="70" w:type="dxa"/>
              <w:start w:w="80" w:type="dxa"/>
              <w:bottom w:w="70" w:type="dxa"/>
              <w:end w:w="80" w:type="dxa"/>
            </w:tcMar>
            <w:shd w:fill="D9EAF7"/>
          </w:tcPr>
          <w:p>
            <w:pPr>
              <w:pStyle w:val="Compact"/>
              <w:jc w:val="left"/>
            </w:pPr>
            <w:r>
              <w:rPr>
                <w:rFonts w:ascii="Arial" w:hAnsi="Arial" w:eastAsia="Arial"/>
                <w:sz w:val="16"/>
              </w:rPr>
              <w:t>Optional</w:t>
            </w:r>
          </w:p>
        </w:tc>
        <w:tc>
          <w:tcPr>
            <w:vAlign w:val="top"/>
            <w:tcMar>
              <w:top w:w="70" w:type="dxa"/>
              <w:start w:w="80" w:type="dxa"/>
              <w:bottom w:w="70" w:type="dxa"/>
              <w:end w:w="80" w:type="dxa"/>
            </w:tcMar>
            <w:shd w:fill="D9EAF7"/>
          </w:tcPr>
          <w:p>
            <w:pPr>
              <w:pStyle w:val="Compact"/>
              <w:jc w:val="left"/>
            </w:pPr>
            <w:r>
              <w:rPr>
                <w:rFonts w:ascii="Arial" w:hAnsi="Arial" w:eastAsia="Arial"/>
                <w:sz w:val="16"/>
              </w:rPr>
              <w:t>REQUIRED when triggered</w:t>
            </w:r>
          </w:p>
        </w:tc>
        <w:tc>
          <w:tcPr>
            <w:vAlign w:val="top"/>
            <w:tcMar>
              <w:top w:w="70" w:type="dxa"/>
              <w:start w:w="80" w:type="dxa"/>
              <w:bottom w:w="70" w:type="dxa"/>
              <w:end w:w="80" w:type="dxa"/>
            </w:tcMar>
            <w:shd w:fill="D9EAF7"/>
          </w:tcPr>
          <w:p>
            <w:pPr>
              <w:pStyle w:val="Compact"/>
              <w:jc w:val="left"/>
            </w:pPr>
            <w:r>
              <w:rPr>
                <w:rFonts w:ascii="Arial" w:hAnsi="Arial" w:eastAsia="Arial"/>
                <w:sz w:val="16"/>
              </w:rPr>
              <w:t>REQUIRED when triggered</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Stewardship (conditional)</w:t>
            </w:r>
          </w:p>
        </w:tc>
        <w:tc>
          <w:tcPr>
            <w:vAlign w:val="top"/>
            <w:tcMar>
              <w:top w:w="70" w:type="dxa"/>
              <w:start w:w="80" w:type="dxa"/>
              <w:bottom w:w="70" w:type="dxa"/>
              <w:end w:w="80" w:type="dxa"/>
            </w:tcMar>
            <w:shd w:fill="FFFFFF"/>
          </w:tcPr>
          <w:p>
            <w:pPr>
              <w:pStyle w:val="Compact"/>
              <w:jc w:val="left"/>
            </w:pPr>
            <w:r>
              <w:rPr>
                <w:rFonts w:ascii="Arial" w:hAnsi="Arial" w:eastAsia="Arial"/>
                <w:sz w:val="16"/>
              </w:rPr>
              <w:t>Optional</w:t>
            </w:r>
          </w:p>
        </w:tc>
        <w:tc>
          <w:tcPr>
            <w:vAlign w:val="top"/>
            <w:tcMar>
              <w:top w:w="70" w:type="dxa"/>
              <w:start w:w="80" w:type="dxa"/>
              <w:bottom w:w="70" w:type="dxa"/>
              <w:end w:w="80" w:type="dxa"/>
            </w:tcMar>
            <w:shd w:fill="FFFFFF"/>
          </w:tcPr>
          <w:p>
            <w:pPr>
              <w:pStyle w:val="Compact"/>
              <w:jc w:val="left"/>
            </w:pPr>
            <w:r>
              <w:rPr>
                <w:rFonts w:ascii="Arial" w:hAnsi="Arial" w:eastAsia="Arial"/>
                <w:sz w:val="16"/>
              </w:rPr>
              <w:t>Required iff Stw_req=1</w:t>
            </w:r>
          </w:p>
        </w:tc>
        <w:tc>
          <w:tcPr>
            <w:vAlign w:val="top"/>
            <w:tcMar>
              <w:top w:w="70" w:type="dxa"/>
              <w:start w:w="80" w:type="dxa"/>
              <w:bottom w:w="70" w:type="dxa"/>
              <w:end w:w="80" w:type="dxa"/>
            </w:tcMar>
            <w:shd w:fill="FFFFFF"/>
          </w:tcPr>
          <w:p>
            <w:pPr>
              <w:pStyle w:val="Compact"/>
              <w:jc w:val="left"/>
            </w:pPr>
            <w:r>
              <w:rPr>
                <w:rFonts w:ascii="Arial" w:hAnsi="Arial" w:eastAsia="Arial"/>
                <w:sz w:val="16"/>
              </w:rPr>
              <w:t>Required (Stw_req assumed TRUE for Tier 3)</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Tier-4 claim</w:t>
            </w:r>
          </w:p>
        </w:tc>
        <w:tc>
          <w:tcPr>
            <w:vAlign w:val="top"/>
            <w:tcMar>
              <w:top w:w="70" w:type="dxa"/>
              <w:start w:w="80" w:type="dxa"/>
              <w:bottom w:w="70" w:type="dxa"/>
              <w:end w:w="80" w:type="dxa"/>
            </w:tcMar>
            <w:shd w:fill="D9EAF7"/>
          </w:tcPr>
          <w:p>
            <w:pPr>
              <w:pStyle w:val="Compact"/>
              <w:jc w:val="left"/>
            </w:pPr>
            <w:r>
              <w:rPr>
                <w:rFonts w:ascii="Arial" w:hAnsi="Arial" w:eastAsia="Arial"/>
                <w:sz w:val="16"/>
              </w:rPr>
              <w:t>PROHIBITED</w:t>
            </w:r>
          </w:p>
        </w:tc>
        <w:tc>
          <w:tcPr>
            <w:vAlign w:val="top"/>
            <w:tcMar>
              <w:top w:w="70" w:type="dxa"/>
              <w:start w:w="80" w:type="dxa"/>
              <w:bottom w:w="70" w:type="dxa"/>
              <w:end w:w="80" w:type="dxa"/>
            </w:tcMar>
            <w:shd w:fill="D9EAF7"/>
          </w:tcPr>
          <w:p>
            <w:pPr>
              <w:pStyle w:val="Compact"/>
              <w:jc w:val="left"/>
            </w:pPr>
            <w:r>
              <w:rPr>
                <w:rFonts w:ascii="Arial" w:hAnsi="Arial" w:eastAsia="Arial"/>
                <w:sz w:val="16"/>
              </w:rPr>
              <w:t>PROHIBITED</w:t>
            </w:r>
          </w:p>
        </w:tc>
        <w:tc>
          <w:tcPr>
            <w:vAlign w:val="top"/>
            <w:tcMar>
              <w:top w:w="70" w:type="dxa"/>
              <w:start w:w="80" w:type="dxa"/>
              <w:bottom w:w="70" w:type="dxa"/>
              <w:end w:w="80" w:type="dxa"/>
            </w:tcMar>
            <w:shd w:fill="D9EAF7"/>
          </w:tcPr>
          <w:p>
            <w:pPr>
              <w:pStyle w:val="Compact"/>
              <w:jc w:val="left"/>
            </w:pPr>
            <w:r>
              <w:rPr>
                <w:rFonts w:ascii="Arial" w:hAnsi="Arial" w:eastAsia="Arial"/>
                <w:sz w:val="16"/>
              </w:rPr>
              <w:t>PROHIBITED</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Stakeholder discovery and mapping (SDP/InstanceMap)</w:t>
            </w:r>
          </w:p>
        </w:tc>
        <w:tc>
          <w:tcPr>
            <w:vAlign w:val="top"/>
            <w:tcMar>
              <w:top w:w="70" w:type="dxa"/>
              <w:start w:w="80" w:type="dxa"/>
              <w:bottom w:w="70" w:type="dxa"/>
              <w:end w:w="80" w:type="dxa"/>
            </w:tcMar>
            <w:shd w:fill="FFFFFF"/>
          </w:tcPr>
          <w:p>
            <w:pPr>
              <w:pStyle w:val="Compact"/>
              <w:jc w:val="left"/>
            </w:pPr>
            <w:r>
              <w:rPr>
                <w:rFonts w:ascii="Arial" w:hAnsi="Arial" w:eastAsia="Arial"/>
                <w:sz w:val="16"/>
              </w:rPr>
              <w:t>Optional</w:t>
            </w:r>
          </w:p>
        </w:tc>
        <w:tc>
          <w:tcPr>
            <w:vAlign w:val="top"/>
            <w:tcMar>
              <w:top w:w="70" w:type="dxa"/>
              <w:start w:w="80" w:type="dxa"/>
              <w:bottom w:w="70" w:type="dxa"/>
              <w:end w:w="80" w:type="dxa"/>
            </w:tcMar>
            <w:shd w:fill="FFFFFF"/>
          </w:tcPr>
          <w:p>
            <w:pPr>
              <w:pStyle w:val="Compact"/>
              <w:jc w:val="left"/>
            </w:pPr>
            <w:r>
              <w:rPr>
                <w:rFonts w:ascii="Arial" w:hAnsi="Arial" w:eastAsia="Arial"/>
                <w:sz w:val="16"/>
              </w:rPr>
              <w:t>REQUIRED when any SDP trigger holds; otherwise a lightweight stakeholder note or voluntary SDP is RECOMMENDED</w:t>
            </w:r>
          </w:p>
        </w:tc>
        <w:tc>
          <w:tcPr>
            <w:vAlign w:val="top"/>
            <w:tcMar>
              <w:top w:w="70" w:type="dxa"/>
              <w:start w:w="80" w:type="dxa"/>
              <w:bottom w:w="70" w:type="dxa"/>
              <w:end w:w="80" w:type="dxa"/>
            </w:tcMar>
            <w:shd w:fill="FFFFFF"/>
          </w:tcPr>
          <w:p>
            <w:pPr>
              <w:pStyle w:val="Compact"/>
              <w:jc w:val="left"/>
            </w:pPr>
            <w:r>
              <w:rPr>
                <w:rFonts w:ascii="Arial" w:hAnsi="Arial" w:eastAsia="Arial"/>
                <w:sz w:val="16"/>
              </w:rPr>
              <w:t>REQUIRED (InstanceMap with multi-scope redundancy handling disclosures)</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Stakeholder Coverage Index (SCI)</w:t>
            </w:r>
          </w:p>
        </w:tc>
        <w:tc>
          <w:tcPr>
            <w:vAlign w:val="top"/>
            <w:tcMar>
              <w:top w:w="70" w:type="dxa"/>
              <w:start w:w="80" w:type="dxa"/>
              <w:bottom w:w="70" w:type="dxa"/>
              <w:end w:w="80" w:type="dxa"/>
            </w:tcMar>
            <w:shd w:fill="D9EAF7"/>
          </w:tcPr>
          <w:p>
            <w:pPr>
              <w:pStyle w:val="Compact"/>
              <w:jc w:val="left"/>
            </w:pPr>
            <w:r>
              <w:rPr>
                <w:rFonts w:ascii="Arial" w:hAnsi="Arial" w:eastAsia="Arial"/>
                <w:sz w:val="16"/>
              </w:rPr>
              <w:t>Optional</w:t>
            </w:r>
          </w:p>
        </w:tc>
        <w:tc>
          <w:tcPr>
            <w:vAlign w:val="top"/>
            <w:tcMar>
              <w:top w:w="70" w:type="dxa"/>
              <w:start w:w="80" w:type="dxa"/>
              <w:bottom w:w="70" w:type="dxa"/>
              <w:end w:w="80" w:type="dxa"/>
            </w:tcMar>
            <w:shd w:fill="D9EAF7"/>
          </w:tcPr>
          <w:p>
            <w:pPr>
              <w:pStyle w:val="Compact"/>
              <w:jc w:val="left"/>
            </w:pPr>
            <w:r>
              <w:rPr>
                <w:rFonts w:ascii="Arial" w:hAnsi="Arial" w:eastAsia="Arial"/>
                <w:sz w:val="16"/>
              </w:rPr>
              <w:t>REQUIRED (SCI ≥ 1)</w:t>
            </w:r>
          </w:p>
        </w:tc>
        <w:tc>
          <w:tcPr>
            <w:vAlign w:val="top"/>
            <w:tcMar>
              <w:top w:w="70" w:type="dxa"/>
              <w:start w:w="80" w:type="dxa"/>
              <w:bottom w:w="70" w:type="dxa"/>
              <w:end w:w="80" w:type="dxa"/>
            </w:tcMar>
            <w:shd w:fill="D9EAF7"/>
          </w:tcPr>
          <w:p>
            <w:pPr>
              <w:pStyle w:val="Compact"/>
              <w:jc w:val="left"/>
            </w:pPr>
            <w:r>
              <w:rPr>
                <w:rFonts w:ascii="Arial" w:hAnsi="Arial" w:eastAsia="Arial"/>
                <w:sz w:val="16"/>
              </w:rPr>
              <w:t>REQUIRED (SCI ≥ 2)</w:t>
            </w:r>
          </w:p>
        </w:tc>
      </w:tr>
    </w:tbl>
    <w:p>
      <w:pPr>
        <w:pStyle w:val="BodyText"/>
      </w:pPr>
      <w:r>
        <w:t>Tier 3 stewardship assumption (Normative): Any Tier 3 run SHALL set Stw_req(run) = 1 by default because Tier 3 implies external scrutiny and governance-grade assistance posture.</w:t>
      </w:r>
    </w:p>
    <w:bookmarkEnd w:id="240"/>
    <w:bookmarkStart w:id="241" w:name="Xf1fb5c4ed743f8e06912f0bf9e2ef82180cc2c0"/>
    <w:p>
      <w:pPr>
        <w:pStyle w:val="Heading2"/>
      </w:pPr>
      <w:r>
        <w:t>15.2 Tier 1: Heuristic Application ("2-Minute Ripple Check") (Normative minimum)</w:t>
      </w:r>
    </w:p>
    <w:p>
      <w:pPr>
        <w:pStyle w:val="FirstParagraph"/>
      </w:pPr>
      <w:r>
        <w:t>Use Tier 1 for low-stakes, reversible decisions where full calculation is disproportionate.</w:t>
      </w:r>
    </w:p>
    <w:p>
      <w:pPr>
        <w:pStyle w:val="BodyText"/>
      </w:pPr>
      <w:r>
        <w:t>Tier 1 minimum protocol:</w:t>
      </w:r>
    </w:p>
    <w:p>
      <w:pPr>
        <w:pStyle w:val="Compact"/>
        <w:numPr>
          <w:ilvl w:val="0"/>
          <w:numId w:val="1174"/>
        </w:numPr>
      </w:pPr>
      <w:r>
        <w:rPr>
          <w:b/>
          <w:bCs/>
        </w:rPr>
        <w:t>Decision:</w:t>
      </w:r>
      <w:r>
        <w:t xml:space="preserve"> </w:t>
      </w:r>
      <w:r>
        <w:t>What must be decided, by when?</w:t>
      </w:r>
    </w:p>
    <w:p>
      <w:pPr>
        <w:pStyle w:val="Compact"/>
        <w:numPr>
          <w:ilvl w:val="0"/>
          <w:numId w:val="1174"/>
        </w:numPr>
      </w:pPr>
      <w:r>
        <w:rPr>
          <w:b/>
          <w:bCs/>
        </w:rPr>
        <w:t>Options:</w:t>
      </w:r>
      <w:r>
        <w:t xml:space="preserve"> </w:t>
      </w:r>
      <w:r>
        <w:t>List at least 2 options, including a third-path redesign option where possible.</w:t>
      </w:r>
    </w:p>
    <w:p>
      <w:pPr>
        <w:pStyle w:val="Compact"/>
        <w:numPr>
          <w:ilvl w:val="0"/>
          <w:numId w:val="1174"/>
        </w:numPr>
      </w:pPr>
      <w:r>
        <w:rPr>
          <w:b/>
          <w:bCs/>
        </w:rPr>
        <w:t>Rights screen (RF/NCRC heuristic):</w:t>
      </w:r>
      <w:r>
        <w:t xml:space="preserve"> </w:t>
      </w:r>
      <w:r>
        <w:t>Could any option plausibly violate LIFE, BODY, NEED, LBTY, DIGN, PROC, INFO, or ECOL? If yes, escalate to Tier 2+.</w:t>
      </w:r>
    </w:p>
    <w:p>
      <w:pPr>
        <w:pStyle w:val="Compact"/>
        <w:numPr>
          <w:ilvl w:val="0"/>
          <w:numId w:val="1174"/>
        </w:numPr>
      </w:pPr>
      <w:r>
        <w:rPr>
          <w:b/>
          <w:bCs/>
        </w:rPr>
        <w:t>Tail screen (TRC heuristic):</w:t>
      </w:r>
      <w:r>
        <w:t xml:space="preserve"> </w:t>
      </w:r>
      <w:r>
        <w:t>Could any option plausibly create catastrophic, irreversible, systemic, or ruin-path downside? If yes, escalate to Tier 2+.</w:t>
      </w:r>
    </w:p>
    <w:p>
      <w:pPr>
        <w:pStyle w:val="Compact"/>
        <w:numPr>
          <w:ilvl w:val="0"/>
          <w:numId w:val="1174"/>
        </w:numPr>
      </w:pPr>
      <w:r>
        <w:rPr>
          <w:b/>
          <w:bCs/>
        </w:rPr>
        <w:t>CSV screen:</w:t>
      </w:r>
      <w:r>
        <w:t xml:space="preserve"> </w:t>
      </w:r>
      <w:r>
        <w:t>Could the apparent local gain hollow out, overload, externalize onto, or depend on failure of a larger system, or does the option lack the resources, controls, authority, reversibility, or execution conditions needed to stand? Record</w:t>
      </w:r>
      <w:r>
        <w:t xml:space="preserve"> </w:t>
      </w:r>
      <w:r>
        <w:rPr>
          <w:rStyle w:val="VerbatimChar"/>
        </w:rPr>
        <w:t>CSV_PASS_HEURISTIC</w:t>
      </w:r>
      <w:r>
        <w:t>,</w:t>
      </w:r>
      <w:r>
        <w:t xml:space="preserve"> </w:t>
      </w:r>
      <w:r>
        <w:rPr>
          <w:rStyle w:val="VerbatimChar"/>
        </w:rPr>
        <w:t>CSV_NOT_MATERIAL</w:t>
      </w:r>
      <w:r>
        <w:t>,</w:t>
      </w:r>
      <w:r>
        <w:t xml:space="preserve"> </w:t>
      </w:r>
      <w:r>
        <w:rPr>
          <w:rStyle w:val="VerbatimChar"/>
        </w:rPr>
        <w:t>CSV_REDESIGN_REQUIRED</w:t>
      </w:r>
      <w:r>
        <w:t>, or escalate. An ordinary RippleLogic ranking or selection claim MUST NOT be made without a pass-equivalent CSV result.</w:t>
      </w:r>
    </w:p>
    <w:p>
      <w:pPr>
        <w:pStyle w:val="Compact"/>
        <w:numPr>
          <w:ilvl w:val="0"/>
          <w:numId w:val="1174"/>
        </w:numPr>
      </w:pPr>
      <w:r>
        <w:rPr>
          <w:b/>
          <w:bCs/>
        </w:rPr>
        <w:t>Scopes touched:</w:t>
      </w:r>
      <w:r>
        <w:t xml:space="preserve"> </w:t>
      </w:r>
      <w:r>
        <w:t>Which operational scopes U1 through U7 are materially affected?</w:t>
      </w:r>
    </w:p>
    <w:p>
      <w:pPr>
        <w:pStyle w:val="Compact"/>
        <w:numPr>
          <w:ilvl w:val="0"/>
          <w:numId w:val="1174"/>
        </w:numPr>
      </w:pPr>
      <w:r>
        <w:rPr>
          <w:b/>
          <w:bCs/>
        </w:rPr>
        <w:t>Unioning move:</w:t>
      </w:r>
      <w:r>
        <w:t xml:space="preserve"> </w:t>
      </w:r>
      <w:r>
        <w:t>What redesign could reduce harms and increase shared benefit across the affected scopes?</w:t>
      </w:r>
    </w:p>
    <w:p>
      <w:pPr>
        <w:pStyle w:val="Compact"/>
        <w:numPr>
          <w:ilvl w:val="0"/>
          <w:numId w:val="1174"/>
        </w:numPr>
      </w:pPr>
      <w:r>
        <w:rPr>
          <w:b/>
          <w:bCs/>
        </w:rPr>
        <w:t>Choose and record:</w:t>
      </w:r>
      <w:r>
        <w:t xml:space="preserve"> </w:t>
      </w:r>
      <w:r>
        <w:t>Compare only options that passed the heuristic qualification screens. If no option passes, redesign, escalate, delay, or refuse rather than forcing a ranking.</w:t>
      </w:r>
    </w:p>
    <w:p>
      <w:pPr>
        <w:pStyle w:val="FirstParagraph"/>
      </w:pPr>
      <w:r>
        <w:t>Tier 1 recording (recommended): a short note or mini-PCC containing the eight answers and any</w:t>
      </w:r>
      <w:r>
        <w:t xml:space="preserve"> </w:t>
      </w:r>
      <w:r>
        <w:rPr>
          <w:rStyle w:val="VerbatimChar"/>
        </w:rPr>
        <w:t>CSV_NOT_MATERIAL</w:t>
      </w:r>
      <w:r>
        <w:t xml:space="preserve"> </w:t>
      </w:r>
      <w:r>
        <w:t>rationale.</w:t>
      </w:r>
    </w:p>
    <w:p>
      <w:pPr>
        <w:pStyle w:val="BodyText"/>
      </w:pPr>
      <w:r>
        <w:t>Tier-1 Worked Example (informative; shows Tier escalation):</w:t>
      </w:r>
    </w:p>
    <w:p>
      <w:pPr>
        <w:pStyle w:val="BodyText"/>
      </w:pPr>
      <w:r>
        <w:t>Decision: Accept a new consulting project this month, or decline to protect time for household responsibilities.</w:t>
      </w:r>
    </w:p>
    <w:p>
      <w:pPr>
        <w:pStyle w:val="BodyText"/>
      </w:pPr>
      <w:r>
        <w:t>Options: (A) Accept as proposed (10 hrs/week for 4 weeks). (B) Decline. (C) Redesign: accept only if scope is reduced to 4 hrs/week and meetings are time-boxed.</w:t>
      </w:r>
    </w:p>
    <w:p>
      <w:pPr>
        <w:pStyle w:val="BodyText"/>
      </w:pPr>
      <w:r>
        <w:t>Rights screen (heuristic): No plausible LIFE/BODY/NEED/LBTY/DIGN violations. PROC/INFO: contract terms are clear, no coercion. PASS at Tier 1. If any need for deceptive data use or exploitative terms were suspected, escalate to Tier 2.</w:t>
      </w:r>
    </w:p>
    <w:p>
      <w:pPr>
        <w:pStyle w:val="BodyText"/>
      </w:pPr>
      <w:r>
        <w:t>Tail screen (heuristic): No plausible catastrophic, irreversible, or systemic downside. PASS at Tier 1.</w:t>
      </w:r>
    </w:p>
    <w:p>
      <w:pPr>
        <w:pStyle w:val="BodyText"/>
      </w:pPr>
      <w:r>
        <w:t>CSV screen: Option A plausibly creates a local income gain by hollowing household stability and personal recovery capacity; record</w:t>
      </w:r>
      <w:r>
        <w:t xml:space="preserve"> </w:t>
      </w:r>
      <w:r>
        <w:rPr>
          <w:rStyle w:val="VerbatimChar"/>
        </w:rPr>
        <w:t>CSV_REDESIGN_REQUIRED</w:t>
      </w:r>
      <w:r>
        <w:t>. Option B is structurally viable but loses the project benefit; record</w:t>
      </w:r>
      <w:r>
        <w:t xml:space="preserve"> </w:t>
      </w:r>
      <w:r>
        <w:rPr>
          <w:rStyle w:val="VerbatimChar"/>
        </w:rPr>
        <w:t>CSV_PASS_HEURISTIC</w:t>
      </w:r>
      <w:r>
        <w:t>. Option C includes bounded hours and time-boxed meetings; record</w:t>
      </w:r>
      <w:r>
        <w:t xml:space="preserve"> </w:t>
      </w:r>
      <w:r>
        <w:rPr>
          <w:rStyle w:val="VerbatimChar"/>
        </w:rPr>
        <w:t>CSV_PASS_WITH_CONTROLS_HEURISTIC</w:t>
      </w:r>
      <w:r>
        <w:t xml:space="preserve"> </w:t>
      </w:r>
      <w:r>
        <w:t>if the limits are accepted and monitorable.</w:t>
      </w:r>
    </w:p>
    <w:p>
      <w:pPr>
        <w:pStyle w:val="BodyText"/>
      </w:pPr>
      <w:r>
        <w:t>Scopes touched: U1 Self (Health, Agency, Meaning). U2 Household (Social, Material, Health). U3 Community/Organization impacts minor and reversible.</w:t>
      </w:r>
    </w:p>
    <w:p>
      <w:pPr>
        <w:pStyle w:val="BodyText"/>
      </w:pPr>
      <w:r>
        <w:t>Unioning move: Option C reduces household harm while capturing some benefit. Compare B and the controlled form of C only after the CSV screen. Choose C if renegotiation succeeds and the controls are real; otherwise choose B if household strain would be material.</w:t>
      </w:r>
    </w:p>
    <w:p>
      <w:pPr>
        <w:pStyle w:val="BodyText"/>
      </w:pPr>
      <w:r>
        <w:t>Record (mini-PCC): store the eight answers, CSV status, controls, and chosen option so NCAR learning can refine future time-budget decisions.</w:t>
      </w:r>
    </w:p>
    <w:bookmarkEnd w:id="241"/>
    <w:bookmarkStart w:id="242" w:name="Xe5695c936c8ffc1da4ffc03409bf68b4c00f27b"/>
    <w:p>
      <w:pPr>
        <w:pStyle w:val="Heading2"/>
      </w:pPr>
      <w:r>
        <w:t>15.3 Tier 2: Core Calculable (Strict TRC and Proportional CSV Posture) (Normative)</w:t>
      </w:r>
    </w:p>
    <w:p>
      <w:pPr>
        <w:pStyle w:val="FirstParagraph"/>
      </w:pPr>
      <w:r>
        <w:t>Use Tier 2 for routine but consequential decisions requiring transparent computation and a basic PCC.</w:t>
      </w:r>
    </w:p>
    <w:p>
      <w:pPr>
        <w:pStyle w:val="BodyText"/>
      </w:pPr>
      <w:r>
        <w:t>Tier 2 minimum obligations:</w:t>
      </w:r>
    </w:p>
    <w:p>
      <w:pPr>
        <w:pStyle w:val="Compact"/>
        <w:numPr>
          <w:ilvl w:val="0"/>
          <w:numId w:val="1175"/>
        </w:numPr>
      </w:pPr>
      <w:r>
        <w:t>Construct impacts on the [-1,+1] scale using the Section 5 pipeline.</w:t>
      </w:r>
    </w:p>
    <w:p>
      <w:pPr>
        <w:pStyle w:val="Compact"/>
        <w:numPr>
          <w:ilvl w:val="0"/>
          <w:numId w:val="1175"/>
        </w:numPr>
      </w:pPr>
      <w:r>
        <w:t>Run RF/NCRC with worst-off subgroup checks for directly affected rights cells, including categorical-prohibition and severe-rights-hazard channels where triggered.</w:t>
      </w:r>
    </w:p>
    <w:p>
      <w:pPr>
        <w:pStyle w:val="Compact"/>
        <w:numPr>
          <w:ilvl w:val="0"/>
          <w:numId w:val="1175"/>
        </w:numPr>
      </w:pPr>
      <w:r>
        <w:t>Execute TRC when catastrophe relevance is plausible: use at least 5 scenarios; include mandatory tail categories and probability floors unless implausible with documented justification; compute CVaR and the corridor check; and record the TRC table in the PCC.</w:t>
      </w:r>
    </w:p>
    <w:p>
      <w:pPr>
        <w:pStyle w:val="Compact"/>
        <w:numPr>
          <w:ilvl w:val="0"/>
          <w:numId w:val="1175"/>
        </w:numPr>
      </w:pPr>
      <w:r>
        <w:t>Complete a proportional, assumption-bounded CSV review for every option before ordinary RLS ranking. Tier 2 CSV MAY use qualitative or proxy evidence where validated structural instruments are unavailable, but it MUST issue one explicit status from the canonical ladder:</w:t>
      </w:r>
      <w:r>
        <w:t xml:space="preserve"> </w:t>
      </w:r>
      <w:r>
        <w:rPr>
          <w:rStyle w:val="VerbatimChar"/>
        </w:rPr>
        <w:t>CSV_PASS</w:t>
      </w:r>
      <w:r>
        <w:t>,</w:t>
      </w:r>
      <w:r>
        <w:t xml:space="preserve"> </w:t>
      </w:r>
      <w:r>
        <w:rPr>
          <w:rStyle w:val="VerbatimChar"/>
        </w:rPr>
        <w:t>CSV_PASS_WITH_CONTROLS</w:t>
      </w:r>
      <w:r>
        <w:t>,</w:t>
      </w:r>
      <w:r>
        <w:t xml:space="preserve"> </w:t>
      </w:r>
      <w:r>
        <w:rPr>
          <w:rStyle w:val="VerbatimChar"/>
        </w:rPr>
        <w:t>CSV_NOT_MATERIAL</w:t>
      </w:r>
      <w:r>
        <w:t>,</w:t>
      </w:r>
      <w:r>
        <w:t xml:space="preserve"> </w:t>
      </w:r>
      <w:r>
        <w:rPr>
          <w:rStyle w:val="VerbatimChar"/>
        </w:rPr>
        <w:t>CSV_REDESIGN_REQUIRED</w:t>
      </w:r>
      <w:r>
        <w:t>,</w:t>
      </w:r>
      <w:r>
        <w:t xml:space="preserve"> </w:t>
      </w:r>
      <w:r>
        <w:rPr>
          <w:rStyle w:val="VerbatimChar"/>
        </w:rPr>
        <w:t>CSV_ESCALATE</w:t>
      </w:r>
      <w:r>
        <w:t>,</w:t>
      </w:r>
      <w:r>
        <w:t xml:space="preserve"> </w:t>
      </w:r>
      <w:r>
        <w:rPr>
          <w:rStyle w:val="VerbatimChar"/>
        </w:rPr>
        <w:t>CSV_FAIL</w:t>
      </w:r>
      <w:r>
        <w:t>, or</w:t>
      </w:r>
      <w:r>
        <w:t xml:space="preserve"> </w:t>
      </w:r>
      <w:r>
        <w:rPr>
          <w:rStyle w:val="VerbatimChar"/>
        </w:rPr>
        <w:t>CSV_EMERGENCY_PROVISIONAL</w:t>
      </w:r>
      <w:r>
        <w:t xml:space="preserve"> </w:t>
      </w:r>
      <w:r>
        <w:t>where the emergency protocol applies. A</w:t>
      </w:r>
      <w:r>
        <w:t xml:space="preserve"> </w:t>
      </w:r>
      <w:r>
        <w:rPr>
          <w:rStyle w:val="VerbatimChar"/>
        </w:rPr>
        <w:t>CSV_NOT_MATERIAL</w:t>
      </w:r>
      <w:r>
        <w:t xml:space="preserve"> </w:t>
      </w:r>
      <w:r>
        <w:t>result MUST state why no material containment or structural-viability pathway is present. Refusal is a permitted claim or action disposition after</w:t>
      </w:r>
      <w:r>
        <w:t xml:space="preserve"> </w:t>
      </w:r>
      <w:r>
        <w:rPr>
          <w:rStyle w:val="VerbatimChar"/>
        </w:rPr>
        <w:t>CSV_FAIL</w:t>
      </w:r>
      <w:r>
        <w:t>, unresolved material uncertainty, or failed authority conditions;</w:t>
      </w:r>
      <w:r>
        <w:t xml:space="preserve"> </w:t>
      </w:r>
      <w:r>
        <w:rPr>
          <w:rStyle w:val="VerbatimChar"/>
        </w:rPr>
        <w:t>CSV_REFUSE</w:t>
      </w:r>
      <w:r>
        <w:t xml:space="preserve"> </w:t>
      </w:r>
      <w:r>
        <w:t>is not a canonical CSV status token.</w:t>
      </w:r>
    </w:p>
    <w:p>
      <w:pPr>
        <w:pStyle w:val="Compact"/>
        <w:numPr>
          <w:ilvl w:val="0"/>
          <w:numId w:val="1175"/>
        </w:numPr>
      </w:pPr>
      <w:r>
        <w:t>Form the selectable set only from options with adequate RG claim support, RF/NCRC pass, TRC pass, and a pass-equivalent CSV status (</w:t>
      </w:r>
      <w:r>
        <w:rPr>
          <w:rStyle w:val="VerbatimChar"/>
        </w:rPr>
        <w:t>CSV_PASS</w:t>
      </w:r>
      <w:r>
        <w:t>,</w:t>
      </w:r>
      <w:r>
        <w:t xml:space="preserve"> </w:t>
      </w:r>
      <w:r>
        <w:rPr>
          <w:rStyle w:val="VerbatimChar"/>
        </w:rPr>
        <w:t>CSV_PASS_WITH_CONTROLS</w:t>
      </w:r>
      <w:r>
        <w:t>, or</w:t>
      </w:r>
      <w:r>
        <w:t xml:space="preserve"> </w:t>
      </w:r>
      <w:r>
        <w:rPr>
          <w:rStyle w:val="VerbatimChar"/>
        </w:rPr>
        <w:t>CSV_NOT_MATERIAL</w:t>
      </w:r>
      <w:r>
        <w:t>).</w:t>
      </w:r>
    </w:p>
    <w:p>
      <w:pPr>
        <w:pStyle w:val="Compact"/>
        <w:numPr>
          <w:ilvl w:val="0"/>
          <w:numId w:val="1175"/>
        </w:numPr>
      </w:pPr>
      <w:r>
        <w:t>Compute RLS only for the selectable set and record the normalized ranking. If no option is selectable, redesign, delay, escalate, or refuse; do not force a score-based choice.</w:t>
      </w:r>
    </w:p>
    <w:p>
      <w:pPr>
        <w:pStyle w:val="Compact"/>
        <w:numPr>
          <w:ilvl w:val="0"/>
          <w:numId w:val="1175"/>
        </w:numPr>
      </w:pPr>
      <w:r>
        <w:t>If the selectable survivors are uncertainty-overlapped or non-decisive, apply only legitimate residual tie-break or authority-selection procedures; do not reopen or rescue a failed qualification level.</w:t>
      </w:r>
    </w:p>
    <w:p>
      <w:pPr>
        <w:pStyle w:val="Compact"/>
        <w:numPr>
          <w:ilvl w:val="0"/>
          <w:numId w:val="1175"/>
        </w:numPr>
      </w:pPr>
      <w:r>
        <w:t>Produce a basic PCC plus 5SPR, including the proportional CSV evidence, status, controls, blind spots, and review trigger.</w:t>
      </w:r>
    </w:p>
    <w:p>
      <w:pPr>
        <w:pStyle w:val="FirstParagraph"/>
      </w:pPr>
      <w:r>
        <w:t>Tier 2 propagation guidance:</w:t>
      </w:r>
    </w:p>
    <w:p>
      <w:pPr>
        <w:pStyle w:val="Compact"/>
        <w:numPr>
          <w:ilvl w:val="0"/>
          <w:numId w:val="1176"/>
        </w:numPr>
      </w:pPr>
      <w:r>
        <w:t>Default propagation_mode = NONE.</w:t>
      </w:r>
    </w:p>
    <w:p>
      <w:pPr>
        <w:pStyle w:val="Compact"/>
        <w:numPr>
          <w:ilvl w:val="0"/>
          <w:numId w:val="1176"/>
        </w:numPr>
      </w:pPr>
      <w:r>
        <w:t>QUICK propagation is allowed only if KQS policy is satisfied and sensitivity is feasible.</w:t>
      </w:r>
    </w:p>
    <w:p>
      <w:pPr>
        <w:pStyle w:val="FirstParagraph"/>
      </w:pPr>
      <w:r>
        <w:t>Structural-assurance note (Normative). Proportional CSV is mandatory before ordinary Tier 2 ranking, but its evidence depth is proportional to stakes and measurement maturity. A Tier 2 CSV result based on assumptions, proxies, or qualitative evidence MUST declare those limits. If the principal hazard is plausible hollowing-out, structural degradation, physical/causal inadmissibility, uncontrolled dependency, or other containment-relevant harm that cannot be responsibly bounded at Tier 2, the run MUST escalate to Tier 3, redesign, narrow the claim, or refuse the stronger selection claim. Quantitative UCI is not universally required at Tier 2; explicit structural reasoning and a pass-equivalent CSV status are.</w:t>
      </w:r>
    </w:p>
    <w:bookmarkEnd w:id="242"/>
    <w:bookmarkStart w:id="243" w:name="Xf92bb03b9df70a0db7ddea9fdfc89463d41800f"/>
    <w:p>
      <w:pPr>
        <w:pStyle w:val="Heading2"/>
      </w:pPr>
      <w:r>
        <w:t>15.4 Tier 3: Standard Auditable (Normative)</w:t>
      </w:r>
    </w:p>
    <w:p>
      <w:pPr>
        <w:pStyle w:val="FirstParagraph"/>
      </w:pPr>
      <w:r>
        <w:t>Use Tier 3 for high-stakes, contested, or externally scrutinized decisions where auditability and anti-gaming posture are required.</w:t>
      </w:r>
    </w:p>
    <w:p>
      <w:pPr>
        <w:pStyle w:val="BodyText"/>
      </w:pPr>
      <w:r>
        <w:t>Tier 3 minimum obligations:</w:t>
      </w:r>
    </w:p>
    <w:p>
      <w:pPr>
        <w:pStyle w:val="Compact"/>
        <w:numPr>
          <w:ilvl w:val="0"/>
          <w:numId w:val="1177"/>
        </w:numPr>
      </w:pPr>
      <w:r>
        <w:t>Full PCC (Appendix H), including: impacts, subgroup semantics, scenario library, containment results, RLS, uncertainties, sensitivity, audit flags, signatures.</w:t>
      </w:r>
    </w:p>
    <w:p>
      <w:pPr>
        <w:pStyle w:val="Compact"/>
        <w:numPr>
          <w:ilvl w:val="0"/>
          <w:numId w:val="1178"/>
        </w:numPr>
      </w:pPr>
      <w:r>
        <w:t>NCRC: Subgroup analysis required for rights-covered cells.</w:t>
      </w:r>
    </w:p>
    <w:p>
      <w:pPr>
        <w:pStyle w:val="Compact"/>
        <w:numPr>
          <w:ilvl w:val="0"/>
          <w:numId w:val="1179"/>
        </w:numPr>
      </w:pPr>
      <w:r>
        <w:t>TRC: Required with ≥20 scenarios and mandatory tails plus probability floors (Appendix D).</w:t>
      </w:r>
    </w:p>
    <w:p>
      <w:pPr>
        <w:pStyle w:val="Compact"/>
        <w:numPr>
          <w:ilvl w:val="0"/>
          <w:numId w:val="1180"/>
        </w:numPr>
      </w:pPr>
      <w:r>
        <w:t>Containment Mode A: Required and binding.</w:t>
      </w:r>
    </w:p>
    <w:p>
      <w:pPr>
        <w:numPr>
          <w:ilvl w:val="0"/>
          <w:numId w:val="1181"/>
        </w:numPr>
      </w:pPr>
      <w:r>
        <w:t>Sensitivity analysis bundle required:</w:t>
      </w:r>
    </w:p>
    <w:p>
      <w:pPr>
        <w:pStyle w:val="Compact"/>
        <w:numPr>
          <w:ilvl w:val="1"/>
          <w:numId w:val="1182"/>
        </w:numPr>
      </w:pPr>
      <w:r>
        <w:t>Weights perturbation,</w:t>
      </w:r>
    </w:p>
    <w:p>
      <w:pPr>
        <w:pStyle w:val="Compact"/>
        <w:numPr>
          <w:ilvl w:val="1"/>
          <w:numId w:val="1183"/>
        </w:numPr>
      </w:pPr>
      <w:r>
        <w:t>Rights threshold perturbation (±0.05 on θ_r as a sensitivity test),</w:t>
      </w:r>
    </w:p>
    <w:p>
      <w:pPr>
        <w:pStyle w:val="Compact"/>
        <w:numPr>
          <w:ilvl w:val="1"/>
          <w:numId w:val="1184"/>
        </w:numPr>
      </w:pPr>
      <w:r>
        <w:t>Kernel perturbation if QUICK used,</w:t>
      </w:r>
    </w:p>
    <w:p>
      <w:pPr>
        <w:pStyle w:val="Compact"/>
        <w:numPr>
          <w:ilvl w:val="1"/>
          <w:numId w:val="1185"/>
        </w:numPr>
      </w:pPr>
      <w:r>
        <w:t>Scenario probability perturbation.</w:t>
      </w:r>
    </w:p>
    <w:p>
      <w:pPr>
        <w:numPr>
          <w:ilvl w:val="0"/>
          <w:numId w:val="1186"/>
        </w:numPr>
      </w:pPr>
      <w:r>
        <w:t>Kernel: QUICK permitted only if KQS policy permits:</w:t>
      </w:r>
    </w:p>
    <w:p>
      <w:pPr>
        <w:pStyle w:val="Compact"/>
        <w:numPr>
          <w:ilvl w:val="1"/>
          <w:numId w:val="1187"/>
        </w:numPr>
      </w:pPr>
      <w:r>
        <w:t>KQS &lt; 0.40: NONE only,</w:t>
      </w:r>
    </w:p>
    <w:p>
      <w:pPr>
        <w:pStyle w:val="Compact"/>
        <w:numPr>
          <w:ilvl w:val="1"/>
          <w:numId w:val="1188"/>
        </w:numPr>
      </w:pPr>
      <w:r>
        <w:t>0.40-0.50: QUICK plus mandatory sensitivity,</w:t>
      </w:r>
    </w:p>
    <w:p>
      <w:pPr>
        <w:pStyle w:val="Compact"/>
        <w:numPr>
          <w:ilvl w:val="1"/>
          <w:numId w:val="1189"/>
        </w:numPr>
      </w:pPr>
      <w:r>
        <w:t>≥0.50: QUICK permitted plus sensitivity.</w:t>
      </w:r>
    </w:p>
    <w:p>
      <w:pPr>
        <w:pStyle w:val="Compact"/>
        <w:numPr>
          <w:ilvl w:val="0"/>
          <w:numId w:val="1190"/>
        </w:numPr>
      </w:pPr>
      <w:r>
        <w:t>FULL propagation is prohibited for Tier 1-3 claims.</w:t>
      </w:r>
    </w:p>
    <w:bookmarkEnd w:id="243"/>
    <w:bookmarkStart w:id="244" w:name="Xf099e2e21385080ba88e4df8ba384a871d3ce2e"/>
    <w:p>
      <w:pPr>
        <w:pStyle w:val="Heading2"/>
      </w:pPr>
      <w:r>
        <w:t>15.4A Conformance, empirical readiness, and reference implementation posture (Normative clarification)</w:t>
      </w:r>
    </w:p>
    <w:p>
      <w:pPr>
        <w:pStyle w:val="FirstParagraph"/>
      </w:pPr>
      <w:r>
        <w:t>Tier 1-3 run-level conformance claims concern whether a particular run satisfies the requirements of this specification. They are distinct from framework-level empirical operational-readiness claims about comparative real-world performance, calibration quality, or superiority over alternative governance methods. Tier 3 run-level conformance means the run satisfies Tier 3 procedural, evidentiary, and audit requirements as declared; it does not by itself imply that every structural indicator family used for UCI or Containment is externally validated, mature across domains, or empirically calibrated beyond the declared measurement pack.</w:t>
      </w:r>
    </w:p>
    <w:p>
      <w:pPr>
        <w:pStyle w:val="BodyText"/>
      </w:pPr>
      <w:r>
        <w:t>Reference implementation posture (Informative with binding disclosure consequence). This Foundation Paper normatively defines conformance without requiring a published reference implementation. However, project custodians SHOULD publish sibling reference implementation artifacts consisting at minimum of a machine-readable PCC schema, validator rule set, and executable Appendix R fixtures. Until such artifacts are published in a release manifest, framework-level claims of replay-grade operational readiness MUST remain provisional even where run-level Tier 1-3 conformance is possible.</w:t>
      </w:r>
    </w:p>
    <w:bookmarkEnd w:id="244"/>
    <w:bookmarkStart w:id="245" w:name="X7567013d368fdece6b2970c967fba459e9ed841"/>
    <w:p>
      <w:pPr>
        <w:pStyle w:val="Heading2"/>
      </w:pPr>
      <w:r>
        <w:t>15.5 NCAR Integration by Tier (Normative)</w:t>
      </w:r>
    </w:p>
    <w:p>
      <w:pPr>
        <w:pStyle w:val="FirstParagraph"/>
      </w:pPr>
      <w:r>
        <w:t>All tiers SHOULD operate within NCAR.</w:t>
      </w:r>
    </w:p>
    <w:tbl>
      <w:tblPr>
        <w:tblStyle w:val="Table"/>
        <w:tblW w:type="auto" w:w="0"/>
        <w:jc w:val="center"/>
        <w:tblLook w:firstRow="1" w:lastRow="0" w:firstColumn="0" w:lastColumn="0" w:noHBand="0" w:noVBand="0" w:val="0020"/>
      </w:tblPr>
      <w:tblGrid>
        <w:gridCol w:w="3960"/>
        <w:gridCol w:w="3960"/>
      </w:tblGrid>
      <w:tr>
        <w:trPr>
          <w:tblHeader w:val="on"/>
          <w:tblHeader w:val="true"/>
          <w:cantSplit/>
        </w:trPr>
        <w:tc>
          <w:tcPr>
            <w:vAlign w:val="top"/>
            <w:tcMar>
              <w:top w:w="70" w:type="dxa"/>
              <w:start w:w="80" w:type="dxa"/>
              <w:bottom w:w="70" w:type="dxa"/>
              <w:end w:w="80" w:type="dxa"/>
            </w:tcMar>
            <w:shd w:fill="1F4E78"/>
          </w:tcPr>
          <w:p>
            <w:pPr>
              <w:pStyle w:val="Compact"/>
              <w:jc w:val="left"/>
            </w:pPr>
            <w:r>
              <w:rPr>
                <w:rFonts w:ascii="Arial" w:hAnsi="Arial" w:eastAsia="Arial"/>
                <w:b/>
                <w:bCs/>
                <w:color w:val="FFFFFF"/>
                <w:sz w:val="16"/>
              </w:rPr>
              <w:t>Phase</w:t>
            </w:r>
          </w:p>
        </w:tc>
        <w:tc>
          <w:tcPr>
            <w:vAlign w:val="top"/>
            <w:tcMar>
              <w:top w:w="70" w:type="dxa"/>
              <w:start w:w="80" w:type="dxa"/>
              <w:bottom w:w="70" w:type="dxa"/>
              <w:end w:w="80" w:type="dxa"/>
            </w:tcMar>
            <w:shd w:fill="1F4E78"/>
          </w:tcPr>
          <w:p>
            <w:pPr>
              <w:pStyle w:val="Compact"/>
              <w:jc w:val="left"/>
            </w:pPr>
            <w:r>
              <w:rPr>
                <w:rFonts w:ascii="Arial" w:hAnsi="Arial" w:eastAsia="Arial"/>
                <w:b/>
                <w:bCs/>
                <w:color w:val="FFFFFF"/>
                <w:sz w:val="16"/>
              </w:rPr>
              <w:t>Action</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Notice</w:t>
            </w:r>
          </w:p>
        </w:tc>
        <w:tc>
          <w:tcPr>
            <w:vAlign w:val="top"/>
            <w:tcMar>
              <w:top w:w="70" w:type="dxa"/>
              <w:start w:w="80" w:type="dxa"/>
              <w:bottom w:w="70" w:type="dxa"/>
              <w:end w:w="80" w:type="dxa"/>
            </w:tcMar>
            <w:shd w:fill="D9EAF7"/>
          </w:tcPr>
          <w:p>
            <w:pPr>
              <w:pStyle w:val="Compact"/>
              <w:jc w:val="left"/>
            </w:pPr>
            <w:r>
              <w:rPr>
                <w:rFonts w:ascii="Arial" w:hAnsi="Arial" w:eastAsia="Arial"/>
                <w:sz w:val="16"/>
              </w:rPr>
              <w:t>Define scope, unions, options, baseline, and configuration</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Choose</w:t>
            </w:r>
          </w:p>
        </w:tc>
        <w:tc>
          <w:tcPr>
            <w:vAlign w:val="top"/>
            <w:tcMar>
              <w:top w:w="70" w:type="dxa"/>
              <w:start w:w="80" w:type="dxa"/>
              <w:bottom w:w="70" w:type="dxa"/>
              <w:end w:w="80" w:type="dxa"/>
            </w:tcMar>
            <w:shd w:fill="FFFFFF"/>
          </w:tcPr>
          <w:p>
            <w:pPr>
              <w:pStyle w:val="Compact"/>
              <w:jc w:val="left"/>
            </w:pPr>
            <w:r>
              <w:rPr>
                <w:rFonts w:ascii="Arial" w:hAnsi="Arial" w:eastAsia="Arial"/>
                <w:sz w:val="16"/>
              </w:rPr>
              <w:t>Execute cascade and emit PCC</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Act</w:t>
            </w:r>
          </w:p>
        </w:tc>
        <w:tc>
          <w:tcPr>
            <w:vAlign w:val="top"/>
            <w:tcMar>
              <w:top w:w="70" w:type="dxa"/>
              <w:start w:w="80" w:type="dxa"/>
              <w:bottom w:w="70" w:type="dxa"/>
              <w:end w:w="80" w:type="dxa"/>
            </w:tcMar>
            <w:shd w:fill="D9EAF7"/>
          </w:tcPr>
          <w:p>
            <w:pPr>
              <w:pStyle w:val="Compact"/>
              <w:jc w:val="left"/>
            </w:pPr>
            <w:r>
              <w:rPr>
                <w:rFonts w:ascii="Arial" w:hAnsi="Arial" w:eastAsia="Arial"/>
                <w:sz w:val="16"/>
              </w:rPr>
              <w:t>Implement with monitoring aligned to predicted impacts and tail scenarios</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Reflect</w:t>
            </w:r>
          </w:p>
        </w:tc>
        <w:tc>
          <w:tcPr>
            <w:vAlign w:val="top"/>
            <w:tcMar>
              <w:top w:w="70" w:type="dxa"/>
              <w:start w:w="80" w:type="dxa"/>
              <w:bottom w:w="70" w:type="dxa"/>
              <w:end w:w="80" w:type="dxa"/>
            </w:tcMar>
            <w:shd w:fill="FFFFFF"/>
          </w:tcPr>
          <w:p>
            <w:pPr>
              <w:pStyle w:val="Compact"/>
              <w:jc w:val="left"/>
            </w:pPr>
            <w:r>
              <w:rPr>
                <w:rFonts w:ascii="Arial" w:hAnsi="Arial" w:eastAsia="Arial"/>
                <w:sz w:val="16"/>
              </w:rPr>
              <w:t>Compare observed outcomes to predictions; update indicators, kernels, scenario libraries, and weights through governed procedures</w:t>
            </w:r>
          </w:p>
        </w:tc>
      </w:tr>
    </w:tbl>
    <w:p>
      <w:pPr>
        <w:pStyle w:val="BodyText"/>
      </w:pPr>
      <w:r>
        <w:t>Reflect cadence defaults:</w:t>
      </w:r>
    </w:p>
    <w:p>
      <w:pPr>
        <w:pStyle w:val="Compact"/>
        <w:numPr>
          <w:ilvl w:val="0"/>
          <w:numId w:val="1191"/>
        </w:numPr>
      </w:pPr>
      <w:r>
        <w:t>Tier 2: Within 6 months or after major outcome data</w:t>
      </w:r>
    </w:p>
    <w:p>
      <w:pPr>
        <w:pStyle w:val="Compact"/>
        <w:numPr>
          <w:ilvl w:val="0"/>
          <w:numId w:val="1192"/>
        </w:numPr>
      </w:pPr>
      <w:r>
        <w:t>Tier 3: Within 3-6 months or after major outcome data</w:t>
      </w:r>
    </w:p>
    <w:p>
      <w:pPr>
        <w:pStyle w:val="Compact"/>
        <w:numPr>
          <w:ilvl w:val="0"/>
          <w:numId w:val="1193"/>
        </w:numPr>
      </w:pPr>
      <w:r>
        <w:t>Emergency/Fallback: Review cadence per declared severity and risk</w:t>
      </w:r>
    </w:p>
    <w:bookmarkEnd w:id="245"/>
    <w:bookmarkStart w:id="246" w:name="Xfec6866625dd4dffdf77e0aebc9cfba74744d96"/>
    <w:p>
      <w:pPr>
        <w:pStyle w:val="Heading2"/>
      </w:pPr>
      <w:r>
        <w:t>15.6 Improvement and Future Upgrades (Normative stance)</w:t>
      </w:r>
    </w:p>
    <w:p>
      <w:pPr>
        <w:pStyle w:val="FirstParagraph"/>
      </w:pPr>
      <w:r>
        <w:t>RippleLogic is corrigible. Any improvement MUST:</w:t>
      </w:r>
    </w:p>
    <w:p>
      <w:pPr>
        <w:pStyle w:val="Compact"/>
        <w:numPr>
          <w:ilvl w:val="0"/>
          <w:numId w:val="1194"/>
        </w:numPr>
      </w:pPr>
      <w:r>
        <w:t>Preserve NCRC/TRC non-compensability structure,</w:t>
      </w:r>
    </w:p>
    <w:p>
      <w:pPr>
        <w:pStyle w:val="Compact"/>
        <w:numPr>
          <w:ilvl w:val="0"/>
          <w:numId w:val="1195"/>
        </w:numPr>
      </w:pPr>
      <w:r>
        <w:t>Be explicit, versioned, and auditable (AIL),</w:t>
      </w:r>
    </w:p>
    <w:p>
      <w:pPr>
        <w:pStyle w:val="Compact"/>
        <w:numPr>
          <w:ilvl w:val="0"/>
          <w:numId w:val="1196"/>
        </w:numPr>
      </w:pPr>
      <w:r>
        <w:t>Be tested under the validation program (Section 17),</w:t>
      </w:r>
    </w:p>
    <w:p>
      <w:pPr>
        <w:pStyle w:val="Compact"/>
        <w:numPr>
          <w:ilvl w:val="0"/>
          <w:numId w:val="1197"/>
        </w:numPr>
      </w:pPr>
      <w:r>
        <w:t>And be introduced via governed update processes (NCAR Reflect plus versioning).</w:t>
      </w:r>
    </w:p>
    <w:bookmarkEnd w:id="246"/>
    <w:bookmarkEnd w:id="247"/>
    <w:bookmarkStart w:id="257" w:name="X0160aa132b1339db584001b4a694352730da91c"/>
    <w:p>
      <w:pPr>
        <w:pStyle w:val="Heading1"/>
      </w:pPr>
      <w:r>
        <w:t>SECTION 16: RELATIONSHIP TO EXISTING FRAMEWORKS (INFORMATIVE)</w:t>
      </w:r>
    </w:p>
    <w:bookmarkStart w:id="248" w:name="Xcf42a55e8ce9d36c650be2dbf667ca4fb4c5140"/>
    <w:p>
      <w:pPr>
        <w:pStyle w:val="Heading2"/>
      </w:pPr>
      <w:r>
        <w:t>16.0 Purpose</w:t>
      </w:r>
    </w:p>
    <w:p>
      <w:pPr>
        <w:pStyle w:val="FirstParagraph"/>
      </w:pPr>
      <w:r>
        <w:t>This section positions RippleLogic relative to existing ethical, governance, and decision frameworks. It clarifies structural differences and interfaces.</w:t>
      </w:r>
    </w:p>
    <w:bookmarkEnd w:id="248"/>
    <w:bookmarkStart w:id="249" w:name="X3038ddab471b71daee9a63bc4805730c89c6662"/>
    <w:p>
      <w:pPr>
        <w:pStyle w:val="Heading2"/>
      </w:pPr>
      <w:r>
        <w:t>16.1 Compared to Utilitarianism / Cost-Benefit Analysis (CBA)</w:t>
      </w:r>
    </w:p>
    <w:p>
      <w:pPr>
        <w:pStyle w:val="FirstParagraph"/>
      </w:pPr>
      <w:r>
        <w:t>CBA often scalarizes plural values into a single metric (money/utility), enabling rights tradeoffs. RippleLogic blocks this via NCRC (rights as constraints) and TRC (tail risk as constraint), then optimizes welfare only within the admissible set.</w:t>
      </w:r>
    </w:p>
    <w:bookmarkEnd w:id="249"/>
    <w:bookmarkStart w:id="250" w:name="Xa9148774eac7305eebb529c9606c09f2c3d7081"/>
    <w:p>
      <w:pPr>
        <w:pStyle w:val="Heading2"/>
      </w:pPr>
      <w:r>
        <w:t>16.2 Compared to Deontology (Rule-based ethics)</w:t>
      </w:r>
    </w:p>
    <w:p>
      <w:pPr>
        <w:pStyle w:val="FirstParagraph"/>
      </w:pPr>
      <w:r>
        <w:t>Pure deontology can lack a complete operational procedure for comparing permitted options under uncertainty. RippleLogic retains non-compensable constraints but adds computable consequence modeling and tail-risk bounding.</w:t>
      </w:r>
    </w:p>
    <w:bookmarkEnd w:id="250"/>
    <w:bookmarkStart w:id="251" w:name="X6bcf97f16e0aac0b5c614567deb73f3f477926c"/>
    <w:p>
      <w:pPr>
        <w:pStyle w:val="Heading2"/>
      </w:pPr>
      <w:r>
        <w:t>16.3 Compared to Rawlsian Justice and Capability Approaches</w:t>
      </w:r>
    </w:p>
    <w:p>
      <w:pPr>
        <w:pStyle w:val="FirstParagraph"/>
      </w:pPr>
      <w:r>
        <w:t>Rawls provides priority of liberty and fair basic structure; capabilities provide multi-dimensional flourishing. RippleLogic operationalizes multi-dimensional welfare into a computable 7×7 matrix and makes rights floors explicit across unions.</w:t>
      </w:r>
    </w:p>
    <w:bookmarkEnd w:id="251"/>
    <w:bookmarkStart w:id="252" w:name="X77edf5dde5326f4428d70e052031756450048c0"/>
    <w:p>
      <w:pPr>
        <w:pStyle w:val="Heading2"/>
      </w:pPr>
      <w:r>
        <w:t>16.4 Compared to MCDA (Multi-Criteria Decision Analysis)</w:t>
      </w:r>
    </w:p>
    <w:p>
      <w:pPr>
        <w:pStyle w:val="FirstParagraph"/>
      </w:pPr>
      <w:r>
        <w:t>Standard MCDA often aggregates criteria via weighted sums or outranking without lexicographic catastrophe handling (Keeney &amp; Raiffa, 1976; Belton &amp; Stewart, 2002). RippleLogic is MCDA-like at the RLS layer but is structurally different because admissibility gates (NCRC/TRC/CSV) are lexicographic and non-compensable.</w:t>
      </w:r>
    </w:p>
    <w:bookmarkEnd w:id="252"/>
    <w:bookmarkStart w:id="253" w:name="X0797b590d65ffc37b3e2267bb4255bf550501c4"/>
    <w:p>
      <w:pPr>
        <w:pStyle w:val="Heading2"/>
      </w:pPr>
      <w:r>
        <w:t>16.5 Compared to AI Alignment Toolsets (RLHF, Constitutional AI, risk frameworks)</w:t>
      </w:r>
    </w:p>
    <w:p>
      <w:pPr>
        <w:pStyle w:val="FirstParagraph"/>
      </w:pPr>
      <w:r>
        <w:t>Many alignment approaches train systems toward proxies (human feedback, constitutional principles) without hard admissibility gates. RippleLogic provides a decision-engine architecture: action-space filtering by NCRC/TRC/CSV, structured welfare scoring (RLS), auditable traces (PCC), and corrigibility via NCAR.</w:t>
      </w:r>
    </w:p>
    <w:bookmarkEnd w:id="253"/>
    <w:bookmarkStart w:id="254" w:name="X87e308b94d111e7704c24730468bb31e9cb98a1"/>
    <w:p>
      <w:pPr>
        <w:pStyle w:val="Heading2"/>
      </w:pPr>
      <w:r>
        <w:t>16.6 Interoperability with Governance Standards</w:t>
      </w:r>
    </w:p>
    <w:p>
      <w:pPr>
        <w:pStyle w:val="FirstParagraph"/>
      </w:pPr>
      <w:r>
        <w:t>RippleLogic is designed to be interoperable with governance regimes emphasizing accountability and risk management (for example, NIST AI RMF) through its PCC record, scenario governance, and explicit risk bounding. It adds formal lexicographic rights and tail-risk operators that many standards leave at a principles level.</w:t>
      </w:r>
    </w:p>
    <w:bookmarkEnd w:id="254"/>
    <w:bookmarkStart w:id="255" w:name="Xf173dc3ad53f1f9f2ca4eda9f05b932acce96e2"/>
    <w:p>
      <w:pPr>
        <w:pStyle w:val="Heading2"/>
      </w:pPr>
      <w:r>
        <w:t>16.7 Compared to Commons Governance</w:t>
      </w:r>
    </w:p>
    <w:p>
      <w:pPr>
        <w:pStyle w:val="FirstParagraph"/>
      </w:pPr>
      <w:r>
        <w:t>RippleLogic is compatible with institutional approaches to governing shared resources and externalities. Where commons governance emphasizes rules-in-use, monitoring, graduated sanctions, and polycentric coordination, RippleLogic contributes a computable, auditable decision cascade that makes rights floors, tail-risk bounds, and cross-union ripple effects explicit in each decision record (Ostrom, 1990).</w:t>
      </w:r>
    </w:p>
    <w:bookmarkEnd w:id="255"/>
    <w:bookmarkStart w:id="256" w:name="X322d25f0d34f580d8ce1566b02e2214d1cd74af"/>
    <w:p>
      <w:pPr>
        <w:pStyle w:val="Heading2"/>
      </w:pPr>
      <w:r>
        <w:t>16.8 RLS Validation and Calibration Status (Informative bridge)</w:t>
      </w:r>
    </w:p>
    <w:p>
      <w:pPr>
        <w:pStyle w:val="FirstParagraph"/>
      </w:pPr>
      <w:r>
        <w:t>Current status. RLS is release-ready as a structured residual welfare-scoring specification and audit method. It does not yet claim empirical validation of the dimensional non-overlap of the 7x7 welfare field, calibrated decisiveness thresholds, or inter-rater reliability of cell-filling across independent analysts. A companion RLS Validation Protocol should test these claims through scored-case datasets, correlation/factor analysis across the 49 cells, inter-rater reliability studies, disagreement heatmaps, scalar-comparator analysis, and revision rules. Until those studies are completed, public claims should say that RLS is structurally complete and auditable, not that it is empirically proven to produce superior decisions.</w:t>
      </w:r>
    </w:p>
    <w:bookmarkEnd w:id="256"/>
    <w:bookmarkEnd w:id="257"/>
    <w:bookmarkStart w:id="276" w:name="X089ec1e241da03a99a44433ba9a176295787aac"/>
    <w:p>
      <w:pPr>
        <w:pStyle w:val="Heading1"/>
      </w:pPr>
      <w:r>
        <w:t>SECTION 17: VALIDATION, FALSIFICATION, AND RESEARCH PROGRAM (NORMATIVE FOR CLAIMS)</w:t>
      </w:r>
    </w:p>
    <w:bookmarkStart w:id="258" w:name="X47a4de2477c9068098e86a6d19f6128ea5007c5"/>
    <w:p>
      <w:pPr>
        <w:pStyle w:val="Heading2"/>
      </w:pPr>
      <w:r>
        <w:t>17.0 Purpose (Normative)</w:t>
      </w:r>
    </w:p>
    <w:p>
      <w:pPr>
        <w:pStyle w:val="FirstParagraph"/>
      </w:pPr>
      <w:r>
        <w:t>RippleLogic makes testable claims about decision quality, rights protection, tail-risk avoidance, and auditability. This section specifies explicit falsification criteria and a staged validation program. Until such validation is completed, RippleLogic remains a theory-to-practice system with bounded claims: Tier compliance is claimable, real-world performance superiority is not.</w:t>
      </w:r>
    </w:p>
    <w:p>
      <w:pPr>
        <w:pStyle w:val="BodyText"/>
      </w:pPr>
      <w:r>
        <w:t>This validation program follows a falsification-first posture consistent with scientific corrigibility: components that fail their empirical tests must be revised or abandoned rather than defended by authority (Popper, 1959).</w:t>
      </w:r>
    </w:p>
    <w:bookmarkEnd w:id="258"/>
    <w:bookmarkStart w:id="259" w:name="X830cbc85b73e8390680a2d605e952de4a5926a0"/>
    <w:p>
      <w:pPr>
        <w:pStyle w:val="Heading2"/>
      </w:pPr>
      <w:r>
        <w:t>17.0A Layered Falsification Attribution Rule (Normative for validation claims)</w:t>
      </w:r>
    </w:p>
    <w:p>
      <w:pPr>
        <w:pStyle w:val="FirstParagraph"/>
      </w:pPr>
      <w:r>
        <w:t>A failure must be attributed to the layer it actually falsifies before a broader falsification claim is made. A failed measurement does not by itself falsify the framework; a failed projection does not by itself falsify a rights floor; and a failed gate operator must not be excused as mere input error when all admissible data, projection, and parameter alternatives have been ruled out.</w:t>
      </w:r>
    </w:p>
    <w:p>
      <w:pPr>
        <w:pStyle w:val="BodyText"/>
      </w:pPr>
      <w:r>
        <w:t>Every recorded validation failure SHOULD include both FalsificationClass and FalsificationLayer. Recommended FalsificationLayer values are DATA, PROJECTION, PARAMETER, GATE_OPERATOR, PRIMITIVE, GOVERNANCE, and COMMUNICATION.</w:t>
      </w:r>
    </w:p>
    <w:tbl>
      <w:tblPr>
        <w:tblStyle w:val="Table"/>
        <w:tblW w:type="auto" w:w="0"/>
        <w:jc w:val="center"/>
        <w:tblLook w:firstRow="1" w:lastRow="0" w:firstColumn="0" w:lastColumn="0" w:noHBand="0" w:noVBand="0" w:val="0020"/>
      </w:tblPr>
      <w:tblGrid>
        <w:gridCol w:w="1980"/>
        <w:gridCol w:w="1980"/>
        <w:gridCol w:w="1980"/>
        <w:gridCol w:w="1980"/>
      </w:tblGrid>
      <w:tr>
        <w:trPr>
          <w:tblHeader w:val="on"/>
          <w:tblHeader w:val="true"/>
          <w:cantSplit/>
        </w:trPr>
        <w:tc>
          <w:tcPr>
            <w:vAlign w:val="top"/>
            <w:tcMar>
              <w:top w:w="70" w:type="dxa"/>
              <w:start w:w="80" w:type="dxa"/>
              <w:bottom w:w="70" w:type="dxa"/>
              <w:end w:w="80" w:type="dxa"/>
            </w:tcMar>
            <w:shd w:fill="1F4E78"/>
          </w:tcPr>
          <w:p>
            <w:pPr>
              <w:pStyle w:val="Compact"/>
              <w:jc w:val="left"/>
            </w:pPr>
            <w:r>
              <w:rPr>
                <w:rFonts w:ascii="Arial" w:hAnsi="Arial" w:eastAsia="Arial"/>
                <w:b/>
                <w:color w:val="FFFFFF"/>
                <w:sz w:val="16"/>
              </w:rPr>
              <w:t>Layer</w:t>
            </w:r>
          </w:p>
        </w:tc>
        <w:tc>
          <w:tcPr>
            <w:vAlign w:val="top"/>
            <w:tcMar>
              <w:top w:w="70" w:type="dxa"/>
              <w:start w:w="80" w:type="dxa"/>
              <w:bottom w:w="70" w:type="dxa"/>
              <w:end w:w="80" w:type="dxa"/>
            </w:tcMar>
            <w:shd w:fill="1F4E78"/>
          </w:tcPr>
          <w:p>
            <w:pPr>
              <w:pStyle w:val="Compact"/>
              <w:jc w:val="left"/>
            </w:pPr>
            <w:r>
              <w:rPr>
                <w:rFonts w:ascii="Arial" w:hAnsi="Arial" w:eastAsia="Arial"/>
                <w:b/>
                <w:color w:val="FFFFFF"/>
                <w:sz w:val="16"/>
              </w:rPr>
              <w:t>What failure means</w:t>
            </w:r>
          </w:p>
        </w:tc>
        <w:tc>
          <w:tcPr>
            <w:vAlign w:val="top"/>
            <w:tcMar>
              <w:top w:w="70" w:type="dxa"/>
              <w:start w:w="80" w:type="dxa"/>
              <w:bottom w:w="70" w:type="dxa"/>
              <w:end w:w="80" w:type="dxa"/>
            </w:tcMar>
            <w:shd w:fill="1F4E78"/>
          </w:tcPr>
          <w:p>
            <w:pPr>
              <w:pStyle w:val="Compact"/>
              <w:jc w:val="left"/>
            </w:pPr>
            <w:r>
              <w:rPr>
                <w:rFonts w:ascii="Arial" w:hAnsi="Arial" w:eastAsia="Arial"/>
                <w:b/>
                <w:color w:val="FFFFFF"/>
                <w:sz w:val="16"/>
              </w:rPr>
              <w:t>Does not by itself falsify</w:t>
            </w:r>
          </w:p>
        </w:tc>
        <w:tc>
          <w:tcPr>
            <w:vAlign w:val="top"/>
            <w:tcMar>
              <w:top w:w="70" w:type="dxa"/>
              <w:start w:w="80" w:type="dxa"/>
              <w:bottom w:w="70" w:type="dxa"/>
              <w:end w:w="80" w:type="dxa"/>
            </w:tcMar>
            <w:shd w:fill="1F4E78"/>
          </w:tcPr>
          <w:p>
            <w:pPr>
              <w:pStyle w:val="Compact"/>
              <w:jc w:val="left"/>
            </w:pPr>
            <w:r>
              <w:rPr>
                <w:rFonts w:ascii="Arial" w:hAnsi="Arial" w:eastAsia="Arial"/>
                <w:b/>
                <w:color w:val="FFFFFF"/>
                <w:sz w:val="16"/>
              </w:rPr>
              <w:t>Required response</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DATA</w:t>
            </w:r>
          </w:p>
        </w:tc>
        <w:tc>
          <w:tcPr>
            <w:vAlign w:val="top"/>
            <w:tcMar>
              <w:top w:w="70" w:type="dxa"/>
              <w:start w:w="80" w:type="dxa"/>
              <w:bottom w:w="70" w:type="dxa"/>
              <w:end w:w="80" w:type="dxa"/>
            </w:tcMar>
            <w:shd w:fill="D9EAF7"/>
          </w:tcPr>
          <w:p>
            <w:pPr>
              <w:pStyle w:val="Compact"/>
              <w:jc w:val="left"/>
            </w:pPr>
            <w:r>
              <w:rPr>
                <w:rFonts w:ascii="Arial" w:hAnsi="Arial" w:eastAsia="Arial"/>
                <w:sz w:val="16"/>
              </w:rPr>
              <w:t>Input missing, wrong, stale, biased, or insufficient.</w:t>
            </w:r>
          </w:p>
        </w:tc>
        <w:tc>
          <w:tcPr>
            <w:vAlign w:val="top"/>
            <w:tcMar>
              <w:top w:w="70" w:type="dxa"/>
              <w:start w:w="80" w:type="dxa"/>
              <w:bottom w:w="70" w:type="dxa"/>
              <w:end w:w="80" w:type="dxa"/>
            </w:tcMar>
            <w:shd w:fill="D9EAF7"/>
          </w:tcPr>
          <w:p>
            <w:pPr>
              <w:pStyle w:val="Compact"/>
              <w:jc w:val="left"/>
            </w:pPr>
            <w:r>
              <w:rPr>
                <w:rFonts w:ascii="Arial" w:hAnsi="Arial" w:eastAsia="Arial"/>
                <w:sz w:val="16"/>
              </w:rPr>
              <w:t>Gate definitions or framework primitives.</w:t>
            </w:r>
          </w:p>
        </w:tc>
        <w:tc>
          <w:tcPr>
            <w:vAlign w:val="top"/>
            <w:tcMar>
              <w:top w:w="70" w:type="dxa"/>
              <w:start w:w="80" w:type="dxa"/>
              <w:bottom w:w="70" w:type="dxa"/>
              <w:end w:w="80" w:type="dxa"/>
            </w:tcMar>
            <w:shd w:fill="D9EAF7"/>
          </w:tcPr>
          <w:p>
            <w:pPr>
              <w:pStyle w:val="Compact"/>
              <w:jc w:val="left"/>
            </w:pPr>
            <w:r>
              <w:rPr>
                <w:rFonts w:ascii="Arial" w:hAnsi="Arial" w:eastAsia="Arial"/>
                <w:sz w:val="16"/>
              </w:rPr>
              <w:t>Re-collect, disclose uncertainty, rerun.</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PROJECTION</w:t>
            </w:r>
          </w:p>
        </w:tc>
        <w:tc>
          <w:tcPr>
            <w:vAlign w:val="top"/>
            <w:tcMar>
              <w:top w:w="70" w:type="dxa"/>
              <w:start w:w="80" w:type="dxa"/>
              <w:bottom w:w="70" w:type="dxa"/>
              <w:end w:w="80" w:type="dxa"/>
            </w:tcMar>
            <w:shd w:fill="FFFFFF"/>
          </w:tcPr>
          <w:p>
            <w:pPr>
              <w:pStyle w:val="Compact"/>
              <w:jc w:val="left"/>
            </w:pPr>
            <w:r>
              <w:rPr>
                <w:rFonts w:ascii="Arial" w:hAnsi="Arial" w:eastAsia="Arial"/>
                <w:sz w:val="16"/>
              </w:rPr>
              <w:t>Scenario, mapping, kernel, stakeholder model, or prediction surface was wrong.</w:t>
            </w:r>
          </w:p>
        </w:tc>
        <w:tc>
          <w:tcPr>
            <w:vAlign w:val="top"/>
            <w:tcMar>
              <w:top w:w="70" w:type="dxa"/>
              <w:start w:w="80" w:type="dxa"/>
              <w:bottom w:w="70" w:type="dxa"/>
              <w:end w:w="80" w:type="dxa"/>
            </w:tcMar>
            <w:shd w:fill="FFFFFF"/>
          </w:tcPr>
          <w:p>
            <w:pPr>
              <w:pStyle w:val="Compact"/>
              <w:jc w:val="left"/>
            </w:pPr>
            <w:r>
              <w:rPr>
                <w:rFonts w:ascii="Arial" w:hAnsi="Arial" w:eastAsia="Arial"/>
                <w:sz w:val="16"/>
              </w:rPr>
              <w:t>Rights logic or the whole framework.</w:t>
            </w:r>
          </w:p>
        </w:tc>
        <w:tc>
          <w:tcPr>
            <w:vAlign w:val="top"/>
            <w:tcMar>
              <w:top w:w="70" w:type="dxa"/>
              <w:start w:w="80" w:type="dxa"/>
              <w:bottom w:w="70" w:type="dxa"/>
              <w:end w:w="80" w:type="dxa"/>
            </w:tcMar>
            <w:shd w:fill="FFFFFF"/>
          </w:tcPr>
          <w:p>
            <w:pPr>
              <w:pStyle w:val="Compact"/>
              <w:jc w:val="left"/>
            </w:pPr>
            <w:r>
              <w:rPr>
                <w:rFonts w:ascii="Arial" w:hAnsi="Arial" w:eastAsia="Arial"/>
                <w:sz w:val="16"/>
              </w:rPr>
              <w:t>Freeze a new projection; rerun as a new run.</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PARAMETER</w:t>
            </w:r>
          </w:p>
        </w:tc>
        <w:tc>
          <w:tcPr>
            <w:vAlign w:val="top"/>
            <w:tcMar>
              <w:top w:w="70" w:type="dxa"/>
              <w:start w:w="80" w:type="dxa"/>
              <w:bottom w:w="70" w:type="dxa"/>
              <w:end w:w="80" w:type="dxa"/>
            </w:tcMar>
            <w:shd w:fill="D9EAF7"/>
          </w:tcPr>
          <w:p>
            <w:pPr>
              <w:pStyle w:val="Compact"/>
              <w:jc w:val="left"/>
            </w:pPr>
            <w:r>
              <w:rPr>
                <w:rFonts w:ascii="Arial" w:hAnsi="Arial" w:eastAsia="Arial"/>
                <w:sz w:val="16"/>
              </w:rPr>
              <w:t>Threshold, coefficient, weight, or corridor was mis-set or post-hoc.</w:t>
            </w:r>
          </w:p>
        </w:tc>
        <w:tc>
          <w:tcPr>
            <w:vAlign w:val="top"/>
            <w:tcMar>
              <w:top w:w="70" w:type="dxa"/>
              <w:start w:w="80" w:type="dxa"/>
              <w:bottom w:w="70" w:type="dxa"/>
              <w:end w:w="80" w:type="dxa"/>
            </w:tcMar>
            <w:shd w:fill="D9EAF7"/>
          </w:tcPr>
          <w:p>
            <w:pPr>
              <w:pStyle w:val="Compact"/>
              <w:jc w:val="left"/>
            </w:pPr>
            <w:r>
              <w:rPr>
                <w:rFonts w:ascii="Arial" w:hAnsi="Arial" w:eastAsia="Arial"/>
                <w:sz w:val="16"/>
              </w:rPr>
              <w:t>Cascade structure.</w:t>
            </w:r>
          </w:p>
        </w:tc>
        <w:tc>
          <w:tcPr>
            <w:vAlign w:val="top"/>
            <w:tcMar>
              <w:top w:w="70" w:type="dxa"/>
              <w:start w:w="80" w:type="dxa"/>
              <w:bottom w:w="70" w:type="dxa"/>
              <w:end w:w="80" w:type="dxa"/>
            </w:tcMar>
            <w:shd w:fill="D9EAF7"/>
          </w:tcPr>
          <w:p>
            <w:pPr>
              <w:pStyle w:val="Compact"/>
              <w:jc w:val="left"/>
            </w:pPr>
            <w:r>
              <w:rPr>
                <w:rFonts w:ascii="Arial" w:hAnsi="Arial" w:eastAsia="Arial"/>
                <w:sz w:val="16"/>
              </w:rPr>
              <w:t>Reset ex ante under governed procedure; rerun.</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GATE_OPERATOR</w:t>
            </w:r>
          </w:p>
        </w:tc>
        <w:tc>
          <w:tcPr>
            <w:vAlign w:val="top"/>
            <w:tcMar>
              <w:top w:w="70" w:type="dxa"/>
              <w:start w:w="80" w:type="dxa"/>
              <w:bottom w:w="70" w:type="dxa"/>
              <w:end w:w="80" w:type="dxa"/>
            </w:tcMar>
            <w:shd w:fill="FFFFFF"/>
          </w:tcPr>
          <w:p>
            <w:pPr>
              <w:pStyle w:val="Compact"/>
              <w:jc w:val="left"/>
            </w:pPr>
            <w:r>
              <w:rPr>
                <w:rFonts w:ascii="Arial" w:hAnsi="Arial" w:eastAsia="Arial"/>
                <w:sz w:val="16"/>
              </w:rPr>
              <w:t>NCRC, TRC, CSV, SVC, or RLS rule produces a reality-contradicted verdict under every admissible data/projection/parameter alternative.</w:t>
            </w:r>
          </w:p>
        </w:tc>
        <w:tc>
          <w:tcPr>
            <w:vAlign w:val="top"/>
            <w:tcMar>
              <w:top w:w="70" w:type="dxa"/>
              <w:start w:w="80" w:type="dxa"/>
              <w:bottom w:w="70" w:type="dxa"/>
              <w:end w:w="80" w:type="dxa"/>
            </w:tcMar>
            <w:shd w:fill="FFFFFF"/>
          </w:tcPr>
          <w:p>
            <w:pPr>
              <w:pStyle w:val="Compact"/>
              <w:jc w:val="left"/>
            </w:pPr>
            <w:r>
              <w:rPr>
                <w:rFonts w:ascii="Arial" w:hAnsi="Arial" w:eastAsia="Arial"/>
                <w:sz w:val="16"/>
              </w:rPr>
              <w:t>A single bad input.</w:t>
            </w:r>
          </w:p>
        </w:tc>
        <w:tc>
          <w:tcPr>
            <w:vAlign w:val="top"/>
            <w:tcMar>
              <w:top w:w="70" w:type="dxa"/>
              <w:start w:w="80" w:type="dxa"/>
              <w:bottom w:w="70" w:type="dxa"/>
              <w:end w:w="80" w:type="dxa"/>
            </w:tcMar>
            <w:shd w:fill="FFFFFF"/>
          </w:tcPr>
          <w:p>
            <w:pPr>
              <w:pStyle w:val="Compact"/>
              <w:jc w:val="left"/>
            </w:pPr>
            <w:r>
              <w:rPr>
                <w:rFonts w:ascii="Arial" w:hAnsi="Arial" w:eastAsia="Arial"/>
                <w:sz w:val="16"/>
              </w:rPr>
              <w:t>Challenge the operator definition; governed revision.</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PRIMITIVE</w:t>
            </w:r>
          </w:p>
        </w:tc>
        <w:tc>
          <w:tcPr>
            <w:vAlign w:val="top"/>
            <w:tcMar>
              <w:top w:w="70" w:type="dxa"/>
              <w:start w:w="80" w:type="dxa"/>
              <w:bottom w:w="70" w:type="dxa"/>
              <w:end w:w="80" w:type="dxa"/>
            </w:tcMar>
            <w:shd w:fill="D9EAF7"/>
          </w:tcPr>
          <w:p>
            <w:pPr>
              <w:pStyle w:val="Compact"/>
              <w:jc w:val="left"/>
            </w:pPr>
            <w:r>
              <w:rPr>
                <w:rFonts w:ascii="Arial" w:hAnsi="Arial" w:eastAsia="Arial"/>
                <w:sz w:val="16"/>
              </w:rPr>
              <w:t>A declared primitive cannot reconstruct a required phenomenon or produces unavoidable contradiction.</w:t>
            </w:r>
          </w:p>
        </w:tc>
        <w:tc>
          <w:tcPr>
            <w:vAlign w:val="top"/>
            <w:tcMar>
              <w:top w:w="70" w:type="dxa"/>
              <w:start w:w="80" w:type="dxa"/>
              <w:bottom w:w="70" w:type="dxa"/>
              <w:end w:w="80" w:type="dxa"/>
            </w:tcMar>
            <w:shd w:fill="D9EAF7"/>
          </w:tcPr>
          <w:p>
            <w:pPr>
              <w:pStyle w:val="Compact"/>
              <w:jc w:val="left"/>
            </w:pPr>
            <w:r>
              <w:rPr>
                <w:rFonts w:ascii="Arial" w:hAnsi="Arial" w:eastAsia="Arial"/>
                <w:sz w:val="16"/>
              </w:rPr>
              <w:t>Any single failed run.</w:t>
            </w:r>
          </w:p>
        </w:tc>
        <w:tc>
          <w:tcPr>
            <w:vAlign w:val="top"/>
            <w:tcMar>
              <w:top w:w="70" w:type="dxa"/>
              <w:start w:w="80" w:type="dxa"/>
              <w:bottom w:w="70" w:type="dxa"/>
              <w:end w:w="80" w:type="dxa"/>
            </w:tcMar>
            <w:shd w:fill="D9EAF7"/>
          </w:tcPr>
          <w:p>
            <w:pPr>
              <w:pStyle w:val="Compact"/>
              <w:jc w:val="left"/>
            </w:pPr>
            <w:r>
              <w:rPr>
                <w:rFonts w:ascii="Arial" w:hAnsi="Arial" w:eastAsia="Arial"/>
                <w:sz w:val="16"/>
              </w:rPr>
              <w:t>Reopen Primitive Audit.</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GOVERNANCE</w:t>
            </w:r>
          </w:p>
        </w:tc>
        <w:tc>
          <w:tcPr>
            <w:vAlign w:val="top"/>
            <w:tcMar>
              <w:top w:w="70" w:type="dxa"/>
              <w:start w:w="80" w:type="dxa"/>
              <w:bottom w:w="70" w:type="dxa"/>
              <w:end w:w="80" w:type="dxa"/>
            </w:tcMar>
            <w:shd w:fill="FFFFFF"/>
          </w:tcPr>
          <w:p>
            <w:pPr>
              <w:pStyle w:val="Compact"/>
              <w:jc w:val="left"/>
            </w:pPr>
            <w:r>
              <w:rPr>
                <w:rFonts w:ascii="Arial" w:hAnsi="Arial" w:eastAsia="Arial"/>
                <w:sz w:val="16"/>
              </w:rPr>
              <w:t>Authority, permission, legitimacy, contestability, or accountability failed.</w:t>
            </w:r>
          </w:p>
        </w:tc>
        <w:tc>
          <w:tcPr>
            <w:vAlign w:val="top"/>
            <w:tcMar>
              <w:top w:w="70" w:type="dxa"/>
              <w:start w:w="80" w:type="dxa"/>
              <w:bottom w:w="70" w:type="dxa"/>
              <w:end w:w="80" w:type="dxa"/>
            </w:tcMar>
            <w:shd w:fill="FFFFFF"/>
          </w:tcPr>
          <w:p>
            <w:pPr>
              <w:pStyle w:val="Compact"/>
              <w:jc w:val="left"/>
            </w:pPr>
            <w:r>
              <w:rPr>
                <w:rFonts w:ascii="Arial" w:hAnsi="Arial" w:eastAsia="Arial"/>
                <w:sz w:val="16"/>
              </w:rPr>
              <w:t>Structural or mathematical cascade.</w:t>
            </w:r>
          </w:p>
        </w:tc>
        <w:tc>
          <w:tcPr>
            <w:vAlign w:val="top"/>
            <w:tcMar>
              <w:top w:w="70" w:type="dxa"/>
              <w:start w:w="80" w:type="dxa"/>
              <w:bottom w:w="70" w:type="dxa"/>
              <w:end w:w="80" w:type="dxa"/>
            </w:tcMar>
            <w:shd w:fill="FFFFFF"/>
          </w:tcPr>
          <w:p>
            <w:pPr>
              <w:pStyle w:val="Compact"/>
              <w:jc w:val="left"/>
            </w:pPr>
            <w:r>
              <w:rPr>
                <w:rFonts w:ascii="Arial" w:hAnsi="Arial" w:eastAsia="Arial"/>
                <w:sz w:val="16"/>
              </w:rPr>
              <w:t>Governance review and authority correction.</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COMMUNICATION</w:t>
            </w:r>
          </w:p>
        </w:tc>
        <w:tc>
          <w:tcPr>
            <w:vAlign w:val="top"/>
            <w:tcMar>
              <w:top w:w="70" w:type="dxa"/>
              <w:start w:w="80" w:type="dxa"/>
              <w:bottom w:w="70" w:type="dxa"/>
              <w:end w:w="80" w:type="dxa"/>
            </w:tcMar>
            <w:shd w:fill="D9EAF7"/>
          </w:tcPr>
          <w:p>
            <w:pPr>
              <w:pStyle w:val="Compact"/>
              <w:jc w:val="left"/>
            </w:pPr>
            <w:r>
              <w:rPr>
                <w:rFonts w:ascii="Arial" w:hAnsi="Arial" w:eastAsia="Arial"/>
                <w:sz w:val="16"/>
              </w:rPr>
              <w:t>Public claim, summary, or disclosure exceeded claim boundary.</w:t>
            </w:r>
          </w:p>
        </w:tc>
        <w:tc>
          <w:tcPr>
            <w:vAlign w:val="top"/>
            <w:tcMar>
              <w:top w:w="70" w:type="dxa"/>
              <w:start w:w="80" w:type="dxa"/>
              <w:bottom w:w="70" w:type="dxa"/>
              <w:end w:w="80" w:type="dxa"/>
            </w:tcMar>
            <w:shd w:fill="D9EAF7"/>
          </w:tcPr>
          <w:p>
            <w:pPr>
              <w:pStyle w:val="Compact"/>
              <w:jc w:val="left"/>
            </w:pPr>
            <w:r>
              <w:rPr>
                <w:rFonts w:ascii="Arial" w:hAnsi="Arial" w:eastAsia="Arial"/>
                <w:sz w:val="16"/>
              </w:rPr>
              <w:t>Underlying ethics or mechanics.</w:t>
            </w:r>
          </w:p>
        </w:tc>
        <w:tc>
          <w:tcPr>
            <w:vAlign w:val="top"/>
            <w:tcMar>
              <w:top w:w="70" w:type="dxa"/>
              <w:start w:w="80" w:type="dxa"/>
              <w:bottom w:w="70" w:type="dxa"/>
              <w:end w:w="80" w:type="dxa"/>
            </w:tcMar>
            <w:shd w:fill="D9EAF7"/>
          </w:tcPr>
          <w:p>
            <w:pPr>
              <w:pStyle w:val="Compact"/>
              <w:jc w:val="left"/>
            </w:pPr>
            <w:r>
              <w:rPr>
                <w:rFonts w:ascii="Arial" w:hAnsi="Arial" w:eastAsia="Arial"/>
                <w:sz w:val="16"/>
              </w:rPr>
              <w:t>Correct the claim and update release/audit record.</w:t>
            </w:r>
          </w:p>
        </w:tc>
      </w:tr>
    </w:tbl>
    <w:p>
      <w:pPr>
        <w:pStyle w:val="BodyText"/>
      </w:pPr>
      <w:r>
        <w:t>Validator guidance. A failure logged without FalsificationLayer SHOULD trigger FALSIFICATION_LAYER_UNATTRIBUTED. A run that invokes PRIMITIVE or GATE_OPERATOR failure without first addressing plausible DATA, PROJECTION, and PARAMETER explanations SHOULD trigger FALSIFICATION_LAYER_SKIPPED and require escalation.</w:t>
      </w:r>
    </w:p>
    <w:p>
      <w:pPr>
        <w:pStyle w:val="BodyText"/>
      </w:pPr>
      <w:r>
        <w:t>Additional v12.0 do-not-collapse rules. Structural viability is not ethical permissibility. Stability is not justice. Permission is not admissibility. Output generation is not an admissible reference. A plan that can stand structurally can still violate rights; a generated answer can still lack a valid reference; and an authorized action can still fail the MathGov cascade.</w:t>
      </w:r>
    </w:p>
    <w:bookmarkEnd w:id="259"/>
    <w:bookmarkStart w:id="260" w:name="Xad90d1233ccaac769728e98b409b78519bdb6b3"/>
    <w:p>
      <w:pPr>
        <w:pStyle w:val="Heading2"/>
      </w:pPr>
      <w:r>
        <w:t>17.1 Core Empirical Claims (Testable Hypotheses)</w:t>
      </w:r>
    </w:p>
    <w:bookmarkEnd w:id="260"/>
    <w:bookmarkStart w:id="261" w:name="X5abc5a38970b5efc250300ac8d9c841ce676ef7"/>
    <w:p>
      <w:pPr>
        <w:pStyle w:val="Heading2"/>
      </w:pPr>
      <w:r>
        <w:t>17.1A MNA-Layer Empirical Hypotheses (Normative research frontier)</w:t>
      </w:r>
    </w:p>
    <w:p>
      <w:pPr>
        <w:pStyle w:val="FirstParagraph"/>
      </w:pPr>
      <w:r>
        <w:t>H-MNA1 (model adequacy under stakeholder omission). Multi-agent predictive performance worsens when stakeholder welfare, rights, or enabling-condition variables are omitted from world models in settings where cooperation, conflict, or harm depend materially on them.</w:t>
      </w:r>
    </w:p>
    <w:p>
      <w:pPr>
        <w:pStyle w:val="BodyText"/>
      </w:pPr>
      <w:r>
        <w:t>H-MNA2 (instability under normative omission). Architectures that systematically ignore stakeholders’ welfare conditions, rights floors, or enabling conditions exhibit higher instability, defection, tail risk, or containment failure in repeated multi-agent environments than otherwise comparable architectures that track them explicitly.</w:t>
      </w:r>
    </w:p>
    <w:p>
      <w:pPr>
        <w:pStyle w:val="BodyText"/>
      </w:pPr>
      <w:r>
        <w:t>H-MNA3 (cascade advantage over unconstrained scalarization). Rights-first and catastrophe-bounded cascade architectures reduce ruin-like outcomes, rights breaches, or coherence losses relative to unconstrained scalar optimization in comparable decision classes.</w:t>
      </w:r>
    </w:p>
    <w:tbl>
      <w:tblPr>
        <w:tblStyle w:val="Table"/>
        <w:tblW w:type="auto" w:w="0"/>
        <w:jc w:val="center"/>
        <w:tblLook w:firstRow="1" w:lastRow="0" w:firstColumn="0" w:lastColumn="0" w:noHBand="0" w:noVBand="0" w:val="0020"/>
      </w:tblPr>
      <w:tblGrid>
        <w:gridCol w:w="3960"/>
        <w:gridCol w:w="3960"/>
      </w:tblGrid>
      <w:tr>
        <w:trPr>
          <w:tblHeader w:val="on"/>
          <w:tblHeader w:val="true"/>
          <w:cantSplit/>
        </w:trPr>
        <w:tc>
          <w:tcPr>
            <w:vAlign w:val="top"/>
            <w:tcMar>
              <w:top w:w="70" w:type="dxa"/>
              <w:start w:w="80" w:type="dxa"/>
              <w:bottom w:w="70" w:type="dxa"/>
              <w:end w:w="80" w:type="dxa"/>
            </w:tcMar>
            <w:shd w:fill="1F4E78"/>
          </w:tcPr>
          <w:p>
            <w:pPr>
              <w:pStyle w:val="Compact"/>
              <w:jc w:val="left"/>
            </w:pPr>
            <w:r>
              <w:rPr>
                <w:rFonts w:ascii="Arial" w:hAnsi="Arial" w:eastAsia="Arial"/>
                <w:b/>
                <w:bCs/>
                <w:color w:val="FFFFFF"/>
                <w:sz w:val="16"/>
              </w:rPr>
              <w:t>Hypothesis</w:t>
            </w:r>
          </w:p>
        </w:tc>
        <w:tc>
          <w:tcPr>
            <w:vAlign w:val="top"/>
            <w:tcMar>
              <w:top w:w="70" w:type="dxa"/>
              <w:start w:w="80" w:type="dxa"/>
              <w:bottom w:w="70" w:type="dxa"/>
              <w:end w:w="80" w:type="dxa"/>
            </w:tcMar>
            <w:shd w:fill="1F4E78"/>
          </w:tcPr>
          <w:p>
            <w:pPr>
              <w:pStyle w:val="Compact"/>
              <w:jc w:val="left"/>
            </w:pPr>
            <w:r>
              <w:rPr>
                <w:rFonts w:ascii="Arial" w:hAnsi="Arial" w:eastAsia="Arial"/>
                <w:b/>
                <w:bCs/>
                <w:color w:val="FFFFFF"/>
                <w:sz w:val="16"/>
              </w:rPr>
              <w:t>Description</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H1</w:t>
            </w:r>
          </w:p>
        </w:tc>
        <w:tc>
          <w:tcPr>
            <w:vAlign w:val="top"/>
            <w:tcMar>
              <w:top w:w="70" w:type="dxa"/>
              <w:start w:w="80" w:type="dxa"/>
              <w:bottom w:w="70" w:type="dxa"/>
              <w:end w:w="80" w:type="dxa"/>
            </w:tcMar>
            <w:shd w:fill="D9EAF7"/>
          </w:tcPr>
          <w:p>
            <w:pPr>
              <w:pStyle w:val="Compact"/>
              <w:jc w:val="left"/>
            </w:pPr>
            <w:r>
              <w:rPr>
                <w:rFonts w:ascii="Arial" w:hAnsi="Arial" w:eastAsia="Arial"/>
                <w:sz w:val="16"/>
              </w:rPr>
              <w:t>Rights coherence: Decisions that pass NCRC produce fewer rights infringements than comparable baseline decisions, controlling for context.</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H2</w:t>
            </w:r>
          </w:p>
        </w:tc>
        <w:tc>
          <w:tcPr>
            <w:vAlign w:val="top"/>
            <w:tcMar>
              <w:top w:w="70" w:type="dxa"/>
              <w:start w:w="80" w:type="dxa"/>
              <w:bottom w:w="70" w:type="dxa"/>
              <w:end w:w="80" w:type="dxa"/>
            </w:tcMar>
            <w:shd w:fill="FFFFFF"/>
          </w:tcPr>
          <w:p>
            <w:pPr>
              <w:pStyle w:val="Compact"/>
              <w:jc w:val="left"/>
            </w:pPr>
            <w:r>
              <w:rPr>
                <w:rFonts w:ascii="Arial" w:hAnsi="Arial" w:eastAsia="Arial"/>
                <w:sz w:val="16"/>
              </w:rPr>
              <w:t>Tail-risk effectiveness: Decisions constrained by TRC exhibit lower realized tail losses than comparable decisions without TRC.</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H3</w:t>
            </w:r>
          </w:p>
        </w:tc>
        <w:tc>
          <w:tcPr>
            <w:vAlign w:val="top"/>
            <w:tcMar>
              <w:top w:w="70" w:type="dxa"/>
              <w:start w:w="80" w:type="dxa"/>
              <w:bottom w:w="70" w:type="dxa"/>
              <w:end w:w="80" w:type="dxa"/>
            </w:tcMar>
            <w:shd w:fill="D9EAF7"/>
          </w:tcPr>
          <w:p>
            <w:pPr>
              <w:pStyle w:val="Compact"/>
              <w:jc w:val="left"/>
            </w:pPr>
            <w:r>
              <w:rPr>
                <w:rFonts w:ascii="Arial" w:hAnsi="Arial" w:eastAsia="Arial"/>
                <w:sz w:val="16"/>
              </w:rPr>
              <w:t>Ripple sign accuracy (after calibration): After NCAR updates, predicted impact signs match observed sign in ≥70% of evaluated cells.</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H4</w:t>
            </w:r>
          </w:p>
        </w:tc>
        <w:tc>
          <w:tcPr>
            <w:vAlign w:val="top"/>
            <w:tcMar>
              <w:top w:w="70" w:type="dxa"/>
              <w:start w:w="80" w:type="dxa"/>
              <w:bottom w:w="70" w:type="dxa"/>
              <w:end w:w="80" w:type="dxa"/>
            </w:tcMar>
            <w:shd w:fill="FFFFFF"/>
          </w:tcPr>
          <w:p>
            <w:pPr>
              <w:pStyle w:val="Compact"/>
              <w:jc w:val="left"/>
            </w:pPr>
            <w:r>
              <w:rPr>
                <w:rFonts w:ascii="Arial" w:hAnsi="Arial" w:eastAsia="Arial"/>
                <w:sz w:val="16"/>
              </w:rPr>
              <w:t>Structural early warning: Persistent HOI &gt; 0 predicts subsequent structural degradation better than baseline KPI monitoring.</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H5</w:t>
            </w:r>
          </w:p>
        </w:tc>
        <w:tc>
          <w:tcPr>
            <w:vAlign w:val="top"/>
            <w:tcMar>
              <w:top w:w="70" w:type="dxa"/>
              <w:start w:w="80" w:type="dxa"/>
              <w:bottom w:w="70" w:type="dxa"/>
              <w:end w:w="80" w:type="dxa"/>
            </w:tcMar>
            <w:shd w:fill="D9EAF7"/>
          </w:tcPr>
          <w:p>
            <w:pPr>
              <w:pStyle w:val="Compact"/>
              <w:jc w:val="left"/>
            </w:pPr>
            <w:r>
              <w:rPr>
                <w:rFonts w:ascii="Arial" w:hAnsi="Arial" w:eastAsia="Arial"/>
                <w:sz w:val="16"/>
              </w:rPr>
              <w:t>Anti-gaming effectiveness: In adversarial tests, specification gaming succeeds less often (≥30% reduction) relative to comparable governance processes without PCC plus mandatory tails plus subgroup semantics.</w:t>
            </w:r>
          </w:p>
        </w:tc>
      </w:tr>
    </w:tbl>
    <w:p>
      <w:pPr>
        <w:pStyle w:val="BodyText"/>
      </w:pPr>
      <w:r>
        <w:t>Because ripple effects partially track cooperation and network propagation dynamics, validation should also test whether kernel updates improve predictive performance in contexts where cooperation and trust dynamics are known to matter (Axelrod, 1984; Nowak, 2006; Christakis &amp; Fowler, 2009).</w:t>
      </w:r>
    </w:p>
    <w:p>
      <w:pPr>
        <w:pStyle w:val="BodyText"/>
      </w:pPr>
      <w:r>
        <w:t>H6 (PLSS prominence convergence). For recurring decision classes with standardized guidance, independently trained evaluators applying the same evidence base will produce PLSS prominence vectors with moderate or better convergence, operationalized in pilot testing by a pre-declared inter-rater agreement threshold.</w:t>
      </w:r>
    </w:p>
    <w:p>
      <w:pPr>
        <w:pStyle w:val="BodyText"/>
      </w:pPr>
      <w:r>
        <w:t>H7 (PLSS floor activation). In a non-trivial fraction of PLSS-assessed decisions, constitutional floor weights assigned to guardrail scopes will contribute materially to final welfare ranking differences, demonstrating that guardrail scope retention is operational rather than merely decorative.</w:t>
      </w:r>
    </w:p>
    <w:p>
      <w:pPr>
        <w:pStyle w:val="BodyText"/>
      </w:pPr>
      <w:r>
        <w:t>H8 (PLSS escalation fidelity). In pilot validation, plausible ET-trigger conditions will be detected and logged with sufficient sensitivity that PLSS posture is not systematically retained in clearly non-local cases.</w:t>
      </w:r>
    </w:p>
    <w:bookmarkEnd w:id="261"/>
    <w:bookmarkStart w:id="262" w:name="X681c5fa61c5cbf6e6e49941a2d232ede61a97c0"/>
    <w:p>
      <w:pPr>
        <w:pStyle w:val="Heading2"/>
      </w:pPr>
      <w:r>
        <w:t>17.2 Falsification Criteria (Normative)</w:t>
      </w:r>
    </w:p>
    <w:bookmarkEnd w:id="262"/>
    <w:bookmarkStart w:id="263" w:name="X22eda53dbfbba6d0d1019d436d6ac1fa084a419"/>
    <w:p>
      <w:pPr>
        <w:pStyle w:val="Heading2"/>
      </w:pPr>
      <w:r>
        <w:t>17.2A MNA-Layer Falsifiers (Normative)</w:t>
      </w:r>
    </w:p>
    <w:p>
      <w:pPr>
        <w:pStyle w:val="FirstParagraph"/>
      </w:pPr>
      <w:r>
        <w:t>F-MNA1. Omission of welfare, rights, or enabling-condition variables does not reduce predictive adequacy in relevant multi-agent domains where those variables were hypothesized to matter materially.</w:t>
      </w:r>
    </w:p>
    <w:p>
      <w:pPr>
        <w:pStyle w:val="BodyText"/>
      </w:pPr>
      <w:r>
        <w:t>F-MNA2. Architectures ignoring such conditions do not exhibit higher instability, tail risk, rights breach incidence, or containment failure than comparable architectures that track them explicitly.</w:t>
      </w:r>
    </w:p>
    <w:p>
      <w:pPr>
        <w:pStyle w:val="BodyText"/>
      </w:pPr>
      <w:r>
        <w:t>F-MNA3. Cascade-constrained policies do not outperform unconstrained scalarized policies on declared rights, coherence, or tail-risk metrics in the relevant validation class.</w:t>
      </w:r>
    </w:p>
    <w:p>
      <w:pPr>
        <w:pStyle w:val="BodyText"/>
      </w:pPr>
      <w:r>
        <w:t>Defect attribution prior to invoking F1-F5 follows the Appendix AE.3 layer matrix: each failure should be assigned to the layer it actually falsifies before any broader empirical falsifier is invoked.</w:t>
      </w:r>
    </w:p>
    <w:p>
      <w:pPr>
        <w:pStyle w:val="BodyText"/>
      </w:pPr>
      <w:r>
        <w:t>RippleLogic components must be revised (or rejected) if evidence meets any of the following:</w:t>
      </w:r>
    </w:p>
    <w:tbl>
      <w:tblPr>
        <w:tblStyle w:val="Table"/>
        <w:tblW w:type="auto" w:w="0"/>
        <w:jc w:val="center"/>
        <w:tblLook w:firstRow="1" w:lastRow="0" w:firstColumn="0" w:lastColumn="0" w:noHBand="0" w:noVBand="0" w:val="0020"/>
      </w:tblPr>
      <w:tblGrid>
        <w:gridCol w:w="3960"/>
        <w:gridCol w:w="3960"/>
      </w:tblGrid>
      <w:tr>
        <w:trPr>
          <w:tblHeader w:val="on"/>
          <w:tblHeader w:val="true"/>
          <w:cantSplit/>
        </w:trPr>
        <w:tc>
          <w:tcPr>
            <w:vAlign w:val="top"/>
            <w:tcMar>
              <w:top w:w="70" w:type="dxa"/>
              <w:start w:w="80" w:type="dxa"/>
              <w:bottom w:w="70" w:type="dxa"/>
              <w:end w:w="80" w:type="dxa"/>
            </w:tcMar>
            <w:shd w:fill="1F4E78"/>
          </w:tcPr>
          <w:p>
            <w:pPr>
              <w:pStyle w:val="Compact"/>
              <w:jc w:val="left"/>
            </w:pPr>
            <w:r>
              <w:rPr>
                <w:rFonts w:ascii="Arial" w:hAnsi="Arial" w:eastAsia="Arial"/>
                <w:b/>
                <w:bCs/>
                <w:color w:val="FFFFFF"/>
                <w:sz w:val="16"/>
              </w:rPr>
              <w:t>Criterion</w:t>
            </w:r>
          </w:p>
        </w:tc>
        <w:tc>
          <w:tcPr>
            <w:vAlign w:val="top"/>
            <w:tcMar>
              <w:top w:w="70" w:type="dxa"/>
              <w:start w:w="80" w:type="dxa"/>
              <w:bottom w:w="70" w:type="dxa"/>
              <w:end w:w="80" w:type="dxa"/>
            </w:tcMar>
            <w:shd w:fill="1F4E78"/>
          </w:tcPr>
          <w:p>
            <w:pPr>
              <w:pStyle w:val="Compact"/>
              <w:jc w:val="left"/>
            </w:pPr>
            <w:r>
              <w:rPr>
                <w:rFonts w:ascii="Arial" w:hAnsi="Arial" w:eastAsia="Arial"/>
                <w:b/>
                <w:bCs/>
                <w:color w:val="FFFFFF"/>
                <w:sz w:val="16"/>
              </w:rPr>
              <w:t>Description</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F1</w:t>
            </w:r>
          </w:p>
        </w:tc>
        <w:tc>
          <w:tcPr>
            <w:vAlign w:val="top"/>
            <w:tcMar>
              <w:top w:w="70" w:type="dxa"/>
              <w:start w:w="80" w:type="dxa"/>
              <w:bottom w:w="70" w:type="dxa"/>
              <w:end w:w="80" w:type="dxa"/>
            </w:tcMar>
            <w:shd w:fill="D9EAF7"/>
          </w:tcPr>
          <w:p>
            <w:pPr>
              <w:pStyle w:val="Compact"/>
              <w:jc w:val="left"/>
            </w:pPr>
            <w:r>
              <w:rPr>
                <w:rFonts w:ascii="Arial" w:hAnsi="Arial" w:eastAsia="Arial"/>
                <w:sz w:val="16"/>
              </w:rPr>
              <w:t>NCRC failure: NCRC-passing decisions systematically produce worse rights outcomes than NCRC-failing decisions.</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F2</w:t>
            </w:r>
          </w:p>
        </w:tc>
        <w:tc>
          <w:tcPr>
            <w:vAlign w:val="top"/>
            <w:tcMar>
              <w:top w:w="70" w:type="dxa"/>
              <w:start w:w="80" w:type="dxa"/>
              <w:bottom w:w="70" w:type="dxa"/>
              <w:end w:w="80" w:type="dxa"/>
            </w:tcMar>
            <w:shd w:fill="FFFFFF"/>
          </w:tcPr>
          <w:p>
            <w:pPr>
              <w:pStyle w:val="Compact"/>
              <w:jc w:val="left"/>
            </w:pPr>
            <w:r>
              <w:rPr>
                <w:rFonts w:ascii="Arial" w:hAnsi="Arial" w:eastAsia="Arial"/>
                <w:sz w:val="16"/>
              </w:rPr>
              <w:t>TRC failure: TRC-constrained decisions show no reduction in realized tail losses compared to controls.</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F3</w:t>
            </w:r>
          </w:p>
        </w:tc>
        <w:tc>
          <w:tcPr>
            <w:vAlign w:val="top"/>
            <w:tcMar>
              <w:top w:w="70" w:type="dxa"/>
              <w:start w:w="80" w:type="dxa"/>
              <w:bottom w:w="70" w:type="dxa"/>
              <w:end w:w="80" w:type="dxa"/>
            </w:tcMar>
            <w:shd w:fill="D9EAF7"/>
          </w:tcPr>
          <w:p>
            <w:pPr>
              <w:pStyle w:val="Compact"/>
              <w:jc w:val="left"/>
            </w:pPr>
            <w:r>
              <w:rPr>
                <w:rFonts w:ascii="Arial" w:hAnsi="Arial" w:eastAsia="Arial"/>
                <w:sz w:val="16"/>
              </w:rPr>
              <w:t>Ripple predictiveness failure: Sign accuracy remains &lt; 60% across successive NCAR cycles for key cells.</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F4</w:t>
            </w:r>
          </w:p>
        </w:tc>
        <w:tc>
          <w:tcPr>
            <w:vAlign w:val="top"/>
            <w:tcMar>
              <w:top w:w="70" w:type="dxa"/>
              <w:start w:w="80" w:type="dxa"/>
              <w:bottom w:w="70" w:type="dxa"/>
              <w:end w:w="80" w:type="dxa"/>
            </w:tcMar>
            <w:shd w:fill="FFFFFF"/>
          </w:tcPr>
          <w:p>
            <w:pPr>
              <w:pStyle w:val="Compact"/>
              <w:jc w:val="left"/>
            </w:pPr>
            <w:r>
              <w:rPr>
                <w:rFonts w:ascii="Arial" w:hAnsi="Arial" w:eastAsia="Arial"/>
                <w:sz w:val="16"/>
              </w:rPr>
              <w:t>Structural safeguard failure: UCI/HOI do not correlate with or predict meaningful degradation.</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F5</w:t>
            </w:r>
          </w:p>
        </w:tc>
        <w:tc>
          <w:tcPr>
            <w:vAlign w:val="top"/>
            <w:tcMar>
              <w:top w:w="70" w:type="dxa"/>
              <w:start w:w="80" w:type="dxa"/>
              <w:bottom w:w="70" w:type="dxa"/>
              <w:end w:w="80" w:type="dxa"/>
            </w:tcMar>
            <w:shd w:fill="D9EAF7"/>
          </w:tcPr>
          <w:p>
            <w:pPr>
              <w:pStyle w:val="Compact"/>
              <w:jc w:val="left"/>
            </w:pPr>
            <w:r>
              <w:rPr>
                <w:rFonts w:ascii="Arial" w:hAnsi="Arial" w:eastAsia="Arial"/>
                <w:sz w:val="16"/>
              </w:rPr>
              <w:t>Anti-gaming failure: Red-team exercises repeatedly exploit predictable loopholes (&gt; 30% of adversarial runs).</w:t>
            </w:r>
          </w:p>
        </w:tc>
      </w:tr>
    </w:tbl>
    <w:bookmarkEnd w:id="263"/>
    <w:bookmarkStart w:id="264" w:name="Xa965097f465630e396df61f50ca9565ef54ba9b"/>
    <w:p>
      <w:pPr>
        <w:pStyle w:val="Heading2"/>
      </w:pPr>
      <w:r>
        <w:t>17.3 Validation Phases (Normative roadmap)</w:t>
      </w:r>
    </w:p>
    <w:p>
      <w:pPr>
        <w:pStyle w:val="FirstParagraph"/>
      </w:pPr>
      <w:r>
        <w:t>Phase 1: Formal verification and implementation testing (0-6 months)</w:t>
      </w:r>
    </w:p>
    <w:p>
      <w:pPr>
        <w:pStyle w:val="Compact"/>
        <w:numPr>
          <w:ilvl w:val="0"/>
          <w:numId w:val="1198"/>
        </w:numPr>
      </w:pPr>
      <w:r>
        <w:t>Independent implementation of Tier 2-3 algorithms from spec.</w:t>
      </w:r>
    </w:p>
    <w:p>
      <w:pPr>
        <w:pStyle w:val="Compact"/>
        <w:numPr>
          <w:ilvl w:val="0"/>
          <w:numId w:val="1199"/>
        </w:numPr>
      </w:pPr>
      <w:r>
        <w:t>Unit tests for canonical equations (Appendix B).</w:t>
      </w:r>
    </w:p>
    <w:p>
      <w:pPr>
        <w:pStyle w:val="Compact"/>
        <w:numPr>
          <w:ilvl w:val="0"/>
          <w:numId w:val="1200"/>
        </w:numPr>
      </w:pPr>
      <w:r>
        <w:t>Adversarial tests for masking, subgroup erasure, scenario omission, confidence inflation.</w:t>
      </w:r>
    </w:p>
    <w:p>
      <w:pPr>
        <w:pStyle w:val="Compact"/>
        <w:numPr>
          <w:ilvl w:val="0"/>
          <w:numId w:val="1201"/>
        </w:numPr>
      </w:pPr>
      <w:r>
        <w:t>Produce reference PCCs and reproducibility checks.</w:t>
      </w:r>
    </w:p>
    <w:p>
      <w:pPr>
        <w:pStyle w:val="FirstParagraph"/>
      </w:pPr>
      <w:r>
        <w:t>Phase 2: Measurement validation (4-15 months)</w:t>
      </w:r>
    </w:p>
    <w:p>
      <w:pPr>
        <w:pStyle w:val="Compact"/>
        <w:numPr>
          <w:ilvl w:val="0"/>
          <w:numId w:val="1202"/>
        </w:numPr>
      </w:pPr>
      <w:r>
        <w:t>Indicator reliability and validity for welfare dimensions and UCI components.</w:t>
      </w:r>
    </w:p>
    <w:p>
      <w:pPr>
        <w:pStyle w:val="Compact"/>
        <w:numPr>
          <w:ilvl w:val="0"/>
          <w:numId w:val="1203"/>
        </w:numPr>
      </w:pPr>
      <w:r>
        <w:t>Cross-population measurement checks where relevant.</w:t>
      </w:r>
    </w:p>
    <w:p>
      <w:pPr>
        <w:pStyle w:val="Compact"/>
        <w:numPr>
          <w:ilvl w:val="0"/>
          <w:numId w:val="1204"/>
        </w:numPr>
      </w:pPr>
      <w:r>
        <w:t>Calibrate magnitude anchors and uncertainty mappings.</w:t>
      </w:r>
    </w:p>
    <w:p>
      <w:pPr>
        <w:pStyle w:val="FirstParagraph"/>
      </w:pPr>
      <w:r>
        <w:t>Phase 3: Controlled pilots (10-24 months)</w:t>
      </w:r>
    </w:p>
    <w:p>
      <w:pPr>
        <w:pStyle w:val="Compact"/>
        <w:numPr>
          <w:ilvl w:val="0"/>
          <w:numId w:val="1205"/>
        </w:numPr>
      </w:pPr>
      <w:r>
        <w:t>Pilot deployments in organizations or municipalities.</w:t>
      </w:r>
    </w:p>
    <w:p>
      <w:pPr>
        <w:pStyle w:val="Compact"/>
        <w:numPr>
          <w:ilvl w:val="0"/>
          <w:numId w:val="1206"/>
        </w:numPr>
      </w:pPr>
      <w:r>
        <w:t>Compare RippleLogic vs baseline governance processes on: rights incidents, tail losses, stakeholder legitimacy, audit completeness, decision reversal rates.</w:t>
      </w:r>
    </w:p>
    <w:p>
      <w:pPr>
        <w:pStyle w:val="FirstParagraph"/>
      </w:pPr>
      <w:r>
        <w:t>Phase 4: Field studies and scaling (18-36+ months)</w:t>
      </w:r>
    </w:p>
    <w:p>
      <w:pPr>
        <w:pStyle w:val="Compact"/>
        <w:numPr>
          <w:ilvl w:val="0"/>
          <w:numId w:val="1207"/>
        </w:numPr>
      </w:pPr>
      <w:r>
        <w:t>Longitudinal monitoring of UCI/HOI and realized outcomes.</w:t>
      </w:r>
    </w:p>
    <w:p>
      <w:pPr>
        <w:pStyle w:val="Compact"/>
        <w:numPr>
          <w:ilvl w:val="0"/>
          <w:numId w:val="1208"/>
        </w:numPr>
      </w:pPr>
      <w:r>
        <w:t>Kernel calibration and scenario library refinement.</w:t>
      </w:r>
    </w:p>
    <w:p>
      <w:pPr>
        <w:pStyle w:val="Compact"/>
        <w:numPr>
          <w:ilvl w:val="0"/>
          <w:numId w:val="1209"/>
        </w:numPr>
      </w:pPr>
      <w:r>
        <w:t>Comparative performance across domains.</w:t>
      </w:r>
    </w:p>
    <w:bookmarkEnd w:id="264"/>
    <w:bookmarkStart w:id="265" w:name="Xb35b4b4d73d064ba594bb9476141f4a8a5e8e2e"/>
    <w:p>
      <w:pPr>
        <w:pStyle w:val="Heading2"/>
      </w:pPr>
      <w:r>
        <w:t>17.4 Metrics and Targets (Normative defaults)</w:t>
      </w:r>
    </w:p>
    <w:bookmarkEnd w:id="265"/>
    <w:bookmarkStart w:id="266" w:name="Xe6e41a348a024a47d9ceee2bb89bfc15470a5e9"/>
    <w:p>
      <w:pPr>
        <w:pStyle w:val="Heading2"/>
      </w:pPr>
      <w:r>
        <w:t>17.4A Inter-Rater Reliability Commitment (Normative commitment)</w:t>
      </w:r>
    </w:p>
    <w:p>
      <w:pPr>
        <w:pStyle w:val="FirstParagraph"/>
      </w:pPr>
      <w:r>
        <w:t>Before Tier 3 operational-readiness claims are made, the framework SHALL publish or register at least one inter-rater reliability (IRR) study on a representative case set covering: (i) welfare-cell anchoring, including magnitude construction mu_k using both percentile anchoring and threshold anchoring methods, (ii) rights-floor evaluation, including subgroup identification and worst-off impact estimation, (iii) local-scope/PLSS usage, including prominence signal construction and scope classification, and (iv) scenario construction and probability assignment for TRC.</w:t>
      </w:r>
    </w:p>
    <w:p>
      <w:pPr>
        <w:pStyle w:val="BodyText"/>
      </w:pPr>
      <w:r>
        <w:t>The study MUST report the case set, evaluator instructions, adjudication procedure, disagreement classes, and reliability statistics appropriate to the data type used.</w:t>
      </w:r>
    </w:p>
    <w:tbl>
      <w:tblPr>
        <w:tblStyle w:val="Table"/>
        <w:tblW w:type="auto" w:w="0"/>
        <w:jc w:val="center"/>
        <w:tblLook w:firstRow="1" w:lastRow="0" w:firstColumn="0" w:lastColumn="0" w:noHBand="0" w:noVBand="0" w:val="0020"/>
      </w:tblPr>
      <w:tblGrid>
        <w:gridCol w:w="1980"/>
        <w:gridCol w:w="1980"/>
        <w:gridCol w:w="1980"/>
        <w:gridCol w:w="1980"/>
      </w:tblGrid>
      <w:tr>
        <w:trPr>
          <w:tblHeader w:val="on"/>
          <w:tblHeader w:val="true"/>
          <w:cantSplit/>
        </w:trPr>
        <w:tc>
          <w:tcPr>
            <w:vAlign w:val="top"/>
            <w:tcMar>
              <w:top w:w="70" w:type="dxa"/>
              <w:start w:w="80" w:type="dxa"/>
              <w:bottom w:w="70" w:type="dxa"/>
              <w:end w:w="80" w:type="dxa"/>
            </w:tcMar>
            <w:shd w:fill="1F4E78"/>
          </w:tcPr>
          <w:p>
            <w:pPr>
              <w:pStyle w:val="Compact"/>
              <w:jc w:val="left"/>
            </w:pPr>
            <w:r>
              <w:rPr>
                <w:rFonts w:ascii="Arial" w:hAnsi="Arial" w:eastAsia="Arial"/>
                <w:b/>
                <w:bCs/>
                <w:color w:val="FFFFFF"/>
                <w:sz w:val="16"/>
              </w:rPr>
              <w:t>Component</w:t>
            </w:r>
          </w:p>
        </w:tc>
        <w:tc>
          <w:tcPr>
            <w:vAlign w:val="top"/>
            <w:tcMar>
              <w:top w:w="70" w:type="dxa"/>
              <w:start w:w="80" w:type="dxa"/>
              <w:bottom w:w="70" w:type="dxa"/>
              <w:end w:w="80" w:type="dxa"/>
            </w:tcMar>
            <w:shd w:fill="1F4E78"/>
          </w:tcPr>
          <w:p>
            <w:pPr>
              <w:pStyle w:val="Compact"/>
              <w:jc w:val="left"/>
            </w:pPr>
            <w:r>
              <w:rPr>
                <w:rFonts w:ascii="Arial" w:hAnsi="Arial" w:eastAsia="Arial"/>
                <w:b/>
                <w:bCs/>
                <w:color w:val="FFFFFF"/>
                <w:sz w:val="16"/>
              </w:rPr>
              <w:t>Target ICC</w:t>
            </w:r>
          </w:p>
        </w:tc>
        <w:tc>
          <w:tcPr>
            <w:vAlign w:val="top"/>
            <w:tcMar>
              <w:top w:w="70" w:type="dxa"/>
              <w:start w:w="80" w:type="dxa"/>
              <w:bottom w:w="70" w:type="dxa"/>
              <w:end w:w="80" w:type="dxa"/>
            </w:tcMar>
            <w:shd w:fill="1F4E78"/>
          </w:tcPr>
          <w:p>
            <w:pPr>
              <w:pStyle w:val="Compact"/>
              <w:jc w:val="left"/>
            </w:pPr>
            <w:r>
              <w:rPr>
                <w:rFonts w:ascii="Arial" w:hAnsi="Arial" w:eastAsia="Arial"/>
                <w:b/>
                <w:bCs/>
                <w:color w:val="FFFFFF"/>
                <w:sz w:val="16"/>
              </w:rPr>
              <w:t>Minimum acceptable</w:t>
            </w:r>
          </w:p>
        </w:tc>
        <w:tc>
          <w:tcPr>
            <w:vAlign w:val="top"/>
            <w:tcMar>
              <w:top w:w="70" w:type="dxa"/>
              <w:start w:w="80" w:type="dxa"/>
              <w:bottom w:w="70" w:type="dxa"/>
              <w:end w:w="80" w:type="dxa"/>
            </w:tcMar>
            <w:shd w:fill="1F4E78"/>
          </w:tcPr>
          <w:p>
            <w:pPr>
              <w:pStyle w:val="Compact"/>
              <w:jc w:val="left"/>
            </w:pPr>
            <w:r>
              <w:rPr>
                <w:rFonts w:ascii="Arial" w:hAnsi="Arial" w:eastAsia="Arial"/>
                <w:b/>
                <w:bCs/>
                <w:color w:val="FFFFFF"/>
                <w:sz w:val="16"/>
              </w:rPr>
              <w:t>Notes</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Magnitude construction (mu_k)</w:t>
            </w:r>
          </w:p>
        </w:tc>
        <w:tc>
          <w:tcPr>
            <w:vAlign w:val="top"/>
            <w:tcMar>
              <w:top w:w="70" w:type="dxa"/>
              <w:start w:w="80" w:type="dxa"/>
              <w:bottom w:w="70" w:type="dxa"/>
              <w:end w:w="80" w:type="dxa"/>
            </w:tcMar>
            <w:shd w:fill="D9EAF7"/>
          </w:tcPr>
          <w:p>
            <w:pPr>
              <w:pStyle w:val="Compact"/>
              <w:jc w:val="left"/>
            </w:pPr>
            <w:r>
              <w:rPr>
                <w:rFonts w:ascii="Arial" w:hAnsi="Arial" w:eastAsia="Arial"/>
                <w:sz w:val="16"/>
              </w:rPr>
              <w:t>&gt;= 0.70</w:t>
            </w:r>
          </w:p>
        </w:tc>
        <w:tc>
          <w:tcPr>
            <w:vAlign w:val="top"/>
            <w:tcMar>
              <w:top w:w="70" w:type="dxa"/>
              <w:start w:w="80" w:type="dxa"/>
              <w:bottom w:w="70" w:type="dxa"/>
              <w:end w:w="80" w:type="dxa"/>
            </w:tcMar>
            <w:shd w:fill="D9EAF7"/>
          </w:tcPr>
          <w:p>
            <w:pPr>
              <w:pStyle w:val="Compact"/>
              <w:jc w:val="left"/>
            </w:pPr>
            <w:r>
              <w:rPr>
                <w:rFonts w:ascii="Arial" w:hAnsi="Arial" w:eastAsia="Arial"/>
                <w:sz w:val="16"/>
              </w:rPr>
              <w:t>&gt;= 0.60</w:t>
            </w:r>
          </w:p>
        </w:tc>
        <w:tc>
          <w:tcPr>
            <w:vAlign w:val="top"/>
            <w:tcMar>
              <w:top w:w="70" w:type="dxa"/>
              <w:start w:w="80" w:type="dxa"/>
              <w:bottom w:w="70" w:type="dxa"/>
              <w:end w:w="80" w:type="dxa"/>
            </w:tcMar>
            <w:shd w:fill="D9EAF7"/>
          </w:tcPr>
          <w:p>
            <w:pPr>
              <w:pStyle w:val="Compact"/>
              <w:jc w:val="left"/>
            </w:pPr>
            <w:r>
              <w:rPr>
                <w:rFonts w:ascii="Arial" w:hAnsi="Arial" w:eastAsia="Arial"/>
                <w:sz w:val="16"/>
              </w:rPr>
              <w:t>Tested separately for percentile and threshold anchoring</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Rights-floor pass/fail (NCRC)</w:t>
            </w:r>
          </w:p>
        </w:tc>
        <w:tc>
          <w:tcPr>
            <w:vAlign w:val="top"/>
            <w:tcMar>
              <w:top w:w="70" w:type="dxa"/>
              <w:start w:w="80" w:type="dxa"/>
              <w:bottom w:w="70" w:type="dxa"/>
              <w:end w:w="80" w:type="dxa"/>
            </w:tcMar>
            <w:shd w:fill="FFFFFF"/>
          </w:tcPr>
          <w:p>
            <w:pPr>
              <w:pStyle w:val="Compact"/>
              <w:jc w:val="left"/>
            </w:pPr>
            <w:r>
              <w:rPr>
                <w:rFonts w:ascii="Arial" w:hAnsi="Arial" w:eastAsia="Arial"/>
                <w:sz w:val="16"/>
              </w:rPr>
              <w:t>&gt;= 0.80</w:t>
            </w:r>
          </w:p>
        </w:tc>
        <w:tc>
          <w:tcPr>
            <w:vAlign w:val="top"/>
            <w:tcMar>
              <w:top w:w="70" w:type="dxa"/>
              <w:start w:w="80" w:type="dxa"/>
              <w:bottom w:w="70" w:type="dxa"/>
              <w:end w:w="80" w:type="dxa"/>
            </w:tcMar>
            <w:shd w:fill="FFFFFF"/>
          </w:tcPr>
          <w:p>
            <w:pPr>
              <w:pStyle w:val="Compact"/>
              <w:jc w:val="left"/>
            </w:pPr>
            <w:r>
              <w:rPr>
                <w:rFonts w:ascii="Arial" w:hAnsi="Arial" w:eastAsia="Arial"/>
                <w:sz w:val="16"/>
              </w:rPr>
              <w:t>&gt;= 0.70</w:t>
            </w:r>
          </w:p>
        </w:tc>
        <w:tc>
          <w:tcPr>
            <w:vAlign w:val="top"/>
            <w:tcMar>
              <w:top w:w="70" w:type="dxa"/>
              <w:start w:w="80" w:type="dxa"/>
              <w:bottom w:w="70" w:type="dxa"/>
              <w:end w:w="80" w:type="dxa"/>
            </w:tcMar>
            <w:shd w:fill="FFFFFF"/>
          </w:tcPr>
          <w:p>
            <w:pPr>
              <w:pStyle w:val="Compact"/>
              <w:jc w:val="left"/>
            </w:pPr>
            <w:r>
              <w:rPr>
                <w:rFonts w:ascii="Arial" w:hAnsi="Arial" w:eastAsia="Arial"/>
                <w:sz w:val="16"/>
              </w:rPr>
              <w:t>Binary gate; higher target reflects non-compensability</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TRC pass/fail</w:t>
            </w:r>
          </w:p>
        </w:tc>
        <w:tc>
          <w:tcPr>
            <w:vAlign w:val="top"/>
            <w:tcMar>
              <w:top w:w="70" w:type="dxa"/>
              <w:start w:w="80" w:type="dxa"/>
              <w:bottom w:w="70" w:type="dxa"/>
              <w:end w:w="80" w:type="dxa"/>
            </w:tcMar>
            <w:shd w:fill="D9EAF7"/>
          </w:tcPr>
          <w:p>
            <w:pPr>
              <w:pStyle w:val="Compact"/>
              <w:jc w:val="left"/>
            </w:pPr>
            <w:r>
              <w:rPr>
                <w:rFonts w:ascii="Arial" w:hAnsi="Arial" w:eastAsia="Arial"/>
                <w:sz w:val="16"/>
              </w:rPr>
              <w:t>&gt;= 0.80</w:t>
            </w:r>
          </w:p>
        </w:tc>
        <w:tc>
          <w:tcPr>
            <w:vAlign w:val="top"/>
            <w:tcMar>
              <w:top w:w="70" w:type="dxa"/>
              <w:start w:w="80" w:type="dxa"/>
              <w:bottom w:w="70" w:type="dxa"/>
              <w:end w:w="80" w:type="dxa"/>
            </w:tcMar>
            <w:shd w:fill="D9EAF7"/>
          </w:tcPr>
          <w:p>
            <w:pPr>
              <w:pStyle w:val="Compact"/>
              <w:jc w:val="left"/>
            </w:pPr>
            <w:r>
              <w:rPr>
                <w:rFonts w:ascii="Arial" w:hAnsi="Arial" w:eastAsia="Arial"/>
                <w:sz w:val="16"/>
              </w:rPr>
              <w:t>&gt;= 0.70</w:t>
            </w:r>
          </w:p>
        </w:tc>
        <w:tc>
          <w:tcPr>
            <w:vAlign w:val="top"/>
            <w:tcMar>
              <w:top w:w="70" w:type="dxa"/>
              <w:start w:w="80" w:type="dxa"/>
              <w:bottom w:w="70" w:type="dxa"/>
              <w:end w:w="80" w:type="dxa"/>
            </w:tcMar>
            <w:shd w:fill="D9EAF7"/>
          </w:tcPr>
          <w:p>
            <w:pPr>
              <w:pStyle w:val="Compact"/>
              <w:jc w:val="left"/>
            </w:pPr>
            <w:r>
              <w:rPr>
                <w:rFonts w:ascii="Arial" w:hAnsi="Arial" w:eastAsia="Arial"/>
                <w:sz w:val="16"/>
              </w:rPr>
              <w:t>Binary gate</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RLS ranking order</w:t>
            </w:r>
          </w:p>
        </w:tc>
        <w:tc>
          <w:tcPr>
            <w:vAlign w:val="top"/>
            <w:tcMar>
              <w:top w:w="70" w:type="dxa"/>
              <w:start w:w="80" w:type="dxa"/>
              <w:bottom w:w="70" w:type="dxa"/>
              <w:end w:w="80" w:type="dxa"/>
            </w:tcMar>
            <w:shd w:fill="FFFFFF"/>
          </w:tcPr>
          <w:p>
            <w:pPr>
              <w:pStyle w:val="Compact"/>
              <w:jc w:val="left"/>
            </w:pPr>
            <w:r>
              <w:rPr>
                <w:rFonts w:ascii="Arial" w:hAnsi="Arial" w:eastAsia="Arial"/>
                <w:sz w:val="16"/>
              </w:rPr>
              <w:t>&gt;= 0.70</w:t>
            </w:r>
          </w:p>
        </w:tc>
        <w:tc>
          <w:tcPr>
            <w:vAlign w:val="top"/>
            <w:tcMar>
              <w:top w:w="70" w:type="dxa"/>
              <w:start w:w="80" w:type="dxa"/>
              <w:bottom w:w="70" w:type="dxa"/>
              <w:end w:w="80" w:type="dxa"/>
            </w:tcMar>
            <w:shd w:fill="FFFFFF"/>
          </w:tcPr>
          <w:p>
            <w:pPr>
              <w:pStyle w:val="Compact"/>
              <w:jc w:val="left"/>
            </w:pPr>
            <w:r>
              <w:rPr>
                <w:rFonts w:ascii="Arial" w:hAnsi="Arial" w:eastAsia="Arial"/>
                <w:sz w:val="16"/>
              </w:rPr>
              <w:t>&gt;= 0.60</w:t>
            </w:r>
          </w:p>
        </w:tc>
        <w:tc>
          <w:tcPr>
            <w:vAlign w:val="top"/>
            <w:tcMar>
              <w:top w:w="70" w:type="dxa"/>
              <w:start w:w="80" w:type="dxa"/>
              <w:bottom w:w="70" w:type="dxa"/>
              <w:end w:w="80" w:type="dxa"/>
            </w:tcMar>
            <w:shd w:fill="FFFFFF"/>
          </w:tcPr>
          <w:p>
            <w:pPr>
              <w:pStyle w:val="Compact"/>
              <w:jc w:val="left"/>
            </w:pPr>
            <w:r>
              <w:rPr>
                <w:rFonts w:ascii="Arial" w:hAnsi="Arial" w:eastAsia="Arial"/>
                <w:sz w:val="16"/>
              </w:rPr>
              <w:t>Ordinal agreement on option ranking</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PLSS prominence classification</w:t>
            </w:r>
          </w:p>
        </w:tc>
        <w:tc>
          <w:tcPr>
            <w:vAlign w:val="top"/>
            <w:tcMar>
              <w:top w:w="70" w:type="dxa"/>
              <w:start w:w="80" w:type="dxa"/>
              <w:bottom w:w="70" w:type="dxa"/>
              <w:end w:w="80" w:type="dxa"/>
            </w:tcMar>
            <w:shd w:fill="D9EAF7"/>
          </w:tcPr>
          <w:p>
            <w:pPr>
              <w:pStyle w:val="Compact"/>
              <w:jc w:val="left"/>
            </w:pPr>
            <w:r>
              <w:rPr>
                <w:rFonts w:ascii="Arial" w:hAnsi="Arial" w:eastAsia="Arial"/>
                <w:sz w:val="16"/>
              </w:rPr>
              <w:t>&gt;= 0.70</w:t>
            </w:r>
          </w:p>
        </w:tc>
        <w:tc>
          <w:tcPr>
            <w:vAlign w:val="top"/>
            <w:tcMar>
              <w:top w:w="70" w:type="dxa"/>
              <w:start w:w="80" w:type="dxa"/>
              <w:bottom w:w="70" w:type="dxa"/>
              <w:end w:w="80" w:type="dxa"/>
            </w:tcMar>
            <w:shd w:fill="D9EAF7"/>
          </w:tcPr>
          <w:p>
            <w:pPr>
              <w:pStyle w:val="Compact"/>
              <w:jc w:val="left"/>
            </w:pPr>
            <w:r>
              <w:rPr>
                <w:rFonts w:ascii="Arial" w:hAnsi="Arial" w:eastAsia="Arial"/>
                <w:sz w:val="16"/>
              </w:rPr>
              <w:t>&gt;= 0.60</w:t>
            </w:r>
          </w:p>
        </w:tc>
        <w:tc>
          <w:tcPr>
            <w:vAlign w:val="top"/>
            <w:tcMar>
              <w:top w:w="70" w:type="dxa"/>
              <w:start w:w="80" w:type="dxa"/>
              <w:bottom w:w="70" w:type="dxa"/>
              <w:end w:w="80" w:type="dxa"/>
            </w:tcMar>
            <w:shd w:fill="D9EAF7"/>
          </w:tcPr>
          <w:p>
            <w:pPr>
              <w:pStyle w:val="Compact"/>
              <w:jc w:val="left"/>
            </w:pPr>
            <w:r>
              <w:rPr>
                <w:rFonts w:ascii="Arial" w:hAnsi="Arial" w:eastAsia="Arial"/>
                <w:sz w:val="16"/>
              </w:rPr>
              <w:t>Prominent vs Guardrail per scope</w:t>
            </w:r>
          </w:p>
        </w:tc>
      </w:tr>
    </w:tbl>
    <w:p>
      <w:pPr>
        <w:pStyle w:val="BodyText"/>
      </w:pPr>
      <w:r>
        <w:t>Sustained inability to exceed the minimum acceptable threshold on any component after rubric training indicates that the component requires redesign or additional anchoring guidance.</w:t>
      </w:r>
    </w:p>
    <w:p>
      <w:pPr>
        <w:pStyle w:val="BodyText"/>
      </w:pPr>
      <w:r>
        <w:t>Until such evidence exists, Tier 3 remains architecturally specified but empirically incomplete.</w:t>
      </w:r>
    </w:p>
    <w:tbl>
      <w:tblPr>
        <w:tblStyle w:val="Table"/>
        <w:tblW w:type="auto" w:w="0"/>
        <w:jc w:val="center"/>
        <w:tblLook w:firstRow="1" w:lastRow="0" w:firstColumn="0" w:lastColumn="0" w:noHBand="0" w:noVBand="0" w:val="0020"/>
      </w:tblPr>
      <w:tblGrid>
        <w:gridCol w:w="2640"/>
        <w:gridCol w:w="2640"/>
        <w:gridCol w:w="2640"/>
      </w:tblGrid>
      <w:tr>
        <w:trPr>
          <w:tblHeader w:val="on"/>
          <w:tblHeader w:val="true"/>
          <w:cantSplit/>
        </w:trPr>
        <w:tc>
          <w:tcPr>
            <w:vAlign w:val="top"/>
            <w:tcMar>
              <w:top w:w="70" w:type="dxa"/>
              <w:start w:w="80" w:type="dxa"/>
              <w:bottom w:w="70" w:type="dxa"/>
              <w:end w:w="80" w:type="dxa"/>
            </w:tcMar>
            <w:shd w:fill="1F4E78"/>
          </w:tcPr>
          <w:p>
            <w:pPr>
              <w:pStyle w:val="Compact"/>
              <w:jc w:val="left"/>
            </w:pPr>
            <w:r>
              <w:rPr>
                <w:rFonts w:ascii="Arial" w:hAnsi="Arial" w:eastAsia="Arial"/>
                <w:b/>
                <w:bCs/>
                <w:color w:val="FFFFFF"/>
                <w:sz w:val="16"/>
              </w:rPr>
              <w:t>Metric</w:t>
            </w:r>
          </w:p>
        </w:tc>
        <w:tc>
          <w:tcPr>
            <w:vAlign w:val="top"/>
            <w:tcMar>
              <w:top w:w="70" w:type="dxa"/>
              <w:start w:w="80" w:type="dxa"/>
              <w:bottom w:w="70" w:type="dxa"/>
              <w:end w:w="80" w:type="dxa"/>
            </w:tcMar>
            <w:shd w:fill="1F4E78"/>
          </w:tcPr>
          <w:p>
            <w:pPr>
              <w:pStyle w:val="Compact"/>
              <w:jc w:val="left"/>
            </w:pPr>
            <w:r>
              <w:rPr>
                <w:rFonts w:ascii="Arial" w:hAnsi="Arial" w:eastAsia="Arial"/>
                <w:b/>
                <w:bCs/>
                <w:color w:val="FFFFFF"/>
                <w:sz w:val="16"/>
              </w:rPr>
              <w:t>Definition</w:t>
            </w:r>
          </w:p>
        </w:tc>
        <w:tc>
          <w:tcPr>
            <w:vAlign w:val="top"/>
            <w:tcMar>
              <w:top w:w="70" w:type="dxa"/>
              <w:start w:w="80" w:type="dxa"/>
              <w:bottom w:w="70" w:type="dxa"/>
              <w:end w:w="80" w:type="dxa"/>
            </w:tcMar>
            <w:shd w:fill="1F4E78"/>
          </w:tcPr>
          <w:p>
            <w:pPr>
              <w:pStyle w:val="Compact"/>
              <w:jc w:val="left"/>
            </w:pPr>
            <w:r>
              <w:rPr>
                <w:rFonts w:ascii="Arial" w:hAnsi="Arial" w:eastAsia="Arial"/>
                <w:b/>
                <w:bCs/>
                <w:color w:val="FFFFFF"/>
                <w:sz w:val="16"/>
              </w:rPr>
              <w:t>Default Target</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Rights violation rate</w:t>
            </w:r>
          </w:p>
        </w:tc>
        <w:tc>
          <w:tcPr>
            <w:vAlign w:val="top"/>
            <w:tcMar>
              <w:top w:w="70" w:type="dxa"/>
              <w:start w:w="80" w:type="dxa"/>
              <w:bottom w:w="70" w:type="dxa"/>
              <w:end w:w="80" w:type="dxa"/>
            </w:tcMar>
            <w:shd w:fill="D9EAF7"/>
          </w:tcPr>
          <w:p>
            <w:pPr>
              <w:pStyle w:val="Compact"/>
              <w:jc w:val="left"/>
            </w:pPr>
            <w:r>
              <w:rPr>
                <w:rFonts w:ascii="Arial" w:hAnsi="Arial" w:eastAsia="Arial"/>
                <w:sz w:val="16"/>
              </w:rPr>
              <w:t>Verified post-decision rights infringements per protected subgroup</w:t>
            </w:r>
          </w:p>
        </w:tc>
        <w:tc>
          <w:tcPr>
            <w:vAlign w:val="top"/>
            <w:tcMar>
              <w:top w:w="70" w:type="dxa"/>
              <w:start w:w="80" w:type="dxa"/>
              <w:bottom w:w="70" w:type="dxa"/>
              <w:end w:w="80" w:type="dxa"/>
            </w:tcMar>
            <w:shd w:fill="D9EAF7"/>
          </w:tcPr>
          <w:p>
            <w:pPr>
              <w:pStyle w:val="Compact"/>
              <w:jc w:val="left"/>
            </w:pPr>
            <w:r>
              <w:rPr>
                <w:rFonts w:ascii="Arial" w:hAnsi="Arial" w:eastAsia="Arial"/>
                <w:sz w:val="16"/>
              </w:rPr>
              <w:t>Lower than baseline governance</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Tail-loss severity</w:t>
            </w:r>
          </w:p>
        </w:tc>
        <w:tc>
          <w:tcPr>
            <w:vAlign w:val="top"/>
            <w:tcMar>
              <w:top w:w="70" w:type="dxa"/>
              <w:start w:w="80" w:type="dxa"/>
              <w:bottom w:w="70" w:type="dxa"/>
              <w:end w:w="80" w:type="dxa"/>
            </w:tcMar>
            <w:shd w:fill="FFFFFF"/>
          </w:tcPr>
          <w:p>
            <w:pPr>
              <w:pStyle w:val="Compact"/>
              <w:jc w:val="left"/>
            </w:pPr>
            <w:r>
              <w:rPr>
                <w:rFonts w:ascii="Arial" w:hAnsi="Arial" w:eastAsia="Arial"/>
                <w:sz w:val="16"/>
              </w:rPr>
              <w:t>Realized catastrophe-cell loss in worst outcomes</w:t>
            </w:r>
          </w:p>
        </w:tc>
        <w:tc>
          <w:tcPr>
            <w:vAlign w:val="top"/>
            <w:tcMar>
              <w:top w:w="70" w:type="dxa"/>
              <w:start w:w="80" w:type="dxa"/>
              <w:bottom w:w="70" w:type="dxa"/>
              <w:end w:w="80" w:type="dxa"/>
            </w:tcMar>
            <w:shd w:fill="FFFFFF"/>
          </w:tcPr>
          <w:p>
            <w:pPr>
              <w:pStyle w:val="Compact"/>
              <w:jc w:val="left"/>
            </w:pPr>
            <w:r>
              <w:rPr>
                <w:rFonts w:ascii="Arial" w:hAnsi="Arial" w:eastAsia="Arial"/>
                <w:sz w:val="16"/>
              </w:rPr>
              <w:t>Lower than baseline governance</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Sign accuracy</w:t>
            </w:r>
          </w:p>
        </w:tc>
        <w:tc>
          <w:tcPr>
            <w:vAlign w:val="top"/>
            <w:tcMar>
              <w:top w:w="70" w:type="dxa"/>
              <w:start w:w="80" w:type="dxa"/>
              <w:bottom w:w="70" w:type="dxa"/>
              <w:end w:w="80" w:type="dxa"/>
            </w:tcMar>
            <w:shd w:fill="D9EAF7"/>
          </w:tcPr>
          <w:p>
            <w:pPr>
              <w:pStyle w:val="Compact"/>
              <w:jc w:val="left"/>
            </w:pPr>
            <w:r>
              <w:rPr>
                <w:rFonts w:ascii="Arial" w:hAnsi="Arial" w:eastAsia="Arial"/>
                <w:sz w:val="16"/>
              </w:rPr>
              <w:t>Match of predicted vs observed sign</w:t>
            </w:r>
          </w:p>
        </w:tc>
        <w:tc>
          <w:tcPr>
            <w:vAlign w:val="top"/>
            <w:tcMar>
              <w:top w:w="70" w:type="dxa"/>
              <w:start w:w="80" w:type="dxa"/>
              <w:bottom w:w="70" w:type="dxa"/>
              <w:end w:w="80" w:type="dxa"/>
            </w:tcMar>
            <w:shd w:fill="D9EAF7"/>
          </w:tcPr>
          <w:p>
            <w:pPr>
              <w:pStyle w:val="Compact"/>
              <w:jc w:val="left"/>
            </w:pPr>
            <w:r>
              <w:rPr>
                <w:rFonts w:ascii="Arial" w:hAnsi="Arial" w:eastAsia="Arial"/>
                <w:sz w:val="16"/>
              </w:rPr>
              <w:t>≥0.70 after calibration</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Magnitude error (RMSE)</w:t>
            </w:r>
          </w:p>
        </w:tc>
        <w:tc>
          <w:tcPr>
            <w:vAlign w:val="top"/>
            <w:tcMar>
              <w:top w:w="70" w:type="dxa"/>
              <w:start w:w="80" w:type="dxa"/>
              <w:bottom w:w="70" w:type="dxa"/>
              <w:end w:w="80" w:type="dxa"/>
            </w:tcMar>
            <w:shd w:fill="FFFFFF"/>
          </w:tcPr>
          <w:p>
            <w:pPr>
              <w:pStyle w:val="Compact"/>
              <w:jc w:val="left"/>
            </w:pPr>
            <w:r>
              <w:rPr>
                <w:rFonts w:ascii="Arial" w:hAnsi="Arial" w:eastAsia="Arial"/>
                <w:sz w:val="16"/>
              </w:rPr>
              <w:t>RMSE on normalized [-1,+1] for measurable cells</w:t>
            </w:r>
          </w:p>
        </w:tc>
        <w:tc>
          <w:tcPr>
            <w:vAlign w:val="top"/>
            <w:tcMar>
              <w:top w:w="70" w:type="dxa"/>
              <w:start w:w="80" w:type="dxa"/>
              <w:bottom w:w="70" w:type="dxa"/>
              <w:end w:w="80" w:type="dxa"/>
            </w:tcMar>
            <w:shd w:fill="FFFFFF"/>
          </w:tcPr>
          <w:p>
            <w:pPr>
              <w:pStyle w:val="Compact"/>
              <w:jc w:val="left"/>
            </w:pPr>
            <w:r>
              <w:rPr>
                <w:rFonts w:ascii="Arial" w:hAnsi="Arial" w:eastAsia="Arial"/>
                <w:sz w:val="16"/>
              </w:rPr>
              <w:t>≤0.25 (domain-dependent)</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Audit completeness</w:t>
            </w:r>
          </w:p>
        </w:tc>
        <w:tc>
          <w:tcPr>
            <w:vAlign w:val="top"/>
            <w:tcMar>
              <w:top w:w="70" w:type="dxa"/>
              <w:start w:w="80" w:type="dxa"/>
              <w:bottom w:w="70" w:type="dxa"/>
              <w:end w:w="80" w:type="dxa"/>
            </w:tcMar>
            <w:shd w:fill="D9EAF7"/>
          </w:tcPr>
          <w:p>
            <w:pPr>
              <w:pStyle w:val="Compact"/>
              <w:jc w:val="left"/>
            </w:pPr>
            <w:r>
              <w:rPr>
                <w:rFonts w:ascii="Arial" w:hAnsi="Arial" w:eastAsia="Arial"/>
                <w:sz w:val="16"/>
              </w:rPr>
              <w:t>Proportion of required PCC fields correctly filled</w:t>
            </w:r>
          </w:p>
        </w:tc>
        <w:tc>
          <w:tcPr>
            <w:vAlign w:val="top"/>
            <w:tcMar>
              <w:top w:w="70" w:type="dxa"/>
              <w:start w:w="80" w:type="dxa"/>
              <w:bottom w:w="70" w:type="dxa"/>
              <w:end w:w="80" w:type="dxa"/>
            </w:tcMar>
            <w:shd w:fill="D9EAF7"/>
          </w:tcPr>
          <w:p>
            <w:pPr>
              <w:pStyle w:val="Compact"/>
              <w:jc w:val="left"/>
            </w:pPr>
            <w:r>
              <w:rPr>
                <w:rFonts w:ascii="Arial" w:hAnsi="Arial" w:eastAsia="Arial"/>
                <w:sz w:val="16"/>
              </w:rPr>
              <w:t>≥0.95 Tier 3</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Gaming success rate</w:t>
            </w:r>
          </w:p>
        </w:tc>
        <w:tc>
          <w:tcPr>
            <w:vAlign w:val="top"/>
            <w:tcMar>
              <w:top w:w="70" w:type="dxa"/>
              <w:start w:w="80" w:type="dxa"/>
              <w:bottom w:w="70" w:type="dxa"/>
              <w:end w:w="80" w:type="dxa"/>
            </w:tcMar>
            <w:shd w:fill="FFFFFF"/>
          </w:tcPr>
          <w:p>
            <w:pPr>
              <w:pStyle w:val="Compact"/>
              <w:jc w:val="left"/>
            </w:pPr>
            <w:r>
              <w:rPr>
                <w:rFonts w:ascii="Arial" w:hAnsi="Arial" w:eastAsia="Arial"/>
                <w:sz w:val="16"/>
              </w:rPr>
              <w:t>Fraction of adversarial attempts that change outcome illegitimately</w:t>
            </w:r>
          </w:p>
        </w:tc>
        <w:tc>
          <w:tcPr>
            <w:vAlign w:val="top"/>
            <w:tcMar>
              <w:top w:w="70" w:type="dxa"/>
              <w:start w:w="80" w:type="dxa"/>
              <w:bottom w:w="70" w:type="dxa"/>
              <w:end w:w="80" w:type="dxa"/>
            </w:tcMar>
            <w:shd w:fill="FFFFFF"/>
          </w:tcPr>
          <w:p>
            <w:pPr>
              <w:pStyle w:val="Compact"/>
              <w:jc w:val="left"/>
            </w:pPr>
            <w:r>
              <w:rPr>
                <w:rFonts w:ascii="Arial" w:hAnsi="Arial" w:eastAsia="Arial"/>
                <w:sz w:val="16"/>
              </w:rPr>
              <w:t>Decreasing over time; investigate if &gt; 0.30</w:t>
            </w:r>
          </w:p>
        </w:tc>
      </w:tr>
    </w:tbl>
    <w:bookmarkEnd w:id="266"/>
    <w:bookmarkStart w:id="267" w:name="Xf6657669dce0c22c9cca265498314573b68c82f"/>
    <w:p>
      <w:pPr>
        <w:pStyle w:val="Heading2"/>
      </w:pPr>
      <w:r>
        <w:t>17.5 Study Design Requirements (Normative)</w:t>
      </w:r>
    </w:p>
    <w:p>
      <w:pPr>
        <w:pStyle w:val="Compact"/>
        <w:numPr>
          <w:ilvl w:val="0"/>
          <w:numId w:val="1210"/>
        </w:numPr>
      </w:pPr>
      <w:r>
        <w:t>Pre-registration required for pilots claiming performance improvements.</w:t>
      </w:r>
    </w:p>
    <w:p>
      <w:pPr>
        <w:pStyle w:val="Compact"/>
        <w:numPr>
          <w:ilvl w:val="0"/>
          <w:numId w:val="1211"/>
        </w:numPr>
      </w:pPr>
      <w:r>
        <w:t>Control or comparator condition recommended (baseline governance).</w:t>
      </w:r>
    </w:p>
    <w:p>
      <w:pPr>
        <w:pStyle w:val="Compact"/>
        <w:numPr>
          <w:ilvl w:val="0"/>
          <w:numId w:val="1212"/>
        </w:numPr>
      </w:pPr>
      <w:r>
        <w:t>Blinding recommended for backtests: analyst should not know outcome during the run.</w:t>
      </w:r>
    </w:p>
    <w:bookmarkEnd w:id="267"/>
    <w:bookmarkStart w:id="268" w:name="X4de1483d1f9012ffce12ecc9f881abed0d34ea4"/>
    <w:p>
      <w:pPr>
        <w:pStyle w:val="Heading2"/>
      </w:pPr>
      <w:r>
        <w:t>17.5A Projection Pre-Registration</w:t>
      </w:r>
    </w:p>
    <w:bookmarkEnd w:id="268"/>
    <w:bookmarkStart w:id="269" w:name="X0da44e8cdd3ed4983f782a131e51bfac2220343"/>
    <w:p>
      <w:pPr>
        <w:pStyle w:val="Heading2"/>
      </w:pPr>
      <w:r>
        <w:t>17.5A.5 Freeze-Hash and Unique-Prediction Requirement (Normative for public validation and ProofPack-prep claims)</w:t>
      </w:r>
    </w:p>
    <w:p>
      <w:pPr>
        <w:pStyle w:val="FirstParagraph"/>
      </w:pPr>
      <w:r>
        <w:t>A validation claim is not falsifiable unless the projection was frozen before outcome evidence was consulted. For Tier 3 public pilots, public validation claims, and ProofPack-prep runs, ProjectionPreRegistration SHOULD include projection_freeze_hash, freeze_timestamp_utc, prediction_scope, predicted_observable_consequence_class, outcome_observation_timestamp, and post_observation_modification.</w:t>
      </w:r>
    </w:p>
    <w:p>
      <w:pPr>
        <w:pStyle w:val="BodyText"/>
      </w:pPr>
      <w:r>
        <w:t>A material validation claim SHOULD produce exactly one predicted observable consequence class or a declared finite prediction set with pre-specified resolution rule. If the projection produces no prediction, an open-ended prediction, or a non-unique prediction without resolution rule, the claim is exploratory rather than falsifiable and SHOULD be marked NON_UNIQUE_PREDICTION or EXPLORATORY_ONLY.</w:t>
      </w:r>
    </w:p>
    <w:p>
      <w:pPr>
        <w:pStyle w:val="BodyText"/>
      </w:pPr>
      <w:r>
        <w:t>If post_observation_modification=TRUE for a material validation claim, the run MUST NOT be used as a falsification test for that claim and SHOULD set POST_HOC_PROJECTION_INVALID with severity INVALID. A revised projection requires a new freeze hash and a new run. (Normative for pilots and Tier 3; Recommended otherwise)</w:t>
      </w:r>
    </w:p>
    <w:p>
      <w:pPr>
        <w:pStyle w:val="BodyText"/>
      </w:pPr>
      <w:r>
        <w:t>Purpose. To preserve falsifiability and prevent post-hoc projection drift, pilot runs and Tier 3 runs SHALL pre-register the projection map from declared inputs to admissibility verdict before decision data is consulted in a way that could influence parameter selection.</w:t>
      </w:r>
    </w:p>
    <w:bookmarkEnd w:id="269"/>
    <w:bookmarkStart w:id="270" w:name="Xa54224eff8d12f63023100a8f88f16222817109"/>
    <w:p>
      <w:pPr>
        <w:pStyle w:val="Heading2"/>
      </w:pPr>
      <w:r>
        <w:t>17.5A.1 ProjectionPreRegistration object (Normative)</w:t>
      </w:r>
    </w:p>
    <w:p>
      <w:pPr>
        <w:pStyle w:val="FirstParagraph"/>
      </w:pPr>
      <w:r>
        <w:t>A ProjectionPreRegistration object SHALL be emitted, signed, timestamped, and stored before any cascade computation that contributes to a pilot or Tier 3 decision record. It SHALL contain at minimum: decision boundary, time horizon, and option set; stakeholder discovery record, including LSS and instance-to-scope mapping; rights coverage set C_r and per-right thresholds theta_r, including any non-default values with justification; catastrophe cell set C_cat, scenario set S, scenario probabilities p_s, CVaR confidence alpha, and TRC corridor tau_TRC; Containment trigger conditions and containing scopes; constitutional weight floors and any tier-appropriate non-default weights with justification; SGP v8.2.1 binding for impacted stakeholders, including target/record id, MPS band and interval, FPP status, validity status, and planned interval-sensitivity points; subgroup uplift gamma_subgroup and any non-default value with justification; kernel mode and kernel quality status where applicable; sensitivity sweep specification; pre-declared falsification, refusal, escalation, and re-run conditions.</w:t>
      </w:r>
    </w:p>
    <w:bookmarkEnd w:id="270"/>
    <w:bookmarkStart w:id="271" w:name="X1739ed9b8c1ee1944ac8f5cef3bd374d29531ac"/>
    <w:p>
      <w:pPr>
        <w:pStyle w:val="Heading2"/>
      </w:pPr>
      <w:r>
        <w:t>17.5A.2 Modification discipline (Normative)</w:t>
      </w:r>
    </w:p>
    <w:p>
      <w:pPr>
        <w:pStyle w:val="FirstParagraph"/>
      </w:pPr>
      <w:r>
        <w:t>Once emitted, the ProjectionPreRegistration object SHALL NOT be materially modified after observation in any way that affects admissibility, selectability, selection, or conformance claims.</w:t>
      </w:r>
    </w:p>
    <w:p>
      <w:pPr>
        <w:pStyle w:val="BodyText"/>
      </w:pPr>
      <w:r>
        <w:t>If material modification is required, the current run SHALL enter Refusal under Section 4.9, document the reason in PCC.RefusalRecord, and emit a new ProjectionPreRegistration object before any subsequent run.</w:t>
      </w:r>
    </w:p>
    <w:p>
      <w:pPr>
        <w:pStyle w:val="BodyText"/>
      </w:pPr>
      <w:r>
        <w:t>Non-material corrections, including typographical corrections, reference updates, or formatting changes that do not alter values or verdict logic, MAY be applied with version increment and documented diff.</w:t>
      </w:r>
    </w:p>
    <w:bookmarkEnd w:id="271"/>
    <w:bookmarkStart w:id="272" w:name="X17219fff100a553172b49274b2278376c925db2"/>
    <w:p>
      <w:pPr>
        <w:pStyle w:val="Heading2"/>
      </w:pPr>
      <w:r>
        <w:t>17.5A.3 Tier application (Normative)</w:t>
      </w:r>
    </w:p>
    <w:p>
      <w:pPr>
        <w:pStyle w:val="FirstParagraph"/>
      </w:pPr>
      <w:r>
        <w:t>Tier 3: Projection Pre-Registration is REQUIRED for all runs.</w:t>
      </w:r>
    </w:p>
    <w:p>
      <w:pPr>
        <w:pStyle w:val="BodyText"/>
      </w:pPr>
      <w:r>
        <w:t>Tier 2: Projection Pre-Registration is REQUIRED for pilots and RECOMMENDED otherwise.</w:t>
      </w:r>
    </w:p>
    <w:p>
      <w:pPr>
        <w:pStyle w:val="BodyText"/>
      </w:pPr>
      <w:r>
        <w:t>Tier 1: Projection Pre-Registration is RECOMMENDED where stakes are medium or high.</w:t>
      </w:r>
    </w:p>
    <w:bookmarkEnd w:id="272"/>
    <w:bookmarkStart w:id="273" w:name="X7aab0bfe0bc51e17e2a070ea3dc6b328d1a3e81"/>
    <w:p>
      <w:pPr>
        <w:pStyle w:val="Heading2"/>
      </w:pPr>
      <w:r>
        <w:t>17.5A.4 Storage and audit (Normative)</w:t>
      </w:r>
    </w:p>
    <w:p>
      <w:pPr>
        <w:pStyle w:val="FirstParagraph"/>
      </w:pPr>
      <w:r>
        <w:t>The ProjectionPreRegistration object SHALL be stored with the PCC and referenced by hash. An independent reviewer SHALL be able to reconstruct the declared projection map from the stored object using only the applicable canon, declared evidence base, and referenced companion artifacts.</w:t>
      </w:r>
    </w:p>
    <w:bookmarkEnd w:id="273"/>
    <w:bookmarkStart w:id="274" w:name="X580f7353578f041253804eda3bec8466f16c90e"/>
    <w:p>
      <w:pPr>
        <w:pStyle w:val="Heading2"/>
      </w:pPr>
      <w:r>
        <w:t>17.6 Backtesting Protocol (Normative)</w:t>
      </w:r>
    </w:p>
    <w:p>
      <w:pPr>
        <w:pStyle w:val="FirstParagraph"/>
      </w:pPr>
      <w:r>
        <w:t>A backtest run MUST:</w:t>
      </w:r>
    </w:p>
    <w:p>
      <w:pPr>
        <w:pStyle w:val="Compact"/>
        <w:numPr>
          <w:ilvl w:val="0"/>
          <w:numId w:val="1213"/>
        </w:numPr>
      </w:pPr>
      <w:r>
        <w:t>Reconstruct the information available at decision time (no hindsight leakage),</w:t>
      </w:r>
    </w:p>
    <w:p>
      <w:pPr>
        <w:pStyle w:val="Compact"/>
        <w:numPr>
          <w:ilvl w:val="0"/>
          <w:numId w:val="1214"/>
        </w:numPr>
      </w:pPr>
      <w:r>
        <w:t>Define an option set consistent with the historical context,</w:t>
      </w:r>
    </w:p>
    <w:p>
      <w:pPr>
        <w:pStyle w:val="Compact"/>
        <w:numPr>
          <w:ilvl w:val="0"/>
          <w:numId w:val="1215"/>
        </w:numPr>
      </w:pPr>
      <w:r>
        <w:t>Execute RippleLogic using only those inputs,</w:t>
      </w:r>
    </w:p>
    <w:p>
      <w:pPr>
        <w:pStyle w:val="Compact"/>
        <w:numPr>
          <w:ilvl w:val="0"/>
          <w:numId w:val="1216"/>
        </w:numPr>
      </w:pPr>
      <w:r>
        <w:t>Record a "Backtest PCC" with full trace,</w:t>
      </w:r>
    </w:p>
    <w:p>
      <w:pPr>
        <w:pStyle w:val="Compact"/>
        <w:numPr>
          <w:ilvl w:val="0"/>
          <w:numId w:val="1217"/>
        </w:numPr>
      </w:pPr>
      <w:r>
        <w:t>Score predictions against realized outcomes using declared metrics.</w:t>
      </w:r>
    </w:p>
    <w:bookmarkEnd w:id="274"/>
    <w:bookmarkStart w:id="275" w:name="X2923e8f2d00763e439ce7cb37e096278a8ddfa8"/>
    <w:p>
      <w:pPr>
        <w:pStyle w:val="Heading2"/>
      </w:pPr>
      <w:r>
        <w:t>17.7 Open Science and Responsible Disclosure (Normative intent)</w:t>
      </w:r>
    </w:p>
    <w:p>
      <w:pPr>
        <w:pStyle w:val="FirstParagraph"/>
      </w:pPr>
      <w:r>
        <w:t>Where feasible, publish:</w:t>
      </w:r>
    </w:p>
    <w:p>
      <w:pPr>
        <w:pStyle w:val="Compact"/>
        <w:numPr>
          <w:ilvl w:val="0"/>
          <w:numId w:val="1218"/>
        </w:numPr>
      </w:pPr>
      <w:r>
        <w:t>Anonymized PCC datasets,</w:t>
      </w:r>
    </w:p>
    <w:p>
      <w:pPr>
        <w:pStyle w:val="Compact"/>
        <w:numPr>
          <w:ilvl w:val="0"/>
          <w:numId w:val="1219"/>
        </w:numPr>
      </w:pPr>
      <w:r>
        <w:t>Scenario libraries and kernels (with evidence notes),</w:t>
      </w:r>
    </w:p>
    <w:p>
      <w:pPr>
        <w:pStyle w:val="Compact"/>
        <w:numPr>
          <w:ilvl w:val="0"/>
          <w:numId w:val="1220"/>
        </w:numPr>
      </w:pPr>
      <w:r>
        <w:t>Failure cases and revisions.</w:t>
      </w:r>
    </w:p>
    <w:p>
      <w:pPr>
        <w:pStyle w:val="FirstParagraph"/>
      </w:pPr>
      <w:r>
        <w:t>Security note: Where publishing would create exploitation risk, disclosure should be responsible and staged, but internal auditability must be preserved.</w:t>
      </w:r>
    </w:p>
    <w:bookmarkEnd w:id="275"/>
    <w:bookmarkEnd w:id="276"/>
    <w:bookmarkStart w:id="281" w:name="X402e2bfa59587f51ce837d827c7dd686ee06e51"/>
    <w:p>
      <w:pPr>
        <w:pStyle w:val="Heading1"/>
      </w:pPr>
      <w:r>
        <w:t>SECTION 18: APPLICATIONS AND USE CASES (INFORMATIVE)</w:t>
      </w:r>
    </w:p>
    <w:bookmarkStart w:id="277" w:name="X390b4e5955e383e1f7e2763f30a9dffa6f462db"/>
    <w:p>
      <w:pPr>
        <w:pStyle w:val="Heading2"/>
      </w:pPr>
      <w:r>
        <w:t>18.1 AI Deployment Governance (Tier 3)</w:t>
      </w:r>
    </w:p>
    <w:p>
      <w:pPr>
        <w:pStyle w:val="FirstParagraph"/>
      </w:pPr>
      <w:r>
        <w:t>Decision context: An organization is deciding whether to deploy an AI system that affects users at scale.</w:t>
      </w:r>
    </w:p>
    <w:p>
      <w:pPr>
        <w:pStyle w:val="BodyText"/>
      </w:pPr>
      <w:r>
        <w:t>Key obligations:</w:t>
      </w:r>
    </w:p>
    <w:p>
      <w:pPr>
        <w:pStyle w:val="Compact"/>
        <w:numPr>
          <w:ilvl w:val="0"/>
          <w:numId w:val="1221"/>
        </w:numPr>
      </w:pPr>
      <w:r>
        <w:t>NCRC: Protect dignity, information integrity, due process for worst-off subgroups.</w:t>
      </w:r>
    </w:p>
    <w:p>
      <w:pPr>
        <w:pStyle w:val="Compact"/>
        <w:numPr>
          <w:ilvl w:val="0"/>
          <w:numId w:val="1222"/>
        </w:numPr>
      </w:pPr>
      <w:r>
        <w:t>TRC: Model catastrophic tails (infrastructure disruption, mass manipulation, cascading conflict).</w:t>
      </w:r>
    </w:p>
    <w:p>
      <w:pPr>
        <w:pStyle w:val="Compact"/>
        <w:numPr>
          <w:ilvl w:val="0"/>
          <w:numId w:val="1223"/>
        </w:numPr>
      </w:pPr>
      <w:r>
        <w:t>Containment: Avoid organizational gains that degrade Polity/Humanity coherence (legitimacy collapse, epistemic fragmentation).</w:t>
      </w:r>
    </w:p>
    <w:p>
      <w:pPr>
        <w:pStyle w:val="Compact"/>
        <w:numPr>
          <w:ilvl w:val="0"/>
          <w:numId w:val="1224"/>
        </w:numPr>
      </w:pPr>
      <w:r>
        <w:t>PCC: Produce auditable trace; ensure comparability across options.</w:t>
      </w:r>
    </w:p>
    <w:bookmarkEnd w:id="277"/>
    <w:bookmarkStart w:id="278" w:name="Xe748ad163efe56edee6e6863dc84b79e6916643"/>
    <w:p>
      <w:pPr>
        <w:pStyle w:val="Heading2"/>
      </w:pPr>
      <w:r>
        <w:t>18.2 Climate and Energy Policy (Tier 3)</w:t>
      </w:r>
    </w:p>
    <w:p>
      <w:pPr>
        <w:pStyle w:val="FirstParagraph"/>
      </w:pPr>
      <w:r>
        <w:t>Decision context: A polity evaluates energy transition policies that impact households, industries, and biosphere stability.</w:t>
      </w:r>
    </w:p>
    <w:p>
      <w:pPr>
        <w:pStyle w:val="BodyText"/>
      </w:pPr>
      <w:r>
        <w:t>Key obligations:</w:t>
      </w:r>
    </w:p>
    <w:p>
      <w:pPr>
        <w:pStyle w:val="Compact"/>
        <w:numPr>
          <w:ilvl w:val="0"/>
          <w:numId w:val="1225"/>
        </w:numPr>
      </w:pPr>
      <w:r>
        <w:t>NCRC: Protect basic needs (energy poverty), health, life.</w:t>
      </w:r>
    </w:p>
    <w:p>
      <w:pPr>
        <w:pStyle w:val="Compact"/>
        <w:numPr>
          <w:ilvl w:val="0"/>
          <w:numId w:val="1226"/>
        </w:numPr>
      </w:pPr>
      <w:r>
        <w:t>TRC: Include climate tipping cascade scenarios; enforce corridor.</w:t>
      </w:r>
    </w:p>
    <w:p>
      <w:pPr>
        <w:pStyle w:val="Compact"/>
        <w:numPr>
          <w:ilvl w:val="0"/>
          <w:numId w:val="1227"/>
        </w:numPr>
      </w:pPr>
      <w:r>
        <w:t>Containment: Prevent short-term gains from degrading Biosphere UCI beyond tolerance.</w:t>
      </w:r>
    </w:p>
    <w:bookmarkEnd w:id="278"/>
    <w:bookmarkStart w:id="279" w:name="X9b802bdc1483963786870ff49d6e2929ad3f6e5"/>
    <w:p>
      <w:pPr>
        <w:pStyle w:val="Heading2"/>
      </w:pPr>
      <w:r>
        <w:t>18.3 Organizational Strategy (Tier 2-3)</w:t>
      </w:r>
    </w:p>
    <w:p>
      <w:pPr>
        <w:pStyle w:val="FirstParagraph"/>
      </w:pPr>
      <w:r>
        <w:t>Decision context: Organization deciding on major restructuring, automation, supply chain change.</w:t>
      </w:r>
    </w:p>
    <w:p>
      <w:pPr>
        <w:pStyle w:val="BodyText"/>
      </w:pPr>
      <w:r>
        <w:t>Key obligations:</w:t>
      </w:r>
    </w:p>
    <w:p>
      <w:pPr>
        <w:pStyle w:val="Compact"/>
        <w:numPr>
          <w:ilvl w:val="0"/>
          <w:numId w:val="1228"/>
        </w:numPr>
      </w:pPr>
      <w:r>
        <w:t>NCRC: Protect basic needs and dignity for worst-off employees/communities.</w:t>
      </w:r>
    </w:p>
    <w:p>
      <w:pPr>
        <w:pStyle w:val="Compact"/>
        <w:numPr>
          <w:ilvl w:val="0"/>
          <w:numId w:val="1229"/>
        </w:numPr>
      </w:pPr>
      <w:r>
        <w:t>TRC: Required at Tier 2 if catastrophe relevance is plausible.</w:t>
      </w:r>
    </w:p>
    <w:p>
      <w:pPr>
        <w:pStyle w:val="Compact"/>
        <w:numPr>
          <w:ilvl w:val="0"/>
          <w:numId w:val="1230"/>
        </w:numPr>
      </w:pPr>
      <w:r>
        <w:t>Containment: Detect hollowing-out risk even if near-term welfare improves.</w:t>
      </w:r>
    </w:p>
    <w:bookmarkEnd w:id="279"/>
    <w:bookmarkStart w:id="280" w:name="X1add7b05b71bde5195f315ecdf5471b000a8f98"/>
    <w:p>
      <w:pPr>
        <w:pStyle w:val="Heading2"/>
      </w:pPr>
      <w:r>
        <w:t>18.4 Personal and Household Decisions (Tier 1)</w:t>
      </w:r>
    </w:p>
    <w:p>
      <w:pPr>
        <w:pStyle w:val="FirstParagraph"/>
      </w:pPr>
      <w:r>
        <w:t>Decision context: Personal choices (job change, relocation, major purchase) where stakes are limited and reversible.</w:t>
      </w:r>
    </w:p>
    <w:p>
      <w:pPr>
        <w:pStyle w:val="BodyText"/>
      </w:pPr>
      <w:r>
        <w:t>Use Tier 1 heuristic: options, rights screen, tail screen, unions touched, unioning redesign.</w:t>
      </w:r>
    </w:p>
    <w:p>
      <w:pPr>
        <w:pStyle w:val="BodyText"/>
      </w:pPr>
      <w:r>
        <w:t>Escalate to Tier 2 if any plausible rights risk exists or if the decision touches catastrophe relevance.</w:t>
      </w:r>
    </w:p>
    <w:bookmarkEnd w:id="280"/>
    <w:bookmarkEnd w:id="281"/>
    <w:bookmarkStart w:id="286" w:name="Xe542aaa270e77e7bfb0f91fd0164e6d362f4d6e"/>
    <w:p>
      <w:pPr>
        <w:pStyle w:val="Heading1"/>
      </w:pPr>
      <w:r>
        <w:t>SECTION 19: LIMITATIONS AND NON-TARGETS (NORMATIVE BOUNDARIES)</w:t>
      </w:r>
    </w:p>
    <w:bookmarkStart w:id="282" w:name="Xb7ccd37c1f10878c73a72657e5bebb2ddf0471c"/>
    <w:p>
      <w:pPr>
        <w:pStyle w:val="Heading2"/>
      </w:pPr>
      <w:r>
        <w:t>19.1 Epistemic Limitations (Normative acknowledgment)</w:t>
      </w:r>
    </w:p>
    <w:p>
      <w:pPr>
        <w:pStyle w:val="FirstParagraph"/>
      </w:pPr>
      <w:r>
        <w:t>Input quality dependence: RippleLogic outputs are only as good as the evidence and estimation process. The framework reduces predictable failures but does not guarantee correct forecasts.</w:t>
      </w:r>
    </w:p>
    <w:p>
      <w:pPr>
        <w:pStyle w:val="BodyText"/>
      </w:pPr>
      <w:r>
        <w:t>Measurement difficulty: Some dimensions (Meaning; aspects of Agency) are harder to measure reliably across cultures. RippleLogic treats such measurement with caution and uncertainty documentation.</w:t>
      </w:r>
    </w:p>
    <w:p>
      <w:pPr>
        <w:pStyle w:val="BodyText"/>
      </w:pPr>
      <w:r>
        <w:t>Kernel uncertainty and operational status: Ripple propagation via the QUICK kernel mode is architecturally specified and canon-complete for Tier 1-3 implementation. However, the Starter KOPS (Appendix K) carries evidence classes B and E with a global shrink factor of 0.35, and the KQS policy (Section 6.5) requires KQS &gt;= 0.40 for any kernel use. In practice, most early Tier 2-3 runs are expected to operate in NONE propagation mode because domain-specific kernels with sufficient evidence coverage, identifiability, and predictive validation do not yet exist. The NONE mode is a valid and conformant propagation posture, not a workaround. Building empirically grounded kernels with KQS &gt;= 0.50 is a Phase 2-3 validation priority (Section 17.3). Ripple-awareness is already operational in the current release line through the multi-scope welfare matrix (which makes cross-scale consequences visible), through containment (which detects cross-scale degradation), and through UCI/HOI (which monitors structural integrity). Numerical kernel-based propagation remains a design-ready capability awaiting domain-specific calibration. The current release line mitigates kernel uncertainty with KQS policy, sensitivity requirements, and humility fallback to NONE.</w:t>
      </w:r>
    </w:p>
    <w:p>
      <w:pPr>
        <w:pStyle w:val="BodyText"/>
      </w:pPr>
      <w:r>
        <w:t>Scenario incompleteness: Scenario libraries cannot enumerate all tail risks; mandatory tail categories reduce omission but cannot eliminate deep uncertainty.</w:t>
      </w:r>
    </w:p>
    <w:bookmarkEnd w:id="282"/>
    <w:bookmarkStart w:id="283" w:name="Xa834e5f5aa4ab0dad9afce11726d697641c8068"/>
    <w:p>
      <w:pPr>
        <w:pStyle w:val="Heading2"/>
      </w:pPr>
      <w:r>
        <w:t>19.2 Institutional and Governance Prerequisites</w:t>
      </w:r>
    </w:p>
    <w:p>
      <w:pPr>
        <w:pStyle w:val="FirstParagraph"/>
      </w:pPr>
      <w:r>
        <w:t>Tier 3 requires trained analysts and governance capacity: subgroup analysis, scenario governance, structural indicators for UCI, and audit review.</w:t>
      </w:r>
    </w:p>
    <w:p>
      <w:pPr>
        <w:pStyle w:val="BodyText"/>
      </w:pPr>
      <w:r>
        <w:t>HDW governance can be captured if safeguards are weak. RippleLogic mandates anti-capture mechanisms, but real-world institutions must implement them.</w:t>
      </w:r>
    </w:p>
    <w:bookmarkEnd w:id="283"/>
    <w:bookmarkStart w:id="284" w:name="X29dee0daea0ddd6fa241f5bfa71cddc691b74c2"/>
    <w:p>
      <w:pPr>
        <w:pStyle w:val="Heading2"/>
      </w:pPr>
      <w:r>
        <w:t>19.3 Risks of Compliance Theater</w:t>
      </w:r>
    </w:p>
    <w:p>
      <w:pPr>
        <w:pStyle w:val="FirstParagraph"/>
      </w:pPr>
      <w:r>
        <w:t>Any framework can be used as a rubber stamp. RippleLogic mitigates via:</w:t>
      </w:r>
    </w:p>
    <w:p>
      <w:pPr>
        <w:pStyle w:val="Compact"/>
        <w:numPr>
          <w:ilvl w:val="0"/>
          <w:numId w:val="1231"/>
        </w:numPr>
      </w:pPr>
      <w:r>
        <w:t>Hard gates (NCRC/TRC/CSV),</w:t>
      </w:r>
    </w:p>
    <w:p>
      <w:pPr>
        <w:pStyle w:val="Compact"/>
        <w:numPr>
          <w:ilvl w:val="0"/>
          <w:numId w:val="1232"/>
        </w:numPr>
      </w:pPr>
      <w:r>
        <w:t>Non-maskable cells and audit flags,</w:t>
      </w:r>
    </w:p>
    <w:p>
      <w:pPr>
        <w:pStyle w:val="Compact"/>
        <w:numPr>
          <w:ilvl w:val="0"/>
          <w:numId w:val="1233"/>
        </w:numPr>
      </w:pPr>
      <w:r>
        <w:t>Challenger requirement in emergency mode,</w:t>
      </w:r>
    </w:p>
    <w:p>
      <w:pPr>
        <w:pStyle w:val="Compact"/>
        <w:numPr>
          <w:ilvl w:val="0"/>
          <w:numId w:val="1234"/>
        </w:numPr>
      </w:pPr>
      <w:r>
        <w:t>Required PCC traceability and sensitivity.</w:t>
      </w:r>
    </w:p>
    <w:p>
      <w:pPr>
        <w:pStyle w:val="FirstParagraph"/>
      </w:pPr>
      <w:r>
        <w:t>Nonetheless, compliance theater remains a risk; validation and external scrutiny matter.</w:t>
      </w:r>
    </w:p>
    <w:bookmarkEnd w:id="284"/>
    <w:bookmarkStart w:id="285" w:name="Xe161f74e291dbed0dc43c6e1332d52d62e33ef0"/>
    <w:p>
      <w:pPr>
        <w:pStyle w:val="Heading2"/>
      </w:pPr>
      <w:r>
        <w:t>19.4 Non-Targets (Normative)</w:t>
      </w:r>
    </w:p>
    <w:p>
      <w:pPr>
        <w:pStyle w:val="FirstParagraph"/>
      </w:pPr>
      <w:r>
        <w:t>RippleLogic is NOT designed to:</w:t>
      </w:r>
    </w:p>
    <w:p>
      <w:pPr>
        <w:pStyle w:val="Compact"/>
        <w:numPr>
          <w:ilvl w:val="0"/>
          <w:numId w:val="1235"/>
        </w:numPr>
      </w:pPr>
      <w:r>
        <w:t>Replace personal moral dialogue in intimate relationships,</w:t>
      </w:r>
    </w:p>
    <w:p>
      <w:pPr>
        <w:pStyle w:val="Compact"/>
        <w:numPr>
          <w:ilvl w:val="0"/>
          <w:numId w:val="1236"/>
        </w:numPr>
      </w:pPr>
      <w:r>
        <w:t>Dictate aesthetic or spiritual preferences,</w:t>
      </w:r>
    </w:p>
    <w:p>
      <w:pPr>
        <w:pStyle w:val="Compact"/>
        <w:numPr>
          <w:ilvl w:val="0"/>
          <w:numId w:val="1237"/>
        </w:numPr>
      </w:pPr>
      <w:r>
        <w:t>Resolve all deep metaphysical disagreements,</w:t>
      </w:r>
    </w:p>
    <w:p>
      <w:pPr>
        <w:pStyle w:val="Compact"/>
        <w:numPr>
          <w:ilvl w:val="0"/>
          <w:numId w:val="1238"/>
        </w:numPr>
      </w:pPr>
      <w:r>
        <w:t>Provide certainty under irreducible uncertainty,</w:t>
      </w:r>
    </w:p>
    <w:p>
      <w:pPr>
        <w:pStyle w:val="Compact"/>
        <w:numPr>
          <w:ilvl w:val="0"/>
          <w:numId w:val="1239"/>
        </w:numPr>
      </w:pPr>
      <w:r>
        <w:t>Function as a rhetorical weapon to end debate.</w:t>
      </w:r>
    </w:p>
    <w:p>
      <w:pPr>
        <w:pStyle w:val="FirstParagraph"/>
      </w:pPr>
      <w:r>
        <w:t>It is a public decision operating system: a method for auditable, multi-stakeholder, high-consequence decisions.</w:t>
      </w:r>
    </w:p>
    <w:bookmarkEnd w:id="285"/>
    <w:bookmarkEnd w:id="286"/>
    <w:bookmarkStart w:id="320" w:name="X38ba925486c44f2a1a208d0015ed8cd9f4a6796"/>
    <w:p>
      <w:pPr>
        <w:pStyle w:val="Heading1"/>
      </w:pPr>
      <w:r>
        <w:t>SECTION 20: CONCLUSION: PROSPEROUS FUTURES FOR INTELLIGENCES</w:t>
      </w:r>
    </w:p>
    <w:bookmarkStart w:id="287" w:name="X7629c46db5bb953562ac20ade4b25dbe8724eb0"/>
    <w:p>
      <w:pPr>
        <w:pStyle w:val="Heading2"/>
      </w:pPr>
      <w:r>
        <w:t>20.1 Prosperity Defined (Normative operational definition)</w:t>
      </w:r>
    </w:p>
    <w:p>
      <w:pPr>
        <w:pStyle w:val="FirstParagraph"/>
      </w:pPr>
      <w:r>
        <w:t>In RippleLogic terms:</w:t>
      </w:r>
    </w:p>
    <w:p>
      <w:pPr>
        <w:pStyle w:val="BodyText"/>
      </w:pPr>
      <w:r>
        <w:t>Prosperity = rights-safe (NCRC) + tail-safe (TRC) + containment-safe + net-positive welfare across unions + coherence preserved (UCI/HOI safeguards) + corrigible learning (NCAR)</w:t>
      </w:r>
    </w:p>
    <w:p>
      <w:pPr>
        <w:pStyle w:val="BodyText"/>
      </w:pPr>
      <w:r>
        <w:t>This definition blocks false prosperity:</w:t>
      </w:r>
    </w:p>
    <w:p>
      <w:pPr>
        <w:pStyle w:val="Compact"/>
        <w:numPr>
          <w:ilvl w:val="0"/>
          <w:numId w:val="1240"/>
        </w:numPr>
      </w:pPr>
      <w:r>
        <w:t>"Growth" that violates rights is not prosperity.</w:t>
      </w:r>
    </w:p>
    <w:p>
      <w:pPr>
        <w:pStyle w:val="Compact"/>
        <w:numPr>
          <w:ilvl w:val="0"/>
          <w:numId w:val="1241"/>
        </w:numPr>
      </w:pPr>
      <w:r>
        <w:t>"Efficiency" that increases catastrophic exposure is not prosperity.</w:t>
      </w:r>
    </w:p>
    <w:p>
      <w:pPr>
        <w:pStyle w:val="Compact"/>
        <w:numPr>
          <w:ilvl w:val="0"/>
          <w:numId w:val="1242"/>
        </w:numPr>
      </w:pPr>
      <w:r>
        <w:t>"Success" that hollows out structural coherence is not prosperity.</w:t>
      </w:r>
    </w:p>
    <w:bookmarkEnd w:id="287"/>
    <w:bookmarkStart w:id="288" w:name="Xe65dbd59248123eb04fa77fbdbbed0adc26dcc8"/>
    <w:p>
      <w:pPr>
        <w:pStyle w:val="Heading2"/>
      </w:pPr>
      <w:r>
        <w:t>20.2 RippleLogic Thesis</w:t>
      </w:r>
    </w:p>
    <w:p>
      <w:pPr>
        <w:pStyle w:val="FirstParagraph"/>
      </w:pPr>
      <w:r>
        <w:t>Alignment across humans, institutions, and AI requires non-compensable constraints on rights and catastrophic risk, explicit modeling of ripple propagation through layered and intersecting analytical scopes, transparent and auditable decision procedures, and corrigible learning loops. These requirements are motivated by interdependence in complex systems (Meadows, 2008; Newman, 2010), planetary life-support constraints (Steffen et al., 2015; Rockström et al., 2009, 2023), and the asymmetric tail-risk properties of ruin dynamics (Taleb, 2012; Ord, 2020).</w:t>
      </w:r>
    </w:p>
    <w:bookmarkEnd w:id="288"/>
    <w:bookmarkStart w:id="319" w:name="Xe1c7a23ab28766262305b09b788a1f84ab975a9"/>
    <w:p>
      <w:pPr>
        <w:pStyle w:val="Heading2"/>
      </w:pPr>
      <w:r>
        <w:t>20.3 Call to Test, Critique, and Deploy (Normative stance)</w:t>
      </w:r>
    </w:p>
    <w:p>
      <w:pPr>
        <w:pStyle w:val="FirstParagraph"/>
      </w:pPr>
      <w:r>
        <w:t>RippleLogic v12.3.1 is a spec-hardened scaffold intended to be tested, falsified where wrong, refined where incomplete, and used proportionally to stakes. The method is designed to move societies toward ethically, sustainably, harmoniously, prosperously, and verifiably coordinated flourishing by making decision structure explicit, auditable, and corrigible.</w:t>
      </w:r>
    </w:p>
    <w:p>
      <w:pPr>
        <w:pStyle w:val="BodyText"/>
      </w:pPr>
      <w:r>
        <w:t>REFERENCES (APA 7)</w:t>
      </w:r>
    </w:p>
    <w:p>
      <w:pPr>
        <w:pStyle w:val="BodyText"/>
      </w:pPr>
      <w:r>
        <w:t xml:space="preserve">Amodei, D., Olah, C., Steinhardt, J., Christiano, P., Schulman, J., &amp; Mané, D. (2016). Concrete problems in AI safety. arXiv. </w:t>
      </w:r>
      <w:hyperlink r:id="rId289">
        <w:r>
          <w:rPr>
            <w:rStyle w:val="Hyperlink"/>
          </w:rPr>
          <w:t xml:space="preserve">https://doi.org/10.48550/arXiv.1606.06565</w:t>
        </w:r>
      </w:hyperlink>
    </w:p>
    <w:p>
      <w:pPr>
        <w:pStyle w:val="BodyText"/>
      </w:pPr>
      <w:r>
        <w:t>Arrow, K. J. (1963). Social choice and individual values (2nd ed.). Yale University Press.</w:t>
      </w:r>
    </w:p>
    <w:p>
      <w:pPr>
        <w:pStyle w:val="BodyText"/>
      </w:pPr>
      <w:r>
        <w:t xml:space="preserve">Artzner, P., Delbaen, F., Eber, J.-M., &amp; Heath, D. (1999). Coherent measures of risk. Mathematical Finance, 9(3), 203–228. </w:t>
      </w:r>
      <w:hyperlink r:id="rId290">
        <w:r>
          <w:rPr>
            <w:rStyle w:val="Hyperlink"/>
          </w:rPr>
          <w:t xml:space="preserve">https://doi.org/10.1111/1467-9965.00068</w:t>
        </w:r>
      </w:hyperlink>
    </w:p>
    <w:p>
      <w:pPr>
        <w:pStyle w:val="BodyText"/>
      </w:pPr>
      <w:r>
        <w:t>Axelrod, R. (1984). The evolution of cooperation. Basic Books.</w:t>
      </w:r>
    </w:p>
    <w:p>
      <w:pPr>
        <w:pStyle w:val="BodyText"/>
      </w:pPr>
      <w:r>
        <w:t xml:space="preserve">Barabási, A.-L., &amp; Albert, R. (1999). Emergence of scaling in random networks. Science, 286(5439), 509–512. </w:t>
      </w:r>
      <w:hyperlink r:id="rId291">
        <w:r>
          <w:rPr>
            <w:rStyle w:val="Hyperlink"/>
          </w:rPr>
          <w:t xml:space="preserve">https://doi.org/10.1126/science.286.5439.509</w:t>
        </w:r>
      </w:hyperlink>
    </w:p>
    <w:p>
      <w:pPr>
        <w:pStyle w:val="BodyText"/>
      </w:pPr>
      <w:r>
        <w:t>Becker, G. S. (1981). A treatise on the family. Harvard University Press.</w:t>
      </w:r>
    </w:p>
    <w:p>
      <w:pPr>
        <w:pStyle w:val="BodyText"/>
      </w:pPr>
      <w:r>
        <w:t>Belton, V., &amp; Stewart, T. J. (2002). Multiple criteria decision analysis: An integrated approach. Kluwer Academic Publishers.</w:t>
      </w:r>
    </w:p>
    <w:p>
      <w:pPr>
        <w:pStyle w:val="BodyText"/>
      </w:pPr>
      <w:r>
        <w:t>Bostrom, N. (2014). Superintelligence: Paths, dangers, strategies. Oxford University Press.</w:t>
      </w:r>
    </w:p>
    <w:p>
      <w:pPr>
        <w:pStyle w:val="BodyText"/>
      </w:pPr>
      <w:r>
        <w:t>Bowlby, J. (1988). A secure base: Parent-child attachment and healthy human development. Basic Books.</w:t>
      </w:r>
    </w:p>
    <w:p>
      <w:pPr>
        <w:pStyle w:val="BodyText"/>
      </w:pPr>
      <w:r>
        <w:t>Christakis, N. A., &amp; Fowler, J. H. (2009). Connected: The surprising power of our social networks and how they shape our lives. Little, Brown and Company.</w:t>
      </w:r>
    </w:p>
    <w:p>
      <w:pPr>
        <w:pStyle w:val="BodyText"/>
      </w:pPr>
      <w:r>
        <w:t xml:space="preserve">Council of Europe. (1950). Convention for the Protection of Human Rights and Fundamental Freedoms (European Convention on Human Rights). </w:t>
      </w:r>
      <w:hyperlink r:id="rId292">
        <w:r>
          <w:rPr>
            <w:rStyle w:val="Hyperlink"/>
          </w:rPr>
          <w:t xml:space="preserve">https://www.echr.coe.int/the-convention</w:t>
        </w:r>
      </w:hyperlink>
    </w:p>
    <w:p>
      <w:pPr>
        <w:pStyle w:val="BodyText"/>
      </w:pPr>
      <w:r>
        <w:t xml:space="preserve">Dunbar, R. I. M. (1992). Neocortex size as a constraint on group size in primates. Journal of Human Evolution, 22(6), 469–493. </w:t>
      </w:r>
      <w:hyperlink r:id="rId293">
        <w:r>
          <w:rPr>
            <w:rStyle w:val="Hyperlink"/>
          </w:rPr>
          <w:t xml:space="preserve">https://doi.org/10.1016/0047-2484(92)90081-J</w:t>
        </w:r>
      </w:hyperlink>
    </w:p>
    <w:p>
      <w:pPr>
        <w:pStyle w:val="BodyText"/>
      </w:pPr>
      <w:r>
        <w:t xml:space="preserve">Dunbar, R. I. M. (1993). Coevolution of neocortical size, group size and language in humans. Behavioral and Brain Sciences, 16(4), 681–735. </w:t>
      </w:r>
      <w:hyperlink r:id="rId294">
        <w:r>
          <w:rPr>
            <w:rStyle w:val="Hyperlink"/>
          </w:rPr>
          <w:t xml:space="preserve">https://doi.org/10.1017/S0140525X00032325</w:t>
        </w:r>
      </w:hyperlink>
    </w:p>
    <w:p>
      <w:pPr>
        <w:pStyle w:val="BodyText"/>
      </w:pPr>
      <w:r>
        <w:t xml:space="preserve">Edmondson, A. (1999). Psychological safety and learning behavior in work teams. Administrative Science Quarterly, 44(2), 350–383. </w:t>
      </w:r>
      <w:hyperlink r:id="rId295">
        <w:r>
          <w:rPr>
            <w:rStyle w:val="Hyperlink"/>
          </w:rPr>
          <w:t xml:space="preserve">https://doi.org/10.2307/2666999</w:t>
        </w:r>
      </w:hyperlink>
    </w:p>
    <w:p>
      <w:pPr>
        <w:pStyle w:val="BodyText"/>
      </w:pPr>
      <w:r>
        <w:t xml:space="preserve">Estes, J. A., Terborgh, J., Brashares, J. S., Power, M. E., Berger, J., Bond, W. J., Carpenter, S. R., Essington, T. E., Holt, R. D., Jackson, J. B. C., Marquis, R. J., Oksanen, L., Oksanen, T., Paine, R. T., Pikitch, E. K., Ripple, W. J., Sandin, S. A., Scheffer, M., Schoener, T. W., ... Wardle, D. A. (2011). Trophic downgrading of planet Earth. Science, 333(6040), 301–306. </w:t>
      </w:r>
      <w:hyperlink r:id="rId296">
        <w:r>
          <w:rPr>
            <w:rStyle w:val="Hyperlink"/>
          </w:rPr>
          <w:t xml:space="preserve">https://doi.org/10.1126/science.1205106</w:t>
        </w:r>
      </w:hyperlink>
    </w:p>
    <w:p>
      <w:pPr>
        <w:pStyle w:val="BodyText"/>
      </w:pPr>
      <w:r>
        <w:t>Floridi, L. (2013). The ethics of information. Oxford University Press.</w:t>
      </w:r>
    </w:p>
    <w:p>
      <w:pPr>
        <w:pStyle w:val="BodyText"/>
      </w:pPr>
      <w:r>
        <w:t>Goodhart, C. A. E. (1984). Problems of monetary management: The UK experience. In C. A. E. Goodhart (Ed.), Monetary theory and practice: The UK experience (pp. 91–121). Macmillan.</w:t>
      </w:r>
    </w:p>
    <w:p>
      <w:pPr>
        <w:pStyle w:val="BodyText"/>
      </w:pPr>
      <w:r>
        <w:t>Hammond, J. S., Keeney, R. L., &amp; Raiffa, H. (1998). Smart choices: A practical guide to making better decisions. Harvard Business School Press.</w:t>
      </w:r>
    </w:p>
    <w:p>
      <w:pPr>
        <w:pStyle w:val="BodyText"/>
      </w:pPr>
      <w:r>
        <w:t xml:space="preserve">Integrated Food Security Phase Classification (IPC) Global Partners. (n.d.). Integrated Food Security Phase Classification (IPC) framework and tools. Retrieved February 19, 2026, from </w:t>
      </w:r>
      <w:hyperlink r:id="rId297">
        <w:r>
          <w:rPr>
            <w:rStyle w:val="Hyperlink"/>
          </w:rPr>
          <w:t xml:space="preserve">https://www.ipcinfo.org/</w:t>
        </w:r>
      </w:hyperlink>
    </w:p>
    <w:p>
      <w:pPr>
        <w:pStyle w:val="BodyText"/>
      </w:pPr>
      <w:r>
        <w:t xml:space="preserve">Intergovernmental Panel on Climate Change. (2023). Climate change 2023: Synthesis report. </w:t>
      </w:r>
      <w:hyperlink r:id="rId298">
        <w:r>
          <w:rPr>
            <w:rStyle w:val="Hyperlink"/>
          </w:rPr>
          <w:t xml:space="preserve">https://doi.org/10.59327/IPCC/AR6-9789291691647</w:t>
        </w:r>
      </w:hyperlink>
    </w:p>
    <w:p>
      <w:pPr>
        <w:pStyle w:val="BodyText"/>
      </w:pPr>
      <w:r>
        <w:t xml:space="preserve">International Labour Organization. (1998). ILO Declaration on Fundamental Principles and Rights at Work and its Follow-up. Retrieved February 19, 2026, from </w:t>
      </w:r>
      <w:hyperlink r:id="rId299">
        <w:r>
          <w:rPr>
            <w:rStyle w:val="Hyperlink"/>
          </w:rPr>
          <w:t xml:space="preserve">https://www.ilo.org/ilo-declaration-fundamental-principles-and-rights-work/about-declaration/text-declaration-and-its-follow</w:t>
        </w:r>
      </w:hyperlink>
    </w:p>
    <w:p>
      <w:pPr>
        <w:pStyle w:val="BodyText"/>
      </w:pPr>
      <w:r>
        <w:t>International Labour Organization. (2012). ILO indicators of forced labour (Special Action Programme to Combat Forced Labour).</w:t>
      </w:r>
      <w:r>
        <w:t xml:space="preserve"> </w:t>
      </w:r>
      <w:hyperlink r:id="rId300">
        <w:r>
          <w:rPr>
            <w:rStyle w:val="Hyperlink"/>
          </w:rPr>
          <w:t xml:space="preserve">https://www.ilo.org/publications/ilo-indicators-forced-labour</w:t>
        </w:r>
      </w:hyperlink>
    </w:p>
    <w:p>
      <w:pPr>
        <w:pStyle w:val="BodyText"/>
      </w:pPr>
      <w:r>
        <w:t xml:space="preserve">Kahneman, D., &amp; Tversky, A. (1979). Prospect theory: An analysis of decision under risk. Econometrica, 47(2), 263–291. </w:t>
      </w:r>
      <w:hyperlink r:id="rId301">
        <w:r>
          <w:rPr>
            <w:rStyle w:val="Hyperlink"/>
          </w:rPr>
          <w:t xml:space="preserve">https://doi.org/10.2307/1914185</w:t>
        </w:r>
      </w:hyperlink>
    </w:p>
    <w:p>
      <w:pPr>
        <w:pStyle w:val="BodyText"/>
      </w:pPr>
      <w:r>
        <w:t>Keeney, R. L., &amp; Raiffa, H. (1976). Decisions with multiple objectives: Preferences and value tradeoffs. Wiley.</w:t>
      </w:r>
    </w:p>
    <w:p>
      <w:pPr>
        <w:pStyle w:val="BodyText"/>
      </w:pPr>
      <w:r>
        <w:t xml:space="preserve">Lenton, T. M., Held, H., Kriegler, E., Hall, J. W., Lucht, W., Rahmstorf, S., &amp; Schellnhuber, H. J. (2008). Tipping elements in the Earth's climate system. Proceedings of the National Academy of Sciences, 105(6), 1786–1793. </w:t>
      </w:r>
      <w:hyperlink r:id="rId302">
        <w:r>
          <w:rPr>
            <w:rStyle w:val="Hyperlink"/>
          </w:rPr>
          <w:t xml:space="preserve">https://doi.org/10.1073/pnas.0705414105</w:t>
        </w:r>
      </w:hyperlink>
    </w:p>
    <w:p>
      <w:pPr>
        <w:pStyle w:val="BodyText"/>
      </w:pPr>
      <w:r>
        <w:t xml:space="preserve">Manheim, D., &amp; Garrabrant, S. (2018). Categorizing variants of Goodhart's law. arXiv. </w:t>
      </w:r>
      <w:hyperlink r:id="rId303">
        <w:r>
          <w:rPr>
            <w:rStyle w:val="Hyperlink"/>
          </w:rPr>
          <w:t xml:space="preserve">https://doi.org/10.48550/arXiv.1803.04585</w:t>
        </w:r>
      </w:hyperlink>
    </w:p>
    <w:p>
      <w:pPr>
        <w:pStyle w:val="BodyText"/>
      </w:pPr>
      <w:r>
        <w:t>March, J. G., &amp; Simon, H. A. (1958). Organizations. Wiley.</w:t>
      </w:r>
    </w:p>
    <w:p>
      <w:pPr>
        <w:pStyle w:val="BodyText"/>
      </w:pPr>
      <w:r>
        <w:t>Max-Neef, M. A. (1991). Human scale development: Conception, application and further reflections. Apex Press.</w:t>
      </w:r>
    </w:p>
    <w:p>
      <w:pPr>
        <w:pStyle w:val="BodyText"/>
      </w:pPr>
      <w:r>
        <w:t>McGaughran, J. (2026). Sentience Gradient Protocol (SGP) v8.1 [Specification]. MathGov Institute for Ethical Systems Design. Historical lineage: Sentience Gradient Protocol (SGP) v7.0 [Specification]; v6.0 [Specification]; v5.5 [Specification]; v5.4 [Specification]; v5.3 [Specification]; v5.2.1 [Specification]; v5.2 [Specification]; and v4.7.2 [Historical predecessor specification].</w:t>
      </w:r>
    </w:p>
    <w:p>
      <w:pPr>
        <w:pStyle w:val="BodyText"/>
      </w:pPr>
      <w:r>
        <w:t>Meadows, D. H. (2008). Thinking in systems: A primer. Chelsea Green Publishing.</w:t>
      </w:r>
    </w:p>
    <w:p>
      <w:pPr>
        <w:pStyle w:val="BodyText"/>
      </w:pPr>
      <w:r>
        <w:t xml:space="preserve">National Institute of Standards and Technology. (2023). Artificial Intelligence Risk Management Framework (AI RMF 1.0) (NIST AI 100-1). </w:t>
      </w:r>
      <w:hyperlink r:id="rId304">
        <w:r>
          <w:rPr>
            <w:rStyle w:val="Hyperlink"/>
          </w:rPr>
          <w:t xml:space="preserve">https://doi.org/10.6028/NIST.AI.100-1</w:t>
        </w:r>
      </w:hyperlink>
    </w:p>
    <w:p>
      <w:pPr>
        <w:pStyle w:val="BodyText"/>
      </w:pPr>
      <w:r>
        <w:t>Newman, M. E. J. (2010). Networks: An introduction. Oxford University Press.</w:t>
      </w:r>
    </w:p>
    <w:p>
      <w:pPr>
        <w:pStyle w:val="BodyText"/>
      </w:pPr>
      <w:r>
        <w:t>North, D. C. (1990). Institutions, institutional change and economic performance. Cambridge University Press.</w:t>
      </w:r>
    </w:p>
    <w:p>
      <w:pPr>
        <w:pStyle w:val="BodyText"/>
      </w:pPr>
      <w:r>
        <w:t xml:space="preserve">Nowak, M. A. (2006). Five rules for the evolution of cooperation. Science, 314(5805), 1560–1563. </w:t>
      </w:r>
      <w:hyperlink r:id="rId305">
        <w:r>
          <w:rPr>
            <w:rStyle w:val="Hyperlink"/>
          </w:rPr>
          <w:t xml:space="preserve">https://doi.org/10.1126/science.1133755</w:t>
        </w:r>
      </w:hyperlink>
    </w:p>
    <w:p>
      <w:pPr>
        <w:pStyle w:val="BodyText"/>
      </w:pPr>
      <w:r>
        <w:t>Nussbaum, M. C. (2011). Creating capabilities: The human development approach. Harvard University Press.</w:t>
      </w:r>
    </w:p>
    <w:p>
      <w:pPr>
        <w:pStyle w:val="BodyText"/>
      </w:pPr>
      <w:r>
        <w:t>Odum, E. P. (1971). Fundamentals of ecology (3rd ed.). W. B. Saunders.</w:t>
      </w:r>
    </w:p>
    <w:p>
      <w:pPr>
        <w:pStyle w:val="BodyText"/>
      </w:pPr>
      <w:r>
        <w:t>Ord, T. (2020). The precipice: Existential risk and the future of humanity. Hachette Books.</w:t>
      </w:r>
    </w:p>
    <w:p>
      <w:pPr>
        <w:pStyle w:val="BodyText"/>
      </w:pPr>
      <w:r>
        <w:t>Ostrom, E. (1990). Governing the commons: The evolution of institutions for collective action. Cambridge University Press.</w:t>
      </w:r>
    </w:p>
    <w:p>
      <w:pPr>
        <w:pStyle w:val="BodyText"/>
      </w:pPr>
      <w:r>
        <w:t>Popper, K. (1959). The logic of scientific discovery. Hutchinson.</w:t>
      </w:r>
    </w:p>
    <w:p>
      <w:pPr>
        <w:pStyle w:val="BodyText"/>
      </w:pPr>
      <w:r>
        <w:t>Putnam, R. D. (2000). Bowling alone: The collapse and revival of American community. Simon &amp; Schuster.</w:t>
      </w:r>
    </w:p>
    <w:p>
      <w:pPr>
        <w:pStyle w:val="BodyText"/>
      </w:pPr>
      <w:r>
        <w:t>Rawls, J. (1971). A theory of justice. Harvard University Press.</w:t>
      </w:r>
    </w:p>
    <w:p>
      <w:pPr>
        <w:pStyle w:val="BodyText"/>
      </w:pPr>
      <w:r>
        <w:t xml:space="preserve">Reporters Without Borders. (n.d.). World Press Freedom Index. Retrieved February 19, 2026, from </w:t>
      </w:r>
      <w:hyperlink r:id="rId306">
        <w:r>
          <w:rPr>
            <w:rStyle w:val="Hyperlink"/>
          </w:rPr>
          <w:t xml:space="preserve">https://rsf.org/en/index</w:t>
        </w:r>
      </w:hyperlink>
    </w:p>
    <w:p>
      <w:pPr>
        <w:pStyle w:val="BodyText"/>
      </w:pPr>
      <w:r>
        <w:t>Rockafellar, R. T., &amp; Uryasev, S. (2000). Optimization of conditional value-at-risk. Journal of Risk, 2(3), 21–41.</w:t>
      </w:r>
      <w:r>
        <w:t xml:space="preserve"> </w:t>
      </w:r>
      <w:hyperlink r:id="rId307">
        <w:r>
          <w:rPr>
            <w:rStyle w:val="Hyperlink"/>
          </w:rPr>
          <w:t xml:space="preserve">https://doi.org/10.21314/JOR.2000.038</w:t>
        </w:r>
      </w:hyperlink>
    </w:p>
    <w:p>
      <w:pPr>
        <w:pStyle w:val="BodyText"/>
      </w:pPr>
      <w:r>
        <w:t xml:space="preserve">Rockström, J., Gupta, J., Qin, D., Lade, S. J., Abrams, J. F., Andersen, L. S., Armstrong McKay, D. I., Bai, X., Bala, G., Bunn, S. E., Ciobanu, D., DeClerck, F., Ebi, K., Gifford, L., Gordon, C., Hasan, S., Kanie, N., Lenton, T. M., Loriani, S., ... Zhang, X. (2023). Safe and just Earth system boundaries. Nature, 619(7968), 102–111. </w:t>
      </w:r>
      <w:hyperlink r:id="rId308">
        <w:r>
          <w:rPr>
            <w:rStyle w:val="Hyperlink"/>
          </w:rPr>
          <w:t xml:space="preserve">https://doi.org/10.1038/s41586-023-06083-8</w:t>
        </w:r>
      </w:hyperlink>
    </w:p>
    <w:p>
      <w:pPr>
        <w:pStyle w:val="BodyText"/>
      </w:pPr>
      <w:r>
        <w:t xml:space="preserve">Rockström, J., Steffen, W., Noone, K., Persson, Å., Chapin, F. S., Lambin, E. F., Lenton, T. M., Scheffer, M., Folke, C., Schellnhuber, H. J., Nykvist, B., de Wit, C. A., Hughes, T., van der Leeuw, S., Rodhe, H., Sörlin, S., Snyder, P. K., Costanza, R., Svedin, U., ... Foley, J. A. (2009). A safe operating space for humanity. Nature, 461(7263), 472–475. </w:t>
      </w:r>
      <w:hyperlink r:id="rId309">
        <w:r>
          <w:rPr>
            <w:rStyle w:val="Hyperlink"/>
          </w:rPr>
          <w:t xml:space="preserve">https://doi.org/10.1038/461472a</w:t>
        </w:r>
      </w:hyperlink>
    </w:p>
    <w:p>
      <w:pPr>
        <w:pStyle w:val="BodyText"/>
      </w:pPr>
      <w:r>
        <w:t>Russell, S. (2019). Human compatible: Artificial intelligence and the problem of control. Viking.</w:t>
      </w:r>
    </w:p>
    <w:p>
      <w:pPr>
        <w:pStyle w:val="BodyText"/>
      </w:pPr>
      <w:r>
        <w:t xml:space="preserve">Ryan, R. M., &amp; Deci, E. L. (2000). Self-determination theory and the facilitation of intrinsic motivation, social development, and well-being. American Psychologist, 55(1), 68–78. </w:t>
      </w:r>
      <w:hyperlink r:id="rId310">
        <w:r>
          <w:rPr>
            <w:rStyle w:val="Hyperlink"/>
          </w:rPr>
          <w:t xml:space="preserve">https://doi.org/10.1037/0003-066X.55.1.68</w:t>
        </w:r>
      </w:hyperlink>
    </w:p>
    <w:p>
      <w:pPr>
        <w:pStyle w:val="BodyText"/>
      </w:pPr>
      <w:r>
        <w:t>Sen, A. (1999). Development as freedom. Knopf.</w:t>
      </w:r>
    </w:p>
    <w:p>
      <w:pPr>
        <w:pStyle w:val="BodyText"/>
      </w:pPr>
      <w:r>
        <w:t>Sen, A. (2009). The idea of justice. Harvard University Press.</w:t>
      </w:r>
    </w:p>
    <w:p>
      <w:pPr>
        <w:pStyle w:val="BodyText"/>
      </w:pPr>
      <w:r>
        <w:t>Simon, H. A. (1962). The architecture of complexity. Proceedings of the American Philosophical Society, 106(6), 467–482.</w:t>
      </w:r>
    </w:p>
    <w:p>
      <w:pPr>
        <w:pStyle w:val="BodyText"/>
      </w:pPr>
      <w:r>
        <w:t xml:space="preserve">Steffen, W., Richardson, K., Rockström, J., Cornell, S. E., Fetzer, I., Bennett, E. M., Biggs, R., Carpenter, S. R., de Vries, W., de Wit, C. A., Folke, C., Gerten, D., Heinke, J., Mace, G. M., Persson, L. M., Ramanathan, V., Reyers, B., &amp; Sörlin, S. (2015). Planetary boundaries: Guiding human development on a changing planet. Science, 347(6223), 1259855. </w:t>
      </w:r>
      <w:hyperlink r:id="rId311">
        <w:r>
          <w:rPr>
            <w:rStyle w:val="Hyperlink"/>
          </w:rPr>
          <w:t xml:space="preserve">https://doi.org/10.1126/science.1259855</w:t>
        </w:r>
      </w:hyperlink>
    </w:p>
    <w:p>
      <w:pPr>
        <w:pStyle w:val="BodyText"/>
      </w:pPr>
      <w:r>
        <w:t>Taleb, N. N. (2012). Antifragile: Things that gain from disorder. Random House.</w:t>
      </w:r>
    </w:p>
    <w:p>
      <w:pPr>
        <w:pStyle w:val="BodyText"/>
      </w:pPr>
      <w:r>
        <w:t xml:space="preserve">United Nations. (1966). International Covenant on Civil and Political Rights. United Nations Treaty Collection. Retrieved February 19, 2026, from </w:t>
      </w:r>
      <w:hyperlink r:id="rId312">
        <w:r>
          <w:rPr>
            <w:rStyle w:val="Hyperlink"/>
          </w:rPr>
          <w:t xml:space="preserve">https://treaties.un.org/Pages/ViewDetails.aspx?src=TREATY&amp;mtdsg_no=IV-4&amp;chapter=4&amp;clang=\_en</w:t>
        </w:r>
      </w:hyperlink>
    </w:p>
    <w:p>
      <w:pPr>
        <w:pStyle w:val="BodyText"/>
      </w:pPr>
      <w:r>
        <w:t xml:space="preserve">United Nations. (1984). Convention against Torture and Other Cruel, Inhuman or Degrading Treatment or Punishment. United Nations Treaty Collection. Retrieved February 19, 2026, from </w:t>
      </w:r>
      <w:hyperlink r:id="rId313">
        <w:r>
          <w:rPr>
            <w:rStyle w:val="Hyperlink"/>
          </w:rPr>
          <w:t xml:space="preserve">https://treaties.un.org/Pages/ViewDetails.aspx?src=TREATY&amp;mtdsg_no=IV-9&amp;chapter=4&amp;clang=\_en</w:t>
        </w:r>
      </w:hyperlink>
    </w:p>
    <w:p>
      <w:pPr>
        <w:pStyle w:val="BodyText"/>
      </w:pPr>
      <w:r>
        <w:t xml:space="preserve">United Nations Human Settlements Programme (UN-Habitat). (2003). The challenge of slums: Global report on human settlements 2003. Earthscan. Retrieved February 19, 2026, from </w:t>
      </w:r>
      <w:hyperlink r:id="rId314">
        <w:r>
          <w:rPr>
            <w:rStyle w:val="Hyperlink"/>
          </w:rPr>
          <w:t xml:space="preserve">https://unhabitat.org/the-challenge-of-slums-global-report-on-human-settlements-2003</w:t>
        </w:r>
      </w:hyperlink>
    </w:p>
    <w:p>
      <w:pPr>
        <w:pStyle w:val="BodyText"/>
      </w:pPr>
      <w:r>
        <w:t xml:space="preserve">United Nations Office on Genocide Prevention and the Responsibility to Protect. (2014). Framework of Analysis for Atrocity Crimes. Retrieved February 19, 2026, from </w:t>
      </w:r>
      <w:hyperlink r:id="rId315">
        <w:r>
          <w:rPr>
            <w:rStyle w:val="Hyperlink"/>
          </w:rPr>
          <w:t xml:space="preserve">https://www.un.org/en/genocideprevention/publications.shtml</w:t>
        </w:r>
      </w:hyperlink>
    </w:p>
    <w:p>
      <w:pPr>
        <w:pStyle w:val="BodyText"/>
      </w:pPr>
      <w:r>
        <w:t xml:space="preserve">Üstün, T. B., Kostanjsek, N., Chatterji, S., &amp; Rehm, J. (Eds.). (2010). Measuring health and disability: Manual for WHO Disability Assessment Schedule (WHODAS 2.0). World Health Organization. </w:t>
      </w:r>
      <w:hyperlink r:id="rId316">
        <w:r>
          <w:rPr>
            <w:rStyle w:val="Hyperlink"/>
          </w:rPr>
          <w:t xml:space="preserve">https://iris.who.int/handle/10665/43974</w:t>
        </w:r>
      </w:hyperlink>
    </w:p>
    <w:p>
      <w:pPr>
        <w:pStyle w:val="BodyText"/>
      </w:pPr>
      <w:r>
        <w:t>Weber, M. (1978). Economy and society (G. Roth &amp; C. Wittich, Eds.). University of California Press. (Original work published 1922)</w:t>
      </w:r>
    </w:p>
    <w:p>
      <w:pPr>
        <w:pStyle w:val="BodyText"/>
      </w:pPr>
      <w:r>
        <w:t xml:space="preserve">World Health Organization. (2001). International classification of functioning, disability and health (ICF). Retrieved February 19, 2026, from </w:t>
      </w:r>
      <w:hyperlink r:id="rId317">
        <w:r>
          <w:rPr>
            <w:rStyle w:val="Hyperlink"/>
          </w:rPr>
          <w:t xml:space="preserve">https://www.who.int/standards/classifications/international-classification-of-functioning-disability-and-health</w:t>
        </w:r>
      </w:hyperlink>
    </w:p>
    <w:p>
      <w:pPr>
        <w:pStyle w:val="BodyText"/>
      </w:pPr>
      <w:r>
        <w:t xml:space="preserve">World Justice Project. (n.d.). Rule of Law Index. Retrieved February 19, 2026, from </w:t>
      </w:r>
      <w:hyperlink r:id="rId318">
        <w:r>
          <w:rPr>
            <w:rStyle w:val="Hyperlink"/>
          </w:rPr>
          <w:t xml:space="preserve">https://worldjusticeproject.org/rule-of-law-index/</w:t>
        </w:r>
      </w:hyperlink>
    </w:p>
    <w:p>
      <w:pPr>
        <w:pStyle w:val="BodyText"/>
      </w:pPr>
      <w:r>
        <w:t>APPENDICES</w:t>
      </w:r>
    </w:p>
    <w:bookmarkEnd w:id="319"/>
    <w:bookmarkEnd w:id="320"/>
    <w:bookmarkStart w:id="337" w:name="appendix-a-symbols-and-notation-v120"/>
    <w:p>
      <w:pPr>
        <w:pStyle w:val="Heading1"/>
      </w:pPr>
      <w:r>
        <w:t>APPENDIX A: SYMBOLS AND NOTATION (v12.0)</w:t>
      </w:r>
    </w:p>
    <w:p>
      <w:pPr>
        <w:pStyle w:val="FirstParagraph"/>
      </w:pPr>
      <w:r>
        <w:t>Appendix A is normative for symbol meanings and domains.</w:t>
      </w:r>
    </w:p>
    <w:p>
      <w:pPr>
        <w:pStyle w:val="BodyText"/>
      </w:pPr>
      <w:r>
        <w:t>Terminology note (Normative). u indexes Union Scopes (short: Scopes). “Union(s)” remains an allowed legacy alias. This does not change meanings in v9.0 and earlier, it clarifies the canonical term in v9.0.</w:t>
      </w:r>
    </w:p>
    <w:p>
      <w:pPr>
        <w:pStyle w:val="BodyText"/>
      </w:pPr>
      <w:r>
        <w:t>RealityGroundingRecord / RCR: A PCC-linked record identifying a run's decision-relevant reality surface, material reality claims, evidence traces, declared unknowns, RealityGroundingStatus, vehicle/content/effect notes where social or institutional constructs are material, surface/territory limitations, and falsification or monitoring triggers. This is the canonical record. The older label RealitySurfaceRecord is deprecated and may be used only as a legacy full-text alias for the surface-description portion of RCR; RSR MUST NOT be used for RealitySurfaceRecord. To avoid acronym collision with ReferenceStructureRecord, use RCR for RealityGroundingRecord and RefStructRecord for ReferenceStructureRecord where abbreviations are needed.</w:t>
      </w:r>
    </w:p>
    <w:p>
      <w:pPr>
        <w:pStyle w:val="BodyText"/>
      </w:pPr>
      <w:r>
        <w:t>RealityGroundingStatus: The declared status of a decision claim’s contact with the relevant reality surface. Allowed values: GROUNDED, ESTIMATED, ASSUMPTION_BOUND, DECLARED_UNKNOWN, OUT_OF_SCOPE_WITH_RATIONALE, INSUFFICIENT_GROUNDING. Legacy aliases EVIDENCE_BACKED -&gt; GROUNDED and INSUFFICIENT_CONTACT -&gt; INSUFFICIENT_GROUNDING are retained for backward compatibility. At Tier 2 it is operator-declared with review status explicitly recorded; at Tier 3 it must follow the declared reviewer regime; at Tier 4 it must be independently re-derivable from EvidenceTrace and hash-pinned supporting artifacts.</w:t>
      </w:r>
    </w:p>
    <w:bookmarkStart w:id="321" w:name="a1-sets-and-indices"/>
    <w:p>
      <w:pPr>
        <w:pStyle w:val="Heading2"/>
      </w:pPr>
      <w:r>
        <w:t>A.1 Sets and Indices</w:t>
      </w:r>
    </w:p>
    <w:tbl>
      <w:tblPr>
        <w:tblStyle w:val="Table"/>
        <w:tblW w:type="auto" w:w="0"/>
        <w:jc w:val="center"/>
        <w:tblLook w:firstRow="1" w:lastRow="0" w:firstColumn="0" w:lastColumn="0" w:noHBand="0" w:noVBand="0" w:val="0020"/>
      </w:tblPr>
      <w:tblGrid>
        <w:gridCol w:w="2640"/>
        <w:gridCol w:w="2640"/>
        <w:gridCol w:w="2640"/>
      </w:tblGrid>
      <w:tr>
        <w:trPr>
          <w:tblHeader w:val="on"/>
          <w:tblHeader w:val="true"/>
          <w:cantSplit/>
        </w:trPr>
        <w:tc>
          <w:tcPr>
            <w:vAlign w:val="top"/>
            <w:tcMar>
              <w:top w:w="70" w:type="dxa"/>
              <w:start w:w="80" w:type="dxa"/>
              <w:bottom w:w="70" w:type="dxa"/>
              <w:end w:w="80" w:type="dxa"/>
            </w:tcMar>
            <w:shd w:fill="1F4E78"/>
          </w:tcPr>
          <w:p>
            <w:pPr>
              <w:pStyle w:val="Compact"/>
              <w:jc w:val="left"/>
            </w:pPr>
            <w:r>
              <w:rPr>
                <w:rFonts w:ascii="Arial" w:hAnsi="Arial" w:eastAsia="Arial"/>
                <w:b/>
                <w:bCs/>
                <w:color w:val="FFFFFF"/>
                <w:sz w:val="16"/>
              </w:rPr>
              <w:t>Symbol</w:t>
            </w:r>
          </w:p>
        </w:tc>
        <w:tc>
          <w:tcPr>
            <w:vAlign w:val="top"/>
            <w:tcMar>
              <w:top w:w="70" w:type="dxa"/>
              <w:start w:w="80" w:type="dxa"/>
              <w:bottom w:w="70" w:type="dxa"/>
              <w:end w:w="80" w:type="dxa"/>
            </w:tcMar>
            <w:shd w:fill="1F4E78"/>
          </w:tcPr>
          <w:p>
            <w:pPr>
              <w:pStyle w:val="Compact"/>
              <w:jc w:val="left"/>
            </w:pPr>
            <w:r>
              <w:rPr>
                <w:rFonts w:ascii="Arial" w:hAnsi="Arial" w:eastAsia="Arial"/>
                <w:b/>
                <w:bCs/>
                <w:color w:val="FFFFFF"/>
                <w:sz w:val="16"/>
              </w:rPr>
              <w:t>Meaning</w:t>
            </w:r>
          </w:p>
        </w:tc>
        <w:tc>
          <w:tcPr>
            <w:vAlign w:val="top"/>
            <w:tcMar>
              <w:top w:w="70" w:type="dxa"/>
              <w:start w:w="80" w:type="dxa"/>
              <w:bottom w:w="70" w:type="dxa"/>
              <w:end w:w="80" w:type="dxa"/>
            </w:tcMar>
            <w:shd w:fill="1F4E78"/>
          </w:tcPr>
          <w:p>
            <w:pPr>
              <w:pStyle w:val="Compact"/>
              <w:jc w:val="left"/>
            </w:pPr>
            <w:r>
              <w:rPr>
                <w:rFonts w:ascii="Arial" w:hAnsi="Arial" w:eastAsia="Arial"/>
                <w:b/>
                <w:bCs/>
                <w:color w:val="FFFFFF"/>
                <w:sz w:val="16"/>
              </w:rPr>
              <w:t>Domain</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u</w:t>
            </w:r>
          </w:p>
        </w:tc>
        <w:tc>
          <w:tcPr>
            <w:vAlign w:val="top"/>
            <w:tcMar>
              <w:top w:w="70" w:type="dxa"/>
              <w:start w:w="80" w:type="dxa"/>
              <w:bottom w:w="70" w:type="dxa"/>
              <w:end w:w="80" w:type="dxa"/>
            </w:tcMar>
            <w:shd w:fill="D9EAF7"/>
          </w:tcPr>
          <w:p>
            <w:pPr>
              <w:pStyle w:val="Compact"/>
              <w:jc w:val="left"/>
            </w:pPr>
            <w:r>
              <w:rPr>
                <w:rFonts w:ascii="Arial" w:hAnsi="Arial" w:eastAsia="Arial"/>
                <w:sz w:val="16"/>
              </w:rPr>
              <w:t>Union Scope (Scope) index</w:t>
            </w:r>
          </w:p>
        </w:tc>
        <w:tc>
          <w:tcPr>
            <w:vAlign w:val="top"/>
            <w:tcMar>
              <w:top w:w="70" w:type="dxa"/>
              <w:start w:w="80" w:type="dxa"/>
              <w:bottom w:w="70" w:type="dxa"/>
              <w:end w:w="80" w:type="dxa"/>
            </w:tcMar>
            <w:shd w:fill="D9EAF7"/>
          </w:tcPr>
          <w:p>
            <w:pPr>
              <w:pStyle w:val="Compact"/>
              <w:jc w:val="left"/>
            </w:pPr>
            <w:r>
              <w:rPr>
                <w:rFonts w:ascii="Arial" w:hAnsi="Arial" w:eastAsia="Arial"/>
                <w:sz w:val="16"/>
              </w:rPr>
              <w:t>u ∈ {1,2,3,4,5,6,7}</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d</w:t>
            </w:r>
          </w:p>
        </w:tc>
        <w:tc>
          <w:tcPr>
            <w:vAlign w:val="top"/>
            <w:tcMar>
              <w:top w:w="70" w:type="dxa"/>
              <w:start w:w="80" w:type="dxa"/>
              <w:bottom w:w="70" w:type="dxa"/>
              <w:end w:w="80" w:type="dxa"/>
            </w:tcMar>
            <w:shd w:fill="FFFFFF"/>
          </w:tcPr>
          <w:p>
            <w:pPr>
              <w:pStyle w:val="Compact"/>
              <w:jc w:val="left"/>
            </w:pPr>
            <w:r>
              <w:rPr>
                <w:rFonts w:ascii="Arial" w:hAnsi="Arial" w:eastAsia="Arial"/>
                <w:sz w:val="16"/>
              </w:rPr>
              <w:t>Dimension index</w:t>
            </w:r>
          </w:p>
        </w:tc>
        <w:tc>
          <w:tcPr>
            <w:vAlign w:val="top"/>
            <w:tcMar>
              <w:top w:w="70" w:type="dxa"/>
              <w:start w:w="80" w:type="dxa"/>
              <w:bottom w:w="70" w:type="dxa"/>
              <w:end w:w="80" w:type="dxa"/>
            </w:tcMar>
            <w:shd w:fill="FFFFFF"/>
          </w:tcPr>
          <w:p>
            <w:pPr>
              <w:pStyle w:val="Compact"/>
              <w:jc w:val="left"/>
            </w:pPr>
            <w:r>
              <w:rPr>
                <w:rFonts w:ascii="Arial" w:hAnsi="Arial" w:eastAsia="Arial"/>
                <w:sz w:val="16"/>
              </w:rPr>
              <w:t>d ∈ {1,2,3,4,5,6,7}</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a</w:t>
            </w:r>
          </w:p>
        </w:tc>
        <w:tc>
          <w:tcPr>
            <w:vAlign w:val="top"/>
            <w:tcMar>
              <w:top w:w="70" w:type="dxa"/>
              <w:start w:w="80" w:type="dxa"/>
              <w:bottom w:w="70" w:type="dxa"/>
              <w:end w:w="80" w:type="dxa"/>
            </w:tcMar>
            <w:shd w:fill="D9EAF7"/>
          </w:tcPr>
          <w:p>
            <w:pPr>
              <w:pStyle w:val="Compact"/>
              <w:jc w:val="left"/>
            </w:pPr>
            <w:r>
              <w:rPr>
                <w:rFonts w:ascii="Arial" w:hAnsi="Arial" w:eastAsia="Arial"/>
                <w:sz w:val="16"/>
              </w:rPr>
              <w:t>Option (candidate action)</w:t>
            </w:r>
          </w:p>
        </w:tc>
        <w:tc>
          <w:tcPr>
            <w:vAlign w:val="top"/>
            <w:tcMar>
              <w:top w:w="70" w:type="dxa"/>
              <w:start w:w="80" w:type="dxa"/>
              <w:bottom w:w="70" w:type="dxa"/>
              <w:end w:w="80" w:type="dxa"/>
            </w:tcMar>
            <w:shd w:fill="D9EAF7"/>
          </w:tcPr>
          <w:p>
            <w:pPr>
              <w:pStyle w:val="Compact"/>
              <w:jc w:val="left"/>
            </w:pPr>
            <w:r>
              <w:rPr>
                <w:rFonts w:ascii="Arial" w:hAnsi="Arial" w:eastAsia="Arial"/>
                <w:sz w:val="16"/>
              </w:rPr>
              <w:t>a ∈ O</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s</w:t>
            </w:r>
          </w:p>
        </w:tc>
        <w:tc>
          <w:tcPr>
            <w:vAlign w:val="top"/>
            <w:tcMar>
              <w:top w:w="70" w:type="dxa"/>
              <w:start w:w="80" w:type="dxa"/>
              <w:bottom w:w="70" w:type="dxa"/>
              <w:end w:w="80" w:type="dxa"/>
            </w:tcMar>
            <w:shd w:fill="FFFFFF"/>
          </w:tcPr>
          <w:p>
            <w:pPr>
              <w:pStyle w:val="Compact"/>
              <w:jc w:val="left"/>
            </w:pPr>
            <w:r>
              <w:rPr>
                <w:rFonts w:ascii="Arial" w:hAnsi="Arial" w:eastAsia="Arial"/>
                <w:sz w:val="16"/>
              </w:rPr>
              <w:t>Scenario index</w:t>
            </w:r>
          </w:p>
        </w:tc>
        <w:tc>
          <w:tcPr>
            <w:vAlign w:val="top"/>
            <w:tcMar>
              <w:top w:w="70" w:type="dxa"/>
              <w:start w:w="80" w:type="dxa"/>
              <w:bottom w:w="70" w:type="dxa"/>
              <w:end w:w="80" w:type="dxa"/>
            </w:tcMar>
            <w:shd w:fill="FFFFFF"/>
          </w:tcPr>
          <w:p>
            <w:pPr>
              <w:pStyle w:val="Compact"/>
              <w:jc w:val="left"/>
            </w:pPr>
            <w:r>
              <w:rPr>
                <w:rFonts w:ascii="Arial" w:hAnsi="Arial" w:eastAsia="Arial"/>
                <w:sz w:val="16"/>
              </w:rPr>
              <w:t>s ∈ S</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r</w:t>
            </w:r>
          </w:p>
        </w:tc>
        <w:tc>
          <w:tcPr>
            <w:vAlign w:val="top"/>
            <w:tcMar>
              <w:top w:w="70" w:type="dxa"/>
              <w:start w:w="80" w:type="dxa"/>
              <w:bottom w:w="70" w:type="dxa"/>
              <w:end w:w="80" w:type="dxa"/>
            </w:tcMar>
            <w:shd w:fill="D9EAF7"/>
          </w:tcPr>
          <w:p>
            <w:pPr>
              <w:pStyle w:val="Compact"/>
              <w:jc w:val="left"/>
            </w:pPr>
            <w:r>
              <w:rPr>
                <w:rFonts w:ascii="Arial" w:hAnsi="Arial" w:eastAsia="Arial"/>
                <w:sz w:val="16"/>
              </w:rPr>
              <w:t>Right index</w:t>
            </w:r>
          </w:p>
        </w:tc>
        <w:tc>
          <w:tcPr>
            <w:vAlign w:val="top"/>
            <w:tcMar>
              <w:top w:w="70" w:type="dxa"/>
              <w:start w:w="80" w:type="dxa"/>
              <w:bottom w:w="70" w:type="dxa"/>
              <w:end w:w="80" w:type="dxa"/>
            </w:tcMar>
            <w:shd w:fill="D9EAF7"/>
          </w:tcPr>
          <w:p>
            <w:pPr>
              <w:pStyle w:val="Compact"/>
              <w:jc w:val="left"/>
            </w:pPr>
            <w:r>
              <w:rPr>
                <w:rFonts w:ascii="Arial" w:hAnsi="Arial" w:eastAsia="Arial"/>
                <w:sz w:val="16"/>
              </w:rPr>
              <w:t>r ∈ R</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k</w:t>
            </w:r>
          </w:p>
        </w:tc>
        <w:tc>
          <w:tcPr>
            <w:vAlign w:val="top"/>
            <w:tcMar>
              <w:top w:w="70" w:type="dxa"/>
              <w:start w:w="80" w:type="dxa"/>
              <w:bottom w:w="70" w:type="dxa"/>
              <w:end w:w="80" w:type="dxa"/>
            </w:tcMar>
            <w:shd w:fill="FFFFFF"/>
          </w:tcPr>
          <w:p>
            <w:pPr>
              <w:pStyle w:val="Compact"/>
              <w:jc w:val="left"/>
            </w:pPr>
            <w:r>
              <w:rPr>
                <w:rFonts w:ascii="Arial" w:hAnsi="Arial" w:eastAsia="Arial"/>
                <w:sz w:val="16"/>
              </w:rPr>
              <w:t>Impact instance index</w:t>
            </w:r>
          </w:p>
        </w:tc>
        <w:tc>
          <w:tcPr>
            <w:vAlign w:val="top"/>
            <w:tcMar>
              <w:top w:w="70" w:type="dxa"/>
              <w:start w:w="80" w:type="dxa"/>
              <w:bottom w:w="70" w:type="dxa"/>
              <w:end w:w="80" w:type="dxa"/>
            </w:tcMar>
            <w:shd w:fill="FFFFFF"/>
          </w:tcPr>
          <w:p>
            <w:pPr>
              <w:pStyle w:val="Compact"/>
              <w:jc w:val="left"/>
            </w:pPr>
            <w:r>
              <w:rPr>
                <w:rFonts w:ascii="Arial" w:hAnsi="Arial" w:eastAsia="Arial"/>
                <w:sz w:val="16"/>
              </w:rPr>
              <w:t>integer</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g</w:t>
            </w:r>
          </w:p>
        </w:tc>
        <w:tc>
          <w:tcPr>
            <w:vAlign w:val="top"/>
            <w:tcMar>
              <w:top w:w="70" w:type="dxa"/>
              <w:start w:w="80" w:type="dxa"/>
              <w:bottom w:w="70" w:type="dxa"/>
              <w:end w:w="80" w:type="dxa"/>
            </w:tcMar>
            <w:shd w:fill="D9EAF7"/>
          </w:tcPr>
          <w:p>
            <w:pPr>
              <w:pStyle w:val="Compact"/>
              <w:jc w:val="left"/>
            </w:pPr>
            <w:r>
              <w:rPr>
                <w:rFonts w:ascii="Arial" w:hAnsi="Arial" w:eastAsia="Arial"/>
                <w:sz w:val="16"/>
              </w:rPr>
              <w:t>Protected subgroup index</w:t>
            </w:r>
          </w:p>
        </w:tc>
        <w:tc>
          <w:tcPr>
            <w:vAlign w:val="top"/>
            <w:tcMar>
              <w:top w:w="70" w:type="dxa"/>
              <w:start w:w="80" w:type="dxa"/>
              <w:bottom w:w="70" w:type="dxa"/>
              <w:end w:w="80" w:type="dxa"/>
            </w:tcMar>
            <w:shd w:fill="D9EAF7"/>
          </w:tcPr>
          <w:p>
            <w:pPr>
              <w:pStyle w:val="Compact"/>
              <w:jc w:val="left"/>
            </w:pPr>
            <w:r>
              <w:rPr>
                <w:rFonts w:ascii="Arial" w:hAnsi="Arial" w:eastAsia="Arial"/>
                <w:sz w:val="16"/>
              </w:rPr>
              <w:t>g ∈ G_{u,d}</w:t>
            </w:r>
          </w:p>
        </w:tc>
      </w:tr>
    </w:tbl>
    <w:bookmarkEnd w:id="321"/>
    <w:bookmarkStart w:id="322" w:name="a2-core-sets"/>
    <w:p>
      <w:pPr>
        <w:pStyle w:val="Heading2"/>
      </w:pPr>
      <w:r>
        <w:t>A.2 Core Sets</w:t>
      </w:r>
    </w:p>
    <w:tbl>
      <w:tblPr>
        <w:tblStyle w:val="Table"/>
        <w:tblW w:type="auto" w:w="0"/>
        <w:jc w:val="center"/>
        <w:tblLook w:firstRow="1" w:lastRow="0" w:firstColumn="0" w:lastColumn="0" w:noHBand="0" w:noVBand="0" w:val="0020"/>
      </w:tblPr>
      <w:tblGrid>
        <w:gridCol w:w="3960"/>
        <w:gridCol w:w="3960"/>
      </w:tblGrid>
      <w:tr>
        <w:trPr>
          <w:tblHeader w:val="on"/>
          <w:tblHeader w:val="true"/>
          <w:cantSplit/>
        </w:trPr>
        <w:tc>
          <w:tcPr>
            <w:vAlign w:val="top"/>
            <w:tcMar>
              <w:top w:w="70" w:type="dxa"/>
              <w:start w:w="80" w:type="dxa"/>
              <w:bottom w:w="70" w:type="dxa"/>
              <w:end w:w="80" w:type="dxa"/>
            </w:tcMar>
            <w:shd w:fill="1F4E78"/>
          </w:tcPr>
          <w:p>
            <w:pPr>
              <w:pStyle w:val="Compact"/>
              <w:jc w:val="left"/>
            </w:pPr>
            <w:r>
              <w:rPr>
                <w:rFonts w:ascii="Arial" w:hAnsi="Arial" w:eastAsia="Arial"/>
                <w:b/>
                <w:bCs/>
                <w:color w:val="FFFFFF"/>
                <w:sz w:val="16"/>
              </w:rPr>
              <w:t>Set</w:t>
            </w:r>
          </w:p>
        </w:tc>
        <w:tc>
          <w:tcPr>
            <w:vAlign w:val="top"/>
            <w:tcMar>
              <w:top w:w="70" w:type="dxa"/>
              <w:start w:w="80" w:type="dxa"/>
              <w:bottom w:w="70" w:type="dxa"/>
              <w:end w:w="80" w:type="dxa"/>
            </w:tcMar>
            <w:shd w:fill="1F4E78"/>
          </w:tcPr>
          <w:p>
            <w:pPr>
              <w:pStyle w:val="Compact"/>
              <w:jc w:val="left"/>
            </w:pPr>
            <w:r>
              <w:rPr>
                <w:rFonts w:ascii="Arial" w:hAnsi="Arial" w:eastAsia="Arial"/>
                <w:b/>
                <w:bCs/>
                <w:color w:val="FFFFFF"/>
                <w:sz w:val="16"/>
              </w:rPr>
              <w:t>Definition</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U</w:t>
            </w:r>
          </w:p>
        </w:tc>
        <w:tc>
          <w:tcPr>
            <w:vAlign w:val="top"/>
            <w:tcMar>
              <w:top w:w="70" w:type="dxa"/>
              <w:start w:w="80" w:type="dxa"/>
              <w:bottom w:w="70" w:type="dxa"/>
              <w:end w:w="80" w:type="dxa"/>
            </w:tcMar>
            <w:shd w:fill="D9EAF7"/>
          </w:tcPr>
          <w:p>
            <w:pPr>
              <w:pStyle w:val="Compact"/>
              <w:jc w:val="left"/>
            </w:pPr>
            <w:r>
              <w:rPr>
                <w:rFonts w:ascii="Arial" w:hAnsi="Arial" w:eastAsia="Arial"/>
                <w:sz w:val="16"/>
              </w:rPr>
              <w:t>Operational Scopes {Self, Household, Community, Organization, Polity, Humanity / Global Coordination, Biosphere}</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D</w:t>
            </w:r>
          </w:p>
        </w:tc>
        <w:tc>
          <w:tcPr>
            <w:vAlign w:val="top"/>
            <w:tcMar>
              <w:top w:w="70" w:type="dxa"/>
              <w:start w:w="80" w:type="dxa"/>
              <w:bottom w:w="70" w:type="dxa"/>
              <w:end w:w="80" w:type="dxa"/>
            </w:tcMar>
            <w:shd w:fill="FFFFFF"/>
          </w:tcPr>
          <w:p>
            <w:pPr>
              <w:pStyle w:val="Compact"/>
              <w:jc w:val="left"/>
            </w:pPr>
            <w:r>
              <w:rPr>
                <w:rFonts w:ascii="Arial" w:hAnsi="Arial" w:eastAsia="Arial"/>
                <w:sz w:val="16"/>
              </w:rPr>
              <w:t>Welfare dimensions {Material, Health, Social, Knowledge, Agency, Meaning, Environment}</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O</w:t>
            </w:r>
          </w:p>
        </w:tc>
        <w:tc>
          <w:tcPr>
            <w:vAlign w:val="top"/>
            <w:tcMar>
              <w:top w:w="70" w:type="dxa"/>
              <w:start w:w="80" w:type="dxa"/>
              <w:bottom w:w="70" w:type="dxa"/>
              <w:end w:w="80" w:type="dxa"/>
            </w:tcMar>
            <w:shd w:fill="D9EAF7"/>
          </w:tcPr>
          <w:p>
            <w:pPr>
              <w:pStyle w:val="Compact"/>
              <w:jc w:val="left"/>
            </w:pPr>
            <w:r>
              <w:rPr>
                <w:rFonts w:ascii="Arial" w:hAnsi="Arial" w:eastAsia="Arial"/>
                <w:sz w:val="16"/>
              </w:rPr>
              <w:t>Option set</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S</w:t>
            </w:r>
          </w:p>
        </w:tc>
        <w:tc>
          <w:tcPr>
            <w:vAlign w:val="top"/>
            <w:tcMar>
              <w:top w:w="70" w:type="dxa"/>
              <w:start w:w="80" w:type="dxa"/>
              <w:bottom w:w="70" w:type="dxa"/>
              <w:end w:w="80" w:type="dxa"/>
            </w:tcMar>
            <w:shd w:fill="FFFFFF"/>
          </w:tcPr>
          <w:p>
            <w:pPr>
              <w:pStyle w:val="Compact"/>
              <w:jc w:val="left"/>
            </w:pPr>
            <w:r>
              <w:rPr>
                <w:rFonts w:ascii="Arial" w:hAnsi="Arial" w:eastAsia="Arial"/>
                <w:sz w:val="16"/>
              </w:rPr>
              <w:t>Scenario set</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R</w:t>
            </w:r>
          </w:p>
        </w:tc>
        <w:tc>
          <w:tcPr>
            <w:vAlign w:val="top"/>
            <w:tcMar>
              <w:top w:w="70" w:type="dxa"/>
              <w:start w:w="80" w:type="dxa"/>
              <w:bottom w:w="70" w:type="dxa"/>
              <w:end w:w="80" w:type="dxa"/>
            </w:tcMar>
            <w:shd w:fill="D9EAF7"/>
          </w:tcPr>
          <w:p>
            <w:pPr>
              <w:pStyle w:val="Compact"/>
              <w:jc w:val="left"/>
            </w:pPr>
            <w:r>
              <w:rPr>
                <w:rFonts w:ascii="Arial" w:hAnsi="Arial" w:eastAsia="Arial"/>
                <w:sz w:val="16"/>
              </w:rPr>
              <w:t>Rights set {LIFE, BODY, LBTY, NEED, DIGN, PROC, INFO, ECOL}</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C_r ⊆ U×D</w:t>
            </w:r>
          </w:p>
        </w:tc>
        <w:tc>
          <w:tcPr>
            <w:vAlign w:val="top"/>
            <w:tcMar>
              <w:top w:w="70" w:type="dxa"/>
              <w:start w:w="80" w:type="dxa"/>
              <w:bottom w:w="70" w:type="dxa"/>
              <w:end w:w="80" w:type="dxa"/>
            </w:tcMar>
            <w:shd w:fill="FFFFFF"/>
          </w:tcPr>
          <w:p>
            <w:pPr>
              <w:pStyle w:val="Compact"/>
              <w:jc w:val="left"/>
            </w:pPr>
            <w:r>
              <w:rPr>
                <w:rFonts w:ascii="Arial" w:hAnsi="Arial" w:eastAsia="Arial"/>
                <w:sz w:val="16"/>
              </w:rPr>
              <w:t>Coverage set for right r</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C_cat ⊆ U×D</w:t>
            </w:r>
          </w:p>
        </w:tc>
        <w:tc>
          <w:tcPr>
            <w:vAlign w:val="top"/>
            <w:tcMar>
              <w:top w:w="70" w:type="dxa"/>
              <w:start w:w="80" w:type="dxa"/>
              <w:bottom w:w="70" w:type="dxa"/>
              <w:end w:w="80" w:type="dxa"/>
            </w:tcMar>
            <w:shd w:fill="D9EAF7"/>
          </w:tcPr>
          <w:p>
            <w:pPr>
              <w:pStyle w:val="Compact"/>
              <w:jc w:val="left"/>
            </w:pPr>
            <w:r>
              <w:rPr>
                <w:rFonts w:ascii="Arial" w:hAnsi="Arial" w:eastAsia="Arial"/>
                <w:sz w:val="16"/>
              </w:rPr>
              <w:t>Catastrophe cell set for TRC</w:t>
            </w:r>
          </w:p>
        </w:tc>
      </w:tr>
    </w:tbl>
    <w:bookmarkEnd w:id="322"/>
    <w:bookmarkStart w:id="323" w:name="a3-union-stack-canonical"/>
    <w:p>
      <w:pPr>
        <w:pStyle w:val="Heading2"/>
      </w:pPr>
      <w:r>
        <w:t>A.3 Union Stack (Canonical)</w:t>
      </w:r>
    </w:p>
    <w:bookmarkEnd w:id="323"/>
    <w:bookmarkStart w:id="324" w:name="X9da93d3eeafc7686262656297d8e5f1f467b73d"/>
    <w:p>
      <w:pPr>
        <w:pStyle w:val="Heading2"/>
      </w:pPr>
      <w:r>
        <w:t>Canonical Union Scopes: U1 Self; U2 Household; U3 Community; U4 Organization; U5 Polity; U6 Humanity / Global Coordination; U7 Biosphere. These are the row coordinates of the 7×7 welfare matrix. See Section 2.3 for definitions and Section 4.7 / Appendix AD for cell-level interpretation.</w:t>
      </w:r>
    </w:p>
    <w:bookmarkEnd w:id="324"/>
    <w:bookmarkStart w:id="325" w:name="Xa9ff609da2ec25b3bebbed92bc030b3eeb49bc5"/>
    <w:p>
      <w:pPr>
        <w:pStyle w:val="Heading2"/>
      </w:pPr>
      <w:r>
        <w:t>A.3A Scope × Dimension Reference Table (Non-Normative, clarity payload)</w:t>
      </w:r>
    </w:p>
    <w:p>
      <w:pPr>
        <w:pStyle w:val="FirstParagraph"/>
      </w:pPr>
      <w:r>
        <w:t>The table below reproduces the 7×7 Scope×Dimension reference grid for quick reading and cross-platform stability. The canonical grid definition is presented in Section 4.7.</w:t>
      </w:r>
    </w:p>
    <w:tbl>
      <w:tblPr>
        <w:tblStyle w:val="Table"/>
        <w:tblW w:type="auto" w:w="0"/>
        <w:jc w:val="center"/>
        <w:tblLook w:firstRow="1" w:lastRow="0" w:firstColumn="0" w:lastColumn="0" w:noHBand="0" w:noVBand="0" w:val="0020"/>
      </w:tblPr>
      <w:tblGrid>
        <w:gridCol w:w="990"/>
        <w:gridCol w:w="990"/>
        <w:gridCol w:w="990"/>
        <w:gridCol w:w="990"/>
        <w:gridCol w:w="990"/>
        <w:gridCol w:w="990"/>
        <w:gridCol w:w="990"/>
        <w:gridCol w:w="990"/>
      </w:tblGrid>
      <w:tr>
        <w:trPr>
          <w:tblHeader w:val="on"/>
          <w:tblHeader w:val="true"/>
          <w:cantSplit/>
        </w:trPr>
        <w:tc>
          <w:tcPr>
            <w:vAlign w:val="top"/>
            <w:tcMar>
              <w:top w:w="70" w:type="dxa"/>
              <w:start w:w="80" w:type="dxa"/>
              <w:bottom w:w="70" w:type="dxa"/>
              <w:end w:w="80" w:type="dxa"/>
            </w:tcMar>
            <w:shd w:fill="1F4E78"/>
          </w:tcPr>
          <w:p>
            <w:pPr>
              <w:pStyle w:val="Compact"/>
              <w:jc w:val="left"/>
            </w:pPr>
            <w:r>
              <w:rPr>
                <w:rFonts w:ascii="Arial" w:hAnsi="Arial" w:eastAsia="Arial"/>
                <w:b/>
                <w:color w:val="FFFFFF"/>
                <w:sz w:val="16"/>
              </w:rPr>
              <w:t>Scope \ Dimension</w:t>
            </w:r>
          </w:p>
        </w:tc>
        <w:tc>
          <w:tcPr>
            <w:vAlign w:val="top"/>
            <w:tcMar>
              <w:top w:w="70" w:type="dxa"/>
              <w:start w:w="80" w:type="dxa"/>
              <w:bottom w:w="70" w:type="dxa"/>
              <w:end w:w="80" w:type="dxa"/>
            </w:tcMar>
            <w:shd w:fill="1F4E78"/>
          </w:tcPr>
          <w:p>
            <w:pPr>
              <w:pStyle w:val="Compact"/>
              <w:jc w:val="left"/>
            </w:pPr>
            <w:r>
              <w:rPr>
                <w:rFonts w:ascii="Arial" w:hAnsi="Arial" w:eastAsia="Arial"/>
                <w:b/>
                <w:color w:val="FFFFFF"/>
                <w:sz w:val="16"/>
              </w:rPr>
              <w:t>D1 Material</w:t>
            </w:r>
          </w:p>
        </w:tc>
        <w:tc>
          <w:tcPr>
            <w:vAlign w:val="top"/>
            <w:tcMar>
              <w:top w:w="70" w:type="dxa"/>
              <w:start w:w="80" w:type="dxa"/>
              <w:bottom w:w="70" w:type="dxa"/>
              <w:end w:w="80" w:type="dxa"/>
            </w:tcMar>
            <w:shd w:fill="1F4E78"/>
          </w:tcPr>
          <w:p>
            <w:pPr>
              <w:pStyle w:val="Compact"/>
              <w:jc w:val="left"/>
            </w:pPr>
            <w:r>
              <w:rPr>
                <w:rFonts w:ascii="Arial" w:hAnsi="Arial" w:eastAsia="Arial"/>
                <w:b/>
                <w:color w:val="FFFFFF"/>
                <w:sz w:val="16"/>
              </w:rPr>
              <w:t>D2 Health</w:t>
            </w:r>
          </w:p>
        </w:tc>
        <w:tc>
          <w:tcPr>
            <w:vAlign w:val="top"/>
            <w:tcMar>
              <w:top w:w="70" w:type="dxa"/>
              <w:start w:w="80" w:type="dxa"/>
              <w:bottom w:w="70" w:type="dxa"/>
              <w:end w:w="80" w:type="dxa"/>
            </w:tcMar>
            <w:shd w:fill="1F4E78"/>
          </w:tcPr>
          <w:p>
            <w:pPr>
              <w:pStyle w:val="Compact"/>
              <w:jc w:val="left"/>
            </w:pPr>
            <w:r>
              <w:rPr>
                <w:rFonts w:ascii="Arial" w:hAnsi="Arial" w:eastAsia="Arial"/>
                <w:b/>
                <w:color w:val="FFFFFF"/>
                <w:sz w:val="16"/>
              </w:rPr>
              <w:t>D3 Social</w:t>
            </w:r>
          </w:p>
        </w:tc>
        <w:tc>
          <w:tcPr>
            <w:vAlign w:val="top"/>
            <w:tcMar>
              <w:top w:w="70" w:type="dxa"/>
              <w:start w:w="80" w:type="dxa"/>
              <w:bottom w:w="70" w:type="dxa"/>
              <w:end w:w="80" w:type="dxa"/>
            </w:tcMar>
            <w:shd w:fill="1F4E78"/>
          </w:tcPr>
          <w:p>
            <w:pPr>
              <w:pStyle w:val="Compact"/>
              <w:jc w:val="left"/>
            </w:pPr>
            <w:r>
              <w:rPr>
                <w:rFonts w:ascii="Arial" w:hAnsi="Arial" w:eastAsia="Arial"/>
                <w:b/>
                <w:color w:val="FFFFFF"/>
                <w:sz w:val="16"/>
              </w:rPr>
              <w:t>D4 Knowledge</w:t>
            </w:r>
          </w:p>
        </w:tc>
        <w:tc>
          <w:tcPr>
            <w:vAlign w:val="top"/>
            <w:tcMar>
              <w:top w:w="70" w:type="dxa"/>
              <w:start w:w="80" w:type="dxa"/>
              <w:bottom w:w="70" w:type="dxa"/>
              <w:end w:w="80" w:type="dxa"/>
            </w:tcMar>
            <w:shd w:fill="1F4E78"/>
          </w:tcPr>
          <w:p>
            <w:pPr>
              <w:pStyle w:val="Compact"/>
              <w:jc w:val="left"/>
            </w:pPr>
            <w:r>
              <w:rPr>
                <w:rFonts w:ascii="Arial" w:hAnsi="Arial" w:eastAsia="Arial"/>
                <w:b/>
                <w:color w:val="FFFFFF"/>
                <w:sz w:val="16"/>
              </w:rPr>
              <w:t>D5 Agency</w:t>
            </w:r>
          </w:p>
        </w:tc>
        <w:tc>
          <w:tcPr>
            <w:vAlign w:val="top"/>
            <w:tcMar>
              <w:top w:w="70" w:type="dxa"/>
              <w:start w:w="80" w:type="dxa"/>
              <w:bottom w:w="70" w:type="dxa"/>
              <w:end w:w="80" w:type="dxa"/>
            </w:tcMar>
            <w:shd w:fill="1F4E78"/>
          </w:tcPr>
          <w:p>
            <w:pPr>
              <w:pStyle w:val="Compact"/>
              <w:jc w:val="left"/>
            </w:pPr>
            <w:r>
              <w:rPr>
                <w:rFonts w:ascii="Arial" w:hAnsi="Arial" w:eastAsia="Arial"/>
                <w:b/>
                <w:color w:val="FFFFFF"/>
                <w:sz w:val="16"/>
              </w:rPr>
              <w:t>D6 Meaning</w:t>
            </w:r>
          </w:p>
        </w:tc>
        <w:tc>
          <w:tcPr>
            <w:vAlign w:val="top"/>
            <w:tcMar>
              <w:top w:w="70" w:type="dxa"/>
              <w:start w:w="80" w:type="dxa"/>
              <w:bottom w:w="70" w:type="dxa"/>
              <w:end w:w="80" w:type="dxa"/>
            </w:tcMar>
            <w:shd w:fill="1F4E78"/>
          </w:tcPr>
          <w:p>
            <w:pPr>
              <w:pStyle w:val="Compact"/>
              <w:jc w:val="left"/>
            </w:pPr>
            <w:r>
              <w:rPr>
                <w:rFonts w:ascii="Arial" w:hAnsi="Arial" w:eastAsia="Arial"/>
                <w:b/>
                <w:color w:val="FFFFFF"/>
                <w:sz w:val="16"/>
              </w:rPr>
              <w:t>D7 Environment</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U1 Self</w:t>
            </w:r>
          </w:p>
        </w:tc>
        <w:tc>
          <w:tcPr>
            <w:vAlign w:val="top"/>
            <w:tcMar>
              <w:top w:w="70" w:type="dxa"/>
              <w:start w:w="80" w:type="dxa"/>
              <w:bottom w:w="70" w:type="dxa"/>
              <w:end w:w="80" w:type="dxa"/>
            </w:tcMar>
            <w:shd w:fill="D9EAF7"/>
          </w:tcPr>
          <w:p>
            <w:pPr>
              <w:pStyle w:val="Compact"/>
              <w:jc w:val="left"/>
            </w:pPr>
            <w:r>
              <w:rPr>
                <w:rFonts w:ascii="Arial" w:hAnsi="Arial" w:eastAsia="Arial"/>
                <w:sz w:val="16"/>
              </w:rPr>
              <w:t>Personal resources, income, essentials</w:t>
            </w:r>
          </w:p>
        </w:tc>
        <w:tc>
          <w:tcPr>
            <w:vAlign w:val="top"/>
            <w:tcMar>
              <w:top w:w="70" w:type="dxa"/>
              <w:start w:w="80" w:type="dxa"/>
              <w:bottom w:w="70" w:type="dxa"/>
              <w:end w:w="80" w:type="dxa"/>
            </w:tcMar>
            <w:shd w:fill="D9EAF7"/>
          </w:tcPr>
          <w:p>
            <w:pPr>
              <w:pStyle w:val="Compact"/>
              <w:jc w:val="left"/>
            </w:pPr>
            <w:r>
              <w:rPr>
                <w:rFonts w:ascii="Arial" w:hAnsi="Arial" w:eastAsia="Arial"/>
                <w:sz w:val="16"/>
              </w:rPr>
              <w:t>Physical/mental health and safety</w:t>
            </w:r>
          </w:p>
        </w:tc>
        <w:tc>
          <w:tcPr>
            <w:vAlign w:val="top"/>
            <w:tcMar>
              <w:top w:w="70" w:type="dxa"/>
              <w:start w:w="80" w:type="dxa"/>
              <w:bottom w:w="70" w:type="dxa"/>
              <w:end w:w="80" w:type="dxa"/>
            </w:tcMar>
            <w:shd w:fill="D9EAF7"/>
          </w:tcPr>
          <w:p>
            <w:pPr>
              <w:pStyle w:val="Compact"/>
              <w:jc w:val="left"/>
            </w:pPr>
            <w:r>
              <w:rPr>
                <w:rFonts w:ascii="Arial" w:hAnsi="Arial" w:eastAsia="Arial"/>
                <w:sz w:val="16"/>
              </w:rPr>
              <w:t>Relationships, belonging, support</w:t>
            </w:r>
          </w:p>
        </w:tc>
        <w:tc>
          <w:tcPr>
            <w:vAlign w:val="top"/>
            <w:tcMar>
              <w:top w:w="70" w:type="dxa"/>
              <w:start w:w="80" w:type="dxa"/>
              <w:bottom w:w="70" w:type="dxa"/>
              <w:end w:w="80" w:type="dxa"/>
            </w:tcMar>
            <w:shd w:fill="D9EAF7"/>
          </w:tcPr>
          <w:p>
            <w:pPr>
              <w:pStyle w:val="Compact"/>
              <w:jc w:val="left"/>
            </w:pPr>
            <w:r>
              <w:rPr>
                <w:rFonts w:ascii="Arial" w:hAnsi="Arial" w:eastAsia="Arial"/>
                <w:sz w:val="16"/>
              </w:rPr>
              <w:t>Learning, understanding, competence</w:t>
            </w:r>
          </w:p>
        </w:tc>
        <w:tc>
          <w:tcPr>
            <w:vAlign w:val="top"/>
            <w:tcMar>
              <w:top w:w="70" w:type="dxa"/>
              <w:start w:w="80" w:type="dxa"/>
              <w:bottom w:w="70" w:type="dxa"/>
              <w:end w:w="80" w:type="dxa"/>
            </w:tcMar>
            <w:shd w:fill="D9EAF7"/>
          </w:tcPr>
          <w:p>
            <w:pPr>
              <w:pStyle w:val="Compact"/>
              <w:jc w:val="left"/>
            </w:pPr>
            <w:r>
              <w:rPr>
                <w:rFonts w:ascii="Arial" w:hAnsi="Arial" w:eastAsia="Arial"/>
                <w:sz w:val="16"/>
              </w:rPr>
              <w:t>Autonomy, freedom, choice</w:t>
            </w:r>
          </w:p>
        </w:tc>
        <w:tc>
          <w:tcPr>
            <w:vAlign w:val="top"/>
            <w:tcMar>
              <w:top w:w="70" w:type="dxa"/>
              <w:start w:w="80" w:type="dxa"/>
              <w:bottom w:w="70" w:type="dxa"/>
              <w:end w:w="80" w:type="dxa"/>
            </w:tcMar>
            <w:shd w:fill="D9EAF7"/>
          </w:tcPr>
          <w:p>
            <w:pPr>
              <w:pStyle w:val="Compact"/>
              <w:jc w:val="left"/>
            </w:pPr>
            <w:r>
              <w:rPr>
                <w:rFonts w:ascii="Arial" w:hAnsi="Arial" w:eastAsia="Arial"/>
                <w:sz w:val="16"/>
              </w:rPr>
              <w:t>Purpose, values, spiritual well-being</w:t>
            </w:r>
          </w:p>
        </w:tc>
        <w:tc>
          <w:tcPr>
            <w:vAlign w:val="top"/>
            <w:tcMar>
              <w:top w:w="70" w:type="dxa"/>
              <w:start w:w="80" w:type="dxa"/>
              <w:bottom w:w="70" w:type="dxa"/>
              <w:end w:w="80" w:type="dxa"/>
            </w:tcMar>
            <w:shd w:fill="D9EAF7"/>
          </w:tcPr>
          <w:p>
            <w:pPr>
              <w:pStyle w:val="Compact"/>
              <w:jc w:val="left"/>
            </w:pPr>
            <w:r>
              <w:rPr>
                <w:rFonts w:ascii="Arial" w:hAnsi="Arial" w:eastAsia="Arial"/>
                <w:sz w:val="16"/>
              </w:rPr>
              <w:t>Local environment affecting self</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U2 Household</w:t>
            </w:r>
          </w:p>
        </w:tc>
        <w:tc>
          <w:tcPr>
            <w:vAlign w:val="top"/>
            <w:tcMar>
              <w:top w:w="70" w:type="dxa"/>
              <w:start w:w="80" w:type="dxa"/>
              <w:bottom w:w="70" w:type="dxa"/>
              <w:end w:w="80" w:type="dxa"/>
            </w:tcMar>
            <w:shd w:fill="FFFFFF"/>
          </w:tcPr>
          <w:p>
            <w:pPr>
              <w:pStyle w:val="Compact"/>
              <w:jc w:val="left"/>
            </w:pPr>
            <w:r>
              <w:rPr>
                <w:rFonts w:ascii="Arial" w:hAnsi="Arial" w:eastAsia="Arial"/>
                <w:sz w:val="16"/>
              </w:rPr>
              <w:t>Household livelihood, housing, food security</w:t>
            </w:r>
          </w:p>
        </w:tc>
        <w:tc>
          <w:tcPr>
            <w:vAlign w:val="top"/>
            <w:tcMar>
              <w:top w:w="70" w:type="dxa"/>
              <w:start w:w="80" w:type="dxa"/>
              <w:bottom w:w="70" w:type="dxa"/>
              <w:end w:w="80" w:type="dxa"/>
            </w:tcMar>
            <w:shd w:fill="FFFFFF"/>
          </w:tcPr>
          <w:p>
            <w:pPr>
              <w:pStyle w:val="Compact"/>
              <w:jc w:val="left"/>
            </w:pPr>
            <w:r>
              <w:rPr>
                <w:rFonts w:ascii="Arial" w:hAnsi="Arial" w:eastAsia="Arial"/>
                <w:sz w:val="16"/>
              </w:rPr>
              <w:t>Household health, caregiving capacity</w:t>
            </w:r>
          </w:p>
        </w:tc>
        <w:tc>
          <w:tcPr>
            <w:vAlign w:val="top"/>
            <w:tcMar>
              <w:top w:w="70" w:type="dxa"/>
              <w:start w:w="80" w:type="dxa"/>
              <w:bottom w:w="70" w:type="dxa"/>
              <w:end w:w="80" w:type="dxa"/>
            </w:tcMar>
            <w:shd w:fill="FFFFFF"/>
          </w:tcPr>
          <w:p>
            <w:pPr>
              <w:pStyle w:val="Compact"/>
              <w:jc w:val="left"/>
            </w:pPr>
            <w:r>
              <w:rPr>
                <w:rFonts w:ascii="Arial" w:hAnsi="Arial" w:eastAsia="Arial"/>
                <w:sz w:val="16"/>
              </w:rPr>
              <w:t>Family cohesion, care, safety</w:t>
            </w:r>
          </w:p>
        </w:tc>
        <w:tc>
          <w:tcPr>
            <w:vAlign w:val="top"/>
            <w:tcMar>
              <w:top w:w="70" w:type="dxa"/>
              <w:start w:w="80" w:type="dxa"/>
              <w:bottom w:w="70" w:type="dxa"/>
              <w:end w:w="80" w:type="dxa"/>
            </w:tcMar>
            <w:shd w:fill="FFFFFF"/>
          </w:tcPr>
          <w:p>
            <w:pPr>
              <w:pStyle w:val="Compact"/>
              <w:jc w:val="left"/>
            </w:pPr>
            <w:r>
              <w:rPr>
                <w:rFonts w:ascii="Arial" w:hAnsi="Arial" w:eastAsia="Arial"/>
                <w:sz w:val="16"/>
              </w:rPr>
              <w:t>Household learning, skills</w:t>
            </w:r>
          </w:p>
        </w:tc>
        <w:tc>
          <w:tcPr>
            <w:vAlign w:val="top"/>
            <w:tcMar>
              <w:top w:w="70" w:type="dxa"/>
              <w:start w:w="80" w:type="dxa"/>
              <w:bottom w:w="70" w:type="dxa"/>
              <w:end w:w="80" w:type="dxa"/>
            </w:tcMar>
            <w:shd w:fill="FFFFFF"/>
          </w:tcPr>
          <w:p>
            <w:pPr>
              <w:pStyle w:val="Compact"/>
              <w:jc w:val="left"/>
            </w:pPr>
            <w:r>
              <w:rPr>
                <w:rFonts w:ascii="Arial" w:hAnsi="Arial" w:eastAsia="Arial"/>
                <w:sz w:val="16"/>
              </w:rPr>
              <w:t>Household decision rights, roles</w:t>
            </w:r>
          </w:p>
        </w:tc>
        <w:tc>
          <w:tcPr>
            <w:vAlign w:val="top"/>
            <w:tcMar>
              <w:top w:w="70" w:type="dxa"/>
              <w:start w:w="80" w:type="dxa"/>
              <w:bottom w:w="70" w:type="dxa"/>
              <w:end w:w="80" w:type="dxa"/>
            </w:tcMar>
            <w:shd w:fill="FFFFFF"/>
          </w:tcPr>
          <w:p>
            <w:pPr>
              <w:pStyle w:val="Compact"/>
              <w:jc w:val="left"/>
            </w:pPr>
            <w:r>
              <w:rPr>
                <w:rFonts w:ascii="Arial" w:hAnsi="Arial" w:eastAsia="Arial"/>
                <w:sz w:val="16"/>
              </w:rPr>
              <w:t>Household meaning, culture, identity</w:t>
            </w:r>
          </w:p>
        </w:tc>
        <w:tc>
          <w:tcPr>
            <w:vAlign w:val="top"/>
            <w:tcMar>
              <w:top w:w="70" w:type="dxa"/>
              <w:start w:w="80" w:type="dxa"/>
              <w:bottom w:w="70" w:type="dxa"/>
              <w:end w:w="80" w:type="dxa"/>
            </w:tcMar>
            <w:shd w:fill="FFFFFF"/>
          </w:tcPr>
          <w:p>
            <w:pPr>
              <w:pStyle w:val="Compact"/>
              <w:jc w:val="left"/>
            </w:pPr>
            <w:r>
              <w:rPr>
                <w:rFonts w:ascii="Arial" w:hAnsi="Arial" w:eastAsia="Arial"/>
                <w:sz w:val="16"/>
              </w:rPr>
              <w:t>Home ecology, consumption footprint</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U3 Community</w:t>
            </w:r>
          </w:p>
        </w:tc>
        <w:tc>
          <w:tcPr>
            <w:vAlign w:val="top"/>
            <w:tcMar>
              <w:top w:w="70" w:type="dxa"/>
              <w:start w:w="80" w:type="dxa"/>
              <w:bottom w:w="70" w:type="dxa"/>
              <w:end w:w="80" w:type="dxa"/>
            </w:tcMar>
            <w:shd w:fill="D9EAF7"/>
          </w:tcPr>
          <w:p>
            <w:pPr>
              <w:pStyle w:val="Compact"/>
              <w:jc w:val="left"/>
            </w:pPr>
            <w:r>
              <w:rPr>
                <w:rFonts w:ascii="Arial" w:hAnsi="Arial" w:eastAsia="Arial"/>
                <w:sz w:val="16"/>
              </w:rPr>
              <w:t>Community economy, access to goods/services</w:t>
            </w:r>
          </w:p>
        </w:tc>
        <w:tc>
          <w:tcPr>
            <w:vAlign w:val="top"/>
            <w:tcMar>
              <w:top w:w="70" w:type="dxa"/>
              <w:start w:w="80" w:type="dxa"/>
              <w:bottom w:w="70" w:type="dxa"/>
              <w:end w:w="80" w:type="dxa"/>
            </w:tcMar>
            <w:shd w:fill="D9EAF7"/>
          </w:tcPr>
          <w:p>
            <w:pPr>
              <w:pStyle w:val="Compact"/>
              <w:jc w:val="left"/>
            </w:pPr>
            <w:r>
              <w:rPr>
                <w:rFonts w:ascii="Arial" w:hAnsi="Arial" w:eastAsia="Arial"/>
                <w:sz w:val="16"/>
              </w:rPr>
              <w:t>Public health, local safety</w:t>
            </w:r>
          </w:p>
        </w:tc>
        <w:tc>
          <w:tcPr>
            <w:vAlign w:val="top"/>
            <w:tcMar>
              <w:top w:w="70" w:type="dxa"/>
              <w:start w:w="80" w:type="dxa"/>
              <w:bottom w:w="70" w:type="dxa"/>
              <w:end w:w="80" w:type="dxa"/>
            </w:tcMar>
            <w:shd w:fill="D9EAF7"/>
          </w:tcPr>
          <w:p>
            <w:pPr>
              <w:pStyle w:val="Compact"/>
              <w:jc w:val="left"/>
            </w:pPr>
            <w:r>
              <w:rPr>
                <w:rFonts w:ascii="Arial" w:hAnsi="Arial" w:eastAsia="Arial"/>
                <w:sz w:val="16"/>
              </w:rPr>
              <w:t>Social trust, inclusion, cohesion</w:t>
            </w:r>
          </w:p>
        </w:tc>
        <w:tc>
          <w:tcPr>
            <w:vAlign w:val="top"/>
            <w:tcMar>
              <w:top w:w="70" w:type="dxa"/>
              <w:start w:w="80" w:type="dxa"/>
              <w:bottom w:w="70" w:type="dxa"/>
              <w:end w:w="80" w:type="dxa"/>
            </w:tcMar>
            <w:shd w:fill="D9EAF7"/>
          </w:tcPr>
          <w:p>
            <w:pPr>
              <w:pStyle w:val="Compact"/>
              <w:jc w:val="left"/>
            </w:pPr>
            <w:r>
              <w:rPr>
                <w:rFonts w:ascii="Arial" w:hAnsi="Arial" w:eastAsia="Arial"/>
                <w:sz w:val="16"/>
              </w:rPr>
              <w:t>Education access, knowledge commons</w:t>
            </w:r>
          </w:p>
        </w:tc>
        <w:tc>
          <w:tcPr>
            <w:vAlign w:val="top"/>
            <w:tcMar>
              <w:top w:w="70" w:type="dxa"/>
              <w:start w:w="80" w:type="dxa"/>
              <w:bottom w:w="70" w:type="dxa"/>
              <w:end w:w="80" w:type="dxa"/>
            </w:tcMar>
            <w:shd w:fill="D9EAF7"/>
          </w:tcPr>
          <w:p>
            <w:pPr>
              <w:pStyle w:val="Compact"/>
              <w:jc w:val="left"/>
            </w:pPr>
            <w:r>
              <w:rPr>
                <w:rFonts w:ascii="Arial" w:hAnsi="Arial" w:eastAsia="Arial"/>
                <w:sz w:val="16"/>
              </w:rPr>
              <w:t>Participation, civic agency</w:t>
            </w:r>
          </w:p>
        </w:tc>
        <w:tc>
          <w:tcPr>
            <w:vAlign w:val="top"/>
            <w:tcMar>
              <w:top w:w="70" w:type="dxa"/>
              <w:start w:w="80" w:type="dxa"/>
              <w:bottom w:w="70" w:type="dxa"/>
              <w:end w:w="80" w:type="dxa"/>
            </w:tcMar>
            <w:shd w:fill="D9EAF7"/>
          </w:tcPr>
          <w:p>
            <w:pPr>
              <w:pStyle w:val="Compact"/>
              <w:jc w:val="left"/>
            </w:pPr>
            <w:r>
              <w:rPr>
                <w:rFonts w:ascii="Arial" w:hAnsi="Arial" w:eastAsia="Arial"/>
                <w:sz w:val="16"/>
              </w:rPr>
              <w:t>Shared narratives, cultural meaning</w:t>
            </w:r>
          </w:p>
        </w:tc>
        <w:tc>
          <w:tcPr>
            <w:vAlign w:val="top"/>
            <w:tcMar>
              <w:top w:w="70" w:type="dxa"/>
              <w:start w:w="80" w:type="dxa"/>
              <w:bottom w:w="70" w:type="dxa"/>
              <w:end w:w="80" w:type="dxa"/>
            </w:tcMar>
            <w:shd w:fill="D9EAF7"/>
          </w:tcPr>
          <w:p>
            <w:pPr>
              <w:pStyle w:val="Compact"/>
              <w:jc w:val="left"/>
            </w:pPr>
            <w:r>
              <w:rPr>
                <w:rFonts w:ascii="Arial" w:hAnsi="Arial" w:eastAsia="Arial"/>
                <w:sz w:val="16"/>
              </w:rPr>
              <w:t>Local ecosystems, pollution, resilience</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U4 Organization</w:t>
            </w:r>
          </w:p>
        </w:tc>
        <w:tc>
          <w:tcPr>
            <w:vAlign w:val="top"/>
            <w:tcMar>
              <w:top w:w="70" w:type="dxa"/>
              <w:start w:w="80" w:type="dxa"/>
              <w:bottom w:w="70" w:type="dxa"/>
              <w:end w:w="80" w:type="dxa"/>
            </w:tcMar>
            <w:shd w:fill="FFFFFF"/>
          </w:tcPr>
          <w:p>
            <w:pPr>
              <w:pStyle w:val="Compact"/>
              <w:jc w:val="left"/>
            </w:pPr>
            <w:r>
              <w:rPr>
                <w:rFonts w:ascii="Arial" w:hAnsi="Arial" w:eastAsia="Arial"/>
                <w:sz w:val="16"/>
              </w:rPr>
              <w:t>Organizational resources, viability</w:t>
            </w:r>
          </w:p>
        </w:tc>
        <w:tc>
          <w:tcPr>
            <w:vAlign w:val="top"/>
            <w:tcMar>
              <w:top w:w="70" w:type="dxa"/>
              <w:start w:w="80" w:type="dxa"/>
              <w:bottom w:w="70" w:type="dxa"/>
              <w:end w:w="80" w:type="dxa"/>
            </w:tcMar>
            <w:shd w:fill="FFFFFF"/>
          </w:tcPr>
          <w:p>
            <w:pPr>
              <w:pStyle w:val="Compact"/>
              <w:jc w:val="left"/>
            </w:pPr>
            <w:r>
              <w:rPr>
                <w:rFonts w:ascii="Arial" w:hAnsi="Arial" w:eastAsia="Arial"/>
                <w:sz w:val="16"/>
              </w:rPr>
              <w:t>Workplace safety, wellbeing</w:t>
            </w:r>
          </w:p>
        </w:tc>
        <w:tc>
          <w:tcPr>
            <w:vAlign w:val="top"/>
            <w:tcMar>
              <w:top w:w="70" w:type="dxa"/>
              <w:start w:w="80" w:type="dxa"/>
              <w:bottom w:w="70" w:type="dxa"/>
              <w:end w:w="80" w:type="dxa"/>
            </w:tcMar>
            <w:shd w:fill="FFFFFF"/>
          </w:tcPr>
          <w:p>
            <w:pPr>
              <w:pStyle w:val="Compact"/>
              <w:jc w:val="left"/>
            </w:pPr>
            <w:r>
              <w:rPr>
                <w:rFonts w:ascii="Arial" w:hAnsi="Arial" w:eastAsia="Arial"/>
                <w:sz w:val="16"/>
              </w:rPr>
              <w:t>Org culture, fairness, belonging</w:t>
            </w:r>
          </w:p>
        </w:tc>
        <w:tc>
          <w:tcPr>
            <w:vAlign w:val="top"/>
            <w:tcMar>
              <w:top w:w="70" w:type="dxa"/>
              <w:start w:w="80" w:type="dxa"/>
              <w:bottom w:w="70" w:type="dxa"/>
              <w:end w:w="80" w:type="dxa"/>
            </w:tcMar>
            <w:shd w:fill="FFFFFF"/>
          </w:tcPr>
          <w:p>
            <w:pPr>
              <w:pStyle w:val="Compact"/>
              <w:jc w:val="left"/>
            </w:pPr>
            <w:r>
              <w:rPr>
                <w:rFonts w:ascii="Arial" w:hAnsi="Arial" w:eastAsia="Arial"/>
                <w:sz w:val="16"/>
              </w:rPr>
              <w:t>Org learning, data, competence</w:t>
            </w:r>
          </w:p>
        </w:tc>
        <w:tc>
          <w:tcPr>
            <w:vAlign w:val="top"/>
            <w:tcMar>
              <w:top w:w="70" w:type="dxa"/>
              <w:start w:w="80" w:type="dxa"/>
              <w:bottom w:w="70" w:type="dxa"/>
              <w:end w:w="80" w:type="dxa"/>
            </w:tcMar>
            <w:shd w:fill="FFFFFF"/>
          </w:tcPr>
          <w:p>
            <w:pPr>
              <w:pStyle w:val="Compact"/>
              <w:jc w:val="left"/>
            </w:pPr>
            <w:r>
              <w:rPr>
                <w:rFonts w:ascii="Arial" w:hAnsi="Arial" w:eastAsia="Arial"/>
                <w:sz w:val="16"/>
              </w:rPr>
              <w:t>Governance, employee agency</w:t>
            </w:r>
          </w:p>
        </w:tc>
        <w:tc>
          <w:tcPr>
            <w:vAlign w:val="top"/>
            <w:tcMar>
              <w:top w:w="70" w:type="dxa"/>
              <w:start w:w="80" w:type="dxa"/>
              <w:bottom w:w="70" w:type="dxa"/>
              <w:end w:w="80" w:type="dxa"/>
            </w:tcMar>
            <w:shd w:fill="FFFFFF"/>
          </w:tcPr>
          <w:p>
            <w:pPr>
              <w:pStyle w:val="Compact"/>
              <w:jc w:val="left"/>
            </w:pPr>
            <w:r>
              <w:rPr>
                <w:rFonts w:ascii="Arial" w:hAnsi="Arial" w:eastAsia="Arial"/>
                <w:sz w:val="16"/>
              </w:rPr>
              <w:t>Mission coherence, meaning</w:t>
            </w:r>
          </w:p>
        </w:tc>
        <w:tc>
          <w:tcPr>
            <w:vAlign w:val="top"/>
            <w:tcMar>
              <w:top w:w="70" w:type="dxa"/>
              <w:start w:w="80" w:type="dxa"/>
              <w:bottom w:w="70" w:type="dxa"/>
              <w:end w:w="80" w:type="dxa"/>
            </w:tcMar>
            <w:shd w:fill="FFFFFF"/>
          </w:tcPr>
          <w:p>
            <w:pPr>
              <w:pStyle w:val="Compact"/>
              <w:jc w:val="left"/>
            </w:pPr>
            <w:r>
              <w:rPr>
                <w:rFonts w:ascii="Arial" w:hAnsi="Arial" w:eastAsia="Arial"/>
                <w:sz w:val="16"/>
              </w:rPr>
              <w:t>Operational environmental impacts</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U5 Polity</w:t>
            </w:r>
          </w:p>
        </w:tc>
        <w:tc>
          <w:tcPr>
            <w:vAlign w:val="top"/>
            <w:tcMar>
              <w:top w:w="70" w:type="dxa"/>
              <w:start w:w="80" w:type="dxa"/>
              <w:bottom w:w="70" w:type="dxa"/>
              <w:end w:w="80" w:type="dxa"/>
            </w:tcMar>
            <w:shd w:fill="D9EAF7"/>
          </w:tcPr>
          <w:p>
            <w:pPr>
              <w:pStyle w:val="Compact"/>
              <w:jc w:val="left"/>
            </w:pPr>
            <w:r>
              <w:rPr>
                <w:rFonts w:ascii="Arial" w:hAnsi="Arial" w:eastAsia="Arial"/>
                <w:sz w:val="16"/>
              </w:rPr>
              <w:t>National economy, infrastructure, welfare capacity</w:t>
            </w:r>
          </w:p>
        </w:tc>
        <w:tc>
          <w:tcPr>
            <w:vAlign w:val="top"/>
            <w:tcMar>
              <w:top w:w="70" w:type="dxa"/>
              <w:start w:w="80" w:type="dxa"/>
              <w:bottom w:w="70" w:type="dxa"/>
              <w:end w:w="80" w:type="dxa"/>
            </w:tcMar>
            <w:shd w:fill="D9EAF7"/>
          </w:tcPr>
          <w:p>
            <w:pPr>
              <w:pStyle w:val="Compact"/>
              <w:jc w:val="left"/>
            </w:pPr>
            <w:r>
              <w:rPr>
                <w:rFonts w:ascii="Arial" w:hAnsi="Arial" w:eastAsia="Arial"/>
                <w:sz w:val="16"/>
              </w:rPr>
              <w:t>Population health, security</w:t>
            </w:r>
          </w:p>
        </w:tc>
        <w:tc>
          <w:tcPr>
            <w:vAlign w:val="top"/>
            <w:tcMar>
              <w:top w:w="70" w:type="dxa"/>
              <w:start w:w="80" w:type="dxa"/>
              <w:bottom w:w="70" w:type="dxa"/>
              <w:end w:w="80" w:type="dxa"/>
            </w:tcMar>
            <w:shd w:fill="D9EAF7"/>
          </w:tcPr>
          <w:p>
            <w:pPr>
              <w:pStyle w:val="Compact"/>
              <w:jc w:val="left"/>
            </w:pPr>
            <w:r>
              <w:rPr>
                <w:rFonts w:ascii="Arial" w:hAnsi="Arial" w:eastAsia="Arial"/>
                <w:sz w:val="16"/>
              </w:rPr>
              <w:t>Social stability, justice, cohesion</w:t>
            </w:r>
          </w:p>
        </w:tc>
        <w:tc>
          <w:tcPr>
            <w:vAlign w:val="top"/>
            <w:tcMar>
              <w:top w:w="70" w:type="dxa"/>
              <w:start w:w="80" w:type="dxa"/>
              <w:bottom w:w="70" w:type="dxa"/>
              <w:end w:w="80" w:type="dxa"/>
            </w:tcMar>
            <w:shd w:fill="D9EAF7"/>
          </w:tcPr>
          <w:p>
            <w:pPr>
              <w:pStyle w:val="Compact"/>
              <w:jc w:val="left"/>
            </w:pPr>
            <w:r>
              <w:rPr>
                <w:rFonts w:ascii="Arial" w:hAnsi="Arial" w:eastAsia="Arial"/>
                <w:sz w:val="16"/>
              </w:rPr>
              <w:t>National knowledge, R&amp;D, education</w:t>
            </w:r>
          </w:p>
        </w:tc>
        <w:tc>
          <w:tcPr>
            <w:vAlign w:val="top"/>
            <w:tcMar>
              <w:top w:w="70" w:type="dxa"/>
              <w:start w:w="80" w:type="dxa"/>
              <w:bottom w:w="70" w:type="dxa"/>
              <w:end w:w="80" w:type="dxa"/>
            </w:tcMar>
            <w:shd w:fill="D9EAF7"/>
          </w:tcPr>
          <w:p>
            <w:pPr>
              <w:pStyle w:val="Compact"/>
              <w:jc w:val="left"/>
            </w:pPr>
            <w:r>
              <w:rPr>
                <w:rFonts w:ascii="Arial" w:hAnsi="Arial" w:eastAsia="Arial"/>
                <w:sz w:val="16"/>
              </w:rPr>
              <w:t>Democratic agency, rights</w:t>
            </w:r>
          </w:p>
        </w:tc>
        <w:tc>
          <w:tcPr>
            <w:vAlign w:val="top"/>
            <w:tcMar>
              <w:top w:w="70" w:type="dxa"/>
              <w:start w:w="80" w:type="dxa"/>
              <w:bottom w:w="70" w:type="dxa"/>
              <w:end w:w="80" w:type="dxa"/>
            </w:tcMar>
            <w:shd w:fill="D9EAF7"/>
          </w:tcPr>
          <w:p>
            <w:pPr>
              <w:pStyle w:val="Compact"/>
              <w:jc w:val="left"/>
            </w:pPr>
            <w:r>
              <w:rPr>
                <w:rFonts w:ascii="Arial" w:hAnsi="Arial" w:eastAsia="Arial"/>
                <w:sz w:val="16"/>
              </w:rPr>
              <w:t>National identity, legitimacy</w:t>
            </w:r>
          </w:p>
        </w:tc>
        <w:tc>
          <w:tcPr>
            <w:vAlign w:val="top"/>
            <w:tcMar>
              <w:top w:w="70" w:type="dxa"/>
              <w:start w:w="80" w:type="dxa"/>
              <w:bottom w:w="70" w:type="dxa"/>
              <w:end w:w="80" w:type="dxa"/>
            </w:tcMar>
            <w:shd w:fill="D9EAF7"/>
          </w:tcPr>
          <w:p>
            <w:pPr>
              <w:pStyle w:val="Compact"/>
              <w:jc w:val="left"/>
            </w:pPr>
            <w:r>
              <w:rPr>
                <w:rFonts w:ascii="Arial" w:hAnsi="Arial" w:eastAsia="Arial"/>
                <w:sz w:val="16"/>
              </w:rPr>
              <w:t>National environment, climate policy</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U6 Humanity / Global Coordination</w:t>
            </w:r>
          </w:p>
        </w:tc>
        <w:tc>
          <w:tcPr>
            <w:vAlign w:val="top"/>
            <w:tcMar>
              <w:top w:w="70" w:type="dxa"/>
              <w:start w:w="80" w:type="dxa"/>
              <w:bottom w:w="70" w:type="dxa"/>
              <w:end w:w="80" w:type="dxa"/>
            </w:tcMar>
            <w:shd w:fill="FFFFFF"/>
          </w:tcPr>
          <w:p>
            <w:pPr>
              <w:pStyle w:val="Compact"/>
              <w:jc w:val="left"/>
            </w:pPr>
            <w:r>
              <w:rPr>
                <w:rFonts w:ascii="Arial" w:hAnsi="Arial" w:eastAsia="Arial"/>
                <w:sz w:val="16"/>
              </w:rPr>
              <w:t>Global economy, shared resources</w:t>
            </w:r>
          </w:p>
        </w:tc>
        <w:tc>
          <w:tcPr>
            <w:vAlign w:val="top"/>
            <w:tcMar>
              <w:top w:w="70" w:type="dxa"/>
              <w:start w:w="80" w:type="dxa"/>
              <w:bottom w:w="70" w:type="dxa"/>
              <w:end w:w="80" w:type="dxa"/>
            </w:tcMar>
            <w:shd w:fill="FFFFFF"/>
          </w:tcPr>
          <w:p>
            <w:pPr>
              <w:pStyle w:val="Compact"/>
              <w:jc w:val="left"/>
            </w:pPr>
            <w:r>
              <w:rPr>
                <w:rFonts w:ascii="Arial" w:hAnsi="Arial" w:eastAsia="Arial"/>
                <w:sz w:val="16"/>
              </w:rPr>
              <w:t>Global health, existential safety</w:t>
            </w:r>
          </w:p>
        </w:tc>
        <w:tc>
          <w:tcPr>
            <w:vAlign w:val="top"/>
            <w:tcMar>
              <w:top w:w="70" w:type="dxa"/>
              <w:start w:w="80" w:type="dxa"/>
              <w:bottom w:w="70" w:type="dxa"/>
              <w:end w:w="80" w:type="dxa"/>
            </w:tcMar>
            <w:shd w:fill="FFFFFF"/>
          </w:tcPr>
          <w:p>
            <w:pPr>
              <w:pStyle w:val="Compact"/>
              <w:jc w:val="left"/>
            </w:pPr>
            <w:r>
              <w:rPr>
                <w:rFonts w:ascii="Arial" w:hAnsi="Arial" w:eastAsia="Arial"/>
                <w:sz w:val="16"/>
              </w:rPr>
              <w:t>Human solidarity, equity, peace</w:t>
            </w:r>
          </w:p>
        </w:tc>
        <w:tc>
          <w:tcPr>
            <w:vAlign w:val="top"/>
            <w:tcMar>
              <w:top w:w="70" w:type="dxa"/>
              <w:start w:w="80" w:type="dxa"/>
              <w:bottom w:w="70" w:type="dxa"/>
              <w:end w:w="80" w:type="dxa"/>
            </w:tcMar>
            <w:shd w:fill="FFFFFF"/>
          </w:tcPr>
          <w:p>
            <w:pPr>
              <w:pStyle w:val="Compact"/>
              <w:jc w:val="left"/>
            </w:pPr>
            <w:r>
              <w:rPr>
                <w:rFonts w:ascii="Arial" w:hAnsi="Arial" w:eastAsia="Arial"/>
                <w:sz w:val="16"/>
              </w:rPr>
              <w:t>Global science, open knowledge</w:t>
            </w:r>
          </w:p>
        </w:tc>
        <w:tc>
          <w:tcPr>
            <w:vAlign w:val="top"/>
            <w:tcMar>
              <w:top w:w="70" w:type="dxa"/>
              <w:start w:w="80" w:type="dxa"/>
              <w:bottom w:w="70" w:type="dxa"/>
              <w:end w:w="80" w:type="dxa"/>
            </w:tcMar>
            <w:shd w:fill="FFFFFF"/>
          </w:tcPr>
          <w:p>
            <w:pPr>
              <w:pStyle w:val="Compact"/>
              <w:jc w:val="left"/>
            </w:pPr>
            <w:r>
              <w:rPr>
                <w:rFonts w:ascii="Arial" w:hAnsi="Arial" w:eastAsia="Arial"/>
                <w:sz w:val="16"/>
              </w:rPr>
              <w:t>Collective governance capacity</w:t>
            </w:r>
          </w:p>
        </w:tc>
        <w:tc>
          <w:tcPr>
            <w:vAlign w:val="top"/>
            <w:tcMar>
              <w:top w:w="70" w:type="dxa"/>
              <w:start w:w="80" w:type="dxa"/>
              <w:bottom w:w="70" w:type="dxa"/>
              <w:end w:w="80" w:type="dxa"/>
            </w:tcMar>
            <w:shd w:fill="FFFFFF"/>
          </w:tcPr>
          <w:p>
            <w:pPr>
              <w:pStyle w:val="Compact"/>
              <w:jc w:val="left"/>
            </w:pPr>
            <w:r>
              <w:rPr>
                <w:rFonts w:ascii="Arial" w:hAnsi="Arial" w:eastAsia="Arial"/>
                <w:sz w:val="16"/>
              </w:rPr>
              <w:t>Species meaning, long-run purpose</w:t>
            </w:r>
          </w:p>
        </w:tc>
        <w:tc>
          <w:tcPr>
            <w:vAlign w:val="top"/>
            <w:tcMar>
              <w:top w:w="70" w:type="dxa"/>
              <w:start w:w="80" w:type="dxa"/>
              <w:bottom w:w="70" w:type="dxa"/>
              <w:end w:w="80" w:type="dxa"/>
            </w:tcMar>
            <w:shd w:fill="FFFFFF"/>
          </w:tcPr>
          <w:p>
            <w:pPr>
              <w:pStyle w:val="Compact"/>
              <w:jc w:val="left"/>
            </w:pPr>
            <w:r>
              <w:rPr>
                <w:rFonts w:ascii="Arial" w:hAnsi="Arial" w:eastAsia="Arial"/>
                <w:sz w:val="16"/>
              </w:rPr>
              <w:t>Planetary boundaries, biosphere integrity</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U7 Biosphere</w:t>
            </w:r>
          </w:p>
        </w:tc>
        <w:tc>
          <w:tcPr>
            <w:vAlign w:val="top"/>
            <w:tcMar>
              <w:top w:w="70" w:type="dxa"/>
              <w:start w:w="80" w:type="dxa"/>
              <w:bottom w:w="70" w:type="dxa"/>
              <w:end w:w="80" w:type="dxa"/>
            </w:tcMar>
            <w:shd w:fill="D9EAF7"/>
          </w:tcPr>
          <w:p>
            <w:pPr>
              <w:pStyle w:val="Compact"/>
              <w:jc w:val="left"/>
            </w:pPr>
            <w:r>
              <w:rPr>
                <w:rFonts w:ascii="Arial" w:hAnsi="Arial" w:eastAsia="Arial"/>
                <w:sz w:val="16"/>
              </w:rPr>
              <w:t>Ecosystem services, material substrates</w:t>
            </w:r>
          </w:p>
        </w:tc>
        <w:tc>
          <w:tcPr>
            <w:vAlign w:val="top"/>
            <w:tcMar>
              <w:top w:w="70" w:type="dxa"/>
              <w:start w:w="80" w:type="dxa"/>
              <w:bottom w:w="70" w:type="dxa"/>
              <w:end w:w="80" w:type="dxa"/>
            </w:tcMar>
            <w:shd w:fill="D9EAF7"/>
          </w:tcPr>
          <w:p>
            <w:pPr>
              <w:pStyle w:val="Compact"/>
              <w:jc w:val="left"/>
            </w:pPr>
            <w:r>
              <w:rPr>
                <w:rFonts w:ascii="Arial" w:hAnsi="Arial" w:eastAsia="Arial"/>
                <w:sz w:val="16"/>
              </w:rPr>
              <w:t>Species health, biodiversity</w:t>
            </w:r>
          </w:p>
        </w:tc>
        <w:tc>
          <w:tcPr>
            <w:vAlign w:val="top"/>
            <w:tcMar>
              <w:top w:w="70" w:type="dxa"/>
              <w:start w:w="80" w:type="dxa"/>
              <w:bottom w:w="70" w:type="dxa"/>
              <w:end w:w="80" w:type="dxa"/>
            </w:tcMar>
            <w:shd w:fill="D9EAF7"/>
          </w:tcPr>
          <w:p>
            <w:pPr>
              <w:pStyle w:val="Compact"/>
              <w:jc w:val="left"/>
            </w:pPr>
            <w:r>
              <w:rPr>
                <w:rFonts w:ascii="Arial" w:hAnsi="Arial" w:eastAsia="Arial"/>
                <w:sz w:val="16"/>
              </w:rPr>
              <w:t>Symbiosis, interspecies stability</w:t>
            </w:r>
          </w:p>
        </w:tc>
        <w:tc>
          <w:tcPr>
            <w:vAlign w:val="top"/>
            <w:tcMar>
              <w:top w:w="70" w:type="dxa"/>
              <w:start w:w="80" w:type="dxa"/>
              <w:bottom w:w="70" w:type="dxa"/>
              <w:end w:w="80" w:type="dxa"/>
            </w:tcMar>
            <w:shd w:fill="D9EAF7"/>
          </w:tcPr>
          <w:p>
            <w:pPr>
              <w:pStyle w:val="Compact"/>
              <w:jc w:val="left"/>
            </w:pPr>
            <w:r>
              <w:rPr>
                <w:rFonts w:ascii="Arial" w:hAnsi="Arial" w:eastAsia="Arial"/>
                <w:sz w:val="16"/>
              </w:rPr>
              <w:t>Ecological knowledge, monitoring</w:t>
            </w:r>
          </w:p>
        </w:tc>
        <w:tc>
          <w:tcPr>
            <w:vAlign w:val="top"/>
            <w:tcMar>
              <w:top w:w="70" w:type="dxa"/>
              <w:start w:w="80" w:type="dxa"/>
              <w:bottom w:w="70" w:type="dxa"/>
              <w:end w:w="80" w:type="dxa"/>
            </w:tcMar>
            <w:shd w:fill="D9EAF7"/>
          </w:tcPr>
          <w:p>
            <w:pPr>
              <w:pStyle w:val="Compact"/>
              <w:jc w:val="left"/>
            </w:pPr>
            <w:r>
              <w:rPr>
                <w:rFonts w:ascii="Arial" w:hAnsi="Arial" w:eastAsia="Arial"/>
                <w:sz w:val="16"/>
              </w:rPr>
              <w:t>Adaptive capacity, resilience</w:t>
            </w:r>
          </w:p>
        </w:tc>
        <w:tc>
          <w:tcPr>
            <w:vAlign w:val="top"/>
            <w:tcMar>
              <w:top w:w="70" w:type="dxa"/>
              <w:start w:w="80" w:type="dxa"/>
              <w:bottom w:w="70" w:type="dxa"/>
              <w:end w:w="80" w:type="dxa"/>
            </w:tcMar>
            <w:shd w:fill="D9EAF7"/>
          </w:tcPr>
          <w:p>
            <w:pPr>
              <w:pStyle w:val="Compact"/>
              <w:jc w:val="left"/>
            </w:pPr>
            <w:r>
              <w:rPr>
                <w:rFonts w:ascii="Arial" w:hAnsi="Arial" w:eastAsia="Arial"/>
                <w:sz w:val="16"/>
              </w:rPr>
              <w:t>Intrinsic value, evolutionary meaning</w:t>
            </w:r>
          </w:p>
        </w:tc>
        <w:tc>
          <w:tcPr>
            <w:vAlign w:val="top"/>
            <w:tcMar>
              <w:top w:w="70" w:type="dxa"/>
              <w:start w:w="80" w:type="dxa"/>
              <w:bottom w:w="70" w:type="dxa"/>
              <w:end w:w="80" w:type="dxa"/>
            </w:tcMar>
            <w:shd w:fill="D9EAF7"/>
          </w:tcPr>
          <w:p>
            <w:pPr>
              <w:pStyle w:val="Compact"/>
              <w:jc w:val="left"/>
            </w:pPr>
            <w:r>
              <w:rPr>
                <w:rFonts w:ascii="Arial" w:hAnsi="Arial" w:eastAsia="Arial"/>
                <w:sz w:val="16"/>
              </w:rPr>
              <w:t>Habitats, climate stability, regeneration</w:t>
            </w:r>
          </w:p>
        </w:tc>
      </w:tr>
    </w:tbl>
    <w:bookmarkEnd w:id="325"/>
    <w:bookmarkStart w:id="326" w:name="a4-welfare-dimensions-canonical"/>
    <w:p>
      <w:pPr>
        <w:pStyle w:val="Heading2"/>
      </w:pPr>
      <w:r>
        <w:t>A.4 Welfare Dimensions (Canonical)</w:t>
      </w:r>
    </w:p>
    <w:tbl>
      <w:tblPr>
        <w:tblStyle w:val="Table"/>
        <w:tblW w:type="auto" w:w="0"/>
        <w:jc w:val="center"/>
        <w:tblLook w:firstRow="1" w:lastRow="0" w:firstColumn="0" w:lastColumn="0" w:noHBand="0" w:noVBand="0" w:val="0020"/>
      </w:tblPr>
      <w:tblGrid>
        <w:gridCol w:w="2640"/>
        <w:gridCol w:w="2640"/>
        <w:gridCol w:w="2640"/>
      </w:tblGrid>
      <w:tr>
        <w:trPr>
          <w:tblHeader w:val="on"/>
          <w:tblHeader w:val="true"/>
          <w:cantSplit/>
        </w:trPr>
        <w:tc>
          <w:tcPr>
            <w:vAlign w:val="top"/>
            <w:tcMar>
              <w:top w:w="70" w:type="dxa"/>
              <w:start w:w="80" w:type="dxa"/>
              <w:bottom w:w="70" w:type="dxa"/>
              <w:end w:w="80" w:type="dxa"/>
            </w:tcMar>
            <w:shd w:fill="1F4E78"/>
          </w:tcPr>
          <w:p>
            <w:pPr>
              <w:pStyle w:val="Compact"/>
              <w:jc w:val="left"/>
            </w:pPr>
            <w:r>
              <w:rPr>
                <w:rFonts w:ascii="Arial" w:hAnsi="Arial" w:eastAsia="Arial"/>
                <w:b/>
                <w:bCs/>
                <w:color w:val="FFFFFF"/>
                <w:sz w:val="16"/>
              </w:rPr>
              <w:t>Dimension</w:t>
            </w:r>
          </w:p>
        </w:tc>
        <w:tc>
          <w:tcPr>
            <w:vAlign w:val="top"/>
            <w:tcMar>
              <w:top w:w="70" w:type="dxa"/>
              <w:start w:w="80" w:type="dxa"/>
              <w:bottom w:w="70" w:type="dxa"/>
              <w:end w:w="80" w:type="dxa"/>
            </w:tcMar>
            <w:shd w:fill="1F4E78"/>
          </w:tcPr>
          <w:p>
            <w:pPr>
              <w:pStyle w:val="Compact"/>
              <w:jc w:val="left"/>
            </w:pPr>
            <w:r>
              <w:rPr>
                <w:rFonts w:ascii="Arial" w:hAnsi="Arial" w:eastAsia="Arial"/>
                <w:b/>
                <w:bCs/>
                <w:color w:val="FFFFFF"/>
                <w:sz w:val="16"/>
              </w:rPr>
              <w:t>Name</w:t>
            </w:r>
          </w:p>
        </w:tc>
        <w:tc>
          <w:tcPr>
            <w:vAlign w:val="top"/>
            <w:tcMar>
              <w:top w:w="70" w:type="dxa"/>
              <w:start w:w="80" w:type="dxa"/>
              <w:bottom w:w="70" w:type="dxa"/>
              <w:end w:w="80" w:type="dxa"/>
            </w:tcMar>
            <w:shd w:fill="1F4E78"/>
          </w:tcPr>
          <w:p>
            <w:pPr>
              <w:pStyle w:val="Compact"/>
              <w:jc w:val="left"/>
            </w:pPr>
            <w:r>
              <w:rPr>
                <w:rFonts w:ascii="Arial" w:hAnsi="Arial" w:eastAsia="Arial"/>
                <w:b/>
                <w:bCs/>
                <w:color w:val="FFFFFF"/>
                <w:sz w:val="16"/>
              </w:rPr>
              <w:t>Summary</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D₁</w:t>
            </w:r>
          </w:p>
        </w:tc>
        <w:tc>
          <w:tcPr>
            <w:vAlign w:val="top"/>
            <w:tcMar>
              <w:top w:w="70" w:type="dxa"/>
              <w:start w:w="80" w:type="dxa"/>
              <w:bottom w:w="70" w:type="dxa"/>
              <w:end w:w="80" w:type="dxa"/>
            </w:tcMar>
            <w:shd w:fill="D9EAF7"/>
          </w:tcPr>
          <w:p>
            <w:pPr>
              <w:pStyle w:val="Compact"/>
              <w:jc w:val="left"/>
            </w:pPr>
            <w:r>
              <w:rPr>
                <w:rFonts w:ascii="Arial" w:hAnsi="Arial" w:eastAsia="Arial"/>
                <w:sz w:val="16"/>
              </w:rPr>
              <w:t>Material</w:t>
            </w:r>
          </w:p>
        </w:tc>
        <w:tc>
          <w:tcPr>
            <w:vAlign w:val="top"/>
            <w:tcMar>
              <w:top w:w="70" w:type="dxa"/>
              <w:start w:w="80" w:type="dxa"/>
              <w:bottom w:w="70" w:type="dxa"/>
              <w:end w:w="80" w:type="dxa"/>
            </w:tcMar>
            <w:shd w:fill="D9EAF7"/>
          </w:tcPr>
          <w:p>
            <w:pPr>
              <w:pStyle w:val="Compact"/>
              <w:jc w:val="left"/>
            </w:pPr>
            <w:r>
              <w:rPr>
                <w:rFonts w:ascii="Arial" w:hAnsi="Arial" w:eastAsia="Arial"/>
                <w:sz w:val="16"/>
              </w:rPr>
              <w:t>Resources, infrastructure, subsistence security</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D₂</w:t>
            </w:r>
          </w:p>
        </w:tc>
        <w:tc>
          <w:tcPr>
            <w:vAlign w:val="top"/>
            <w:tcMar>
              <w:top w:w="70" w:type="dxa"/>
              <w:start w:w="80" w:type="dxa"/>
              <w:bottom w:w="70" w:type="dxa"/>
              <w:end w:w="80" w:type="dxa"/>
            </w:tcMar>
            <w:shd w:fill="FFFFFF"/>
          </w:tcPr>
          <w:p>
            <w:pPr>
              <w:pStyle w:val="Compact"/>
              <w:jc w:val="left"/>
            </w:pPr>
            <w:r>
              <w:rPr>
                <w:rFonts w:ascii="Arial" w:hAnsi="Arial" w:eastAsia="Arial"/>
                <w:sz w:val="16"/>
              </w:rPr>
              <w:t>Health</w:t>
            </w:r>
          </w:p>
        </w:tc>
        <w:tc>
          <w:tcPr>
            <w:vAlign w:val="top"/>
            <w:tcMar>
              <w:top w:w="70" w:type="dxa"/>
              <w:start w:w="80" w:type="dxa"/>
              <w:bottom w:w="70" w:type="dxa"/>
              <w:end w:w="80" w:type="dxa"/>
            </w:tcMar>
            <w:shd w:fill="FFFFFF"/>
          </w:tcPr>
          <w:p>
            <w:pPr>
              <w:pStyle w:val="Compact"/>
              <w:jc w:val="left"/>
            </w:pPr>
            <w:r>
              <w:rPr>
                <w:rFonts w:ascii="Arial" w:hAnsi="Arial" w:eastAsia="Arial"/>
                <w:sz w:val="16"/>
              </w:rPr>
              <w:t>Physical/mental functioning, morbidity/mortality risk</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D₃</w:t>
            </w:r>
          </w:p>
        </w:tc>
        <w:tc>
          <w:tcPr>
            <w:vAlign w:val="top"/>
            <w:tcMar>
              <w:top w:w="70" w:type="dxa"/>
              <w:start w:w="80" w:type="dxa"/>
              <w:bottom w:w="70" w:type="dxa"/>
              <w:end w:w="80" w:type="dxa"/>
            </w:tcMar>
            <w:shd w:fill="D9EAF7"/>
          </w:tcPr>
          <w:p>
            <w:pPr>
              <w:pStyle w:val="Compact"/>
              <w:jc w:val="left"/>
            </w:pPr>
            <w:r>
              <w:rPr>
                <w:rFonts w:ascii="Arial" w:hAnsi="Arial" w:eastAsia="Arial"/>
                <w:sz w:val="16"/>
              </w:rPr>
              <w:t>Social</w:t>
            </w:r>
          </w:p>
        </w:tc>
        <w:tc>
          <w:tcPr>
            <w:vAlign w:val="top"/>
            <w:tcMar>
              <w:top w:w="70" w:type="dxa"/>
              <w:start w:w="80" w:type="dxa"/>
              <w:bottom w:w="70" w:type="dxa"/>
              <w:end w:w="80" w:type="dxa"/>
            </w:tcMar>
            <w:shd w:fill="D9EAF7"/>
          </w:tcPr>
          <w:p>
            <w:pPr>
              <w:pStyle w:val="Compact"/>
              <w:jc w:val="left"/>
            </w:pPr>
            <w:r>
              <w:rPr>
                <w:rFonts w:ascii="Arial" w:hAnsi="Arial" w:eastAsia="Arial"/>
                <w:sz w:val="16"/>
              </w:rPr>
              <w:t>Trust, belonging, relational integrity</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D₄</w:t>
            </w:r>
          </w:p>
        </w:tc>
        <w:tc>
          <w:tcPr>
            <w:vAlign w:val="top"/>
            <w:tcMar>
              <w:top w:w="70" w:type="dxa"/>
              <w:start w:w="80" w:type="dxa"/>
              <w:bottom w:w="70" w:type="dxa"/>
              <w:end w:w="80" w:type="dxa"/>
            </w:tcMar>
            <w:shd w:fill="FFFFFF"/>
          </w:tcPr>
          <w:p>
            <w:pPr>
              <w:pStyle w:val="Compact"/>
              <w:jc w:val="left"/>
            </w:pPr>
            <w:r>
              <w:rPr>
                <w:rFonts w:ascii="Arial" w:hAnsi="Arial" w:eastAsia="Arial"/>
                <w:sz w:val="16"/>
              </w:rPr>
              <w:t>Knowledge</w:t>
            </w:r>
          </w:p>
        </w:tc>
        <w:tc>
          <w:tcPr>
            <w:vAlign w:val="top"/>
            <w:tcMar>
              <w:top w:w="70" w:type="dxa"/>
              <w:start w:w="80" w:type="dxa"/>
              <w:bottom w:w="70" w:type="dxa"/>
              <w:end w:w="80" w:type="dxa"/>
            </w:tcMar>
            <w:shd w:fill="FFFFFF"/>
          </w:tcPr>
          <w:p>
            <w:pPr>
              <w:pStyle w:val="Compact"/>
              <w:jc w:val="left"/>
            </w:pPr>
            <w:r>
              <w:rPr>
                <w:rFonts w:ascii="Arial" w:hAnsi="Arial" w:eastAsia="Arial"/>
                <w:sz w:val="16"/>
              </w:rPr>
              <w:t>Epistemic access, learning conditions</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D₅</w:t>
            </w:r>
          </w:p>
        </w:tc>
        <w:tc>
          <w:tcPr>
            <w:vAlign w:val="top"/>
            <w:tcMar>
              <w:top w:w="70" w:type="dxa"/>
              <w:start w:w="80" w:type="dxa"/>
              <w:bottom w:w="70" w:type="dxa"/>
              <w:end w:w="80" w:type="dxa"/>
            </w:tcMar>
            <w:shd w:fill="D9EAF7"/>
          </w:tcPr>
          <w:p>
            <w:pPr>
              <w:pStyle w:val="Compact"/>
              <w:jc w:val="left"/>
            </w:pPr>
            <w:r>
              <w:rPr>
                <w:rFonts w:ascii="Arial" w:hAnsi="Arial" w:eastAsia="Arial"/>
                <w:sz w:val="16"/>
              </w:rPr>
              <w:t>Agency</w:t>
            </w:r>
          </w:p>
        </w:tc>
        <w:tc>
          <w:tcPr>
            <w:vAlign w:val="top"/>
            <w:tcMar>
              <w:top w:w="70" w:type="dxa"/>
              <w:start w:w="80" w:type="dxa"/>
              <w:bottom w:w="70" w:type="dxa"/>
              <w:end w:w="80" w:type="dxa"/>
            </w:tcMar>
            <w:shd w:fill="D9EAF7"/>
          </w:tcPr>
          <w:p>
            <w:pPr>
              <w:pStyle w:val="Compact"/>
              <w:jc w:val="left"/>
            </w:pPr>
            <w:r>
              <w:rPr>
                <w:rFonts w:ascii="Arial" w:hAnsi="Arial" w:eastAsia="Arial"/>
                <w:sz w:val="16"/>
              </w:rPr>
              <w:t>Autonomy, effective choice, freedom from coercion</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D₆</w:t>
            </w:r>
          </w:p>
        </w:tc>
        <w:tc>
          <w:tcPr>
            <w:vAlign w:val="top"/>
            <w:tcMar>
              <w:top w:w="70" w:type="dxa"/>
              <w:start w:w="80" w:type="dxa"/>
              <w:bottom w:w="70" w:type="dxa"/>
              <w:end w:w="80" w:type="dxa"/>
            </w:tcMar>
            <w:shd w:fill="FFFFFF"/>
          </w:tcPr>
          <w:p>
            <w:pPr>
              <w:pStyle w:val="Compact"/>
              <w:jc w:val="left"/>
            </w:pPr>
            <w:r>
              <w:rPr>
                <w:rFonts w:ascii="Arial" w:hAnsi="Arial" w:eastAsia="Arial"/>
                <w:sz w:val="16"/>
              </w:rPr>
              <w:t>Meaning</w:t>
            </w:r>
          </w:p>
        </w:tc>
        <w:tc>
          <w:tcPr>
            <w:vAlign w:val="top"/>
            <w:tcMar>
              <w:top w:w="70" w:type="dxa"/>
              <w:start w:w="80" w:type="dxa"/>
              <w:bottom w:w="70" w:type="dxa"/>
              <w:end w:w="80" w:type="dxa"/>
            </w:tcMar>
            <w:shd w:fill="FFFFFF"/>
          </w:tcPr>
          <w:p>
            <w:pPr>
              <w:pStyle w:val="Compact"/>
              <w:jc w:val="left"/>
            </w:pPr>
            <w:r>
              <w:rPr>
                <w:rFonts w:ascii="Arial" w:hAnsi="Arial" w:eastAsia="Arial"/>
                <w:sz w:val="16"/>
              </w:rPr>
              <w:t>Purpose/coherence/valued projects (cautious measurement)</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D₇</w:t>
            </w:r>
          </w:p>
        </w:tc>
        <w:tc>
          <w:tcPr>
            <w:vAlign w:val="top"/>
            <w:tcMar>
              <w:top w:w="70" w:type="dxa"/>
              <w:start w:w="80" w:type="dxa"/>
              <w:bottom w:w="70" w:type="dxa"/>
              <w:end w:w="80" w:type="dxa"/>
            </w:tcMar>
            <w:shd w:fill="D9EAF7"/>
          </w:tcPr>
          <w:p>
            <w:pPr>
              <w:pStyle w:val="Compact"/>
              <w:jc w:val="left"/>
            </w:pPr>
            <w:r>
              <w:rPr>
                <w:rFonts w:ascii="Arial" w:hAnsi="Arial" w:eastAsia="Arial"/>
                <w:sz w:val="16"/>
              </w:rPr>
              <w:t>Environment</w:t>
            </w:r>
          </w:p>
        </w:tc>
        <w:tc>
          <w:tcPr>
            <w:vAlign w:val="top"/>
            <w:tcMar>
              <w:top w:w="70" w:type="dxa"/>
              <w:start w:w="80" w:type="dxa"/>
              <w:bottom w:w="70" w:type="dxa"/>
              <w:end w:w="80" w:type="dxa"/>
            </w:tcMar>
            <w:shd w:fill="D9EAF7"/>
          </w:tcPr>
          <w:p>
            <w:pPr>
              <w:pStyle w:val="Compact"/>
              <w:jc w:val="left"/>
            </w:pPr>
            <w:r>
              <w:rPr>
                <w:rFonts w:ascii="Arial" w:hAnsi="Arial" w:eastAsia="Arial"/>
                <w:sz w:val="16"/>
              </w:rPr>
              <w:t>Ecological and built context integrity</w:t>
            </w:r>
          </w:p>
        </w:tc>
      </w:tr>
    </w:tbl>
    <w:bookmarkEnd w:id="326"/>
    <w:bookmarkStart w:id="327" w:name="a5-impact-objects"/>
    <w:p>
      <w:pPr>
        <w:pStyle w:val="Heading2"/>
      </w:pPr>
      <w:r>
        <w:t>A.5 Impact Objects</w:t>
      </w:r>
    </w:p>
    <w:tbl>
      <w:tblPr>
        <w:tblStyle w:val="Table"/>
        <w:tblW w:type="auto" w:w="0"/>
        <w:jc w:val="center"/>
        <w:tblLook w:firstRow="1" w:lastRow="0" w:firstColumn="0" w:lastColumn="0" w:noHBand="0" w:noVBand="0" w:val="0020"/>
      </w:tblPr>
      <w:tblGrid>
        <w:gridCol w:w="2640"/>
        <w:gridCol w:w="2640"/>
        <w:gridCol w:w="2640"/>
      </w:tblGrid>
      <w:tr>
        <w:trPr>
          <w:tblHeader w:val="on"/>
          <w:tblHeader w:val="true"/>
          <w:cantSplit/>
        </w:trPr>
        <w:tc>
          <w:tcPr>
            <w:vAlign w:val="top"/>
            <w:tcMar>
              <w:top w:w="70" w:type="dxa"/>
              <w:start w:w="80" w:type="dxa"/>
              <w:bottom w:w="70" w:type="dxa"/>
              <w:end w:w="80" w:type="dxa"/>
            </w:tcMar>
            <w:shd w:fill="1F4E78"/>
          </w:tcPr>
          <w:p>
            <w:pPr>
              <w:pStyle w:val="Compact"/>
              <w:jc w:val="left"/>
            </w:pPr>
            <w:r>
              <w:rPr>
                <w:rFonts w:ascii="Arial" w:hAnsi="Arial" w:eastAsia="Arial"/>
                <w:b/>
                <w:bCs/>
                <w:color w:val="FFFFFF"/>
                <w:sz w:val="16"/>
              </w:rPr>
              <w:t>Symbol</w:t>
            </w:r>
          </w:p>
        </w:tc>
        <w:tc>
          <w:tcPr>
            <w:vAlign w:val="top"/>
            <w:tcMar>
              <w:top w:w="70" w:type="dxa"/>
              <w:start w:w="80" w:type="dxa"/>
              <w:bottom w:w="70" w:type="dxa"/>
              <w:end w:w="80" w:type="dxa"/>
            </w:tcMar>
            <w:shd w:fill="1F4E78"/>
          </w:tcPr>
          <w:p>
            <w:pPr>
              <w:pStyle w:val="Compact"/>
              <w:jc w:val="left"/>
            </w:pPr>
            <w:r>
              <w:rPr>
                <w:rFonts w:ascii="Arial" w:hAnsi="Arial" w:eastAsia="Arial"/>
                <w:b/>
                <w:bCs/>
                <w:color w:val="FFFFFF"/>
                <w:sz w:val="16"/>
              </w:rPr>
              <w:t>Meaning</w:t>
            </w:r>
          </w:p>
        </w:tc>
        <w:tc>
          <w:tcPr>
            <w:vAlign w:val="top"/>
            <w:tcMar>
              <w:top w:w="70" w:type="dxa"/>
              <w:start w:w="80" w:type="dxa"/>
              <w:bottom w:w="70" w:type="dxa"/>
              <w:end w:w="80" w:type="dxa"/>
            </w:tcMar>
            <w:shd w:fill="1F4E78"/>
          </w:tcPr>
          <w:p>
            <w:pPr>
              <w:pStyle w:val="Compact"/>
              <w:jc w:val="left"/>
            </w:pPr>
            <w:r>
              <w:rPr>
                <w:rFonts w:ascii="Arial" w:hAnsi="Arial" w:eastAsia="Arial"/>
                <w:b/>
                <w:bCs/>
                <w:color w:val="FFFFFF"/>
                <w:sz w:val="16"/>
              </w:rPr>
              <w:t>Range</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Ĩ_dir(u,d,a)</w:t>
            </w:r>
          </w:p>
        </w:tc>
        <w:tc>
          <w:tcPr>
            <w:vAlign w:val="top"/>
            <w:tcMar>
              <w:top w:w="70" w:type="dxa"/>
              <w:start w:w="80" w:type="dxa"/>
              <w:bottom w:w="70" w:type="dxa"/>
              <w:end w:w="80" w:type="dxa"/>
            </w:tcMar>
            <w:shd w:fill="D9EAF7"/>
          </w:tcPr>
          <w:p>
            <w:pPr>
              <w:pStyle w:val="Compact"/>
              <w:jc w:val="left"/>
            </w:pPr>
            <w:r>
              <w:rPr>
                <w:rFonts w:ascii="Arial" w:hAnsi="Arial" w:eastAsia="Arial"/>
                <w:sz w:val="16"/>
              </w:rPr>
              <w:t>Pre-saturation direct impact</w:t>
            </w:r>
          </w:p>
        </w:tc>
        <w:tc>
          <w:tcPr>
            <w:vAlign w:val="top"/>
            <w:tcMar>
              <w:top w:w="70" w:type="dxa"/>
              <w:start w:w="80" w:type="dxa"/>
              <w:bottom w:w="70" w:type="dxa"/>
              <w:end w:w="80" w:type="dxa"/>
            </w:tcMar>
            <w:shd w:fill="D9EAF7"/>
          </w:tcPr>
          <w:p>
            <w:pPr>
              <w:pStyle w:val="Compact"/>
              <w:jc w:val="left"/>
            </w:pPr>
            <w:r>
              <w:rPr>
                <w:rFonts w:ascii="Arial" w:hAnsi="Arial" w:eastAsia="Arial"/>
                <w:sz w:val="16"/>
              </w:rPr>
              <w:t>ℝ</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I_dir(u,d,a)</w:t>
            </w:r>
          </w:p>
        </w:tc>
        <w:tc>
          <w:tcPr>
            <w:vAlign w:val="top"/>
            <w:tcMar>
              <w:top w:w="70" w:type="dxa"/>
              <w:start w:w="80" w:type="dxa"/>
              <w:bottom w:w="70" w:type="dxa"/>
              <w:end w:w="80" w:type="dxa"/>
            </w:tcMar>
            <w:shd w:fill="FFFFFF"/>
          </w:tcPr>
          <w:p>
            <w:pPr>
              <w:pStyle w:val="Compact"/>
              <w:jc w:val="left"/>
            </w:pPr>
            <w:r>
              <w:rPr>
                <w:rFonts w:ascii="Arial" w:hAnsi="Arial" w:eastAsia="Arial"/>
                <w:sz w:val="16"/>
              </w:rPr>
              <w:t>Direct impact (post-saturation)</w:t>
            </w:r>
          </w:p>
        </w:tc>
        <w:tc>
          <w:tcPr>
            <w:vAlign w:val="top"/>
            <w:tcMar>
              <w:top w:w="70" w:type="dxa"/>
              <w:start w:w="80" w:type="dxa"/>
              <w:bottom w:w="70" w:type="dxa"/>
              <w:end w:w="80" w:type="dxa"/>
            </w:tcMar>
            <w:shd w:fill="FFFFFF"/>
          </w:tcPr>
          <w:p>
            <w:pPr>
              <w:pStyle w:val="Compact"/>
              <w:jc w:val="left"/>
            </w:pPr>
            <w:r>
              <w:rPr>
                <w:rFonts w:ascii="Arial" w:hAnsi="Arial" w:eastAsia="Arial"/>
                <w:sz w:val="16"/>
              </w:rPr>
              <w:t>[-1,+1]</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Ĩ_prop(u,d,a)</w:t>
            </w:r>
          </w:p>
        </w:tc>
        <w:tc>
          <w:tcPr>
            <w:vAlign w:val="top"/>
            <w:tcMar>
              <w:top w:w="70" w:type="dxa"/>
              <w:start w:w="80" w:type="dxa"/>
              <w:bottom w:w="70" w:type="dxa"/>
              <w:end w:w="80" w:type="dxa"/>
            </w:tcMar>
            <w:shd w:fill="D9EAF7"/>
          </w:tcPr>
          <w:p>
            <w:pPr>
              <w:pStyle w:val="Compact"/>
              <w:jc w:val="left"/>
            </w:pPr>
            <w:r>
              <w:rPr>
                <w:rFonts w:ascii="Arial" w:hAnsi="Arial" w:eastAsia="Arial"/>
                <w:sz w:val="16"/>
              </w:rPr>
              <w:t>Pre-saturation propagated impact</w:t>
            </w:r>
          </w:p>
        </w:tc>
        <w:tc>
          <w:tcPr>
            <w:vAlign w:val="top"/>
            <w:tcMar>
              <w:top w:w="70" w:type="dxa"/>
              <w:start w:w="80" w:type="dxa"/>
              <w:bottom w:w="70" w:type="dxa"/>
              <w:end w:w="80" w:type="dxa"/>
            </w:tcMar>
            <w:shd w:fill="D9EAF7"/>
          </w:tcPr>
          <w:p>
            <w:pPr>
              <w:pStyle w:val="Compact"/>
              <w:jc w:val="left"/>
            </w:pPr>
            <w:r>
              <w:rPr>
                <w:rFonts w:ascii="Arial" w:hAnsi="Arial" w:eastAsia="Arial"/>
                <w:sz w:val="16"/>
              </w:rPr>
              <w:t>ℝ</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I_prop(u,d,a)</w:t>
            </w:r>
          </w:p>
        </w:tc>
        <w:tc>
          <w:tcPr>
            <w:vAlign w:val="top"/>
            <w:tcMar>
              <w:top w:w="70" w:type="dxa"/>
              <w:start w:w="80" w:type="dxa"/>
              <w:bottom w:w="70" w:type="dxa"/>
              <w:end w:w="80" w:type="dxa"/>
            </w:tcMar>
            <w:shd w:fill="FFFFFF"/>
          </w:tcPr>
          <w:p>
            <w:pPr>
              <w:pStyle w:val="Compact"/>
              <w:jc w:val="left"/>
            </w:pPr>
            <w:r>
              <w:rPr>
                <w:rFonts w:ascii="Arial" w:hAnsi="Arial" w:eastAsia="Arial"/>
                <w:sz w:val="16"/>
              </w:rPr>
              <w:t>Propagated impact (post-saturation)</w:t>
            </w:r>
          </w:p>
        </w:tc>
        <w:tc>
          <w:tcPr>
            <w:vAlign w:val="top"/>
            <w:tcMar>
              <w:top w:w="70" w:type="dxa"/>
              <w:start w:w="80" w:type="dxa"/>
              <w:bottom w:w="70" w:type="dxa"/>
              <w:end w:w="80" w:type="dxa"/>
            </w:tcMar>
            <w:shd w:fill="FFFFFF"/>
          </w:tcPr>
          <w:p>
            <w:pPr>
              <w:pStyle w:val="Compact"/>
              <w:jc w:val="left"/>
            </w:pPr>
            <w:r>
              <w:rPr>
                <w:rFonts w:ascii="Arial" w:hAnsi="Arial" w:eastAsia="Arial"/>
                <w:sz w:val="16"/>
              </w:rPr>
              <w:t>[-1,+1]</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I_rights(u,d,a)</w:t>
            </w:r>
          </w:p>
        </w:tc>
        <w:tc>
          <w:tcPr>
            <w:vAlign w:val="top"/>
            <w:tcMar>
              <w:top w:w="70" w:type="dxa"/>
              <w:start w:w="80" w:type="dxa"/>
              <w:bottom w:w="70" w:type="dxa"/>
              <w:end w:w="80" w:type="dxa"/>
            </w:tcMar>
            <w:shd w:fill="D9EAF7"/>
          </w:tcPr>
          <w:p>
            <w:pPr>
              <w:pStyle w:val="Compact"/>
              <w:jc w:val="left"/>
            </w:pPr>
            <w:r>
              <w:rPr>
                <w:rFonts w:ascii="Arial" w:hAnsi="Arial" w:eastAsia="Arial"/>
                <w:sz w:val="16"/>
              </w:rPr>
              <w:t>Worst-off subgroup propagated impact</w:t>
            </w:r>
          </w:p>
        </w:tc>
        <w:tc>
          <w:tcPr>
            <w:vAlign w:val="top"/>
            <w:tcMar>
              <w:top w:w="70" w:type="dxa"/>
              <w:start w:w="80" w:type="dxa"/>
              <w:bottom w:w="70" w:type="dxa"/>
              <w:end w:w="80" w:type="dxa"/>
            </w:tcMar>
            <w:shd w:fill="D9EAF7"/>
          </w:tcPr>
          <w:p>
            <w:pPr>
              <w:pStyle w:val="Compact"/>
              <w:jc w:val="left"/>
            </w:pPr>
            <w:r>
              <w:rPr>
                <w:rFonts w:ascii="Arial" w:hAnsi="Arial" w:eastAsia="Arial"/>
                <w:sz w:val="16"/>
              </w:rPr>
              <w:t>[-1,+1]</w:t>
            </w:r>
          </w:p>
        </w:tc>
      </w:tr>
    </w:tbl>
    <w:bookmarkEnd w:id="327"/>
    <w:bookmarkStart w:id="328" w:name="a6-impact-instance-attributes"/>
    <w:p>
      <w:pPr>
        <w:pStyle w:val="Heading2"/>
      </w:pPr>
      <w:r>
        <w:t>A.6 Impact Instance Attributes</w:t>
      </w:r>
    </w:p>
    <w:tbl>
      <w:tblPr>
        <w:tblStyle w:val="Table"/>
        <w:tblW w:type="auto" w:w="0"/>
        <w:jc w:val="center"/>
        <w:tblLook w:firstRow="1" w:lastRow="0" w:firstColumn="0" w:lastColumn="0" w:noHBand="0" w:noVBand="0" w:val="0020"/>
      </w:tblPr>
      <w:tblGrid>
        <w:gridCol w:w="2640"/>
        <w:gridCol w:w="2640"/>
        <w:gridCol w:w="2640"/>
      </w:tblGrid>
      <w:tr>
        <w:trPr>
          <w:tblHeader w:val="on"/>
          <w:tblHeader w:val="true"/>
          <w:cantSplit/>
        </w:trPr>
        <w:tc>
          <w:tcPr>
            <w:vAlign w:val="top"/>
            <w:tcMar>
              <w:top w:w="70" w:type="dxa"/>
              <w:start w:w="80" w:type="dxa"/>
              <w:bottom w:w="70" w:type="dxa"/>
              <w:end w:w="80" w:type="dxa"/>
            </w:tcMar>
            <w:shd w:fill="1F4E78"/>
          </w:tcPr>
          <w:p>
            <w:pPr>
              <w:pStyle w:val="Compact"/>
              <w:jc w:val="left"/>
            </w:pPr>
            <w:r>
              <w:rPr>
                <w:rFonts w:ascii="Arial" w:hAnsi="Arial" w:eastAsia="Arial"/>
                <w:b/>
                <w:bCs/>
                <w:color w:val="FFFFFF"/>
                <w:sz w:val="16"/>
              </w:rPr>
              <w:t>Symbol</w:t>
            </w:r>
          </w:p>
        </w:tc>
        <w:tc>
          <w:tcPr>
            <w:vAlign w:val="top"/>
            <w:tcMar>
              <w:top w:w="70" w:type="dxa"/>
              <w:start w:w="80" w:type="dxa"/>
              <w:bottom w:w="70" w:type="dxa"/>
              <w:end w:w="80" w:type="dxa"/>
            </w:tcMar>
            <w:shd w:fill="1F4E78"/>
          </w:tcPr>
          <w:p>
            <w:pPr>
              <w:pStyle w:val="Compact"/>
              <w:jc w:val="left"/>
            </w:pPr>
            <w:r>
              <w:rPr>
                <w:rFonts w:ascii="Arial" w:hAnsi="Arial" w:eastAsia="Arial"/>
                <w:b/>
                <w:bCs/>
                <w:color w:val="FFFFFF"/>
                <w:sz w:val="16"/>
              </w:rPr>
              <w:t>Meaning</w:t>
            </w:r>
          </w:p>
        </w:tc>
        <w:tc>
          <w:tcPr>
            <w:vAlign w:val="top"/>
            <w:tcMar>
              <w:top w:w="70" w:type="dxa"/>
              <w:start w:w="80" w:type="dxa"/>
              <w:bottom w:w="70" w:type="dxa"/>
              <w:end w:w="80" w:type="dxa"/>
            </w:tcMar>
            <w:shd w:fill="1F4E78"/>
          </w:tcPr>
          <w:p>
            <w:pPr>
              <w:pStyle w:val="Compact"/>
              <w:jc w:val="left"/>
            </w:pPr>
            <w:r>
              <w:rPr>
                <w:rFonts w:ascii="Arial" w:hAnsi="Arial" w:eastAsia="Arial"/>
                <w:b/>
                <w:bCs/>
                <w:color w:val="FFFFFF"/>
                <w:sz w:val="16"/>
              </w:rPr>
              <w:t>Range / Default</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μ_k</w:t>
            </w:r>
          </w:p>
        </w:tc>
        <w:tc>
          <w:tcPr>
            <w:vAlign w:val="top"/>
            <w:tcMar>
              <w:top w:w="70" w:type="dxa"/>
              <w:start w:w="80" w:type="dxa"/>
              <w:bottom w:w="70" w:type="dxa"/>
              <w:end w:w="80" w:type="dxa"/>
            </w:tcMar>
            <w:shd w:fill="D9EAF7"/>
          </w:tcPr>
          <w:p>
            <w:pPr>
              <w:pStyle w:val="Compact"/>
              <w:jc w:val="left"/>
            </w:pPr>
            <w:r>
              <w:rPr>
                <w:rFonts w:ascii="Arial" w:hAnsi="Arial" w:eastAsia="Arial"/>
                <w:sz w:val="16"/>
              </w:rPr>
              <w:t>Magnitude (baseline-delta, normalized)</w:t>
            </w:r>
          </w:p>
        </w:tc>
        <w:tc>
          <w:tcPr>
            <w:vAlign w:val="top"/>
            <w:tcMar>
              <w:top w:w="70" w:type="dxa"/>
              <w:start w:w="80" w:type="dxa"/>
              <w:bottom w:w="70" w:type="dxa"/>
              <w:end w:w="80" w:type="dxa"/>
            </w:tcMar>
            <w:shd w:fill="D9EAF7"/>
          </w:tcPr>
          <w:p>
            <w:pPr>
              <w:pStyle w:val="Compact"/>
              <w:jc w:val="left"/>
            </w:pPr>
            <w:r>
              <w:rPr>
                <w:rFonts w:ascii="Arial" w:hAnsi="Arial" w:eastAsia="Arial"/>
                <w:sz w:val="16"/>
              </w:rPr>
              <w:t>[-1, +1]</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r_k</w:t>
            </w:r>
          </w:p>
        </w:tc>
        <w:tc>
          <w:tcPr>
            <w:vAlign w:val="top"/>
            <w:tcMar>
              <w:top w:w="70" w:type="dxa"/>
              <w:start w:w="80" w:type="dxa"/>
              <w:bottom w:w="70" w:type="dxa"/>
              <w:end w:w="80" w:type="dxa"/>
            </w:tcMar>
            <w:shd w:fill="FFFFFF"/>
          </w:tcPr>
          <w:p>
            <w:pPr>
              <w:pStyle w:val="Compact"/>
              <w:jc w:val="left"/>
            </w:pPr>
            <w:r>
              <w:rPr>
                <w:rFonts w:ascii="Arial" w:hAnsi="Arial" w:eastAsia="Arial"/>
                <w:sz w:val="16"/>
              </w:rPr>
              <w:t>Reach</w:t>
            </w:r>
          </w:p>
        </w:tc>
        <w:tc>
          <w:tcPr>
            <w:vAlign w:val="top"/>
            <w:tcMar>
              <w:top w:w="70" w:type="dxa"/>
              <w:start w:w="80" w:type="dxa"/>
              <w:bottom w:w="70" w:type="dxa"/>
              <w:end w:w="80" w:type="dxa"/>
            </w:tcMar>
            <w:shd w:fill="FFFFFF"/>
          </w:tcPr>
          <w:p>
            <w:pPr>
              <w:pStyle w:val="Compact"/>
              <w:jc w:val="left"/>
            </w:pPr>
            <w:r>
              <w:rPr>
                <w:rFonts w:ascii="Arial" w:hAnsi="Arial" w:eastAsia="Arial"/>
                <w:sz w:val="16"/>
              </w:rPr>
              <w:t>[0, 1]</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t_k</w:t>
            </w:r>
          </w:p>
        </w:tc>
        <w:tc>
          <w:tcPr>
            <w:vAlign w:val="top"/>
            <w:tcMar>
              <w:top w:w="70" w:type="dxa"/>
              <w:start w:w="80" w:type="dxa"/>
              <w:bottom w:w="70" w:type="dxa"/>
              <w:end w:w="80" w:type="dxa"/>
            </w:tcMar>
            <w:shd w:fill="D9EAF7"/>
          </w:tcPr>
          <w:p>
            <w:pPr>
              <w:pStyle w:val="Compact"/>
              <w:jc w:val="left"/>
            </w:pPr>
            <w:r>
              <w:rPr>
                <w:rFonts w:ascii="Arial" w:hAnsi="Arial" w:eastAsia="Arial"/>
                <w:sz w:val="16"/>
              </w:rPr>
              <w:t>Time horizon</w:t>
            </w:r>
          </w:p>
        </w:tc>
        <w:tc>
          <w:tcPr>
            <w:vAlign w:val="top"/>
            <w:tcMar>
              <w:top w:w="70" w:type="dxa"/>
              <w:start w:w="80" w:type="dxa"/>
              <w:bottom w:w="70" w:type="dxa"/>
              <w:end w:w="80" w:type="dxa"/>
            </w:tcMar>
            <w:shd w:fill="D9EAF7"/>
          </w:tcPr>
          <w:p>
            <w:pPr>
              <w:pStyle w:val="Compact"/>
              <w:jc w:val="left"/>
            </w:pPr>
            <w:r>
              <w:rPr>
                <w:rFonts w:ascii="Arial" w:hAnsi="Arial" w:eastAsia="Arial"/>
                <w:sz w:val="16"/>
              </w:rPr>
              <w:t>(0, ∞) years</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ℓ_k</w:t>
            </w:r>
          </w:p>
        </w:tc>
        <w:tc>
          <w:tcPr>
            <w:vAlign w:val="top"/>
            <w:tcMar>
              <w:top w:w="70" w:type="dxa"/>
              <w:start w:w="80" w:type="dxa"/>
              <w:bottom w:w="70" w:type="dxa"/>
              <w:end w:w="80" w:type="dxa"/>
            </w:tcMar>
            <w:shd w:fill="FFFFFF"/>
          </w:tcPr>
          <w:p>
            <w:pPr>
              <w:pStyle w:val="Compact"/>
              <w:jc w:val="left"/>
            </w:pPr>
            <w:r>
              <w:rPr>
                <w:rFonts w:ascii="Arial" w:hAnsi="Arial" w:eastAsia="Arial"/>
                <w:sz w:val="16"/>
              </w:rPr>
              <w:t>Likelihood</w:t>
            </w:r>
          </w:p>
        </w:tc>
        <w:tc>
          <w:tcPr>
            <w:vAlign w:val="top"/>
            <w:tcMar>
              <w:top w:w="70" w:type="dxa"/>
              <w:start w:w="80" w:type="dxa"/>
              <w:bottom w:w="70" w:type="dxa"/>
              <w:end w:w="80" w:type="dxa"/>
            </w:tcMar>
            <w:shd w:fill="FFFFFF"/>
          </w:tcPr>
          <w:p>
            <w:pPr>
              <w:pStyle w:val="Compact"/>
              <w:jc w:val="left"/>
            </w:pPr>
            <w:r>
              <w:rPr>
                <w:rFonts w:ascii="Arial" w:hAnsi="Arial" w:eastAsia="Arial"/>
                <w:sz w:val="16"/>
              </w:rPr>
              <w:t>[0, 1]</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c_k</w:t>
            </w:r>
          </w:p>
        </w:tc>
        <w:tc>
          <w:tcPr>
            <w:vAlign w:val="top"/>
            <w:tcMar>
              <w:top w:w="70" w:type="dxa"/>
              <w:start w:w="80" w:type="dxa"/>
              <w:bottom w:w="70" w:type="dxa"/>
              <w:end w:w="80" w:type="dxa"/>
            </w:tcMar>
            <w:shd w:fill="D9EAF7"/>
          </w:tcPr>
          <w:p>
            <w:pPr>
              <w:pStyle w:val="Compact"/>
              <w:jc w:val="left"/>
            </w:pPr>
            <w:r>
              <w:rPr>
                <w:rFonts w:ascii="Arial" w:hAnsi="Arial" w:eastAsia="Arial"/>
                <w:sz w:val="16"/>
              </w:rPr>
              <w:t>Confidence</w:t>
            </w:r>
          </w:p>
        </w:tc>
        <w:tc>
          <w:tcPr>
            <w:vAlign w:val="top"/>
            <w:tcMar>
              <w:top w:w="70" w:type="dxa"/>
              <w:start w:w="80" w:type="dxa"/>
              <w:bottom w:w="70" w:type="dxa"/>
              <w:end w:w="80" w:type="dxa"/>
            </w:tcMar>
            <w:shd w:fill="D9EAF7"/>
          </w:tcPr>
          <w:p>
            <w:pPr>
              <w:pStyle w:val="Compact"/>
              <w:jc w:val="left"/>
            </w:pPr>
            <w:r>
              <w:rPr>
                <w:rFonts w:ascii="Arial" w:hAnsi="Arial" w:eastAsia="Arial"/>
                <w:sz w:val="16"/>
              </w:rPr>
              <w:t>[0.1, 1]</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e_k</w:t>
            </w:r>
          </w:p>
        </w:tc>
        <w:tc>
          <w:tcPr>
            <w:vAlign w:val="top"/>
            <w:tcMar>
              <w:top w:w="70" w:type="dxa"/>
              <w:start w:w="80" w:type="dxa"/>
              <w:bottom w:w="70" w:type="dxa"/>
              <w:end w:w="80" w:type="dxa"/>
            </w:tcMar>
            <w:shd w:fill="FFFFFF"/>
          </w:tcPr>
          <w:p>
            <w:pPr>
              <w:pStyle w:val="Compact"/>
              <w:jc w:val="left"/>
            </w:pPr>
            <w:r>
              <w:rPr>
                <w:rFonts w:ascii="Arial" w:hAnsi="Arial" w:eastAsia="Arial"/>
                <w:sz w:val="16"/>
              </w:rPr>
              <w:t>Equity/resilience multiplier</w:t>
            </w:r>
          </w:p>
        </w:tc>
        <w:tc>
          <w:tcPr>
            <w:vAlign w:val="top"/>
            <w:tcMar>
              <w:top w:w="70" w:type="dxa"/>
              <w:start w:w="80" w:type="dxa"/>
              <w:bottom w:w="70" w:type="dxa"/>
              <w:end w:w="80" w:type="dxa"/>
            </w:tcMar>
            <w:shd w:fill="FFFFFF"/>
          </w:tcPr>
          <w:p>
            <w:pPr>
              <w:pStyle w:val="Compact"/>
              <w:jc w:val="left"/>
            </w:pPr>
            <w:r>
              <w:rPr>
                <w:rFonts w:ascii="Arial" w:hAnsi="Arial" w:eastAsia="Arial"/>
                <w:sz w:val="16"/>
              </w:rPr>
              <w:t>Tier 2: 1.00 only unless named governed instrument; Tier 3: [0.75, 1.25] default 1.00</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h_k</w:t>
            </w:r>
          </w:p>
        </w:tc>
        <w:tc>
          <w:tcPr>
            <w:vAlign w:val="top"/>
            <w:tcMar>
              <w:top w:w="70" w:type="dxa"/>
              <w:start w:w="80" w:type="dxa"/>
              <w:bottom w:w="70" w:type="dxa"/>
              <w:end w:w="80" w:type="dxa"/>
            </w:tcMar>
            <w:shd w:fill="D9EAF7"/>
          </w:tcPr>
          <w:p>
            <w:pPr>
              <w:pStyle w:val="Compact"/>
              <w:jc w:val="left"/>
            </w:pPr>
            <w:r>
              <w:rPr>
                <w:rFonts w:ascii="Arial" w:hAnsi="Arial" w:eastAsia="Arial"/>
                <w:sz w:val="16"/>
              </w:rPr>
              <w:t>Welfare-inclusion hypothesis coefficient</w:t>
            </w:r>
          </w:p>
        </w:tc>
        <w:tc>
          <w:tcPr>
            <w:vAlign w:val="top"/>
            <w:tcMar>
              <w:top w:w="70" w:type="dxa"/>
              <w:start w:w="80" w:type="dxa"/>
              <w:bottom w:w="70" w:type="dxa"/>
              <w:end w:w="80" w:type="dxa"/>
            </w:tcMar>
            <w:shd w:fill="D9EAF7"/>
          </w:tcPr>
          <w:p>
            <w:pPr>
              <w:pStyle w:val="Compact"/>
              <w:jc w:val="left"/>
            </w:pPr>
            <w:r>
              <w:rPr>
                <w:rFonts w:ascii="Arial" w:hAnsi="Arial" w:eastAsia="Arial"/>
                <w:sz w:val="16"/>
              </w:rPr>
              <w:t>Ordinarily 0 or 1; h_k=1 for humans and FPP; robust hypothesis sensitivity required where moral-patienthood evidence is decision-material</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t_min</w:t>
            </w:r>
          </w:p>
        </w:tc>
        <w:tc>
          <w:tcPr>
            <w:vAlign w:val="top"/>
            <w:tcMar>
              <w:top w:w="70" w:type="dxa"/>
              <w:start w:w="80" w:type="dxa"/>
              <w:bottom w:w="70" w:type="dxa"/>
              <w:end w:w="80" w:type="dxa"/>
            </w:tcMar>
            <w:shd w:fill="FFFFFF"/>
          </w:tcPr>
          <w:p>
            <w:pPr>
              <w:pStyle w:val="Compact"/>
              <w:jc w:val="left"/>
            </w:pPr>
            <w:r>
              <w:rPr>
                <w:rFonts w:ascii="Arial" w:hAnsi="Arial" w:eastAsia="Arial"/>
                <w:sz w:val="16"/>
              </w:rPr>
              <w:t>Minimum time horizon floor</w:t>
            </w:r>
          </w:p>
        </w:tc>
        <w:tc>
          <w:tcPr>
            <w:vAlign w:val="top"/>
            <w:tcMar>
              <w:top w:w="70" w:type="dxa"/>
              <w:start w:w="80" w:type="dxa"/>
              <w:bottom w:w="70" w:type="dxa"/>
              <w:end w:w="80" w:type="dxa"/>
            </w:tcMar>
            <w:shd w:fill="FFFFFF"/>
          </w:tcPr>
          <w:p>
            <w:pPr>
              <w:pStyle w:val="Compact"/>
              <w:jc w:val="left"/>
            </w:pPr>
            <w:r>
              <w:rPr>
                <w:rFonts w:ascii="Arial" w:hAnsi="Arial" w:eastAsia="Arial"/>
                <w:sz w:val="16"/>
              </w:rPr>
              <w:t>0.083 years (≈1 month); prevents τ(0) = 0</w:t>
            </w:r>
          </w:p>
        </w:tc>
      </w:tr>
    </w:tbl>
    <w:bookmarkEnd w:id="328"/>
    <w:bookmarkStart w:id="329" w:name="a7-operators-and-functions"/>
    <w:p>
      <w:pPr>
        <w:pStyle w:val="Heading2"/>
      </w:pPr>
      <w:r>
        <w:t>A.7 Operators and Functions</w:t>
      </w:r>
    </w:p>
    <w:bookmarkEnd w:id="329"/>
    <w:bookmarkStart w:id="330" w:name="a8-kernel-and-propagation"/>
    <w:p>
      <w:pPr>
        <w:pStyle w:val="Heading2"/>
      </w:pPr>
      <w:r>
        <w:t>A.8 Kernel and Propagation</w:t>
      </w:r>
    </w:p>
    <w:tbl>
      <w:tblPr>
        <w:tblStyle w:val="Table"/>
        <w:tblW w:type="auto" w:w="0"/>
        <w:jc w:val="center"/>
        <w:tblLook w:firstRow="1" w:lastRow="0" w:firstColumn="0" w:lastColumn="0" w:noHBand="0" w:noVBand="0" w:val="0020"/>
      </w:tblPr>
      <w:tblGrid>
        <w:gridCol w:w="3960"/>
        <w:gridCol w:w="3960"/>
      </w:tblGrid>
      <w:tr>
        <w:trPr>
          <w:tblHeader w:val="on"/>
          <w:tblHeader w:val="true"/>
          <w:cantSplit/>
        </w:trPr>
        <w:tc>
          <w:tcPr>
            <w:vAlign w:val="top"/>
            <w:tcMar>
              <w:top w:w="70" w:type="dxa"/>
              <w:start w:w="80" w:type="dxa"/>
              <w:bottom w:w="70" w:type="dxa"/>
              <w:end w:w="80" w:type="dxa"/>
            </w:tcMar>
            <w:shd w:fill="1F4E78"/>
          </w:tcPr>
          <w:p>
            <w:pPr>
              <w:pStyle w:val="Compact"/>
              <w:jc w:val="left"/>
            </w:pPr>
            <w:r>
              <w:rPr>
                <w:rFonts w:ascii="Arial" w:hAnsi="Arial" w:eastAsia="Arial"/>
                <w:b/>
                <w:bCs/>
                <w:color w:val="FFFFFF"/>
                <w:sz w:val="16"/>
              </w:rPr>
              <w:t>Symbol</w:t>
            </w:r>
          </w:p>
        </w:tc>
        <w:tc>
          <w:tcPr>
            <w:vAlign w:val="top"/>
            <w:tcMar>
              <w:top w:w="70" w:type="dxa"/>
              <w:start w:w="80" w:type="dxa"/>
              <w:bottom w:w="70" w:type="dxa"/>
              <w:end w:w="80" w:type="dxa"/>
            </w:tcMar>
            <w:shd w:fill="1F4E78"/>
          </w:tcPr>
          <w:p>
            <w:pPr>
              <w:pStyle w:val="Compact"/>
              <w:jc w:val="left"/>
            </w:pPr>
            <w:r>
              <w:rPr>
                <w:rFonts w:ascii="Arial" w:hAnsi="Arial" w:eastAsia="Arial"/>
                <w:b/>
                <w:bCs/>
                <w:color w:val="FFFFFF"/>
                <w:sz w:val="16"/>
              </w:rPr>
              <w:t>Meaning</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K ∈ ℝ^{49×49}</w:t>
            </w:r>
          </w:p>
        </w:tc>
        <w:tc>
          <w:tcPr>
            <w:vAlign w:val="top"/>
            <w:tcMar>
              <w:top w:w="70" w:type="dxa"/>
              <w:start w:w="80" w:type="dxa"/>
              <w:bottom w:w="70" w:type="dxa"/>
              <w:end w:w="80" w:type="dxa"/>
            </w:tcMar>
            <w:shd w:fill="D9EAF7"/>
          </w:tcPr>
          <w:p>
            <w:pPr>
              <w:pStyle w:val="Compact"/>
              <w:jc w:val="left"/>
            </w:pPr>
            <w:r>
              <w:rPr>
                <w:rFonts w:ascii="Arial" w:hAnsi="Arial" w:eastAsia="Arial"/>
                <w:sz w:val="16"/>
              </w:rPr>
              <w:t>Ripple kernel matrix (sparse)</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K_{ij}</w:t>
            </w:r>
          </w:p>
        </w:tc>
        <w:tc>
          <w:tcPr>
            <w:vAlign w:val="top"/>
            <w:tcMar>
              <w:top w:w="70" w:type="dxa"/>
              <w:start w:w="80" w:type="dxa"/>
              <w:bottom w:w="70" w:type="dxa"/>
              <w:end w:w="80" w:type="dxa"/>
            </w:tcMar>
            <w:shd w:fill="FFFFFF"/>
          </w:tcPr>
          <w:p>
            <w:pPr>
              <w:pStyle w:val="Compact"/>
              <w:jc w:val="left"/>
            </w:pPr>
            <w:r>
              <w:rPr>
                <w:rFonts w:ascii="Arial" w:hAnsi="Arial" w:eastAsia="Arial"/>
                <w:sz w:val="16"/>
              </w:rPr>
              <w:t>Kernel entry mapping source j to target i (target-row, source-column)</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κ_max</w:t>
            </w:r>
          </w:p>
        </w:tc>
        <w:tc>
          <w:tcPr>
            <w:vAlign w:val="top"/>
            <w:tcMar>
              <w:top w:w="70" w:type="dxa"/>
              <w:start w:w="80" w:type="dxa"/>
              <w:bottom w:w="70" w:type="dxa"/>
              <w:end w:w="80" w:type="dxa"/>
            </w:tcMar>
            <w:shd w:fill="D9EAF7"/>
          </w:tcPr>
          <w:p>
            <w:pPr>
              <w:pStyle w:val="Compact"/>
              <w:jc w:val="left"/>
            </w:pPr>
            <w:r>
              <w:rPr>
                <w:rFonts w:ascii="Arial" w:hAnsi="Arial" w:eastAsia="Arial"/>
                <w:sz w:val="16"/>
              </w:rPr>
              <w:t>Maximum absolute kernel entry bound, default 0.5</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κ_use_min</w:t>
            </w:r>
          </w:p>
        </w:tc>
        <w:tc>
          <w:tcPr>
            <w:vAlign w:val="top"/>
            <w:tcMar>
              <w:top w:w="70" w:type="dxa"/>
              <w:start w:w="80" w:type="dxa"/>
              <w:bottom w:w="70" w:type="dxa"/>
              <w:end w:w="80" w:type="dxa"/>
            </w:tcMar>
            <w:shd w:fill="FFFFFF"/>
          </w:tcPr>
          <w:p>
            <w:pPr>
              <w:pStyle w:val="Compact"/>
              <w:jc w:val="left"/>
            </w:pPr>
            <w:r>
              <w:rPr>
                <w:rFonts w:ascii="Arial" w:hAnsi="Arial" w:eastAsia="Arial"/>
                <w:sz w:val="16"/>
              </w:rPr>
              <w:t>Minimum absolute kernel edge magnitude for “relied-upon edge” classification in KQS computation (Section 6.5.1). Default: 0.05 unless the PCC declares a stricter value.</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ρ_max</w:t>
            </w:r>
          </w:p>
        </w:tc>
        <w:tc>
          <w:tcPr>
            <w:vAlign w:val="top"/>
            <w:tcMar>
              <w:top w:w="70" w:type="dxa"/>
              <w:start w:w="80" w:type="dxa"/>
              <w:bottom w:w="70" w:type="dxa"/>
              <w:end w:w="80" w:type="dxa"/>
            </w:tcMar>
            <w:shd w:fill="D9EAF7"/>
          </w:tcPr>
          <w:p>
            <w:pPr>
              <w:pStyle w:val="Compact"/>
              <w:jc w:val="left"/>
            </w:pPr>
            <w:r>
              <w:rPr>
                <w:rFonts w:ascii="Arial" w:hAnsi="Arial" w:eastAsia="Arial"/>
                <w:sz w:val="16"/>
              </w:rPr>
              <w:t>Maximum absolute row-sum bound, default 0.9</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∥K∥∞</w:t>
            </w:r>
          </w:p>
        </w:tc>
        <w:tc>
          <w:tcPr>
            <w:vAlign w:val="top"/>
            <w:tcMar>
              <w:top w:w="70" w:type="dxa"/>
              <w:start w:w="80" w:type="dxa"/>
              <w:bottom w:w="70" w:type="dxa"/>
              <w:end w:w="80" w:type="dxa"/>
            </w:tcMar>
            <w:shd w:fill="FFFFFF"/>
          </w:tcPr>
          <w:p>
            <w:pPr>
              <w:pStyle w:val="Compact"/>
              <w:jc w:val="left"/>
            </w:pPr>
            <w:r>
              <w:rPr>
                <w:rFonts w:ascii="Arial" w:hAnsi="Arial" w:eastAsia="Arial"/>
                <w:sz w:val="16"/>
              </w:rPr>
              <w:t>Maximum absolute row-sum norm of K: ∥K∥∞ := max_i Σ_j |K_{ij}|. Used for Tier 1-3 kernel stability verification (Section 6.4).</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ρ(K)</w:t>
            </w:r>
          </w:p>
        </w:tc>
        <w:tc>
          <w:tcPr>
            <w:vAlign w:val="top"/>
            <w:tcMar>
              <w:top w:w="70" w:type="dxa"/>
              <w:start w:w="80" w:type="dxa"/>
              <w:bottom w:w="70" w:type="dxa"/>
              <w:end w:w="80" w:type="dxa"/>
            </w:tcMar>
            <w:shd w:fill="D9EAF7"/>
          </w:tcPr>
          <w:p>
            <w:pPr>
              <w:pStyle w:val="Compact"/>
              <w:jc w:val="left"/>
            </w:pPr>
            <w:r>
              <w:rPr>
                <w:rFonts w:ascii="Arial" w:hAnsi="Arial" w:eastAsia="Arial"/>
                <w:sz w:val="16"/>
              </w:rPr>
              <w:t>Spectral radius of K. For Tier 1-3, treated as satisfied when ∥K∥∞ &lt; 1 per Section 6.4 (since ρ(K) ≤ ∥K∥∞).</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NONE mode</w:t>
            </w:r>
          </w:p>
        </w:tc>
        <w:tc>
          <w:tcPr>
            <w:vAlign w:val="top"/>
            <w:tcMar>
              <w:top w:w="70" w:type="dxa"/>
              <w:start w:w="80" w:type="dxa"/>
              <w:bottom w:w="70" w:type="dxa"/>
              <w:end w:w="80" w:type="dxa"/>
            </w:tcMar>
            <w:shd w:fill="FFFFFF"/>
          </w:tcPr>
          <w:p>
            <w:pPr>
              <w:pStyle w:val="Compact"/>
              <w:jc w:val="left"/>
            </w:pPr>
            <w:r>
              <w:rPr>
                <w:rFonts w:ascii="Arial" w:hAnsi="Arial" w:eastAsia="Arial"/>
                <w:sz w:val="16"/>
              </w:rPr>
              <w:t>I_prop := I_dir</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QUICK mode</w:t>
            </w:r>
          </w:p>
        </w:tc>
        <w:tc>
          <w:tcPr>
            <w:vAlign w:val="top"/>
            <w:tcMar>
              <w:top w:w="70" w:type="dxa"/>
              <w:start w:w="80" w:type="dxa"/>
              <w:bottom w:w="70" w:type="dxa"/>
              <w:end w:w="80" w:type="dxa"/>
            </w:tcMar>
            <w:shd w:fill="D9EAF7"/>
          </w:tcPr>
          <w:p>
            <w:pPr>
              <w:pStyle w:val="Compact"/>
              <w:jc w:val="left"/>
            </w:pPr>
            <w:r>
              <w:rPr>
                <w:rFonts w:ascii="Arial" w:hAnsi="Arial" w:eastAsia="Arial"/>
                <w:sz w:val="16"/>
              </w:rPr>
              <w:t>Ĩ_prop = I_dir + K × I_dir, then saturate</w:t>
            </w:r>
          </w:p>
        </w:tc>
      </w:tr>
    </w:tbl>
    <w:p>
      <w:pPr>
        <w:pStyle w:val="BodyText"/>
      </w:pPr>
      <w:r>
        <w:t>Stream note (Normative). Kernel propagation applies per stream x∈{base, welfare} as specified in Appendix B. In Appendix A, the symbols I_dir, Ĩ_prop, and I_prop may be used as shorthand for their stream-specific forms I_dir,x, Ĩ_prop,x, and I_prop,x. Admissibility computation uses the Base stream (h_k:=1); RLS uses the Welfare stream with the governed welfare-inclusion hypothesis set carried through robust sensitivity analysis.</w:t>
      </w:r>
    </w:p>
    <w:bookmarkEnd w:id="330"/>
    <w:bookmarkStart w:id="331" w:name="a9-rights-and-constraints"/>
    <w:p>
      <w:pPr>
        <w:pStyle w:val="Heading2"/>
      </w:pPr>
      <w:r>
        <w:t>A.9 Rights and Constraints</w:t>
      </w:r>
    </w:p>
    <w:tbl>
      <w:tblPr>
        <w:tblStyle w:val="Table"/>
        <w:tblW w:type="auto" w:w="0"/>
        <w:jc w:val="center"/>
        <w:tblLook w:firstRow="1" w:lastRow="0" w:firstColumn="0" w:lastColumn="0" w:noHBand="0" w:noVBand="0" w:val="0020"/>
      </w:tblPr>
      <w:tblGrid>
        <w:gridCol w:w="3960"/>
        <w:gridCol w:w="3960"/>
      </w:tblGrid>
      <w:tr>
        <w:trPr>
          <w:tblHeader w:val="on"/>
          <w:tblHeader w:val="true"/>
          <w:cantSplit/>
        </w:trPr>
        <w:tc>
          <w:tcPr>
            <w:vAlign w:val="top"/>
            <w:tcMar>
              <w:top w:w="70" w:type="dxa"/>
              <w:start w:w="80" w:type="dxa"/>
              <w:bottom w:w="70" w:type="dxa"/>
              <w:end w:w="80" w:type="dxa"/>
            </w:tcMar>
            <w:shd w:fill="1F4E78"/>
          </w:tcPr>
          <w:p>
            <w:pPr>
              <w:pStyle w:val="Compact"/>
              <w:jc w:val="left"/>
            </w:pPr>
            <w:r>
              <w:rPr>
                <w:rFonts w:ascii="Arial" w:hAnsi="Arial" w:eastAsia="Arial"/>
                <w:b/>
                <w:bCs/>
                <w:color w:val="FFFFFF"/>
                <w:sz w:val="16"/>
              </w:rPr>
              <w:t>Symbol</w:t>
            </w:r>
          </w:p>
        </w:tc>
        <w:tc>
          <w:tcPr>
            <w:vAlign w:val="top"/>
            <w:tcMar>
              <w:top w:w="70" w:type="dxa"/>
              <w:start w:w="80" w:type="dxa"/>
              <w:bottom w:w="70" w:type="dxa"/>
              <w:end w:w="80" w:type="dxa"/>
            </w:tcMar>
            <w:shd w:fill="1F4E78"/>
          </w:tcPr>
          <w:p>
            <w:pPr>
              <w:pStyle w:val="Compact"/>
              <w:jc w:val="left"/>
            </w:pPr>
            <w:r>
              <w:rPr>
                <w:rFonts w:ascii="Arial" w:hAnsi="Arial" w:eastAsia="Arial"/>
                <w:b/>
                <w:bCs/>
                <w:color w:val="FFFFFF"/>
                <w:sz w:val="16"/>
              </w:rPr>
              <w:t>Meaning</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θ_r</w:t>
            </w:r>
          </w:p>
        </w:tc>
        <w:tc>
          <w:tcPr>
            <w:vAlign w:val="top"/>
            <w:tcMar>
              <w:top w:w="70" w:type="dxa"/>
              <w:start w:w="80" w:type="dxa"/>
              <w:bottom w:w="70" w:type="dxa"/>
              <w:end w:w="80" w:type="dxa"/>
            </w:tcMar>
            <w:shd w:fill="D9EAF7"/>
          </w:tcPr>
          <w:p>
            <w:pPr>
              <w:pStyle w:val="Compact"/>
              <w:jc w:val="left"/>
            </w:pPr>
            <w:r>
              <w:rPr>
                <w:rFonts w:ascii="Arial" w:hAnsi="Arial" w:eastAsia="Arial"/>
                <w:sz w:val="16"/>
              </w:rPr>
              <w:t>Rights threshold for right r</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v_r(a)</w:t>
            </w:r>
          </w:p>
        </w:tc>
        <w:tc>
          <w:tcPr>
            <w:vAlign w:val="top"/>
            <w:tcMar>
              <w:top w:w="70" w:type="dxa"/>
              <w:start w:w="80" w:type="dxa"/>
              <w:bottom w:w="70" w:type="dxa"/>
              <w:end w:w="80" w:type="dxa"/>
            </w:tcMar>
            <w:shd w:fill="FFFFFF"/>
          </w:tcPr>
          <w:p>
            <w:pPr>
              <w:pStyle w:val="Compact"/>
              <w:jc w:val="left"/>
            </w:pPr>
            <w:r>
              <w:rPr>
                <w:rFonts w:ascii="Arial" w:hAnsi="Arial" w:eastAsia="Arial"/>
                <w:sz w:val="16"/>
              </w:rPr>
              <w:t>Violation depth for right r under option a</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NCRC(a)</w:t>
            </w:r>
          </w:p>
        </w:tc>
        <w:tc>
          <w:tcPr>
            <w:vAlign w:val="top"/>
            <w:tcMar>
              <w:top w:w="70" w:type="dxa"/>
              <w:start w:w="80" w:type="dxa"/>
              <w:bottom w:w="70" w:type="dxa"/>
              <w:end w:w="80" w:type="dxa"/>
            </w:tcMar>
            <w:shd w:fill="D9EAF7"/>
          </w:tcPr>
          <w:p>
            <w:pPr>
              <w:pStyle w:val="Compact"/>
              <w:jc w:val="left"/>
            </w:pPr>
            <w:r>
              <w:rPr>
                <w:rFonts w:ascii="Arial" w:hAnsi="Arial" w:eastAsia="Arial"/>
                <w:sz w:val="16"/>
              </w:rPr>
              <w:t>Rights admissibility predicate</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TRC(a)</w:t>
            </w:r>
          </w:p>
        </w:tc>
        <w:tc>
          <w:tcPr>
            <w:vAlign w:val="top"/>
            <w:tcMar>
              <w:top w:w="70" w:type="dxa"/>
              <w:start w:w="80" w:type="dxa"/>
              <w:bottom w:w="70" w:type="dxa"/>
              <w:end w:w="80" w:type="dxa"/>
            </w:tcMar>
            <w:shd w:fill="FFFFFF"/>
          </w:tcPr>
          <w:p>
            <w:pPr>
              <w:pStyle w:val="Compact"/>
              <w:jc w:val="left"/>
            </w:pPr>
            <w:r>
              <w:rPr>
                <w:rFonts w:ascii="Arial" w:hAnsi="Arial" w:eastAsia="Arial"/>
                <w:sz w:val="16"/>
              </w:rPr>
              <w:t>Tail-risk admissibility predicate</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τ_TRC</w:t>
            </w:r>
          </w:p>
        </w:tc>
        <w:tc>
          <w:tcPr>
            <w:vAlign w:val="top"/>
            <w:tcMar>
              <w:top w:w="70" w:type="dxa"/>
              <w:start w:w="80" w:type="dxa"/>
              <w:bottom w:w="70" w:type="dxa"/>
              <w:end w:w="80" w:type="dxa"/>
            </w:tcMar>
            <w:shd w:fill="D9EAF7"/>
          </w:tcPr>
          <w:p>
            <w:pPr>
              <w:pStyle w:val="Compact"/>
              <w:jc w:val="left"/>
            </w:pPr>
            <w:r>
              <w:rPr>
                <w:rFonts w:ascii="Arial" w:hAnsi="Arial" w:eastAsia="Arial"/>
                <w:sz w:val="16"/>
              </w:rPr>
              <w:t>TRC corridor threshold</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α</w:t>
            </w:r>
          </w:p>
        </w:tc>
        <w:tc>
          <w:tcPr>
            <w:vAlign w:val="top"/>
            <w:tcMar>
              <w:top w:w="70" w:type="dxa"/>
              <w:start w:w="80" w:type="dxa"/>
              <w:bottom w:w="70" w:type="dxa"/>
              <w:end w:w="80" w:type="dxa"/>
            </w:tcMar>
            <w:shd w:fill="FFFFFF"/>
          </w:tcPr>
          <w:p>
            <w:pPr>
              <w:pStyle w:val="Compact"/>
              <w:jc w:val="left"/>
            </w:pPr>
            <w:r>
              <w:rPr>
                <w:rFonts w:ascii="Arial" w:hAnsi="Arial" w:eastAsia="Arial"/>
                <w:sz w:val="16"/>
              </w:rPr>
              <w:t>CVaR tail level ∈ (0, 1)</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CVaR_α[L(a)]</w:t>
            </w:r>
          </w:p>
        </w:tc>
        <w:tc>
          <w:tcPr>
            <w:vAlign w:val="top"/>
            <w:tcMar>
              <w:top w:w="70" w:type="dxa"/>
              <w:start w:w="80" w:type="dxa"/>
              <w:bottom w:w="70" w:type="dxa"/>
              <w:end w:w="80" w:type="dxa"/>
            </w:tcMar>
            <w:shd w:fill="D9EAF7"/>
          </w:tcPr>
          <w:p>
            <w:pPr>
              <w:pStyle w:val="Compact"/>
              <w:jc w:val="left"/>
            </w:pPr>
            <w:r>
              <w:rPr>
                <w:rFonts w:ascii="Arial" w:hAnsi="Arial" w:eastAsia="Arial"/>
                <w:sz w:val="16"/>
              </w:rPr>
              <w:t>Conditional Value-at-Risk for loss distribution of option a</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θ_pos</w:t>
            </w:r>
          </w:p>
        </w:tc>
        <w:tc>
          <w:tcPr>
            <w:vAlign w:val="top"/>
            <w:tcMar>
              <w:top w:w="70" w:type="dxa"/>
              <w:start w:w="80" w:type="dxa"/>
              <w:bottom w:w="70" w:type="dxa"/>
              <w:end w:w="80" w:type="dxa"/>
            </w:tcMar>
            <w:shd w:fill="FFFFFF"/>
          </w:tcPr>
          <w:p>
            <w:pPr>
              <w:pStyle w:val="Compact"/>
              <w:jc w:val="left"/>
            </w:pPr>
            <w:r>
              <w:rPr>
                <w:rFonts w:ascii="Arial" w:hAnsi="Arial" w:eastAsia="Arial"/>
                <w:sz w:val="16"/>
              </w:rPr>
              <w:t>Positive impact threshold (containment trigger), default 0.05</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τ_c</w:t>
            </w:r>
          </w:p>
        </w:tc>
        <w:tc>
          <w:tcPr>
            <w:vAlign w:val="top"/>
            <w:tcMar>
              <w:top w:w="70" w:type="dxa"/>
              <w:start w:w="80" w:type="dxa"/>
              <w:bottom w:w="70" w:type="dxa"/>
              <w:end w:w="80" w:type="dxa"/>
            </w:tcMar>
            <w:shd w:fill="D9EAF7"/>
          </w:tcPr>
          <w:p>
            <w:pPr>
              <w:pStyle w:val="Compact"/>
              <w:jc w:val="left"/>
            </w:pPr>
            <w:r>
              <w:rPr>
                <w:rFonts w:ascii="Arial" w:hAnsi="Arial" w:eastAsia="Arial"/>
                <w:sz w:val="16"/>
              </w:rPr>
              <w:t>Containment tolerance threshold, default -0.10</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D_c</w:t>
            </w:r>
          </w:p>
        </w:tc>
        <w:tc>
          <w:tcPr>
            <w:vAlign w:val="top"/>
            <w:tcMar>
              <w:top w:w="70" w:type="dxa"/>
              <w:start w:w="80" w:type="dxa"/>
              <w:bottom w:w="70" w:type="dxa"/>
              <w:end w:w="80" w:type="dxa"/>
            </w:tcMar>
            <w:shd w:fill="FFFFFF"/>
          </w:tcPr>
          <w:p>
            <w:pPr>
              <w:pStyle w:val="Compact"/>
              <w:jc w:val="left"/>
            </w:pPr>
            <w:r>
              <w:rPr>
                <w:rFonts w:ascii="Arial" w:hAnsi="Arial" w:eastAsia="Arial"/>
                <w:sz w:val="16"/>
              </w:rPr>
              <w:t>Containment ancestor depth, default 2</w:t>
            </w:r>
          </w:p>
        </w:tc>
      </w:tr>
    </w:tbl>
    <w:bookmarkEnd w:id="331"/>
    <w:bookmarkStart w:id="332" w:name="a10-scoring-and-uncertainty"/>
    <w:p>
      <w:pPr>
        <w:pStyle w:val="Heading2"/>
      </w:pPr>
      <w:r>
        <w:t>A.10 Scoring and Uncertainty</w:t>
      </w:r>
    </w:p>
    <w:tbl>
      <w:tblPr>
        <w:tblStyle w:val="Table"/>
        <w:tblW w:type="auto" w:w="0"/>
        <w:jc w:val="center"/>
        <w:tblLook w:firstRow="1" w:lastRow="0" w:firstColumn="0" w:lastColumn="0" w:noHBand="0" w:noVBand="0" w:val="0020"/>
      </w:tblPr>
      <w:tblGrid>
        <w:gridCol w:w="3960"/>
        <w:gridCol w:w="3960"/>
      </w:tblGrid>
      <w:tr>
        <w:trPr>
          <w:tblHeader w:val="on"/>
          <w:tblHeader w:val="true"/>
          <w:cantSplit/>
        </w:trPr>
        <w:tc>
          <w:tcPr>
            <w:vAlign w:val="top"/>
            <w:tcMar>
              <w:top w:w="70" w:type="dxa"/>
              <w:start w:w="80" w:type="dxa"/>
              <w:bottom w:w="70" w:type="dxa"/>
              <w:end w:w="80" w:type="dxa"/>
            </w:tcMar>
            <w:shd w:fill="1F4E78"/>
          </w:tcPr>
          <w:p>
            <w:pPr>
              <w:pStyle w:val="Compact"/>
              <w:jc w:val="left"/>
            </w:pPr>
            <w:r>
              <w:rPr>
                <w:rFonts w:ascii="Arial" w:hAnsi="Arial" w:eastAsia="Arial"/>
                <w:b/>
                <w:bCs/>
                <w:color w:val="FFFFFF"/>
                <w:sz w:val="16"/>
              </w:rPr>
              <w:t>Symbol</w:t>
            </w:r>
          </w:p>
        </w:tc>
        <w:tc>
          <w:tcPr>
            <w:vAlign w:val="top"/>
            <w:tcMar>
              <w:top w:w="70" w:type="dxa"/>
              <w:start w:w="80" w:type="dxa"/>
              <w:bottom w:w="70" w:type="dxa"/>
              <w:end w:w="80" w:type="dxa"/>
            </w:tcMar>
            <w:shd w:fill="1F4E78"/>
          </w:tcPr>
          <w:p>
            <w:pPr>
              <w:pStyle w:val="Compact"/>
              <w:jc w:val="left"/>
            </w:pPr>
            <w:r>
              <w:rPr>
                <w:rFonts w:ascii="Arial" w:hAnsi="Arial" w:eastAsia="Arial"/>
                <w:b/>
                <w:bCs/>
                <w:color w:val="FFFFFF"/>
                <w:sz w:val="16"/>
              </w:rPr>
              <w:t>Meaning</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w_u</w:t>
            </w:r>
          </w:p>
        </w:tc>
        <w:tc>
          <w:tcPr>
            <w:vAlign w:val="top"/>
            <w:tcMar>
              <w:top w:w="70" w:type="dxa"/>
              <w:start w:w="80" w:type="dxa"/>
              <w:bottom w:w="70" w:type="dxa"/>
              <w:end w:w="80" w:type="dxa"/>
            </w:tcMar>
            <w:shd w:fill="D9EAF7"/>
          </w:tcPr>
          <w:p>
            <w:pPr>
              <w:pStyle w:val="Compact"/>
              <w:jc w:val="left"/>
            </w:pPr>
            <w:r>
              <w:rPr>
                <w:rFonts w:ascii="Arial" w:hAnsi="Arial" w:eastAsia="Arial"/>
                <w:sz w:val="16"/>
              </w:rPr>
              <w:t>Union weight (w_u ≥ 0, Σ_u w_u = 1)</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v_d</w:t>
            </w:r>
          </w:p>
        </w:tc>
        <w:tc>
          <w:tcPr>
            <w:vAlign w:val="top"/>
            <w:tcMar>
              <w:top w:w="70" w:type="dxa"/>
              <w:start w:w="80" w:type="dxa"/>
              <w:bottom w:w="70" w:type="dxa"/>
              <w:end w:w="80" w:type="dxa"/>
            </w:tcMar>
            <w:shd w:fill="FFFFFF"/>
          </w:tcPr>
          <w:p>
            <w:pPr>
              <w:pStyle w:val="Compact"/>
              <w:jc w:val="left"/>
            </w:pPr>
            <w:r>
              <w:rPr>
                <w:rFonts w:ascii="Arial" w:hAnsi="Arial" w:eastAsia="Arial"/>
                <w:sz w:val="16"/>
              </w:rPr>
              <w:t>Dimension weight (v_d ≥ 0, Σ_d v_d = 1)</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m(u,d)</w:t>
            </w:r>
          </w:p>
        </w:tc>
        <w:tc>
          <w:tcPr>
            <w:vAlign w:val="top"/>
            <w:tcMar>
              <w:top w:w="70" w:type="dxa"/>
              <w:start w:w="80" w:type="dxa"/>
              <w:bottom w:w="70" w:type="dxa"/>
              <w:end w:w="80" w:type="dxa"/>
            </w:tcMar>
            <w:shd w:fill="D9EAF7"/>
          </w:tcPr>
          <w:p>
            <w:pPr>
              <w:pStyle w:val="Compact"/>
              <w:jc w:val="left"/>
            </w:pPr>
            <w:r>
              <w:rPr>
                <w:rFonts w:ascii="Arial" w:hAnsi="Arial" w:eastAsia="Arial"/>
                <w:sz w:val="16"/>
              </w:rPr>
              <w:t>Applicability mask for RLS only ∈ {0, 1}</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κ(u,d)</w:t>
            </w:r>
          </w:p>
        </w:tc>
        <w:tc>
          <w:tcPr>
            <w:vAlign w:val="top"/>
            <w:tcMar>
              <w:top w:w="70" w:type="dxa"/>
              <w:start w:w="80" w:type="dxa"/>
              <w:bottom w:w="70" w:type="dxa"/>
              <w:end w:w="80" w:type="dxa"/>
            </w:tcMar>
            <w:shd w:fill="FFFFFF"/>
          </w:tcPr>
          <w:p>
            <w:pPr>
              <w:pStyle w:val="Compact"/>
              <w:jc w:val="left"/>
            </w:pPr>
            <w:r>
              <w:rPr>
                <w:rFonts w:ascii="Arial" w:hAnsi="Arial" w:eastAsia="Arial"/>
                <w:sz w:val="16"/>
              </w:rPr>
              <w:t>Cell multiplier for RLS, default 1</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RLS(a)</w:t>
            </w:r>
          </w:p>
        </w:tc>
        <w:tc>
          <w:tcPr>
            <w:vAlign w:val="top"/>
            <w:tcMar>
              <w:top w:w="70" w:type="dxa"/>
              <w:start w:w="80" w:type="dxa"/>
              <w:bottom w:w="70" w:type="dxa"/>
              <w:end w:w="80" w:type="dxa"/>
            </w:tcMar>
            <w:shd w:fill="D9EAF7"/>
          </w:tcPr>
          <w:p>
            <w:pPr>
              <w:pStyle w:val="Compact"/>
              <w:jc w:val="left"/>
            </w:pPr>
            <w:r>
              <w:rPr>
                <w:rFonts w:ascii="Arial" w:hAnsi="Arial" w:eastAsia="Arial"/>
                <w:sz w:val="16"/>
              </w:rPr>
              <w:t>RippleLogic Score</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σ(u,d,a)</w:t>
            </w:r>
          </w:p>
        </w:tc>
        <w:tc>
          <w:tcPr>
            <w:vAlign w:val="top"/>
            <w:tcMar>
              <w:top w:w="70" w:type="dxa"/>
              <w:start w:w="80" w:type="dxa"/>
              <w:bottom w:w="70" w:type="dxa"/>
              <w:end w:w="80" w:type="dxa"/>
            </w:tcMar>
            <w:shd w:fill="FFFFFF"/>
          </w:tcPr>
          <w:p>
            <w:pPr>
              <w:pStyle w:val="Compact"/>
              <w:jc w:val="left"/>
            </w:pPr>
            <w:r>
              <w:rPr>
                <w:rFonts w:ascii="Arial" w:hAnsi="Arial" w:eastAsia="Arial"/>
                <w:sz w:val="16"/>
              </w:rPr>
              <w:t>Cell-level uncertainty proxy</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σ_RLS(a)</w:t>
            </w:r>
          </w:p>
        </w:tc>
        <w:tc>
          <w:tcPr>
            <w:vAlign w:val="top"/>
            <w:tcMar>
              <w:top w:w="70" w:type="dxa"/>
              <w:start w:w="80" w:type="dxa"/>
              <w:bottom w:w="70" w:type="dxa"/>
              <w:end w:w="80" w:type="dxa"/>
            </w:tcMar>
            <w:shd w:fill="D9EAF7"/>
          </w:tcPr>
          <w:p>
            <w:pPr>
              <w:pStyle w:val="Compact"/>
              <w:jc w:val="left"/>
            </w:pPr>
            <w:r>
              <w:rPr>
                <w:rFonts w:ascii="Arial" w:hAnsi="Arial" w:eastAsia="Arial"/>
                <w:sz w:val="16"/>
              </w:rPr>
              <w:t>RLS uncertainty proxy</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δ</w:t>
            </w:r>
          </w:p>
        </w:tc>
        <w:tc>
          <w:tcPr>
            <w:vAlign w:val="top"/>
            <w:tcMar>
              <w:top w:w="70" w:type="dxa"/>
              <w:start w:w="80" w:type="dxa"/>
              <w:bottom w:w="70" w:type="dxa"/>
              <w:end w:w="80" w:type="dxa"/>
            </w:tcMar>
            <w:shd w:fill="FFFFFF"/>
          </w:tcPr>
          <w:p>
            <w:pPr>
              <w:pStyle w:val="Compact"/>
              <w:jc w:val="left"/>
            </w:pPr>
            <w:r>
              <w:rPr>
                <w:rFonts w:ascii="Arial" w:hAnsi="Arial" w:eastAsia="Arial"/>
                <w:sz w:val="16"/>
              </w:rPr>
              <w:t>Discrimination threshold for decisive lead, default 2</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ε</w:t>
            </w:r>
          </w:p>
        </w:tc>
        <w:tc>
          <w:tcPr>
            <w:vAlign w:val="top"/>
            <w:tcMar>
              <w:top w:w="70" w:type="dxa"/>
              <w:start w:w="80" w:type="dxa"/>
              <w:bottom w:w="70" w:type="dxa"/>
              <w:end w:w="80" w:type="dxa"/>
            </w:tcMar>
            <w:shd w:fill="D9EAF7"/>
          </w:tcPr>
          <w:p>
            <w:pPr>
              <w:pStyle w:val="Compact"/>
              <w:jc w:val="left"/>
            </w:pPr>
            <w:r>
              <w:rPr>
                <w:rFonts w:ascii="Arial" w:hAnsi="Arial" w:eastAsia="Arial"/>
                <w:sz w:val="16"/>
              </w:rPr>
              <w:t>Stabilizer in Gap computation, default 10⁻⁶</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λ</w:t>
            </w:r>
          </w:p>
        </w:tc>
        <w:tc>
          <w:tcPr>
            <w:vAlign w:val="top"/>
            <w:tcMar>
              <w:top w:w="70" w:type="dxa"/>
              <w:start w:w="80" w:type="dxa"/>
              <w:bottom w:w="70" w:type="dxa"/>
              <w:end w:w="80" w:type="dxa"/>
            </w:tcMar>
            <w:shd w:fill="FFFFFF"/>
          </w:tcPr>
          <w:p>
            <w:pPr>
              <w:pStyle w:val="Compact"/>
              <w:jc w:val="left"/>
            </w:pPr>
            <w:r>
              <w:rPr>
                <w:rFonts w:ascii="Arial" w:hAnsi="Arial" w:eastAsia="Arial"/>
                <w:sz w:val="16"/>
              </w:rPr>
              <w:t>Risk-aversion coefficient for RLS_adj, default 0.5</w:t>
            </w:r>
          </w:p>
        </w:tc>
      </w:tr>
    </w:tbl>
    <w:bookmarkEnd w:id="332"/>
    <w:bookmarkStart w:id="333" w:name="a11-structural-metrics"/>
    <w:p>
      <w:pPr>
        <w:pStyle w:val="Heading2"/>
      </w:pPr>
      <w:r>
        <w:t>A.11 Structural Metrics</w:t>
      </w:r>
    </w:p>
    <w:tbl>
      <w:tblPr>
        <w:tblStyle w:val="Table"/>
        <w:tblW w:type="auto" w:w="0"/>
        <w:jc w:val="center"/>
        <w:tblLook w:firstRow="1" w:lastRow="0" w:firstColumn="0" w:lastColumn="0" w:noHBand="0" w:noVBand="0" w:val="0020"/>
      </w:tblPr>
      <w:tblGrid>
        <w:gridCol w:w="3960"/>
        <w:gridCol w:w="3960"/>
      </w:tblGrid>
      <w:tr>
        <w:trPr>
          <w:tblHeader w:val="on"/>
          <w:tblHeader w:val="true"/>
          <w:cantSplit/>
        </w:trPr>
        <w:tc>
          <w:tcPr>
            <w:vAlign w:val="top"/>
            <w:tcMar>
              <w:top w:w="70" w:type="dxa"/>
              <w:start w:w="80" w:type="dxa"/>
              <w:bottom w:w="70" w:type="dxa"/>
              <w:end w:w="80" w:type="dxa"/>
            </w:tcMar>
            <w:shd w:fill="1F4E78"/>
          </w:tcPr>
          <w:p>
            <w:pPr>
              <w:pStyle w:val="Compact"/>
              <w:jc w:val="left"/>
            </w:pPr>
            <w:r>
              <w:rPr>
                <w:rFonts w:ascii="Arial" w:hAnsi="Arial" w:eastAsia="Arial"/>
                <w:b/>
                <w:bCs/>
                <w:color w:val="FFFFFF"/>
                <w:sz w:val="16"/>
              </w:rPr>
              <w:t>Symbol</w:t>
            </w:r>
          </w:p>
        </w:tc>
        <w:tc>
          <w:tcPr>
            <w:vAlign w:val="top"/>
            <w:tcMar>
              <w:top w:w="70" w:type="dxa"/>
              <w:start w:w="80" w:type="dxa"/>
              <w:bottom w:w="70" w:type="dxa"/>
              <w:end w:w="80" w:type="dxa"/>
            </w:tcMar>
            <w:shd w:fill="1F4E78"/>
          </w:tcPr>
          <w:p>
            <w:pPr>
              <w:pStyle w:val="Compact"/>
              <w:jc w:val="left"/>
            </w:pPr>
            <w:r>
              <w:rPr>
                <w:rFonts w:ascii="Arial" w:hAnsi="Arial" w:eastAsia="Arial"/>
                <w:b/>
                <w:bCs/>
                <w:color w:val="FFFFFF"/>
                <w:sz w:val="16"/>
              </w:rPr>
              <w:t>Meaning</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UCI_u</w:t>
            </w:r>
          </w:p>
        </w:tc>
        <w:tc>
          <w:tcPr>
            <w:vAlign w:val="top"/>
            <w:tcMar>
              <w:top w:w="70" w:type="dxa"/>
              <w:start w:w="80" w:type="dxa"/>
              <w:bottom w:w="70" w:type="dxa"/>
              <w:end w:w="80" w:type="dxa"/>
            </w:tcMar>
            <w:shd w:fill="D9EAF7"/>
          </w:tcPr>
          <w:p>
            <w:pPr>
              <w:pStyle w:val="Compact"/>
              <w:jc w:val="left"/>
            </w:pPr>
            <w:r>
              <w:rPr>
                <w:rFonts w:ascii="Arial" w:hAnsi="Arial" w:eastAsia="Arial"/>
                <w:sz w:val="16"/>
              </w:rPr>
              <w:t>Union Coherence Index for union u ∈ [0, 1]</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ΔUCI_u(a)</w:t>
            </w:r>
          </w:p>
        </w:tc>
        <w:tc>
          <w:tcPr>
            <w:vAlign w:val="top"/>
            <w:tcMar>
              <w:top w:w="70" w:type="dxa"/>
              <w:start w:w="80" w:type="dxa"/>
              <w:bottom w:w="70" w:type="dxa"/>
              <w:end w:w="80" w:type="dxa"/>
            </w:tcMar>
            <w:shd w:fill="FFFFFF"/>
          </w:tcPr>
          <w:p>
            <w:pPr>
              <w:pStyle w:val="Compact"/>
              <w:jc w:val="left"/>
            </w:pPr>
            <w:r>
              <w:rPr>
                <w:rFonts w:ascii="Arial" w:hAnsi="Arial" w:eastAsia="Arial"/>
                <w:sz w:val="16"/>
              </w:rPr>
              <w:t>Coherence change under option a = UCI_u(a) − UCI_u(baseline)</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HOI_t</w:t>
            </w:r>
          </w:p>
        </w:tc>
        <w:tc>
          <w:tcPr>
            <w:vAlign w:val="top"/>
            <w:tcMar>
              <w:top w:w="70" w:type="dxa"/>
              <w:start w:w="80" w:type="dxa"/>
              <w:bottom w:w="70" w:type="dxa"/>
              <w:end w:w="80" w:type="dxa"/>
            </w:tcMar>
            <w:shd w:fill="D9EAF7"/>
          </w:tcPr>
          <w:p>
            <w:pPr>
              <w:pStyle w:val="Compact"/>
              <w:jc w:val="left"/>
            </w:pPr>
            <w:r>
              <w:rPr>
                <w:rFonts w:ascii="Arial" w:hAnsi="Arial" w:eastAsia="Arial"/>
                <w:sz w:val="16"/>
              </w:rPr>
              <w:t>Hollowing-Out Index at time t</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H_u</w:t>
            </w:r>
          </w:p>
        </w:tc>
        <w:tc>
          <w:tcPr>
            <w:vAlign w:val="top"/>
            <w:tcMar>
              <w:top w:w="70" w:type="dxa"/>
              <w:start w:w="80" w:type="dxa"/>
              <w:bottom w:w="70" w:type="dxa"/>
              <w:end w:w="80" w:type="dxa"/>
            </w:tcMar>
            <w:shd w:fill="FFFFFF"/>
          </w:tcPr>
          <w:p>
            <w:pPr>
              <w:pStyle w:val="Compact"/>
              <w:jc w:val="left"/>
            </w:pPr>
            <w:r>
              <w:rPr>
                <w:rFonts w:ascii="Arial" w:hAnsi="Arial" w:eastAsia="Arial"/>
                <w:sz w:val="16"/>
              </w:rPr>
              <w:t>Cohesion component of UCI</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F_u</w:t>
            </w:r>
          </w:p>
        </w:tc>
        <w:tc>
          <w:tcPr>
            <w:vAlign w:val="top"/>
            <w:tcMar>
              <w:top w:w="70" w:type="dxa"/>
              <w:start w:w="80" w:type="dxa"/>
              <w:bottom w:w="70" w:type="dxa"/>
              <w:end w:w="80" w:type="dxa"/>
            </w:tcMar>
            <w:shd w:fill="D9EAF7"/>
          </w:tcPr>
          <w:p>
            <w:pPr>
              <w:pStyle w:val="Compact"/>
              <w:jc w:val="left"/>
            </w:pPr>
            <w:r>
              <w:rPr>
                <w:rFonts w:ascii="Arial" w:hAnsi="Arial" w:eastAsia="Arial"/>
                <w:sz w:val="16"/>
              </w:rPr>
              <w:t>Flow component of UCI</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R_u</w:t>
            </w:r>
          </w:p>
        </w:tc>
        <w:tc>
          <w:tcPr>
            <w:vAlign w:val="top"/>
            <w:tcMar>
              <w:top w:w="70" w:type="dxa"/>
              <w:start w:w="80" w:type="dxa"/>
              <w:bottom w:w="70" w:type="dxa"/>
              <w:end w:w="80" w:type="dxa"/>
            </w:tcMar>
            <w:shd w:fill="FFFFFF"/>
          </w:tcPr>
          <w:p>
            <w:pPr>
              <w:pStyle w:val="Compact"/>
              <w:jc w:val="left"/>
            </w:pPr>
            <w:r>
              <w:rPr>
                <w:rFonts w:ascii="Arial" w:hAnsi="Arial" w:eastAsia="Arial"/>
                <w:sz w:val="16"/>
              </w:rPr>
              <w:t>Resilience component of UCI</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E_u</w:t>
            </w:r>
          </w:p>
        </w:tc>
        <w:tc>
          <w:tcPr>
            <w:vAlign w:val="top"/>
            <w:tcMar>
              <w:top w:w="70" w:type="dxa"/>
              <w:start w:w="80" w:type="dxa"/>
              <w:bottom w:w="70" w:type="dxa"/>
              <w:end w:w="80" w:type="dxa"/>
            </w:tcMar>
            <w:shd w:fill="D9EAF7"/>
          </w:tcPr>
          <w:p>
            <w:pPr>
              <w:pStyle w:val="Compact"/>
              <w:jc w:val="left"/>
            </w:pPr>
            <w:r>
              <w:rPr>
                <w:rFonts w:ascii="Arial" w:hAnsi="Arial" w:eastAsia="Arial"/>
                <w:sz w:val="16"/>
              </w:rPr>
              <w:t>Equity component of UCI; NA where genuinely inapplicable, UNKNOWN where applicable evidence is missing</w:t>
            </w:r>
          </w:p>
        </w:tc>
      </w:tr>
    </w:tbl>
    <w:bookmarkEnd w:id="333"/>
    <w:bookmarkStart w:id="334" w:name="a12-audit-artifacts"/>
    <w:p>
      <w:pPr>
        <w:pStyle w:val="Heading2"/>
      </w:pPr>
      <w:r>
        <w:t>A.12 Audit Artifacts</w:t>
      </w:r>
    </w:p>
    <w:tbl>
      <w:tblPr>
        <w:tblStyle w:val="Table"/>
        <w:tblW w:type="auto" w:w="0"/>
        <w:jc w:val="center"/>
        <w:tblLook w:firstRow="1" w:lastRow="0" w:firstColumn="0" w:lastColumn="0" w:noHBand="0" w:noVBand="0" w:val="0020"/>
      </w:tblPr>
      <w:tblGrid>
        <w:gridCol w:w="3960"/>
        <w:gridCol w:w="3960"/>
      </w:tblGrid>
      <w:tr>
        <w:trPr>
          <w:tblHeader w:val="on"/>
          <w:tblHeader w:val="true"/>
          <w:cantSplit/>
        </w:trPr>
        <w:tc>
          <w:tcPr>
            <w:vAlign w:val="top"/>
            <w:tcMar>
              <w:top w:w="70" w:type="dxa"/>
              <w:start w:w="80" w:type="dxa"/>
              <w:bottom w:w="70" w:type="dxa"/>
              <w:end w:w="80" w:type="dxa"/>
            </w:tcMar>
            <w:shd w:fill="1F4E78"/>
          </w:tcPr>
          <w:p>
            <w:pPr>
              <w:pStyle w:val="Compact"/>
              <w:jc w:val="left"/>
            </w:pPr>
            <w:r>
              <w:rPr>
                <w:rFonts w:ascii="Arial" w:hAnsi="Arial" w:eastAsia="Arial"/>
                <w:b/>
                <w:bCs/>
                <w:color w:val="FFFFFF"/>
                <w:sz w:val="16"/>
              </w:rPr>
              <w:t>Symbol</w:t>
            </w:r>
          </w:p>
        </w:tc>
        <w:tc>
          <w:tcPr>
            <w:vAlign w:val="top"/>
            <w:tcMar>
              <w:top w:w="70" w:type="dxa"/>
              <w:start w:w="80" w:type="dxa"/>
              <w:bottom w:w="70" w:type="dxa"/>
              <w:end w:w="80" w:type="dxa"/>
            </w:tcMar>
            <w:shd w:fill="1F4E78"/>
          </w:tcPr>
          <w:p>
            <w:pPr>
              <w:pStyle w:val="Compact"/>
              <w:jc w:val="left"/>
            </w:pPr>
            <w:r>
              <w:rPr>
                <w:rFonts w:ascii="Arial" w:hAnsi="Arial" w:eastAsia="Arial"/>
                <w:b/>
                <w:bCs/>
                <w:color w:val="FFFFFF"/>
                <w:sz w:val="16"/>
              </w:rPr>
              <w:t>Meaning</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PCC</w:t>
            </w:r>
          </w:p>
        </w:tc>
        <w:tc>
          <w:tcPr>
            <w:vAlign w:val="top"/>
            <w:tcMar>
              <w:top w:w="70" w:type="dxa"/>
              <w:start w:w="80" w:type="dxa"/>
              <w:bottom w:w="70" w:type="dxa"/>
              <w:end w:w="80" w:type="dxa"/>
            </w:tcMar>
            <w:shd w:fill="D9EAF7"/>
          </w:tcPr>
          <w:p>
            <w:pPr>
              <w:pStyle w:val="Compact"/>
              <w:jc w:val="left"/>
            </w:pPr>
            <w:r>
              <w:rPr>
                <w:rFonts w:ascii="Arial" w:hAnsi="Arial" w:eastAsia="Arial"/>
                <w:sz w:val="16"/>
              </w:rPr>
              <w:t>Provenance and Compliance Certificate</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5SPR</w:t>
            </w:r>
          </w:p>
        </w:tc>
        <w:tc>
          <w:tcPr>
            <w:vAlign w:val="top"/>
            <w:tcMar>
              <w:top w:w="70" w:type="dxa"/>
              <w:start w:w="80" w:type="dxa"/>
              <w:bottom w:w="70" w:type="dxa"/>
              <w:end w:w="80" w:type="dxa"/>
            </w:tcMar>
            <w:shd w:fill="FFFFFF"/>
          </w:tcPr>
          <w:p>
            <w:pPr>
              <w:pStyle w:val="Compact"/>
              <w:jc w:val="left"/>
            </w:pPr>
            <w:r>
              <w:rPr>
                <w:rFonts w:ascii="Arial" w:hAnsi="Arial" w:eastAsia="Arial"/>
                <w:sz w:val="16"/>
              </w:rPr>
              <w:t>Five-Sentence Public Rationale</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AIL</w:t>
            </w:r>
          </w:p>
        </w:tc>
        <w:tc>
          <w:tcPr>
            <w:vAlign w:val="top"/>
            <w:tcMar>
              <w:top w:w="70" w:type="dxa"/>
              <w:start w:w="80" w:type="dxa"/>
              <w:bottom w:w="70" w:type="dxa"/>
              <w:end w:w="80" w:type="dxa"/>
            </w:tcMar>
            <w:shd w:fill="D9EAF7"/>
          </w:tcPr>
          <w:p>
            <w:pPr>
              <w:pStyle w:val="Compact"/>
              <w:jc w:val="left"/>
            </w:pPr>
            <w:r>
              <w:rPr>
                <w:rFonts w:ascii="Arial" w:hAnsi="Arial" w:eastAsia="Arial"/>
                <w:sz w:val="16"/>
              </w:rPr>
              <w:t>Artifact Integrity Law (Tier 2-3 integrity rules)</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Audit flags</w:t>
            </w:r>
          </w:p>
        </w:tc>
        <w:tc>
          <w:tcPr>
            <w:vAlign w:val="top"/>
            <w:tcMar>
              <w:top w:w="70" w:type="dxa"/>
              <w:start w:w="80" w:type="dxa"/>
              <w:bottom w:w="70" w:type="dxa"/>
              <w:end w:w="80" w:type="dxa"/>
            </w:tcMar>
            <w:shd w:fill="FFFFFF"/>
          </w:tcPr>
          <w:p>
            <w:pPr>
              <w:pStyle w:val="Compact"/>
              <w:jc w:val="left"/>
            </w:pPr>
            <w:r>
              <w:rPr>
                <w:rFonts w:ascii="Arial" w:hAnsi="Arial" w:eastAsia="Arial"/>
                <w:sz w:val="16"/>
              </w:rPr>
              <w:t>Standard labels for invalidity or warnings (Appendix H)</w:t>
            </w:r>
          </w:p>
        </w:tc>
      </w:tr>
    </w:tbl>
    <w:bookmarkEnd w:id="334"/>
    <w:bookmarkStart w:id="335" w:name="a13-scenario-and-trc-objects"/>
    <w:p>
      <w:pPr>
        <w:pStyle w:val="Heading2"/>
      </w:pPr>
      <w:r>
        <w:t>A.13 Scenario and TRC Objects</w:t>
      </w:r>
    </w:p>
    <w:tbl>
      <w:tblPr>
        <w:tblStyle w:val="Table"/>
        <w:tblW w:type="auto" w:w="0"/>
        <w:jc w:val="center"/>
        <w:tblLook w:firstRow="1" w:lastRow="0" w:firstColumn="0" w:lastColumn="0" w:noHBand="0" w:noVBand="0" w:val="0020"/>
      </w:tblPr>
      <w:tblGrid>
        <w:gridCol w:w="3960"/>
        <w:gridCol w:w="3960"/>
      </w:tblGrid>
      <w:tr>
        <w:trPr>
          <w:tblHeader w:val="on"/>
          <w:tblHeader w:val="true"/>
          <w:cantSplit/>
        </w:trPr>
        <w:tc>
          <w:tcPr>
            <w:vAlign w:val="top"/>
            <w:tcMar>
              <w:top w:w="70" w:type="dxa"/>
              <w:start w:w="80" w:type="dxa"/>
              <w:bottom w:w="70" w:type="dxa"/>
              <w:end w:w="80" w:type="dxa"/>
            </w:tcMar>
            <w:shd w:fill="1F4E78"/>
          </w:tcPr>
          <w:p>
            <w:pPr>
              <w:pStyle w:val="Compact"/>
              <w:jc w:val="left"/>
            </w:pPr>
            <w:r>
              <w:rPr>
                <w:rFonts w:ascii="Arial" w:hAnsi="Arial" w:eastAsia="Arial"/>
                <w:b/>
                <w:bCs/>
                <w:color w:val="FFFFFF"/>
                <w:sz w:val="16"/>
              </w:rPr>
              <w:t>Symbol</w:t>
            </w:r>
          </w:p>
        </w:tc>
        <w:tc>
          <w:tcPr>
            <w:vAlign w:val="top"/>
            <w:tcMar>
              <w:top w:w="70" w:type="dxa"/>
              <w:start w:w="80" w:type="dxa"/>
              <w:bottom w:w="70" w:type="dxa"/>
              <w:end w:w="80" w:type="dxa"/>
            </w:tcMar>
            <w:shd w:fill="1F4E78"/>
          </w:tcPr>
          <w:p>
            <w:pPr>
              <w:pStyle w:val="Compact"/>
              <w:jc w:val="left"/>
            </w:pPr>
            <w:r>
              <w:rPr>
                <w:rFonts w:ascii="Arial" w:hAnsi="Arial" w:eastAsia="Arial"/>
                <w:b/>
                <w:bCs/>
                <w:color w:val="FFFFFF"/>
                <w:sz w:val="16"/>
              </w:rPr>
              <w:t>Meaning</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S</w:t>
            </w:r>
          </w:p>
        </w:tc>
        <w:tc>
          <w:tcPr>
            <w:vAlign w:val="top"/>
            <w:tcMar>
              <w:top w:w="70" w:type="dxa"/>
              <w:start w:w="80" w:type="dxa"/>
              <w:bottom w:w="70" w:type="dxa"/>
              <w:end w:w="80" w:type="dxa"/>
            </w:tcMar>
            <w:shd w:fill="D9EAF7"/>
          </w:tcPr>
          <w:p>
            <w:pPr>
              <w:pStyle w:val="Compact"/>
              <w:jc w:val="left"/>
            </w:pPr>
            <w:r>
              <w:rPr>
                <w:rFonts w:ascii="Arial" w:hAnsi="Arial" w:eastAsia="Arial"/>
                <w:sz w:val="16"/>
              </w:rPr>
              <w:t>Scenario set</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p_s</w:t>
            </w:r>
          </w:p>
        </w:tc>
        <w:tc>
          <w:tcPr>
            <w:vAlign w:val="top"/>
            <w:tcMar>
              <w:top w:w="70" w:type="dxa"/>
              <w:start w:w="80" w:type="dxa"/>
              <w:bottom w:w="70" w:type="dxa"/>
              <w:end w:w="80" w:type="dxa"/>
            </w:tcMar>
            <w:shd w:fill="FFFFFF"/>
          </w:tcPr>
          <w:p>
            <w:pPr>
              <w:pStyle w:val="Compact"/>
              <w:jc w:val="left"/>
            </w:pPr>
            <w:r>
              <w:rPr>
                <w:rFonts w:ascii="Arial" w:hAnsi="Arial" w:eastAsia="Arial"/>
                <w:sz w:val="16"/>
              </w:rPr>
              <w:t>Scenario probability (p_s ≥ 0, Σ_s p_s = 1)</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L(a,s)</w:t>
            </w:r>
          </w:p>
        </w:tc>
        <w:tc>
          <w:tcPr>
            <w:vAlign w:val="top"/>
            <w:tcMar>
              <w:top w:w="70" w:type="dxa"/>
              <w:start w:w="80" w:type="dxa"/>
              <w:bottom w:w="70" w:type="dxa"/>
              <w:end w:w="80" w:type="dxa"/>
            </w:tcMar>
            <w:shd w:fill="D9EAF7"/>
          </w:tcPr>
          <w:p>
            <w:pPr>
              <w:pStyle w:val="Compact"/>
              <w:jc w:val="left"/>
            </w:pPr>
            <w:r>
              <w:rPr>
                <w:rFonts w:ascii="Arial" w:hAnsi="Arial" w:eastAsia="Arial"/>
                <w:sz w:val="16"/>
              </w:rPr>
              <w:t>Scenario loss for option a under scenario s</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ω_c</w:t>
            </w:r>
          </w:p>
        </w:tc>
        <w:tc>
          <w:tcPr>
            <w:vAlign w:val="top"/>
            <w:tcMar>
              <w:top w:w="70" w:type="dxa"/>
              <w:start w:w="80" w:type="dxa"/>
              <w:bottom w:w="70" w:type="dxa"/>
              <w:end w:w="80" w:type="dxa"/>
            </w:tcMar>
            <w:shd w:fill="FFFFFF"/>
          </w:tcPr>
          <w:p>
            <w:pPr>
              <w:pStyle w:val="Compact"/>
              <w:jc w:val="left"/>
            </w:pPr>
            <w:r>
              <w:rPr>
                <w:rFonts w:ascii="Arial" w:hAnsi="Arial" w:eastAsia="Arial"/>
                <w:sz w:val="16"/>
              </w:rPr>
              <w:t>Catastrophe cell weight (ω_c ≥ 0, Σ_c ω_c = 1)</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p_floor</w:t>
            </w:r>
          </w:p>
        </w:tc>
        <w:tc>
          <w:tcPr>
            <w:vAlign w:val="top"/>
            <w:tcMar>
              <w:top w:w="70" w:type="dxa"/>
              <w:start w:w="80" w:type="dxa"/>
              <w:bottom w:w="70" w:type="dxa"/>
              <w:end w:w="80" w:type="dxa"/>
            </w:tcMar>
            <w:shd w:fill="D9EAF7"/>
          </w:tcPr>
          <w:p>
            <w:pPr>
              <w:pStyle w:val="Compact"/>
              <w:jc w:val="left"/>
            </w:pPr>
            <w:r>
              <w:rPr>
                <w:rFonts w:ascii="Arial" w:hAnsi="Arial" w:eastAsia="Arial"/>
                <w:sz w:val="16"/>
              </w:rPr>
              <w:t>Minimum probability floor per mandatory tail category, default 0.02</w:t>
            </w:r>
          </w:p>
        </w:tc>
      </w:tr>
    </w:tbl>
    <w:bookmarkEnd w:id="335"/>
    <w:bookmarkStart w:id="336" w:name="a14-sgp-v82-integration"/>
    <w:p>
      <w:pPr>
        <w:pStyle w:val="Heading2"/>
      </w:pPr>
      <w:r>
        <w:t>A.14 SGP v8.2.1 Integration</w:t>
      </w:r>
    </w:p>
    <w:tbl>
      <w:tblPr>
        <w:tblStyle w:val="Table"/>
        <w:tblW w:type="auto" w:w="0"/>
        <w:jc w:val="center"/>
        <w:tblLook w:firstRow="1" w:lastRow="0" w:firstColumn="0" w:lastColumn="0" w:noHBand="0" w:noVBand="0" w:val="0020"/>
      </w:tblPr>
      <w:tblGrid>
        <w:gridCol w:w="3960"/>
        <w:gridCol w:w="3960"/>
      </w:tblGrid>
      <w:tr>
        <w:trPr>
          <w:tblHeader w:val="on"/>
          <w:tblHeader w:val="true"/>
          <w:cantSplit/>
        </w:trPr>
        <w:tc>
          <w:tcPr>
            <w:vAlign w:val="top"/>
            <w:tcMar>
              <w:top w:w="70" w:type="dxa"/>
              <w:start w:w="80" w:type="dxa"/>
              <w:bottom w:w="70" w:type="dxa"/>
              <w:end w:w="80" w:type="dxa"/>
            </w:tcMar>
            <w:shd w:fill="1F4E78"/>
          </w:tcPr>
          <w:p>
            <w:pPr>
              <w:pStyle w:val="Compact"/>
              <w:jc w:val="left"/>
            </w:pPr>
            <w:r>
              <w:rPr>
                <w:rFonts w:ascii="Arial" w:hAnsi="Arial" w:eastAsia="Arial"/>
                <w:b/>
                <w:bCs/>
                <w:color w:val="FFFFFF"/>
                <w:sz w:val="16"/>
              </w:rPr>
              <w:t>Symbol</w:t>
            </w:r>
          </w:p>
        </w:tc>
        <w:tc>
          <w:tcPr>
            <w:vAlign w:val="top"/>
            <w:tcMar>
              <w:top w:w="70" w:type="dxa"/>
              <w:start w:w="80" w:type="dxa"/>
              <w:bottom w:w="70" w:type="dxa"/>
              <w:end w:w="80" w:type="dxa"/>
            </w:tcMar>
            <w:shd w:fill="1F4E78"/>
          </w:tcPr>
          <w:p>
            <w:pPr>
              <w:pStyle w:val="Compact"/>
              <w:jc w:val="left"/>
            </w:pPr>
            <w:r>
              <w:rPr>
                <w:rFonts w:ascii="Arial" w:hAnsi="Arial" w:eastAsia="Arial"/>
                <w:b/>
                <w:bCs/>
                <w:color w:val="FFFFFF"/>
                <w:sz w:val="16"/>
              </w:rPr>
              <w:t>Meaning</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MPS(E,t)</w:t>
            </w:r>
          </w:p>
        </w:tc>
        <w:tc>
          <w:tcPr>
            <w:vAlign w:val="top"/>
            <w:tcMar>
              <w:top w:w="70" w:type="dxa"/>
              <w:start w:w="80" w:type="dxa"/>
              <w:bottom w:w="70" w:type="dxa"/>
              <w:end w:w="80" w:type="dxa"/>
            </w:tcMar>
            <w:shd w:fill="D9EAF7"/>
          </w:tcPr>
          <w:p>
            <w:pPr>
              <w:pStyle w:val="Compact"/>
              <w:jc w:val="left"/>
            </w:pPr>
            <w:r>
              <w:rPr>
                <w:rFonts w:ascii="Arial" w:hAnsi="Arial" w:eastAsia="Arial"/>
                <w:sz w:val="16"/>
              </w:rPr>
              <w:t>Moral Patienthood Surface: evidence families, band, interval, confidence, and protection posture.</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RMCP(C,D,t)</w:t>
            </w:r>
          </w:p>
        </w:tc>
        <w:tc>
          <w:tcPr>
            <w:vAlign w:val="top"/>
            <w:tcMar>
              <w:top w:w="70" w:type="dxa"/>
              <w:start w:w="80" w:type="dxa"/>
              <w:bottom w:w="70" w:type="dxa"/>
              <w:end w:w="80" w:type="dxa"/>
            </w:tcMar>
            <w:shd w:fill="FFFFFF"/>
          </w:tcPr>
          <w:p>
            <w:pPr>
              <w:pStyle w:val="Compact"/>
              <w:jc w:val="left"/>
            </w:pPr>
            <w:r>
              <w:rPr>
                <w:rFonts w:ascii="Arial" w:hAnsi="Arial" w:eastAsia="Arial"/>
                <w:sz w:val="16"/>
              </w:rPr>
              <w:t>Reality-Management Capacity Profile for a declared entity/collective C, domain D, and time t; informative only.</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P100(C)</w:t>
            </w:r>
          </w:p>
        </w:tc>
        <w:tc>
          <w:tcPr>
            <w:vAlign w:val="top"/>
            <w:tcMar>
              <w:top w:w="70" w:type="dxa"/>
              <w:start w:w="80" w:type="dxa"/>
              <w:bottom w:w="70" w:type="dxa"/>
              <w:end w:w="80" w:type="dxa"/>
            </w:tcMar>
            <w:shd w:fill="D9EAF7"/>
          </w:tcPr>
          <w:p>
            <w:pPr>
              <w:pStyle w:val="Compact"/>
              <w:jc w:val="left"/>
            </w:pPr>
            <w:r>
              <w:rPr>
                <w:rFonts w:ascii="Arial" w:hAnsi="Arial" w:eastAsia="Arial"/>
                <w:sz w:val="16"/>
              </w:rPr>
              <w:t>Open top-plateau status for functional equivalence to or greater integrated reality-management capacity than the human collective anchor.</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FPP(E)</w:t>
            </w:r>
          </w:p>
        </w:tc>
        <w:tc>
          <w:tcPr>
            <w:vAlign w:val="top"/>
            <w:tcMar>
              <w:top w:w="70" w:type="dxa"/>
              <w:start w:w="80" w:type="dxa"/>
              <w:bottom w:w="70" w:type="dxa"/>
              <w:end w:w="80" w:type="dxa"/>
            </w:tcMar>
            <w:shd w:fill="FFFFFF"/>
          </w:tcPr>
          <w:p>
            <w:pPr>
              <w:pStyle w:val="Compact"/>
              <w:jc w:val="left"/>
            </w:pPr>
            <w:r>
              <w:rPr>
                <w:rFonts w:ascii="Arial" w:hAnsi="Arial" w:eastAsia="Arial"/>
                <w:sz w:val="16"/>
              </w:rPr>
              <w:t>Full Protection Plateau: constitutional or governed non-downgrade rights-of-protection status.</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GPR(E,r,t)</w:t>
            </w:r>
          </w:p>
        </w:tc>
        <w:tc>
          <w:tcPr>
            <w:vAlign w:val="top"/>
            <w:tcMar>
              <w:top w:w="70" w:type="dxa"/>
              <w:start w:w="80" w:type="dxa"/>
              <w:bottom w:w="70" w:type="dxa"/>
              <w:end w:w="80" w:type="dxa"/>
            </w:tcMar>
            <w:shd w:fill="D9EAF7"/>
          </w:tcPr>
          <w:p>
            <w:pPr>
              <w:pStyle w:val="Compact"/>
              <w:jc w:val="left"/>
            </w:pPr>
            <w:r>
              <w:rPr>
                <w:rFonts w:ascii="Arial" w:hAnsi="Arial" w:eastAsia="Arial"/>
                <w:sz w:val="16"/>
              </w:rPr>
              <w:t>Governance Participation Readiness for a named process or institution.</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SPR(E,r,t)</w:t>
            </w:r>
          </w:p>
        </w:tc>
        <w:tc>
          <w:tcPr>
            <w:vAlign w:val="top"/>
            <w:tcMar>
              <w:top w:w="70" w:type="dxa"/>
              <w:start w:w="80" w:type="dxa"/>
              <w:bottom w:w="70" w:type="dxa"/>
              <w:end w:w="80" w:type="dxa"/>
            </w:tcMar>
            <w:shd w:fill="FFFFFF"/>
          </w:tcPr>
          <w:p>
            <w:pPr>
              <w:pStyle w:val="Compact"/>
              <w:jc w:val="left"/>
            </w:pPr>
            <w:r>
              <w:rPr>
                <w:rFonts w:ascii="Arial" w:hAnsi="Arial" w:eastAsia="Arial"/>
                <w:sz w:val="16"/>
              </w:rPr>
              <w:t>Stewardship/Power Readiness verdict for a named consequential role.</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ICP(E,D,t)</w:t>
            </w:r>
          </w:p>
        </w:tc>
        <w:tc>
          <w:tcPr>
            <w:vAlign w:val="top"/>
            <w:tcMar>
              <w:top w:w="70" w:type="dxa"/>
              <w:start w:w="80" w:type="dxa"/>
              <w:bottom w:w="70" w:type="dxa"/>
              <w:end w:w="80" w:type="dxa"/>
            </w:tcMar>
            <w:shd w:fill="D9EAF7"/>
          </w:tcPr>
          <w:p>
            <w:pPr>
              <w:pStyle w:val="Compact"/>
              <w:jc w:val="left"/>
            </w:pPr>
            <w:r>
              <w:rPr>
                <w:rFonts w:ascii="Arial" w:hAnsi="Arial" w:eastAsia="Arial"/>
                <w:sz w:val="16"/>
              </w:rPr>
              <w:t>Optional Intelligence Capacity Profile for a declared domain; informative only.</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h_k</w:t>
            </w:r>
          </w:p>
        </w:tc>
        <w:tc>
          <w:tcPr>
            <w:vAlign w:val="top"/>
            <w:tcMar>
              <w:top w:w="70" w:type="dxa"/>
              <w:start w:w="80" w:type="dxa"/>
              <w:bottom w:w="70" w:type="dxa"/>
              <w:end w:w="80" w:type="dxa"/>
            </w:tcMar>
            <w:shd w:fill="FFFFFF"/>
          </w:tcPr>
          <w:p>
            <w:pPr>
              <w:pStyle w:val="Compact"/>
              <w:jc w:val="left"/>
            </w:pPr>
            <w:r>
              <w:rPr>
                <w:rFonts w:ascii="Arial" w:hAnsi="Arial" w:eastAsia="Arial"/>
                <w:sz w:val="16"/>
              </w:rPr>
              <w:t>Welfare-inclusion hypothesis coefficient used in robust RLS sensitivity; ordinarily 0 or 1, with h_k=1 for humans and FPP entities.</w:t>
            </w:r>
          </w:p>
        </w:tc>
      </w:tr>
    </w:tbl>
    <w:p>
      <w:pPr>
        <w:pStyle w:val="BodyText"/>
      </w:pPr>
      <w:r>
        <w:t>End Appendix A.</w:t>
      </w:r>
    </w:p>
    <w:bookmarkEnd w:id="336"/>
    <w:bookmarkEnd w:id="337"/>
    <w:bookmarkStart w:id="358" w:name="X0dd11ef948f363d18a496ae2ba3aeff938adf34"/>
    <w:p>
      <w:pPr>
        <w:pStyle w:val="Heading1"/>
      </w:pPr>
      <w:r>
        <w:t>APPENDIX B: CANONICAL EQUATIONS (TIER 1-3 EXECUTABLE)</w:t>
      </w:r>
    </w:p>
    <w:p>
      <w:pPr>
        <w:pStyle w:val="FirstParagraph"/>
      </w:pPr>
      <w:r>
        <w:t>Appendix B is normative and is the canonical equation pack for Tier 1-3 implementations. All equations are reproduced explicitly for standalone executability.</w:t>
      </w:r>
    </w:p>
    <w:bookmarkStart w:id="338" w:name="b1-temporal-weighting"/>
    <w:p>
      <w:pPr>
        <w:pStyle w:val="Heading2"/>
      </w:pPr>
      <w:r>
        <w:t>B.1 Temporal Weighting</w:t>
      </w:r>
    </w:p>
    <w:p>
      <w:pPr>
        <w:pStyle w:val="FirstParagraph"/>
      </w:pPr>
      <w:r>
        <w:t>Defaults: T_ref = 25 years; t_min = 0.083 years (≈1 month).</w:t>
      </w:r>
    </w:p>
    <w:p>
      <w:pPr>
        <w:pStyle w:val="BodyText"/>
      </w:pPr>
      <w:r>
        <w:t>τ(t) = min(1, ln(1 + max(t, t_min)) / ln(1 + T_ref))</w:t>
      </w:r>
    </w:p>
    <w:p>
      <w:pPr>
        <w:pStyle w:val="BodyText"/>
      </w:pPr>
      <w:r>
        <w:t>This function has three properties by construction:</w:t>
      </w:r>
    </w:p>
    <w:p>
      <w:pPr>
        <w:pStyle w:val="BodyText"/>
      </w:pPr>
      <w:r>
        <w:t>(a) Logarithmic growth ensures that short-term effects receive proportionally less weight than long-term effects, without the exponential discounting that aggressively devalues future generations.</w:t>
      </w:r>
    </w:p>
    <w:p>
      <w:pPr>
        <w:pStyle w:val="BodyText"/>
      </w:pPr>
      <w:r>
        <w:t>(b) The min(1, ·) cap ensures that no effect receives more temporal weight than the governance reference horizon. At T_ref, τ = 1.00. Beyond T_ref, τ remains 1.00 (capped).</w:t>
      </w:r>
    </w:p>
    <w:p>
      <w:pPr>
        <w:pStyle w:val="BodyText"/>
      </w:pPr>
      <w:r>
        <w:t>(c) The max(t, t_min) floor ensures that τ(t) &gt; 0 for all positive t, preventing very short-term effects from being zeroed out.</w:t>
      </w:r>
    </w:p>
    <w:p>
      <w:pPr>
        <w:pStyle w:val="BodyText"/>
      </w:pPr>
      <w:r>
        <w:t>Illustrative values (with defaults T_ref = 25, t_min = 0.083):</w:t>
      </w:r>
    </w:p>
    <w:p>
      <w:pPr>
        <w:pStyle w:val="BodyText"/>
      </w:pPr>
      <w:r>
        <w:t>At 100 years: τ = 1.00 (capped)</w:t>
      </w:r>
    </w:p>
    <w:p>
      <w:pPr>
        <w:pStyle w:val="BodyText"/>
      </w:pPr>
      <w:r>
        <w:t>At 50 years: τ = 1.00 (capped)</w:t>
      </w:r>
    </w:p>
    <w:p>
      <w:pPr>
        <w:pStyle w:val="BodyText"/>
      </w:pPr>
      <w:r>
        <w:t>At 25 years: τ = 1.00</w:t>
      </w:r>
    </w:p>
    <w:p>
      <w:pPr>
        <w:pStyle w:val="BodyText"/>
      </w:pPr>
      <w:r>
        <w:t>At 10 years: τ ≈ 0.74</w:t>
      </w:r>
    </w:p>
    <w:p>
      <w:pPr>
        <w:pStyle w:val="BodyText"/>
      </w:pPr>
      <w:r>
        <w:t>At 5 years: τ ≈ 0.55</w:t>
      </w:r>
    </w:p>
    <w:p>
      <w:pPr>
        <w:pStyle w:val="BodyText"/>
      </w:pPr>
      <w:r>
        <w:t>At 1 year: τ ≈ 0.21</w:t>
      </w:r>
    </w:p>
    <w:p>
      <w:pPr>
        <w:pStyle w:val="BodyText"/>
      </w:pPr>
      <w:r>
        <w:t>At t_min (≈1 month): τ ≈ 0.025</w:t>
      </w:r>
    </w:p>
    <w:p>
      <w:pPr>
        <w:pStyle w:val="BodyText"/>
      </w:pPr>
      <w:r>
        <w:t>Historical change note (v7.5.0; carried forward unchanged in v9.0): This replaces the uncapped function τ(t) = ln(1+t)/ln(1+T_ref) from v7.4.5, which produced τ(50) ≈ 1.22. The capped version is normatively preferred. See Section 5.3 for design rationale.</w:t>
      </w:r>
    </w:p>
    <w:bookmarkEnd w:id="338"/>
    <w:bookmarkStart w:id="339" w:name="Xc5b4030eb667988f868774c4272995ff62bf1ea"/>
    <w:p>
      <w:pPr>
        <w:pStyle w:val="Heading2"/>
      </w:pPr>
      <w:r>
        <w:t>B.2 Direct Impact Aggregation (Pre-Saturation; stream-separated)</w:t>
      </w:r>
    </w:p>
    <w:bookmarkEnd w:id="339"/>
    <w:bookmarkStart w:id="340" w:name="b2a-base-stream-admissibility-h_k1"/>
    <w:p>
      <w:pPr>
        <w:pStyle w:val="Heading2"/>
      </w:pPr>
      <w:r>
        <w:t>B.2A Base stream (admissibility; h_k:=1):</w:t>
      </w:r>
    </w:p>
    <w:p>
      <w:pPr>
        <w:pStyle w:val="FirstParagraph"/>
      </w:pPr>
      <w:r>
        <w:t>Ĩ_dir_base(u,d,a) = Σ_{k ∈ K(u,d,a)} [r_k × τ(t_k) × ℓ_k × c_k × e_k × (1) × μ_k]</w:t>
      </w:r>
    </w:p>
    <w:p>
      <w:pPr>
        <w:pStyle w:val="BodyText"/>
      </w:pPr>
      <w:r>
        <w:t>B.2A Gate-critical confidence guard. In the Base stream used by RF/NCRC, TRC, and CSV, c_k represents evidence support but cannot by itself excuse unresolved severe adverse gate-critical impacts. Apply GateAdverseBound(k) from Section 5.2: use the most adverse admissible harm endpoint and least favourable gate-supporting endpoint; if only c_k is available, set c_gate,k:=1 for adverse gate computation and retain c_gate,k:=c_k for beneficial safety claims. If the bound is not reproducible and the gate could change, return UNKNOWN, ESCALATE, NARROW, or REFUSE rather than PASS.</w:t>
      </w:r>
    </w:p>
    <w:bookmarkEnd w:id="340"/>
    <w:bookmarkStart w:id="341" w:name="X91f9e55dee887ef1a730c61facf1324ca5dd91b"/>
    <w:p>
      <w:pPr>
        <w:pStyle w:val="Heading2"/>
      </w:pPr>
      <w:r>
        <w:t>B.2B Welfare stream (RLS; welfare-inclusion hypotheses):</w:t>
      </w:r>
    </w:p>
    <w:p>
      <w:pPr>
        <w:pStyle w:val="FirstParagraph"/>
      </w:pPr>
      <w:r>
        <w:t>Ĩ_dir_welfare(u,d,a;h) = Σ_{k ∈ K(u,d,a)} [r_k × τ(t_k) × ℓ_k × c_k × e_k × h_{k,welfare} × μ_k]</w:t>
      </w:r>
    </w:p>
    <w:p>
      <w:pPr>
        <w:pStyle w:val="BodyText"/>
      </w:pPr>
      <w:r>
        <w:t>Here h_{k,welfare}^{(j)} is selected from the governed welfare-inclusion hypothesis set only for a declared sensitivity evaluation j; the Base stream (B.2A) fixes h_k:=1.0 for all instances. MPS bands or intervals MUST NOT be substituted directly for h_k. A representative display may be shown only if all decision-material hypothesis results are also reported.</w:t>
      </w:r>
    </w:p>
    <w:p>
      <w:pPr>
        <w:pStyle w:val="BodyText"/>
      </w:pPr>
      <w:r>
        <w:t>Where K(u,d,a) is the set of impact instances asserted for cell (u,d) under option a.</w:t>
      </w:r>
    </w:p>
    <w:bookmarkEnd w:id="341"/>
    <w:bookmarkStart w:id="342" w:name="b3-direct-saturation-per-stream"/>
    <w:p>
      <w:pPr>
        <w:pStyle w:val="Heading2"/>
      </w:pPr>
      <w:r>
        <w:t>B.3 Direct Saturation (per stream)</w:t>
      </w:r>
    </w:p>
    <w:p>
      <w:pPr>
        <w:pStyle w:val="FirstParagraph"/>
      </w:pPr>
      <w:r>
        <w:t>For x ∈ {base, welfare}:</w:t>
      </w:r>
    </w:p>
    <w:p>
      <w:pPr>
        <w:pStyle w:val="BodyText"/>
      </w:pPr>
      <w:r>
        <w:t>I_dir_x(u,d,a) = tanh(β × Ĩ_dir_x(u,d,a))</w:t>
      </w:r>
    </w:p>
    <w:p>
      <w:pPr>
        <w:pStyle w:val="BodyText"/>
      </w:pPr>
      <w:r>
        <w:t>Default: β = 2.</w:t>
      </w:r>
    </w:p>
    <w:bookmarkEnd w:id="342"/>
    <w:bookmarkStart w:id="343" w:name="X65e94bf6ea706413e06bf43519560a489971819"/>
    <w:p>
      <w:pPr>
        <w:pStyle w:val="Heading2"/>
      </w:pPr>
      <w:r>
        <w:t>B.4 Missing Data (Ignorance Penalty Phantom Instance)</w:t>
      </w:r>
    </w:p>
    <w:p>
      <w:pPr>
        <w:pStyle w:val="FirstParagraph"/>
      </w:pPr>
      <w:r>
        <w:t>If cell (u,d) is required-active but K(u,d,a) = ∅, add phantom instance with:</w:t>
      </w:r>
    </w:p>
    <w:tbl>
      <w:tblPr>
        <w:tblStyle w:val="Table"/>
        <w:tblW w:type="auto" w:w="0"/>
        <w:jc w:val="center"/>
        <w:tblLook w:firstRow="1" w:lastRow="0" w:firstColumn="0" w:lastColumn="0" w:noHBand="0" w:noVBand="0" w:val="0020"/>
      </w:tblPr>
      <w:tblGrid>
        <w:gridCol w:w="3960"/>
        <w:gridCol w:w="3960"/>
      </w:tblGrid>
      <w:tr>
        <w:trPr>
          <w:tblHeader w:val="on"/>
          <w:tblHeader w:val="true"/>
          <w:cantSplit/>
        </w:trPr>
        <w:tc>
          <w:tcPr>
            <w:vAlign w:val="top"/>
            <w:tcMar>
              <w:top w:w="70" w:type="dxa"/>
              <w:start w:w="80" w:type="dxa"/>
              <w:bottom w:w="70" w:type="dxa"/>
              <w:end w:w="80" w:type="dxa"/>
            </w:tcMar>
            <w:shd w:fill="1F4E78"/>
          </w:tcPr>
          <w:p>
            <w:pPr>
              <w:pStyle w:val="Compact"/>
              <w:jc w:val="left"/>
            </w:pPr>
            <w:r>
              <w:rPr>
                <w:rFonts w:ascii="Arial" w:hAnsi="Arial" w:eastAsia="Arial"/>
                <w:b/>
                <w:bCs/>
                <w:color w:val="FFFFFF"/>
                <w:sz w:val="16"/>
              </w:rPr>
              <w:t>Parameter</w:t>
            </w:r>
          </w:p>
        </w:tc>
        <w:tc>
          <w:tcPr>
            <w:vAlign w:val="top"/>
            <w:tcMar>
              <w:top w:w="70" w:type="dxa"/>
              <w:start w:w="80" w:type="dxa"/>
              <w:bottom w:w="70" w:type="dxa"/>
              <w:end w:w="80" w:type="dxa"/>
            </w:tcMar>
            <w:shd w:fill="1F4E78"/>
          </w:tcPr>
          <w:p>
            <w:pPr>
              <w:pStyle w:val="Compact"/>
              <w:jc w:val="left"/>
            </w:pPr>
            <w:r>
              <w:rPr>
                <w:rFonts w:ascii="Arial" w:hAnsi="Arial" w:eastAsia="Arial"/>
                <w:b/>
                <w:bCs/>
                <w:color w:val="FFFFFF"/>
                <w:sz w:val="16"/>
              </w:rPr>
              <w:t>Phantom Value</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μ_phantom</w:t>
            </w:r>
          </w:p>
        </w:tc>
        <w:tc>
          <w:tcPr>
            <w:vAlign w:val="top"/>
            <w:tcMar>
              <w:top w:w="70" w:type="dxa"/>
              <w:start w:w="80" w:type="dxa"/>
              <w:bottom w:w="70" w:type="dxa"/>
              <w:end w:w="80" w:type="dxa"/>
            </w:tcMar>
            <w:shd w:fill="D9EAF7"/>
          </w:tcPr>
          <w:p>
            <w:pPr>
              <w:pStyle w:val="Compact"/>
              <w:jc w:val="left"/>
            </w:pPr>
            <w:r>
              <w:rPr>
                <w:rFonts w:ascii="Arial" w:hAnsi="Arial" w:eastAsia="Arial"/>
                <w:sz w:val="16"/>
              </w:rPr>
              <w:t>-0.10</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r</w:t>
            </w:r>
          </w:p>
        </w:tc>
        <w:tc>
          <w:tcPr>
            <w:vAlign w:val="top"/>
            <w:tcMar>
              <w:top w:w="70" w:type="dxa"/>
              <w:start w:w="80" w:type="dxa"/>
              <w:bottom w:w="70" w:type="dxa"/>
              <w:end w:w="80" w:type="dxa"/>
            </w:tcMar>
            <w:shd w:fill="FFFFFF"/>
          </w:tcPr>
          <w:p>
            <w:pPr>
              <w:pStyle w:val="Compact"/>
              <w:jc w:val="left"/>
            </w:pPr>
            <w:r>
              <w:rPr>
                <w:rFonts w:ascii="Arial" w:hAnsi="Arial" w:eastAsia="Arial"/>
                <w:sz w:val="16"/>
              </w:rPr>
              <w:t>1</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t</w:t>
            </w:r>
          </w:p>
        </w:tc>
        <w:tc>
          <w:tcPr>
            <w:vAlign w:val="top"/>
            <w:tcMar>
              <w:top w:w="70" w:type="dxa"/>
              <w:start w:w="80" w:type="dxa"/>
              <w:bottom w:w="70" w:type="dxa"/>
              <w:end w:w="80" w:type="dxa"/>
            </w:tcMar>
            <w:shd w:fill="D9EAF7"/>
          </w:tcPr>
          <w:p>
            <w:pPr>
              <w:pStyle w:val="Compact"/>
              <w:jc w:val="left"/>
            </w:pPr>
            <w:r>
              <w:rPr>
                <w:rFonts w:ascii="Arial" w:hAnsi="Arial" w:eastAsia="Arial"/>
                <w:sz w:val="16"/>
              </w:rPr>
              <w:t>T_ref (25 years)</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ℓ</w:t>
            </w:r>
          </w:p>
        </w:tc>
        <w:tc>
          <w:tcPr>
            <w:vAlign w:val="top"/>
            <w:tcMar>
              <w:top w:w="70" w:type="dxa"/>
              <w:start w:w="80" w:type="dxa"/>
              <w:bottom w:w="70" w:type="dxa"/>
              <w:end w:w="80" w:type="dxa"/>
            </w:tcMar>
            <w:shd w:fill="FFFFFF"/>
          </w:tcPr>
          <w:p>
            <w:pPr>
              <w:pStyle w:val="Compact"/>
              <w:jc w:val="left"/>
            </w:pPr>
            <w:r>
              <w:rPr>
                <w:rFonts w:ascii="Arial" w:hAnsi="Arial" w:eastAsia="Arial"/>
                <w:sz w:val="16"/>
              </w:rPr>
              <w:t>1</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c</w:t>
            </w:r>
          </w:p>
        </w:tc>
        <w:tc>
          <w:tcPr>
            <w:vAlign w:val="top"/>
            <w:tcMar>
              <w:top w:w="70" w:type="dxa"/>
              <w:start w:w="80" w:type="dxa"/>
              <w:bottom w:w="70" w:type="dxa"/>
              <w:end w:w="80" w:type="dxa"/>
            </w:tcMar>
            <w:shd w:fill="D9EAF7"/>
          </w:tcPr>
          <w:p>
            <w:pPr>
              <w:pStyle w:val="Compact"/>
              <w:jc w:val="left"/>
            </w:pPr>
            <w:r>
              <w:rPr>
                <w:rFonts w:ascii="Arial" w:hAnsi="Arial" w:eastAsia="Arial"/>
                <w:sz w:val="16"/>
              </w:rPr>
              <w:t>1</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e</w:t>
            </w:r>
          </w:p>
        </w:tc>
        <w:tc>
          <w:tcPr>
            <w:vAlign w:val="top"/>
            <w:tcMar>
              <w:top w:w="70" w:type="dxa"/>
              <w:start w:w="80" w:type="dxa"/>
              <w:bottom w:w="70" w:type="dxa"/>
              <w:end w:w="80" w:type="dxa"/>
            </w:tcMar>
            <w:shd w:fill="FFFFFF"/>
          </w:tcPr>
          <w:p>
            <w:pPr>
              <w:pStyle w:val="Compact"/>
              <w:jc w:val="left"/>
            </w:pPr>
            <w:r>
              <w:rPr>
                <w:rFonts w:ascii="Arial" w:hAnsi="Arial" w:eastAsia="Arial"/>
                <w:sz w:val="16"/>
              </w:rPr>
              <w:t>1</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s</w:t>
            </w:r>
          </w:p>
        </w:tc>
        <w:tc>
          <w:tcPr>
            <w:vAlign w:val="top"/>
            <w:tcMar>
              <w:top w:w="70" w:type="dxa"/>
              <w:start w:w="80" w:type="dxa"/>
              <w:bottom w:w="70" w:type="dxa"/>
              <w:end w:w="80" w:type="dxa"/>
            </w:tcMar>
            <w:shd w:fill="D9EAF7"/>
          </w:tcPr>
          <w:p>
            <w:pPr>
              <w:pStyle w:val="Compact"/>
              <w:jc w:val="left"/>
            </w:pPr>
            <w:r>
              <w:rPr>
                <w:rFonts w:ascii="Arial" w:hAnsi="Arial" w:eastAsia="Arial"/>
                <w:sz w:val="16"/>
              </w:rPr>
              <w:t>1</w:t>
            </w:r>
          </w:p>
        </w:tc>
      </w:tr>
    </w:tbl>
    <w:bookmarkEnd w:id="343"/>
    <w:bookmarkStart w:id="344" w:name="b5-flattening-map-kernel-indexing"/>
    <w:p>
      <w:pPr>
        <w:pStyle w:val="Heading2"/>
      </w:pPr>
      <w:r>
        <w:t>B.5 Flattening Map (Kernel Indexing)</w:t>
      </w:r>
    </w:p>
    <w:p>
      <w:pPr>
        <w:pStyle w:val="FirstParagraph"/>
      </w:pPr>
      <w:r>
        <w:t>Vectorize I_dir into a 49-vector by:</w:t>
      </w:r>
    </w:p>
    <w:p>
      <w:pPr>
        <w:pStyle w:val="BodyText"/>
      </w:pPr>
      <w:r>
        <w:t>i = φ(u,d) = 7(u − 1) + d</w:t>
      </w:r>
    </w:p>
    <w:bookmarkEnd w:id="344"/>
    <w:bookmarkStart w:id="345" w:name="X32925d8a01a0e615b1ebd530de4c0176fa81698"/>
    <w:p>
      <w:pPr>
        <w:pStyle w:val="Heading2"/>
      </w:pPr>
      <w:r>
        <w:t>B.6 Propagation Modes (Tier 1-3: NONE and QUICK only)</w:t>
      </w:r>
    </w:p>
    <w:p>
      <w:pPr>
        <w:pStyle w:val="FirstParagraph"/>
      </w:pPr>
      <w:r>
        <w:t>NONE:</w:t>
      </w:r>
    </w:p>
    <w:p>
      <w:pPr>
        <w:pStyle w:val="BodyText"/>
      </w:pPr>
      <w:r>
        <w:t>For x ∈ {base, welfare}: I_prop_x := I_dir_x</w:t>
      </w:r>
    </w:p>
    <w:p>
      <w:pPr>
        <w:pStyle w:val="BodyText"/>
      </w:pPr>
      <w:r>
        <w:t>QUICK:</w:t>
      </w:r>
    </w:p>
    <w:p>
      <w:pPr>
        <w:pStyle w:val="BodyText"/>
      </w:pPr>
      <w:r>
        <w:t>For stream x ∈ {base, welfare}: Ĩ_prop_x = I_dir_x + K × I_dir_x</w:t>
      </w:r>
    </w:p>
    <w:p>
      <w:pPr>
        <w:pStyle w:val="BodyText"/>
      </w:pPr>
      <w:r>
        <w:t>Then apply post-propagation saturation (B.7).</w:t>
      </w:r>
    </w:p>
    <w:bookmarkEnd w:id="345"/>
    <w:bookmarkStart w:id="346" w:name="X721e1a882492d343483632bb7abb4ec4583e7e5"/>
    <w:p>
      <w:pPr>
        <w:pStyle w:val="Heading2"/>
      </w:pPr>
      <w:r>
        <w:t>B.7 Post-Propagation Saturation (per stream)</w:t>
      </w:r>
    </w:p>
    <w:p>
      <w:pPr>
        <w:pStyle w:val="FirstParagraph"/>
      </w:pPr>
      <w:r>
        <w:t>For x ∈ {base, welfare}:</w:t>
      </w:r>
    </w:p>
    <w:p>
      <w:pPr>
        <w:pStyle w:val="BodyText"/>
      </w:pPr>
      <w:r>
        <w:t>I_prop_x(u,d,a) = tanh(β_prop × Ĩ_prop_x(u,d,a))</w:t>
      </w:r>
    </w:p>
    <w:p>
      <w:pPr>
        <w:pStyle w:val="BodyText"/>
      </w:pPr>
      <w:r>
        <w:t>Default: β_prop = 1.</w:t>
      </w:r>
    </w:p>
    <w:bookmarkEnd w:id="346"/>
    <w:bookmarkStart w:id="347" w:name="b8-worst-off-subgroup-impact-rights"/>
    <w:p>
      <w:pPr>
        <w:pStyle w:val="Heading2"/>
      </w:pPr>
      <w:r>
        <w:t>B.8 Worst-Off Subgroup Impact (Rights)</w:t>
      </w:r>
    </w:p>
    <w:p>
      <w:pPr>
        <w:pStyle w:val="FirstParagraph"/>
      </w:pPr>
      <w:r>
        <w:t>I_rights(u,d,a) = min_{g ∈ G_{u,d}} I_prop_base(u,d,a|g)</w:t>
      </w:r>
    </w:p>
    <w:bookmarkEnd w:id="347"/>
    <w:bookmarkStart w:id="348" w:name="X2eceac8122fa62416d8e7b72439e7326310fc43"/>
    <w:p>
      <w:pPr>
        <w:pStyle w:val="Heading2"/>
      </w:pPr>
      <w:r>
        <w:t>B.9 NCRC Violation Depth and Rights Admissibility</w:t>
      </w:r>
    </w:p>
    <w:p>
      <w:pPr>
        <w:pStyle w:val="FirstParagraph"/>
      </w:pPr>
      <w:r>
        <w:t>For each right</w:t>
      </w:r>
      <w:r>
        <w:t xml:space="preserve"> </w:t>
      </w:r>
      <w:r>
        <w:rPr>
          <w:rStyle w:val="VerbatimChar"/>
        </w:rPr>
        <w:t>r</w:t>
      </w:r>
      <w:r>
        <w:t>, define three independent violation channels using Section 7.4 inputs:</w:t>
      </w:r>
    </w:p>
    <w:p>
      <w:pPr>
        <w:pStyle w:val="BodyText"/>
      </w:pPr>
      <w:r>
        <w:rPr>
          <w:rStyle w:val="VerbatimChar"/>
        </w:rPr>
        <w:t>v_r^floor(a) = max_{(u,d) in C_r} (theta_r - I_rights(u,d,a))^+</w:t>
      </w:r>
    </w:p>
    <w:p>
      <w:pPr>
        <w:pStyle w:val="BodyText"/>
      </w:pPr>
      <w:r>
        <w:rPr>
          <w:rStyle w:val="VerbatimChar"/>
        </w:rPr>
        <w:t>v_r^cat(a) = max_{k in K_r(a)} z_{k,r}</w:t>
      </w:r>
    </w:p>
    <w:p>
      <w:pPr>
        <w:pStyle w:val="BodyText"/>
      </w:pPr>
      <w:r>
        <w:rPr>
          <w:rStyle w:val="VerbatimChar"/>
        </w:rPr>
        <w:t>v_r^risk(a) = max_{k in K_r(a): h_{k,r} &gt;= |theta_r|} (p_{k,r}^U - rho_r)^+</w:t>
      </w:r>
    </w:p>
    <w:p>
      <w:pPr>
        <w:pStyle w:val="BodyText"/>
      </w:pPr>
      <w:r>
        <w:t>where</w:t>
      </w:r>
      <w:r>
        <w:t xml:space="preserve"> </w:t>
      </w:r>
      <w:r>
        <w:rPr>
          <w:rStyle w:val="VerbatimChar"/>
        </w:rPr>
        <w:t>(x)^+ = max(x,0)</w:t>
      </w:r>
      <w:r>
        <w:t>,</w:t>
      </w:r>
      <w:r>
        <w:t xml:space="preserve"> </w:t>
      </w:r>
      <w:r>
        <w:rPr>
          <w:rStyle w:val="VerbatimChar"/>
        </w:rPr>
        <w:t>z_{k,r}</w:t>
      </w:r>
      <w:r>
        <w:t xml:space="preserve"> </w:t>
      </w:r>
      <w:r>
        <w:t>is the categorical-prohibition indicator,</w:t>
      </w:r>
      <w:r>
        <w:t xml:space="preserve"> </w:t>
      </w:r>
      <w:r>
        <w:rPr>
          <w:rStyle w:val="VerbatimChar"/>
        </w:rPr>
        <w:t>h_{k,r}</w:t>
      </w:r>
      <w:r>
        <w:t xml:space="preserve"> </w:t>
      </w:r>
      <w:r>
        <w:t>is intrinsic rights severity,</w:t>
      </w:r>
      <w:r>
        <w:t xml:space="preserve"> </w:t>
      </w:r>
      <w:r>
        <w:rPr>
          <w:rStyle w:val="VerbatimChar"/>
        </w:rPr>
        <w:t>p_{k,r}^U</w:t>
      </w:r>
      <w:r>
        <w:t xml:space="preserve"> </w:t>
      </w:r>
      <w:r>
        <w:t>is the conservative upper event-probability bound, and</w:t>
      </w:r>
      <w:r>
        <w:t xml:space="preserve"> </w:t>
      </w:r>
      <w:r>
        <w:rPr>
          <w:rStyle w:val="VerbatimChar"/>
        </w:rPr>
        <w:t>rho_r</w:t>
      </w:r>
      <w:r>
        <w:t xml:space="preserve"> </w:t>
      </w:r>
      <w:r>
        <w:t>is the governed rights-risk tolerance.</w:t>
      </w:r>
    </w:p>
    <w:p>
      <w:pPr>
        <w:pStyle w:val="BodyText"/>
      </w:pPr>
      <w:r>
        <w:t>If any required severe-hazard field is missing, the right receives</w:t>
      </w:r>
      <w:r>
        <w:t xml:space="preserve"> </w:t>
      </w:r>
      <w:r>
        <w:rPr>
          <w:rStyle w:val="VerbatimChar"/>
        </w:rPr>
        <w:t>NCRC_UNKNOWN</w:t>
      </w:r>
      <w:r>
        <w:t>; missing data MUST NOT be converted to zero.</w:t>
      </w:r>
    </w:p>
    <w:p>
      <w:pPr>
        <w:pStyle w:val="BodyText"/>
      </w:pPr>
      <w:r>
        <w:rPr>
          <w:rStyle w:val="VerbatimChar"/>
        </w:rPr>
        <w:t>NCRC(a) = TRUE</w:t>
      </w:r>
      <w:r>
        <w:t xml:space="preserve"> </w:t>
      </w:r>
      <w:r>
        <w:t>if and only if, for every protected right</w:t>
      </w:r>
      <w:r>
        <w:t xml:space="preserve"> </w:t>
      </w:r>
      <w:r>
        <w:rPr>
          <w:rStyle w:val="VerbatimChar"/>
        </w:rPr>
        <w:t>r</w:t>
      </w:r>
      <w:r>
        <w:t>,</w:t>
      </w:r>
      <w:r>
        <w:t xml:space="preserve"> </w:t>
      </w:r>
      <w:r>
        <w:rPr>
          <w:rStyle w:val="VerbatimChar"/>
        </w:rPr>
        <w:t>v_r^floor(a)=0</w:t>
      </w:r>
      <w:r>
        <w:t>,</w:t>
      </w:r>
      <w:r>
        <w:t xml:space="preserve"> </w:t>
      </w:r>
      <w:r>
        <w:rPr>
          <w:rStyle w:val="VerbatimChar"/>
        </w:rPr>
        <w:t>v_r^cat(a)=0</w:t>
      </w:r>
      <w:r>
        <w:t>,</w:t>
      </w:r>
      <w:r>
        <w:t xml:space="preserve"> </w:t>
      </w:r>
      <w:r>
        <w:rPr>
          <w:rStyle w:val="VerbatimChar"/>
        </w:rPr>
        <w:t>v_r^risk(a)=0</w:t>
      </w:r>
      <w:r>
        <w:t>, and no material rights field is unresolved.</w:t>
      </w:r>
    </w:p>
    <w:p>
      <w:pPr>
        <w:pStyle w:val="BodyText"/>
      </w:pPr>
      <w:r>
        <w:t>For Emergency Mode comparison, use the ordered compound tuple</w:t>
      </w:r>
      <w:r>
        <w:t xml:space="preserve"> </w:t>
      </w:r>
      <w:r>
        <w:rPr>
          <w:rStyle w:val="VerbatimChar"/>
        </w:rPr>
        <w:t>q_r(a) = (v_r^cat(a), v_r^risk(a), v_r^floor(a))</w:t>
      </w:r>
      <w:r>
        <w:t xml:space="preserve"> </w:t>
      </w:r>
      <w:r>
        <w:t>within the canonical right-priority order. A lower welfare score or shorter duration cannot rescue a non-zero categorical, severe-risk, or floor component.</w:t>
      </w:r>
    </w:p>
    <w:bookmarkEnd w:id="348"/>
    <w:bookmarkStart w:id="349" w:name="Xa9a05d7990ff8c80a836afc298f5b710e5d9f34"/>
    <w:p>
      <w:pPr>
        <w:pStyle w:val="Heading2"/>
      </w:pPr>
      <w:r>
        <w:t>B.10 TRC Loss (Tier 1-3 Bounded-Impact Mode)</w:t>
      </w:r>
    </w:p>
    <w:p>
      <w:pPr>
        <w:pStyle w:val="FirstParagraph"/>
      </w:pPr>
      <w:r>
        <w:t>Let C_cat be catastrophe cells and ω catastrophe weights.</w:t>
      </w:r>
    </w:p>
    <w:p>
      <w:pPr>
        <w:pStyle w:val="BodyText"/>
      </w:pPr>
      <w:r>
        <w:t>Normative stream binding (Design A): TRC MUST be computed from the Base stream (I_prop_base). TRC MUST NOT use Welfare-stream (sentience-weighted) impacts.</w:t>
      </w:r>
    </w:p>
    <w:p>
      <w:pPr>
        <w:pStyle w:val="BodyText"/>
      </w:pPr>
      <w:r>
        <w:t>For scenario s:</w:t>
      </w:r>
    </w:p>
    <w:p>
      <w:pPr>
        <w:pStyle w:val="BodyText"/>
      </w:pPr>
      <w:r>
        <w:t>L(a,s) = Σ_{c ∈ C_cat} ω_c × (−I_prop_base,c(a|s))⁺</w:t>
      </w:r>
    </w:p>
    <w:p>
      <w:pPr>
        <w:pStyle w:val="BodyText"/>
      </w:pPr>
      <w:r>
        <w:t>TRC uses CVaR (Appendix D for discrete computation) and corridor threshold τ_TRC:</w:t>
      </w:r>
    </w:p>
    <w:p>
      <w:pPr>
        <w:pStyle w:val="BodyText"/>
      </w:pPr>
      <w:r>
        <w:t>TRC(a) = TRUE if and only if CVaR_α[L(a)] ≤ τ_TRC</w:t>
      </w:r>
    </w:p>
    <w:bookmarkEnd w:id="349"/>
    <w:bookmarkStart w:id="350" w:name="b11-containment-mode-a-binding"/>
    <w:p>
      <w:pPr>
        <w:pStyle w:val="Heading2"/>
      </w:pPr>
      <w:r>
        <w:t>B.11 Containment Mode A (Binding)</w:t>
      </w:r>
    </w:p>
    <w:p>
      <w:pPr>
        <w:pStyle w:val="FirstParagraph"/>
      </w:pPr>
      <w:r>
        <w:t>Containment Mode A is one required structural subtest inside the broader CSV resolver; it is not the whole CSV Gate.</w:t>
      </w:r>
    </w:p>
    <w:p>
      <w:pPr>
        <w:pStyle w:val="BodyText"/>
      </w:pPr>
      <w:r>
        <w:t>Define positively moving union scopes:</w:t>
      </w:r>
    </w:p>
    <w:p>
      <w:pPr>
        <w:pStyle w:val="BodyText"/>
      </w:pPr>
      <w:r>
        <w:rPr>
          <w:rStyle w:val="VerbatimChar"/>
        </w:rPr>
        <w:t>S_u(a) = sum_d v_d^cont * I_prop_base(u,d,a)</w:t>
      </w:r>
    </w:p>
    <w:p>
      <w:pPr>
        <w:pStyle w:val="BodyText"/>
      </w:pPr>
      <w:r>
        <w:t>Containment trigger weights use the containment-specific vector</w:t>
      </w:r>
      <w:r>
        <w:t xml:space="preserve"> </w:t>
      </w:r>
      <w:r>
        <w:rPr>
          <w:rStyle w:val="VerbatimChar"/>
        </w:rPr>
        <w:t>v_d^cont</w:t>
      </w:r>
      <w:r>
        <w:t xml:space="preserve"> </w:t>
      </w:r>
      <w:r>
        <w:t>(default uniform</w:t>
      </w:r>
      <w:r>
        <w:t xml:space="preserve"> </w:t>
      </w:r>
      <w:r>
        <w:rPr>
          <w:rStyle w:val="VerbatimChar"/>
        </w:rPr>
        <w:t>1/7</w:t>
      </w:r>
      <w:r>
        <w:t>). HDW welfare weights MUST NOT be used for containment trigger detection.</w:t>
      </w:r>
    </w:p>
    <w:p>
      <w:pPr>
        <w:pStyle w:val="BodyText"/>
      </w:pPr>
      <w:r>
        <w:rPr>
          <w:rStyle w:val="VerbatimChar"/>
        </w:rPr>
        <w:t>U_pos(a) = {u : S_u(a) &gt;= theta_pos}</w:t>
      </w:r>
    </w:p>
    <w:p>
      <w:pPr>
        <w:pStyle w:val="BodyText"/>
      </w:pPr>
      <w:r>
        <w:t>Let</w:t>
      </w:r>
      <w:r>
        <w:t xml:space="preserve"> </w:t>
      </w:r>
      <w:r>
        <w:rPr>
          <w:rStyle w:val="VerbatimChar"/>
        </w:rPr>
        <w:t>G_c</w:t>
      </w:r>
      <w:r>
        <w:t xml:space="preserve"> </w:t>
      </w:r>
      <w:r>
        <w:t>be the decision-specific directed containment/dependency graph. Increasing union-scope order is not sufficient evidence of containment. For each</w:t>
      </w:r>
      <w:r>
        <w:t xml:space="preserve"> </w:t>
      </w:r>
      <w:r>
        <w:rPr>
          <w:rStyle w:val="VerbatimChar"/>
        </w:rPr>
        <w:t>u in U_pos(a)</w:t>
      </w:r>
      <w:r>
        <w:t>, let</w:t>
      </w:r>
      <w:r>
        <w:t xml:space="preserve"> </w:t>
      </w:r>
      <w:r>
        <w:rPr>
          <w:rStyle w:val="VerbatimChar"/>
        </w:rPr>
        <w:t>Contain(u,G_c)</w:t>
      </w:r>
      <w:r>
        <w:t xml:space="preserve"> </w:t>
      </w:r>
      <w:r>
        <w:t>be the set of declared scopes or systems whose integrity materially contains, sustains, governs, or enables the benefit. Where UCI is an applicable instrument:</w:t>
      </w:r>
    </w:p>
    <w:p>
      <w:pPr>
        <w:pStyle w:val="BodyText"/>
      </w:pPr>
      <w:r>
        <w:rPr>
          <w:rStyle w:val="VerbatimChar"/>
        </w:rPr>
        <w:t>M_u(a) = min_{u' in Contain(u,G_c)} DeltaUCI_{u'}(a)</w:t>
      </w:r>
    </w:p>
    <w:p>
      <w:pPr>
        <w:pStyle w:val="BodyText"/>
      </w:pPr>
      <w:r>
        <w:t>and the UCI subpredicate passes only when</w:t>
      </w:r>
      <w:r>
        <w:t xml:space="preserve"> </w:t>
      </w:r>
      <w:r>
        <w:rPr>
          <w:rStyle w:val="VerbatimChar"/>
        </w:rPr>
        <w:t>M_u(a) &gt;= tau_c</w:t>
      </w:r>
      <w:r>
        <w:t xml:space="preserve"> </w:t>
      </w:r>
      <w:r>
        <w:t>for every triggered scope.</w:t>
      </w:r>
    </w:p>
    <w:p>
      <w:pPr>
        <w:pStyle w:val="BodyText"/>
      </w:pPr>
      <w:r>
        <w:t>The complete CSV status is resolved from all material subconditions:</w:t>
      </w:r>
    </w:p>
    <w:p>
      <w:pPr>
        <w:pStyle w:val="BodyText"/>
      </w:pPr>
      <w:r>
        <w:rPr>
          <w:rStyle w:val="VerbatimChar"/>
        </w:rPr>
        <w:t>CSV_status(a) = Resolve(containment_integrity, structural_viability, source_coupling, physical_causal_admissibility, dependency_and_lock_in, reversibility, monitoring, controls, authority_and_legitimacy, evidence_sufficiency)</w:t>
      </w:r>
    </w:p>
    <w:p>
      <w:pPr>
        <w:pStyle w:val="BodyText"/>
      </w:pPr>
      <w:r>
        <w:rPr>
          <w:rStyle w:val="VerbatimChar"/>
        </w:rPr>
        <w:t>CSV_PASS</w:t>
      </w:r>
      <w:r>
        <w:t xml:space="preserve"> </w:t>
      </w:r>
      <w:r>
        <w:t>or</w:t>
      </w:r>
      <w:r>
        <w:t xml:space="preserve"> </w:t>
      </w:r>
      <w:r>
        <w:rPr>
          <w:rStyle w:val="VerbatimChar"/>
        </w:rPr>
        <w:t>CSV_PASS_WITH_CONTROLS</w:t>
      </w:r>
      <w:r>
        <w:t xml:space="preserve"> </w:t>
      </w:r>
      <w:r>
        <w:t>requires every material subcondition to be</w:t>
      </w:r>
      <w:r>
        <w:t xml:space="preserve"> </w:t>
      </w:r>
      <w:r>
        <w:rPr>
          <w:rStyle w:val="VerbatimChar"/>
        </w:rPr>
        <w:t>PASS</w:t>
      </w:r>
      <w:r>
        <w:t>,</w:t>
      </w:r>
      <w:r>
        <w:t xml:space="preserve"> </w:t>
      </w:r>
      <w:r>
        <w:rPr>
          <w:rStyle w:val="VerbatimChar"/>
        </w:rPr>
        <w:t>PASS_WITH_CONTROLS</w:t>
      </w:r>
      <w:r>
        <w:t>, or a documented</w:t>
      </w:r>
      <w:r>
        <w:t xml:space="preserve"> </w:t>
      </w:r>
      <w:r>
        <w:rPr>
          <w:rStyle w:val="VerbatimChar"/>
        </w:rPr>
        <w:t>NOT_MATERIAL</w:t>
      </w:r>
      <w:r>
        <w:t xml:space="preserve"> </w:t>
      </w:r>
      <w:r>
        <w:t>disposition. Any material</w:t>
      </w:r>
      <w:r>
        <w:t xml:space="preserve"> </w:t>
      </w:r>
      <w:r>
        <w:rPr>
          <w:rStyle w:val="VerbatimChar"/>
        </w:rPr>
        <w:t>FAIL</w:t>
      </w:r>
      <w:r>
        <w:t>, unresolved gate-critical</w:t>
      </w:r>
      <w:r>
        <w:t xml:space="preserve"> </w:t>
      </w:r>
      <w:r>
        <w:rPr>
          <w:rStyle w:val="VerbatimChar"/>
        </w:rPr>
        <w:t>UNKNOWN</w:t>
      </w:r>
      <w:r>
        <w:t>, missing required profile, or structurally non-viable condition prevents ordinary selectability.</w:t>
      </w:r>
    </w:p>
    <w:p>
      <w:pPr>
        <w:pStyle w:val="BodyText"/>
      </w:pPr>
      <w:r>
        <w:rPr>
          <w:rStyle w:val="VerbatimChar"/>
        </w:rPr>
        <w:t>CSV_NOT_MATERIAL</w:t>
      </w:r>
      <w:r>
        <w:t xml:space="preserve"> </w:t>
      </w:r>
      <w:r>
        <w:t>remains a documented pass-equivalent disposition only when the PCC demonstrates that no CSV subcondition is material to the declared claim boundary. UCI is therefore one possible required subpredicate, not an if-and-only-if definition of CSV.</w:t>
      </w:r>
    </w:p>
    <w:bookmarkEnd w:id="350"/>
    <w:bookmarkStart w:id="351" w:name="b12-ripplelogic-score-rls"/>
    <w:p>
      <w:pPr>
        <w:pStyle w:val="Heading2"/>
      </w:pPr>
      <w:r>
        <w:t>B.12 RippleLogic Score (RLS)</w:t>
      </w:r>
    </w:p>
    <w:p>
      <w:pPr>
        <w:pStyle w:val="FirstParagraph"/>
      </w:pPr>
      <w:r>
        <w:t>q(u,d) = w_u × v_d × m(u,d) × κ(u,d)</w:t>
      </w:r>
    </w:p>
    <w:p>
      <w:pPr>
        <w:pStyle w:val="BodyText"/>
      </w:pPr>
      <w:r>
        <w:t>Q = Σ_u Σ_d q(u,d)</w:t>
      </w:r>
    </w:p>
    <w:p>
      <w:pPr>
        <w:pStyle w:val="BodyText"/>
      </w:pPr>
      <w:r>
        <w:t>RLS(a) = [Σ_u Σ_d q(u,d) × I_prop_welfare(u,d,a)] / Q, for Q &gt; 0</w:t>
      </w:r>
    </w:p>
    <w:p>
      <w:pPr>
        <w:pStyle w:val="BodyText"/>
      </w:pPr>
      <w:r>
        <w:t>Default: κ(u,d) = 1, m(u,d) = 1 unless masked.</w:t>
      </w:r>
    </w:p>
    <w:bookmarkEnd w:id="351"/>
    <w:bookmarkStart w:id="352" w:name="X85be978349fd35f3eeca31e0ba79dc44f18d91f"/>
    <w:p>
      <w:pPr>
        <w:pStyle w:val="Heading2"/>
      </w:pPr>
      <w:r>
        <w:t>B.12A κ governance note (Normative). Non-default κ(u,d) values are allowed only within the bounded governance interval declared in Section 10.1 and MUST preserve sign, rights-floor protection, catastrophe visibility, and replayability. Validator checks SHALL reject any κ(u,d) that acts as a hidden mask, hidden union-floor rewrite, or undisclosed prominence override.</w:t>
      </w:r>
    </w:p>
    <w:bookmarkEnd w:id="352"/>
    <w:bookmarkStart w:id="353" w:name="Xf4d59c7679d73fa38ece0ed31a673b58aca9d32"/>
    <w:p>
      <w:pPr>
        <w:pStyle w:val="Heading2"/>
      </w:pPr>
      <w:r>
        <w:t>B.13 RLS Uncertainty (Optional; Tier 3 Required)</w:t>
      </w:r>
    </w:p>
    <w:p>
      <w:pPr>
        <w:pStyle w:val="FirstParagraph"/>
      </w:pPr>
      <w:r>
        <w:t>Definition of σ(u,d,a) (normative minimum): PCC MUST declare one of the following cell-level uncertainty proxies and apply it consistently across options:</w:t>
      </w:r>
    </w:p>
    <w:p>
      <w:pPr>
        <w:pStyle w:val="BodyText"/>
      </w:pPr>
      <w:r>
        <w:t>Method A (interval half-width): If the PCC records a confidence interval [L,U] for the cell impact I(u,d,a), set σ(u,d,a) = (U − L)/2.</w:t>
      </w:r>
    </w:p>
    <w:p>
      <w:pPr>
        <w:pStyle w:val="BodyText"/>
      </w:pPr>
      <w:r>
        <w:t>Method B (confidence-derived contribution-mass rule): If the PCC records impact instances with confidences c_k ∈[0.1,1] and selects Method B, derive c(u,d,a) using Section 10.3.2. Let A_cell(u,d,a) = min(1, Σ_k |x_k|), where x_k is the pre-confidence contribution after reach, temporal, likelihood, adjustment, and permitted sentience terms and before saturation. Then:</w:t>
      </w:r>
      <w:r>
        <w:t xml:space="preserve"> </w:t>
      </w:r>
      <w:r>
        <w:t>σ(u,d,a) = (1 − c(u,d,a)) · A_cell(u,d,a)</w:t>
      </w:r>
    </w:p>
    <w:p>
      <w:pPr>
        <w:pStyle w:val="BodyText"/>
      </w:pPr>
      <w:r>
        <w:t>Method C (calibrated table): Use a pre-registered mapping from qualitative uncertainty labels (for example, LOW/MED/HIGH) to σ values, stored in the ProofPack or PCC appendix.</w:t>
      </w:r>
    </w:p>
    <w:p>
      <w:pPr>
        <w:pStyle w:val="BodyText"/>
      </w:pPr>
      <w:r>
        <w:t>σ values MUST be clipped to [0,1]. Unless a stricter governed method is declared, σ(u,d,a) is interpreted as the pre-κ cell-level uncertainty input and SHALL be aggregated into σ_RLS using the same w_u, v_d, m(u,d), and κ(u,d) posture used for RLS.</w:t>
      </w:r>
    </w:p>
    <w:p>
      <w:pPr>
        <w:pStyle w:val="BodyText"/>
      </w:pPr>
      <w:r>
        <w:t>σ_RLS(a) = √[Σ_u Σ_d (q(u,d) × σ(u,d,a))²] / Q, for Q &gt; 0</w:t>
      </w:r>
    </w:p>
    <w:p>
      <w:pPr>
        <w:pStyle w:val="BodyText"/>
      </w:pPr>
      <w:r>
        <w:t>Risk-adjusted score (optional):</w:t>
      </w:r>
    </w:p>
    <w:p>
      <w:pPr>
        <w:pStyle w:val="BodyText"/>
      </w:pPr>
      <w:r>
        <w:t>RLS_adj(a) = RLS(a) − λ × σ_RLS(a)</w:t>
      </w:r>
    </w:p>
    <w:p>
      <w:pPr>
        <w:pStyle w:val="BodyText"/>
      </w:pPr>
      <w:r>
        <w:t>By default, RLS_adj is diagnostic only and MUST NOT replace RLS for ranking or decisiveness unless the run declares ex ante that risk-adjusted ranking is the governing ranking basis. If such a declaration is made, the same declared basis MUST be used consistently for ranking, Gap, and decisiveness across all compared options in the run.</w:t>
      </w:r>
    </w:p>
    <w:bookmarkEnd w:id="353"/>
    <w:bookmarkStart w:id="354" w:name="X068ae5ce65407b36abb2eec163889a13c2916e9"/>
    <w:p>
      <w:pPr>
        <w:pStyle w:val="Heading2"/>
      </w:pPr>
      <w:r>
        <w:t>B.14 Discrimination Gap (Decisive vs Non-Decisive)</w:t>
      </w:r>
    </w:p>
    <w:p>
      <w:pPr>
        <w:pStyle w:val="FirstParagraph"/>
      </w:pPr>
      <w:r>
        <w:t>Gap(a,b) = abs(RLS(a) - RLS(b)) / sqrt(sigma_RLS(a)^2 + sigma_RLS(b)^2 + epsilon)</w:t>
      </w:r>
    </w:p>
    <w:p>
      <w:pPr>
        <w:pStyle w:val="BodyText"/>
      </w:pPr>
      <w:r>
        <w:t>Default: delta = 2, epsilon = 1e-6.</w:t>
      </w:r>
    </w:p>
    <w:p>
      <w:pPr>
        <w:pStyle w:val="BodyText"/>
      </w:pPr>
      <w:r>
        <w:t>Decisive lead if Gap(a*, a2) &gt; delta.</w:t>
      </w:r>
    </w:p>
    <w:bookmarkEnd w:id="354"/>
    <w:bookmarkStart w:id="355" w:name="b15-uci-computation"/>
    <w:p>
      <w:pPr>
        <w:pStyle w:val="Heading2"/>
      </w:pPr>
      <w:r>
        <w:t>B.15 UCI Computation</w:t>
      </w:r>
    </w:p>
    <w:p>
      <w:pPr>
        <w:pStyle w:val="FirstParagraph"/>
      </w:pPr>
      <w:r>
        <w:t>UCI_u = α_H × H_u + α_F × F_u + α_R × R_u + α_E × E_u</w:t>
      </w:r>
    </w:p>
    <w:p>
      <w:pPr>
        <w:pStyle w:val="BodyText"/>
      </w:pPr>
      <w:r>
        <w:t>Default: α_H = α_F = α_R = α_E = 0.25.</w:t>
      </w:r>
    </w:p>
    <w:p>
      <w:pPr>
        <w:pStyle w:val="BodyText"/>
      </w:pPr>
      <w:r>
        <w:t>Special case for Self (U₁): E₁ is ordinarily NA because interpersonal distribution is not automatically defined within one individual. If a governed within-self equity instrument is material, E₁ is applicable and must be measured; missing applicable evidence is UNKNOWN, not NA or 1. Applicable-component weights are renormalized.</w:t>
      </w:r>
    </w:p>
    <w:bookmarkEnd w:id="355"/>
    <w:bookmarkStart w:id="356" w:name="b16-δuci-computation"/>
    <w:p>
      <w:pPr>
        <w:pStyle w:val="Heading2"/>
      </w:pPr>
      <w:r>
        <w:t>B.16 ΔUCI Computation</w:t>
      </w:r>
    </w:p>
    <w:p>
      <w:pPr>
        <w:pStyle w:val="FirstParagraph"/>
      </w:pPr>
      <w:r>
        <w:t>ΔUCI_u(a) = UCI_u(a) − UCI_u(baseline)</w:t>
      </w:r>
    </w:p>
    <w:bookmarkEnd w:id="356"/>
    <w:bookmarkStart w:id="357" w:name="b17-hoi-computation"/>
    <w:p>
      <w:pPr>
        <w:pStyle w:val="Heading2"/>
      </w:pPr>
      <w:r>
        <w:t>B.17 HOI Computation</w:t>
      </w:r>
    </w:p>
    <w:p>
      <w:pPr>
        <w:pStyle w:val="FirstParagraph"/>
      </w:pPr>
      <w:r>
        <w:t>HOI_t = EMA_λ(ΔRLS)_t − EMA_λ(ΔUCI)_t</w:t>
      </w:r>
    </w:p>
    <w:p>
      <w:pPr>
        <w:pStyle w:val="BodyText"/>
      </w:pPr>
      <w:r>
        <w:t>Default half-life: 3 periods.</w:t>
      </w:r>
    </w:p>
    <w:p>
      <w:pPr>
        <w:pStyle w:val="BodyText"/>
      </w:pPr>
      <w:r>
        <w:t>End Appendix B.</w:t>
      </w:r>
    </w:p>
    <w:bookmarkEnd w:id="357"/>
    <w:bookmarkEnd w:id="358"/>
    <w:bookmarkStart w:id="366" w:name="X5c5d99d90b15721ef6c35a58c6226add5c29a57"/>
    <w:p>
      <w:pPr>
        <w:pStyle w:val="Heading1"/>
      </w:pPr>
      <w:r>
        <w:t>APPENDIX C: RIGHTS / NCRC CANON PACK (TIER 1-3)</w:t>
      </w:r>
    </w:p>
    <w:p>
      <w:pPr>
        <w:pStyle w:val="FirstParagraph"/>
      </w:pPr>
      <w:r>
        <w:t>Appendix C is normative.</w:t>
      </w:r>
    </w:p>
    <w:bookmarkStart w:id="359" w:name="c1-rights-thresholds-canonical"/>
    <w:p>
      <w:pPr>
        <w:pStyle w:val="Heading2"/>
      </w:pPr>
      <w:r>
        <w:t>C.1 Rights Thresholds (Canonical)</w:t>
      </w:r>
    </w:p>
    <w:tbl>
      <w:tblPr>
        <w:tblStyle w:val="Table"/>
        <w:tblW w:type="auto" w:w="0"/>
        <w:jc w:val="center"/>
        <w:tblLook w:firstRow="1" w:lastRow="0" w:firstColumn="0" w:lastColumn="0" w:noHBand="0" w:noVBand="0" w:val="0020"/>
      </w:tblPr>
      <w:tblGrid>
        <w:gridCol w:w="2640"/>
        <w:gridCol w:w="2640"/>
        <w:gridCol w:w="2640"/>
      </w:tblGrid>
      <w:tr>
        <w:trPr>
          <w:tblHeader w:val="on"/>
          <w:tblHeader w:val="true"/>
          <w:cantSplit/>
        </w:trPr>
        <w:tc>
          <w:tcPr>
            <w:vAlign w:val="top"/>
            <w:tcMar>
              <w:top w:w="70" w:type="dxa"/>
              <w:start w:w="80" w:type="dxa"/>
              <w:bottom w:w="70" w:type="dxa"/>
              <w:end w:w="80" w:type="dxa"/>
            </w:tcMar>
            <w:shd w:fill="1F4E78"/>
          </w:tcPr>
          <w:p>
            <w:pPr>
              <w:pStyle w:val="Compact"/>
              <w:jc w:val="left"/>
            </w:pPr>
            <w:r>
              <w:rPr>
                <w:rFonts w:ascii="Arial" w:hAnsi="Arial" w:eastAsia="Arial"/>
                <w:b/>
                <w:bCs/>
                <w:color w:val="FFFFFF"/>
                <w:sz w:val="16"/>
              </w:rPr>
              <w:t>Right</w:t>
            </w:r>
          </w:p>
        </w:tc>
        <w:tc>
          <w:tcPr>
            <w:vAlign w:val="top"/>
            <w:tcMar>
              <w:top w:w="70" w:type="dxa"/>
              <w:start w:w="80" w:type="dxa"/>
              <w:bottom w:w="70" w:type="dxa"/>
              <w:end w:w="80" w:type="dxa"/>
            </w:tcMar>
            <w:shd w:fill="1F4E78"/>
          </w:tcPr>
          <w:p>
            <w:pPr>
              <w:pStyle w:val="Compact"/>
              <w:jc w:val="left"/>
            </w:pPr>
            <w:r>
              <w:rPr>
                <w:rFonts w:ascii="Arial" w:hAnsi="Arial" w:eastAsia="Arial"/>
                <w:b/>
                <w:bCs/>
                <w:color w:val="FFFFFF"/>
                <w:sz w:val="16"/>
              </w:rPr>
              <w:t>Code</w:t>
            </w:r>
          </w:p>
        </w:tc>
        <w:tc>
          <w:tcPr>
            <w:vAlign w:val="top"/>
            <w:tcMar>
              <w:top w:w="70" w:type="dxa"/>
              <w:start w:w="80" w:type="dxa"/>
              <w:bottom w:w="70" w:type="dxa"/>
              <w:end w:w="80" w:type="dxa"/>
            </w:tcMar>
            <w:shd w:fill="1F4E78"/>
          </w:tcPr>
          <w:p>
            <w:pPr>
              <w:pStyle w:val="Compact"/>
              <w:jc w:val="left"/>
            </w:pPr>
            <w:r>
              <w:rPr>
                <w:rFonts w:ascii="Arial" w:hAnsi="Arial" w:eastAsia="Arial"/>
                <w:b/>
                <w:bCs/>
                <w:color w:val="FFFFFF"/>
                <w:sz w:val="16"/>
              </w:rPr>
              <w:t>Threshold θ_r</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Life</w:t>
            </w:r>
          </w:p>
        </w:tc>
        <w:tc>
          <w:tcPr>
            <w:vAlign w:val="top"/>
            <w:tcMar>
              <w:top w:w="70" w:type="dxa"/>
              <w:start w:w="80" w:type="dxa"/>
              <w:bottom w:w="70" w:type="dxa"/>
              <w:end w:w="80" w:type="dxa"/>
            </w:tcMar>
            <w:shd w:fill="D9EAF7"/>
          </w:tcPr>
          <w:p>
            <w:pPr>
              <w:pStyle w:val="Compact"/>
              <w:jc w:val="left"/>
            </w:pPr>
            <w:r>
              <w:rPr>
                <w:rFonts w:ascii="Arial" w:hAnsi="Arial" w:eastAsia="Arial"/>
                <w:sz w:val="16"/>
              </w:rPr>
              <w:t>LIFE</w:t>
            </w:r>
          </w:p>
        </w:tc>
        <w:tc>
          <w:tcPr>
            <w:vAlign w:val="top"/>
            <w:tcMar>
              <w:top w:w="70" w:type="dxa"/>
              <w:start w:w="80" w:type="dxa"/>
              <w:bottom w:w="70" w:type="dxa"/>
              <w:end w:w="80" w:type="dxa"/>
            </w:tcMar>
            <w:shd w:fill="D9EAF7"/>
          </w:tcPr>
          <w:p>
            <w:pPr>
              <w:pStyle w:val="Compact"/>
              <w:jc w:val="left"/>
            </w:pPr>
            <w:r>
              <w:rPr>
                <w:rFonts w:ascii="Arial" w:hAnsi="Arial" w:eastAsia="Arial"/>
                <w:sz w:val="16"/>
              </w:rPr>
              <w:t>-0.90</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Bodily Integrity</w:t>
            </w:r>
          </w:p>
        </w:tc>
        <w:tc>
          <w:tcPr>
            <w:vAlign w:val="top"/>
            <w:tcMar>
              <w:top w:w="70" w:type="dxa"/>
              <w:start w:w="80" w:type="dxa"/>
              <w:bottom w:w="70" w:type="dxa"/>
              <w:end w:w="80" w:type="dxa"/>
            </w:tcMar>
            <w:shd w:fill="FFFFFF"/>
          </w:tcPr>
          <w:p>
            <w:pPr>
              <w:pStyle w:val="Compact"/>
              <w:jc w:val="left"/>
            </w:pPr>
            <w:r>
              <w:rPr>
                <w:rFonts w:ascii="Arial" w:hAnsi="Arial" w:eastAsia="Arial"/>
                <w:sz w:val="16"/>
              </w:rPr>
              <w:t>BODY</w:t>
            </w:r>
          </w:p>
        </w:tc>
        <w:tc>
          <w:tcPr>
            <w:vAlign w:val="top"/>
            <w:tcMar>
              <w:top w:w="70" w:type="dxa"/>
              <w:start w:w="80" w:type="dxa"/>
              <w:bottom w:w="70" w:type="dxa"/>
              <w:end w:w="80" w:type="dxa"/>
            </w:tcMar>
            <w:shd w:fill="FFFFFF"/>
          </w:tcPr>
          <w:p>
            <w:pPr>
              <w:pStyle w:val="Compact"/>
              <w:jc w:val="left"/>
            </w:pPr>
            <w:r>
              <w:rPr>
                <w:rFonts w:ascii="Arial" w:hAnsi="Arial" w:eastAsia="Arial"/>
                <w:sz w:val="16"/>
              </w:rPr>
              <w:t>-0.70</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Liberty</w:t>
            </w:r>
          </w:p>
        </w:tc>
        <w:tc>
          <w:tcPr>
            <w:vAlign w:val="top"/>
            <w:tcMar>
              <w:top w:w="70" w:type="dxa"/>
              <w:start w:w="80" w:type="dxa"/>
              <w:bottom w:w="70" w:type="dxa"/>
              <w:end w:w="80" w:type="dxa"/>
            </w:tcMar>
            <w:shd w:fill="D9EAF7"/>
          </w:tcPr>
          <w:p>
            <w:pPr>
              <w:pStyle w:val="Compact"/>
              <w:jc w:val="left"/>
            </w:pPr>
            <w:r>
              <w:rPr>
                <w:rFonts w:ascii="Arial" w:hAnsi="Arial" w:eastAsia="Arial"/>
                <w:sz w:val="16"/>
              </w:rPr>
              <w:t>LBTY</w:t>
            </w:r>
          </w:p>
        </w:tc>
        <w:tc>
          <w:tcPr>
            <w:vAlign w:val="top"/>
            <w:tcMar>
              <w:top w:w="70" w:type="dxa"/>
              <w:start w:w="80" w:type="dxa"/>
              <w:bottom w:w="70" w:type="dxa"/>
              <w:end w:w="80" w:type="dxa"/>
            </w:tcMar>
            <w:shd w:fill="D9EAF7"/>
          </w:tcPr>
          <w:p>
            <w:pPr>
              <w:pStyle w:val="Compact"/>
              <w:jc w:val="left"/>
            </w:pPr>
            <w:r>
              <w:rPr>
                <w:rFonts w:ascii="Arial" w:hAnsi="Arial" w:eastAsia="Arial"/>
                <w:sz w:val="16"/>
              </w:rPr>
              <w:t>-0.65</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Basic Needs</w:t>
            </w:r>
          </w:p>
        </w:tc>
        <w:tc>
          <w:tcPr>
            <w:vAlign w:val="top"/>
            <w:tcMar>
              <w:top w:w="70" w:type="dxa"/>
              <w:start w:w="80" w:type="dxa"/>
              <w:bottom w:w="70" w:type="dxa"/>
              <w:end w:w="80" w:type="dxa"/>
            </w:tcMar>
            <w:shd w:fill="FFFFFF"/>
          </w:tcPr>
          <w:p>
            <w:pPr>
              <w:pStyle w:val="Compact"/>
              <w:jc w:val="left"/>
            </w:pPr>
            <w:r>
              <w:rPr>
                <w:rFonts w:ascii="Arial" w:hAnsi="Arial" w:eastAsia="Arial"/>
                <w:sz w:val="16"/>
              </w:rPr>
              <w:t>NEED</w:t>
            </w:r>
          </w:p>
        </w:tc>
        <w:tc>
          <w:tcPr>
            <w:vAlign w:val="top"/>
            <w:tcMar>
              <w:top w:w="70" w:type="dxa"/>
              <w:start w:w="80" w:type="dxa"/>
              <w:bottom w:w="70" w:type="dxa"/>
              <w:end w:w="80" w:type="dxa"/>
            </w:tcMar>
            <w:shd w:fill="FFFFFF"/>
          </w:tcPr>
          <w:p>
            <w:pPr>
              <w:pStyle w:val="Compact"/>
              <w:jc w:val="left"/>
            </w:pPr>
            <w:r>
              <w:rPr>
                <w:rFonts w:ascii="Arial" w:hAnsi="Arial" w:eastAsia="Arial"/>
                <w:sz w:val="16"/>
              </w:rPr>
              <w:t>-0.50</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Dignity</w:t>
            </w:r>
          </w:p>
        </w:tc>
        <w:tc>
          <w:tcPr>
            <w:vAlign w:val="top"/>
            <w:tcMar>
              <w:top w:w="70" w:type="dxa"/>
              <w:start w:w="80" w:type="dxa"/>
              <w:bottom w:w="70" w:type="dxa"/>
              <w:end w:w="80" w:type="dxa"/>
            </w:tcMar>
            <w:shd w:fill="D9EAF7"/>
          </w:tcPr>
          <w:p>
            <w:pPr>
              <w:pStyle w:val="Compact"/>
              <w:jc w:val="left"/>
            </w:pPr>
            <w:r>
              <w:rPr>
                <w:rFonts w:ascii="Arial" w:hAnsi="Arial" w:eastAsia="Arial"/>
                <w:sz w:val="16"/>
              </w:rPr>
              <w:t>DIGN</w:t>
            </w:r>
          </w:p>
        </w:tc>
        <w:tc>
          <w:tcPr>
            <w:vAlign w:val="top"/>
            <w:tcMar>
              <w:top w:w="70" w:type="dxa"/>
              <w:start w:w="80" w:type="dxa"/>
              <w:bottom w:w="70" w:type="dxa"/>
              <w:end w:w="80" w:type="dxa"/>
            </w:tcMar>
            <w:shd w:fill="D9EAF7"/>
          </w:tcPr>
          <w:p>
            <w:pPr>
              <w:pStyle w:val="Compact"/>
              <w:jc w:val="left"/>
            </w:pPr>
            <w:r>
              <w:rPr>
                <w:rFonts w:ascii="Arial" w:hAnsi="Arial" w:eastAsia="Arial"/>
                <w:sz w:val="16"/>
              </w:rPr>
              <w:t>-0.55</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Due Process</w:t>
            </w:r>
          </w:p>
        </w:tc>
        <w:tc>
          <w:tcPr>
            <w:vAlign w:val="top"/>
            <w:tcMar>
              <w:top w:w="70" w:type="dxa"/>
              <w:start w:w="80" w:type="dxa"/>
              <w:bottom w:w="70" w:type="dxa"/>
              <w:end w:w="80" w:type="dxa"/>
            </w:tcMar>
            <w:shd w:fill="FFFFFF"/>
          </w:tcPr>
          <w:p>
            <w:pPr>
              <w:pStyle w:val="Compact"/>
              <w:jc w:val="left"/>
            </w:pPr>
            <w:r>
              <w:rPr>
                <w:rFonts w:ascii="Arial" w:hAnsi="Arial" w:eastAsia="Arial"/>
                <w:sz w:val="16"/>
              </w:rPr>
              <w:t>PROC</w:t>
            </w:r>
          </w:p>
        </w:tc>
        <w:tc>
          <w:tcPr>
            <w:vAlign w:val="top"/>
            <w:tcMar>
              <w:top w:w="70" w:type="dxa"/>
              <w:start w:w="80" w:type="dxa"/>
              <w:bottom w:w="70" w:type="dxa"/>
              <w:end w:w="80" w:type="dxa"/>
            </w:tcMar>
            <w:shd w:fill="FFFFFF"/>
          </w:tcPr>
          <w:p>
            <w:pPr>
              <w:pStyle w:val="Compact"/>
              <w:jc w:val="left"/>
            </w:pPr>
            <w:r>
              <w:rPr>
                <w:rFonts w:ascii="Arial" w:hAnsi="Arial" w:eastAsia="Arial"/>
                <w:sz w:val="16"/>
              </w:rPr>
              <w:t>-0.45</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Information</w:t>
            </w:r>
          </w:p>
        </w:tc>
        <w:tc>
          <w:tcPr>
            <w:vAlign w:val="top"/>
            <w:tcMar>
              <w:top w:w="70" w:type="dxa"/>
              <w:start w:w="80" w:type="dxa"/>
              <w:bottom w:w="70" w:type="dxa"/>
              <w:end w:w="80" w:type="dxa"/>
            </w:tcMar>
            <w:shd w:fill="D9EAF7"/>
          </w:tcPr>
          <w:p>
            <w:pPr>
              <w:pStyle w:val="Compact"/>
              <w:jc w:val="left"/>
            </w:pPr>
            <w:r>
              <w:rPr>
                <w:rFonts w:ascii="Arial" w:hAnsi="Arial" w:eastAsia="Arial"/>
                <w:sz w:val="16"/>
              </w:rPr>
              <w:t>INFO</w:t>
            </w:r>
          </w:p>
        </w:tc>
        <w:tc>
          <w:tcPr>
            <w:vAlign w:val="top"/>
            <w:tcMar>
              <w:top w:w="70" w:type="dxa"/>
              <w:start w:w="80" w:type="dxa"/>
              <w:bottom w:w="70" w:type="dxa"/>
              <w:end w:w="80" w:type="dxa"/>
            </w:tcMar>
            <w:shd w:fill="D9EAF7"/>
          </w:tcPr>
          <w:p>
            <w:pPr>
              <w:pStyle w:val="Compact"/>
              <w:jc w:val="left"/>
            </w:pPr>
            <w:r>
              <w:rPr>
                <w:rFonts w:ascii="Arial" w:hAnsi="Arial" w:eastAsia="Arial"/>
                <w:sz w:val="16"/>
              </w:rPr>
              <w:t>-0.40</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Ecological Integrity</w:t>
            </w:r>
          </w:p>
        </w:tc>
        <w:tc>
          <w:tcPr>
            <w:vAlign w:val="top"/>
            <w:tcMar>
              <w:top w:w="70" w:type="dxa"/>
              <w:start w:w="80" w:type="dxa"/>
              <w:bottom w:w="70" w:type="dxa"/>
              <w:end w:w="80" w:type="dxa"/>
            </w:tcMar>
            <w:shd w:fill="FFFFFF"/>
          </w:tcPr>
          <w:p>
            <w:pPr>
              <w:pStyle w:val="Compact"/>
              <w:jc w:val="left"/>
            </w:pPr>
            <w:r>
              <w:rPr>
                <w:rFonts w:ascii="Arial" w:hAnsi="Arial" w:eastAsia="Arial"/>
                <w:sz w:val="16"/>
              </w:rPr>
              <w:t>ECOL</w:t>
            </w:r>
          </w:p>
        </w:tc>
        <w:tc>
          <w:tcPr>
            <w:vAlign w:val="top"/>
            <w:tcMar>
              <w:top w:w="70" w:type="dxa"/>
              <w:start w:w="80" w:type="dxa"/>
              <w:bottom w:w="70" w:type="dxa"/>
              <w:end w:w="80" w:type="dxa"/>
            </w:tcMar>
            <w:shd w:fill="FFFFFF"/>
          </w:tcPr>
          <w:p>
            <w:pPr>
              <w:pStyle w:val="Compact"/>
              <w:jc w:val="left"/>
            </w:pPr>
            <w:r>
              <w:rPr>
                <w:rFonts w:ascii="Arial" w:hAnsi="Arial" w:eastAsia="Arial"/>
                <w:sz w:val="16"/>
              </w:rPr>
              <w:t>-0.65</w:t>
            </w:r>
          </w:p>
        </w:tc>
      </w:tr>
    </w:tbl>
    <w:p>
      <w:pPr>
        <w:pStyle w:val="BodyText"/>
      </w:pPr>
      <w:r>
        <w:t>Normative interpretation rule: Thresholds θ_r are admissibility floors, not weights. They do not represent "how important" a right is; they represent the minimum allowable protection level.</w:t>
      </w:r>
    </w:p>
    <w:bookmarkEnd w:id="359"/>
    <w:bookmarkStart w:id="360" w:name="X7d1f979cdda521f6022a14dc0ad6f5bdc127426"/>
    <w:p>
      <w:pPr>
        <w:pStyle w:val="Heading2"/>
      </w:pPr>
      <w:r>
        <w:t>C.2 Rights Coverage Sets C_r (Authoritative)</w:t>
      </w:r>
    </w:p>
    <w:tbl>
      <w:tblPr>
        <w:tblStyle w:val="Table"/>
        <w:tblW w:type="auto" w:w="0"/>
        <w:jc w:val="center"/>
        <w:tblLook w:firstRow="1" w:lastRow="0" w:firstColumn="0" w:lastColumn="0" w:noHBand="0" w:noVBand="0" w:val="0020"/>
      </w:tblPr>
      <w:tblGrid>
        <w:gridCol w:w="3960"/>
        <w:gridCol w:w="3960"/>
      </w:tblGrid>
      <w:tr>
        <w:trPr>
          <w:tblHeader w:val="on"/>
          <w:tblHeader w:val="true"/>
          <w:cantSplit/>
        </w:trPr>
        <w:tc>
          <w:tcPr>
            <w:vAlign w:val="top"/>
            <w:tcMar>
              <w:top w:w="70" w:type="dxa"/>
              <w:start w:w="80" w:type="dxa"/>
              <w:bottom w:w="70" w:type="dxa"/>
              <w:end w:w="80" w:type="dxa"/>
            </w:tcMar>
            <w:shd w:fill="1F4E78"/>
          </w:tcPr>
          <w:p>
            <w:pPr>
              <w:pStyle w:val="Compact"/>
              <w:jc w:val="left"/>
            </w:pPr>
            <w:r>
              <w:rPr>
                <w:rFonts w:ascii="Arial" w:hAnsi="Arial" w:eastAsia="Arial"/>
                <w:b/>
                <w:bCs/>
                <w:color w:val="FFFFFF"/>
                <w:sz w:val="16"/>
              </w:rPr>
              <w:t>Right</w:t>
            </w:r>
          </w:p>
        </w:tc>
        <w:tc>
          <w:tcPr>
            <w:vAlign w:val="top"/>
            <w:tcMar>
              <w:top w:w="70" w:type="dxa"/>
              <w:start w:w="80" w:type="dxa"/>
              <w:bottom w:w="70" w:type="dxa"/>
              <w:end w:w="80" w:type="dxa"/>
            </w:tcMar>
            <w:shd w:fill="1F4E78"/>
          </w:tcPr>
          <w:p>
            <w:pPr>
              <w:pStyle w:val="Compact"/>
              <w:jc w:val="left"/>
            </w:pPr>
            <w:r>
              <w:rPr>
                <w:rFonts w:ascii="Arial" w:hAnsi="Arial" w:eastAsia="Arial"/>
                <w:b/>
                <w:bCs/>
                <w:color w:val="FFFFFF"/>
                <w:sz w:val="16"/>
              </w:rPr>
              <w:t>Coverage Set C_r</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LIFE</w:t>
            </w:r>
          </w:p>
        </w:tc>
        <w:tc>
          <w:tcPr>
            <w:vAlign w:val="top"/>
            <w:tcMar>
              <w:top w:w="70" w:type="dxa"/>
              <w:start w:w="80" w:type="dxa"/>
              <w:bottom w:w="70" w:type="dxa"/>
              <w:end w:w="80" w:type="dxa"/>
            </w:tcMar>
            <w:shd w:fill="D9EAF7"/>
          </w:tcPr>
          <w:p>
            <w:pPr>
              <w:pStyle w:val="Compact"/>
              <w:jc w:val="left"/>
            </w:pPr>
            <w:r>
              <w:rPr>
                <w:rFonts w:ascii="Arial" w:hAnsi="Arial" w:eastAsia="Arial"/>
                <w:sz w:val="16"/>
              </w:rPr>
              <w:t>{(u, Health): u ∈ {1,2,3,4,5,6}} ∪ {(6, Environment)}</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BODY</w:t>
            </w:r>
          </w:p>
        </w:tc>
        <w:tc>
          <w:tcPr>
            <w:vAlign w:val="top"/>
            <w:tcMar>
              <w:top w:w="70" w:type="dxa"/>
              <w:start w:w="80" w:type="dxa"/>
              <w:bottom w:w="70" w:type="dxa"/>
              <w:end w:w="80" w:type="dxa"/>
            </w:tcMar>
            <w:shd w:fill="FFFFFF"/>
          </w:tcPr>
          <w:p>
            <w:pPr>
              <w:pStyle w:val="Compact"/>
              <w:jc w:val="left"/>
            </w:pPr>
            <w:r>
              <w:rPr>
                <w:rFonts w:ascii="Arial" w:hAnsi="Arial" w:eastAsia="Arial"/>
                <w:sz w:val="16"/>
              </w:rPr>
              <w:t>{(u, Health): u ∈ {1,2,3,4,5,6}}</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LBTY</w:t>
            </w:r>
          </w:p>
        </w:tc>
        <w:tc>
          <w:tcPr>
            <w:vAlign w:val="top"/>
            <w:tcMar>
              <w:top w:w="70" w:type="dxa"/>
              <w:start w:w="80" w:type="dxa"/>
              <w:bottom w:w="70" w:type="dxa"/>
              <w:end w:w="80" w:type="dxa"/>
            </w:tcMar>
            <w:shd w:fill="D9EAF7"/>
          </w:tcPr>
          <w:p>
            <w:pPr>
              <w:pStyle w:val="Compact"/>
              <w:jc w:val="left"/>
            </w:pPr>
            <w:r>
              <w:rPr>
                <w:rFonts w:ascii="Arial" w:hAnsi="Arial" w:eastAsia="Arial"/>
                <w:sz w:val="16"/>
              </w:rPr>
              <w:t>{(u, Agency): u ∈ {1,2,3,4,5,6}} ∪ {(u, Social): u ∈ {3,4,5,6}}</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NEED</w:t>
            </w:r>
          </w:p>
        </w:tc>
        <w:tc>
          <w:tcPr>
            <w:vAlign w:val="top"/>
            <w:tcMar>
              <w:top w:w="70" w:type="dxa"/>
              <w:start w:w="80" w:type="dxa"/>
              <w:bottom w:w="70" w:type="dxa"/>
              <w:end w:w="80" w:type="dxa"/>
            </w:tcMar>
            <w:shd w:fill="FFFFFF"/>
          </w:tcPr>
          <w:p>
            <w:pPr>
              <w:pStyle w:val="Compact"/>
              <w:jc w:val="left"/>
            </w:pPr>
            <w:r>
              <w:rPr>
                <w:rFonts w:ascii="Arial" w:hAnsi="Arial" w:eastAsia="Arial"/>
                <w:sz w:val="16"/>
              </w:rPr>
              <w:t>{(u, Material): u ∈ {1,2,3,4,5,6}} ∪ {(u, Health): u ∈ {1,2,3,4,5,6}}</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DIGN</w:t>
            </w:r>
          </w:p>
        </w:tc>
        <w:tc>
          <w:tcPr>
            <w:vAlign w:val="top"/>
            <w:tcMar>
              <w:top w:w="70" w:type="dxa"/>
              <w:start w:w="80" w:type="dxa"/>
              <w:bottom w:w="70" w:type="dxa"/>
              <w:end w:w="80" w:type="dxa"/>
            </w:tcMar>
            <w:shd w:fill="D9EAF7"/>
          </w:tcPr>
          <w:p>
            <w:pPr>
              <w:pStyle w:val="Compact"/>
              <w:jc w:val="left"/>
            </w:pPr>
            <w:r>
              <w:rPr>
                <w:rFonts w:ascii="Arial" w:hAnsi="Arial" w:eastAsia="Arial"/>
                <w:sz w:val="16"/>
              </w:rPr>
              <w:t>{(u, Social): u ∈ {1,2,3,4,5,6}} ∪ {(u, Agency): u ∈ {1,2,3,4,5,6}}</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PROC</w:t>
            </w:r>
          </w:p>
        </w:tc>
        <w:tc>
          <w:tcPr>
            <w:vAlign w:val="top"/>
            <w:tcMar>
              <w:top w:w="70" w:type="dxa"/>
              <w:start w:w="80" w:type="dxa"/>
              <w:bottom w:w="70" w:type="dxa"/>
              <w:end w:w="80" w:type="dxa"/>
            </w:tcMar>
            <w:shd w:fill="FFFFFF"/>
          </w:tcPr>
          <w:p>
            <w:pPr>
              <w:pStyle w:val="Compact"/>
              <w:jc w:val="left"/>
            </w:pPr>
            <w:r>
              <w:rPr>
                <w:rFonts w:ascii="Arial" w:hAnsi="Arial" w:eastAsia="Arial"/>
                <w:sz w:val="16"/>
              </w:rPr>
              <w:t>{(u, Agency): u ∈ {4,5,6}} ∪ {(u, Knowledge): u ∈ {4,5,6}} ∪ {(u, Social): u ∈ {4,5,6}}</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INFO</w:t>
            </w:r>
          </w:p>
        </w:tc>
        <w:tc>
          <w:tcPr>
            <w:vAlign w:val="top"/>
            <w:tcMar>
              <w:top w:w="70" w:type="dxa"/>
              <w:start w:w="80" w:type="dxa"/>
              <w:bottom w:w="70" w:type="dxa"/>
              <w:end w:w="80" w:type="dxa"/>
            </w:tcMar>
            <w:shd w:fill="D9EAF7"/>
          </w:tcPr>
          <w:p>
            <w:pPr>
              <w:pStyle w:val="Compact"/>
              <w:jc w:val="left"/>
            </w:pPr>
            <w:r>
              <w:rPr>
                <w:rFonts w:ascii="Arial" w:hAnsi="Arial" w:eastAsia="Arial"/>
                <w:sz w:val="16"/>
              </w:rPr>
              <w:t>{(u, Knowledge): u ∈ {1,2,3,4,5,6}} ∪ {(u, Agency): u ∈ {1,2,3,4,5,6}}</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ECOL</w:t>
            </w:r>
          </w:p>
        </w:tc>
        <w:tc>
          <w:tcPr>
            <w:vAlign w:val="top"/>
            <w:tcMar>
              <w:top w:w="70" w:type="dxa"/>
              <w:start w:w="80" w:type="dxa"/>
              <w:bottom w:w="70" w:type="dxa"/>
              <w:end w:w="80" w:type="dxa"/>
            </w:tcMar>
            <w:shd w:fill="FFFFFF"/>
          </w:tcPr>
          <w:p>
            <w:pPr>
              <w:pStyle w:val="Compact"/>
              <w:jc w:val="left"/>
            </w:pPr>
            <w:r>
              <w:rPr>
                <w:rFonts w:ascii="Arial" w:hAnsi="Arial" w:eastAsia="Arial"/>
                <w:sz w:val="16"/>
              </w:rPr>
              <w:t>{(6, Environment), (7, Environment)}</w:t>
            </w:r>
          </w:p>
        </w:tc>
      </w:tr>
    </w:tbl>
    <w:bookmarkEnd w:id="360"/>
    <w:bookmarkStart w:id="361" w:name="X0e75838f8c3ac55c90fde5dc3f7bccacb1203ac"/>
    <w:p>
      <w:pPr>
        <w:pStyle w:val="Heading2"/>
      </w:pPr>
      <w:r>
        <w:t>C.3 Emergency Mode Rights Priority (Canonical)</w:t>
      </w:r>
    </w:p>
    <w:p>
      <w:pPr>
        <w:pStyle w:val="FirstParagraph"/>
      </w:pPr>
      <w:r>
        <w:t>When Emergency Mode is invoked (A_NCRC = ∅), rights are ordered lexicographically:</w:t>
      </w:r>
    </w:p>
    <w:p>
      <w:pPr>
        <w:pStyle w:val="BodyText"/>
      </w:pPr>
      <w:r>
        <w:t>[LIFE, BODY, ECOL, LBTY, NEED, DIGN, PROC, INFO]</w:t>
      </w:r>
    </w:p>
    <w:p>
      <w:pPr>
        <w:pStyle w:val="BodyText"/>
      </w:pPr>
      <w:r>
        <w:t>This ordering MUST be used exactly for lexicographic minimization of the violation depth vector.</w:t>
      </w:r>
    </w:p>
    <w:bookmarkEnd w:id="361"/>
    <w:bookmarkStart w:id="362" w:name="X2baab3e24ce6661ca640cac550717214ba5a5ee"/>
    <w:p>
      <w:pPr>
        <w:pStyle w:val="Heading2"/>
      </w:pPr>
      <w:r>
        <w:t>C.4 NCRC Violation Depth Definition (Canonical)</w:t>
      </w:r>
    </w:p>
    <w:p>
      <w:pPr>
        <w:pStyle w:val="FirstParagraph"/>
      </w:pPr>
      <w:r>
        <w:t>For every right</w:t>
      </w:r>
      <w:r>
        <w:t xml:space="preserve"> </w:t>
      </w:r>
      <w:r>
        <w:rPr>
          <w:rStyle w:val="VerbatimChar"/>
        </w:rPr>
        <w:t>r</w:t>
      </w:r>
      <w:r>
        <w:t>, record the compound violation tuple:</w:t>
      </w:r>
    </w:p>
    <w:p>
      <w:pPr>
        <w:pStyle w:val="BodyText"/>
      </w:pPr>
      <w:r>
        <w:rPr>
          <w:rStyle w:val="VerbatimChar"/>
        </w:rPr>
        <w:t>q_r(a) = (v_r^cat(a), v_r^risk(a), v_r^floor(a))</w:t>
      </w:r>
    </w:p>
    <w:p>
      <w:pPr>
        <w:pStyle w:val="BodyText"/>
      </w:pPr>
      <w:r>
        <w:t>with:</w:t>
      </w:r>
    </w:p>
    <w:p>
      <w:pPr>
        <w:pStyle w:val="Compact"/>
        <w:numPr>
          <w:ilvl w:val="0"/>
          <w:numId w:val="1243"/>
        </w:numPr>
      </w:pPr>
      <w:r>
        <w:rPr>
          <w:rStyle w:val="VerbatimChar"/>
        </w:rPr>
        <w:t>v_r^floor(a) = max_{(u,d) in C_r} (theta_r - I_rights(u,d,a))^+</w:t>
      </w:r>
      <w:r>
        <w:t>;</w:t>
      </w:r>
    </w:p>
    <w:p>
      <w:pPr>
        <w:pStyle w:val="Compact"/>
        <w:numPr>
          <w:ilvl w:val="0"/>
          <w:numId w:val="1243"/>
        </w:numPr>
      </w:pPr>
      <w:r>
        <w:rPr>
          <w:rStyle w:val="VerbatimChar"/>
        </w:rPr>
        <w:t>v_r^cat(a) = max_{k in K_r(a)} z_{k,r}</w:t>
      </w:r>
      <w:r>
        <w:t>;</w:t>
      </w:r>
    </w:p>
    <w:p>
      <w:pPr>
        <w:pStyle w:val="Compact"/>
        <w:numPr>
          <w:ilvl w:val="0"/>
          <w:numId w:val="1243"/>
        </w:numPr>
      </w:pPr>
      <w:r>
        <w:rPr>
          <w:rStyle w:val="VerbatimChar"/>
        </w:rPr>
        <w:t>v_r^risk(a) = max_{k in K_r(a): h_{k,r} &gt;= |theta_r|} (p_{k,r}^U - rho_r)^+</w:t>
      </w:r>
      <w:r>
        <w:t>.</w:t>
      </w:r>
    </w:p>
    <w:p>
      <w:pPr>
        <w:pStyle w:val="FirstParagraph"/>
      </w:pPr>
      <w:r>
        <w:t>A missing required severe-hazard probability, tolerance, categorical-status field, or gate-critical evidence disposition produces</w:t>
      </w:r>
      <w:r>
        <w:t xml:space="preserve"> </w:t>
      </w:r>
      <w:r>
        <w:rPr>
          <w:rStyle w:val="VerbatimChar"/>
        </w:rPr>
        <w:t>NCRC_UNKNOWN</w:t>
      </w:r>
      <w:r>
        <w:t>, not zero.</w:t>
      </w:r>
    </w:p>
    <w:bookmarkEnd w:id="362"/>
    <w:bookmarkStart w:id="363" w:name="c5-ncrc-predicate-canonical"/>
    <w:p>
      <w:pPr>
        <w:pStyle w:val="Heading2"/>
      </w:pPr>
      <w:r>
        <w:t>C.5 NCRC Predicate (Canonical)</w:t>
      </w:r>
    </w:p>
    <w:p>
      <w:pPr>
        <w:pStyle w:val="FirstParagraph"/>
      </w:pPr>
      <w:r>
        <w:rPr>
          <w:rStyle w:val="VerbatimChar"/>
        </w:rPr>
        <w:t>NCRC(a) = TRUE</w:t>
      </w:r>
      <w:r>
        <w:t xml:space="preserve"> </w:t>
      </w:r>
      <w:r>
        <w:t>if and only if, for every right</w:t>
      </w:r>
      <w:r>
        <w:t xml:space="preserve"> </w:t>
      </w:r>
      <w:r>
        <w:rPr>
          <w:rStyle w:val="VerbatimChar"/>
        </w:rPr>
        <w:t>r</w:t>
      </w:r>
      <w:r>
        <w:t>, all three components of</w:t>
      </w:r>
      <w:r>
        <w:t xml:space="preserve"> </w:t>
      </w:r>
      <w:r>
        <w:rPr>
          <w:rStyle w:val="VerbatimChar"/>
        </w:rPr>
        <w:t>q_r(a)</w:t>
      </w:r>
      <w:r>
        <w:t xml:space="preserve"> </w:t>
      </w:r>
      <w:r>
        <w:t>equal zero and no material rights evidence field is unresolved.</w:t>
      </w:r>
    </w:p>
    <w:p>
      <w:pPr>
        <w:pStyle w:val="BodyText"/>
      </w:pPr>
      <w:r>
        <w:t>The NCRC passing set is</w:t>
      </w:r>
      <w:r>
        <w:t xml:space="preserve"> </w:t>
      </w:r>
      <w:r>
        <w:rPr>
          <w:rStyle w:val="VerbatimChar"/>
        </w:rPr>
        <w:t>A_NCRC = {a in O : NCRC(a)=TRUE}</w:t>
      </w:r>
      <w:r>
        <w:t>. Any categorical prohibition, severe-hazard exceedance, floor violation, or required unresolved field blocks an ordinary NCRC pass.</w:t>
      </w:r>
    </w:p>
    <w:bookmarkEnd w:id="363"/>
    <w:bookmarkStart w:id="364" w:name="c6-subgroup-conservative-bound-canonical"/>
    <w:p>
      <w:pPr>
        <w:pStyle w:val="Heading2"/>
      </w:pPr>
      <w:r>
        <w:t>C.6 Subgroup Conservative Bound (Canonical)</w:t>
      </w:r>
    </w:p>
    <w:p>
      <w:pPr>
        <w:pStyle w:val="FirstParagraph"/>
      </w:pPr>
      <w:r>
        <w:t>When subgroup disaggregation is infeasible for a rights-covered cell:</w:t>
      </w:r>
    </w:p>
    <w:p>
      <w:pPr>
        <w:pStyle w:val="BodyText"/>
      </w:pPr>
      <w:r>
        <w:t>Let γ_subgroup = 1.5 (default conservatism factor).</w:t>
      </w:r>
    </w:p>
    <w:p>
      <w:pPr>
        <w:pStyle w:val="Compact"/>
        <w:numPr>
          <w:ilvl w:val="0"/>
          <w:numId w:val="1244"/>
        </w:numPr>
      </w:pPr>
      <w:r>
        <w:t>If I_prop_base(u,d,a) &lt; 0: set I_rights(u,d,a) = max(-1, γ_subgroup × I_prop_base(u,d,a))</w:t>
      </w:r>
    </w:p>
    <w:p>
      <w:pPr>
        <w:pStyle w:val="Compact"/>
        <w:numPr>
          <w:ilvl w:val="0"/>
          <w:numId w:val="1245"/>
        </w:numPr>
      </w:pPr>
      <w:r>
        <w:t>Else: set I_rights(u,d,a) = I_prop_base(u,d,a)</w:t>
      </w:r>
    </w:p>
    <w:p>
      <w:pPr>
        <w:pStyle w:val="FirstParagraph"/>
      </w:pPr>
      <w:r>
        <w:t>This bound applies only for NCRC checking, not for RLS scoring.</w:t>
      </w:r>
    </w:p>
    <w:bookmarkEnd w:id="364"/>
    <w:bookmarkStart w:id="365" w:name="X1856982d84f378a09eae032285184b922a7a529"/>
    <w:p>
      <w:pPr>
        <w:pStyle w:val="Heading2"/>
      </w:pPr>
      <w:r>
        <w:t>C.7 Emergency Mode Documentation Requirements (Canonical)</w:t>
      </w:r>
    </w:p>
    <w:p>
      <w:pPr>
        <w:pStyle w:val="FirstParagraph"/>
      </w:pPr>
      <w:r>
        <w:t>When Emergency Mode is invoked, the PCC MUST include:</w:t>
      </w:r>
    </w:p>
    <w:p>
      <w:pPr>
        <w:pStyle w:val="Compact"/>
        <w:numPr>
          <w:ilvl w:val="0"/>
          <w:numId w:val="1246"/>
        </w:numPr>
      </w:pPr>
      <w:r>
        <w:t>Emergency declaration and trigger conditions;</w:t>
      </w:r>
    </w:p>
    <w:p>
      <w:pPr>
        <w:pStyle w:val="Compact"/>
        <w:numPr>
          <w:ilvl w:val="0"/>
          <w:numId w:val="1246"/>
        </w:numPr>
      </w:pPr>
      <w:r>
        <w:t>the complete</w:t>
      </w:r>
      <w:r>
        <w:t xml:space="preserve"> </w:t>
      </w:r>
      <w:r>
        <w:rPr>
          <w:rStyle w:val="VerbatimChar"/>
        </w:rPr>
        <w:t>q_r(a) = (v_r^cat, v_r^risk, v_r^floor)</w:t>
      </w:r>
      <w:r>
        <w:t xml:space="preserve"> </w:t>
      </w:r>
      <w:r>
        <w:t>tuple for each option and each right;</w:t>
      </w:r>
    </w:p>
    <w:p>
      <w:pPr>
        <w:pStyle w:val="Compact"/>
        <w:numPr>
          <w:ilvl w:val="0"/>
          <w:numId w:val="1246"/>
        </w:numPr>
      </w:pPr>
      <w:r>
        <w:t>the lexicographic comparison trace using the Section C.3 right-priority order and component order</w:t>
      </w:r>
      <w:r>
        <w:t xml:space="preserve"> </w:t>
      </w:r>
      <w:r>
        <w:rPr>
          <w:rStyle w:val="VerbatimChar"/>
        </w:rPr>
        <w:t>categorical -&gt; severe risk -&gt; floor depth</w:t>
      </w:r>
      <w:r>
        <w:t>;</w:t>
      </w:r>
    </w:p>
    <w:p>
      <w:pPr>
        <w:pStyle w:val="Compact"/>
        <w:numPr>
          <w:ilvl w:val="0"/>
          <w:numId w:val="1246"/>
        </w:numPr>
      </w:pPr>
      <w:r>
        <w:t>all</w:t>
      </w:r>
      <w:r>
        <w:t xml:space="preserve"> </w:t>
      </w:r>
      <w:r>
        <w:rPr>
          <w:rStyle w:val="VerbatimChar"/>
        </w:rPr>
        <w:t>NCRC_UNKNOWN</w:t>
      </w:r>
      <w:r>
        <w:t xml:space="preserve"> </w:t>
      </w:r>
      <w:r>
        <w:t>fields and the conservative disposition used;</w:t>
      </w:r>
    </w:p>
    <w:p>
      <w:pPr>
        <w:pStyle w:val="Compact"/>
        <w:numPr>
          <w:ilvl w:val="0"/>
          <w:numId w:val="1246"/>
        </w:numPr>
      </w:pPr>
      <w:r>
        <w:t>independent challenger attestation, or</w:t>
      </w:r>
      <w:r>
        <w:t xml:space="preserve"> </w:t>
      </w:r>
      <w:r>
        <w:rPr>
          <w:rStyle w:val="VerbatimChar"/>
        </w:rPr>
        <w:t>CHALLENGE_DEFERRED_EMERGENCY</w:t>
      </w:r>
      <w:r>
        <w:t>;</w:t>
      </w:r>
    </w:p>
    <w:p>
      <w:pPr>
        <w:pStyle w:val="Compact"/>
        <w:numPr>
          <w:ilvl w:val="0"/>
          <w:numId w:val="1246"/>
        </w:numPr>
      </w:pPr>
      <w:r>
        <w:t>mitigation/remediation plan with timeline;</w:t>
      </w:r>
    </w:p>
    <w:p>
      <w:pPr>
        <w:pStyle w:val="Compact"/>
        <w:numPr>
          <w:ilvl w:val="0"/>
          <w:numId w:val="1246"/>
        </w:numPr>
      </w:pPr>
      <w:r>
        <w:t>monitoring, appeal, remedy, exit, review cadence, and return-to-normal triggers.</w:t>
      </w:r>
    </w:p>
    <w:p>
      <w:pPr>
        <w:pStyle w:val="FirstParagraph"/>
      </w:pPr>
      <w:r>
        <w:t>Emergency Mode does not convert a rights-violating option into an ordinary NCRC pass. It documents a governed provisional response under necessity.</w:t>
      </w:r>
    </w:p>
    <w:p>
      <w:pPr>
        <w:pStyle w:val="BodyText"/>
      </w:pPr>
      <w:r>
        <w:t>End Appendix C.</w:t>
      </w:r>
    </w:p>
    <w:bookmarkEnd w:id="365"/>
    <w:bookmarkEnd w:id="366"/>
    <w:bookmarkStart w:id="379" w:name="Xa198e527a77677a44409084493f58e004476c4f"/>
    <w:p>
      <w:pPr>
        <w:pStyle w:val="Heading1"/>
      </w:pPr>
      <w:r>
        <w:t>APPENDIX D: TRC AND SCENARIO GOVERNANCE CANON PACK (TIER 1-3)</w:t>
      </w:r>
    </w:p>
    <w:p>
      <w:pPr>
        <w:pStyle w:val="FirstParagraph"/>
      </w:pPr>
      <w:r>
        <w:t>Appendix D is normative.</w:t>
      </w:r>
    </w:p>
    <w:bookmarkStart w:id="367" w:name="d1-base-catastrophe-cell-set"/>
    <w:p>
      <w:pPr>
        <w:pStyle w:val="Heading2"/>
      </w:pPr>
      <w:r>
        <w:t>D.1 Base Catastrophe Cell Set</w:t>
      </w:r>
    </w:p>
    <w:p>
      <w:pPr>
        <w:pStyle w:val="FirstParagraph"/>
      </w:pPr>
      <w:r>
        <w:t>C_cat_base = {(6, Health), (6, Environment), (7, Environment)}</w:t>
      </w:r>
    </w:p>
    <w:p>
      <w:pPr>
        <w:pStyle w:val="BodyText"/>
      </w:pPr>
      <w:r>
        <w:t>These correspond to:</w:t>
      </w:r>
    </w:p>
    <w:p>
      <w:pPr>
        <w:pStyle w:val="Compact"/>
        <w:numPr>
          <w:ilvl w:val="0"/>
          <w:numId w:val="1247"/>
        </w:numPr>
      </w:pPr>
      <w:r>
        <w:t>(6, Health): Humanity / Global Coordination-Health, representing global-scale health viability</w:t>
      </w:r>
    </w:p>
    <w:p>
      <w:pPr>
        <w:pStyle w:val="Compact"/>
        <w:numPr>
          <w:ilvl w:val="0"/>
          <w:numId w:val="1248"/>
        </w:numPr>
      </w:pPr>
      <w:r>
        <w:t>(6, Environment): Humanity / Global Coordination-Environment, representing civilization-scale habitability conditions</w:t>
      </w:r>
    </w:p>
    <w:p>
      <w:pPr>
        <w:pStyle w:val="Compact"/>
        <w:numPr>
          <w:ilvl w:val="0"/>
          <w:numId w:val="1249"/>
        </w:numPr>
      </w:pPr>
      <w:r>
        <w:t>(7, Environment): Biosphere-Environment, representing Earth-system integrity</w:t>
      </w:r>
    </w:p>
    <w:bookmarkEnd w:id="367"/>
    <w:bookmarkStart w:id="368" w:name="X4866e4bf97316e53ff40a42a475914c774534b0"/>
    <w:p>
      <w:pPr>
        <w:pStyle w:val="Heading2"/>
      </w:pPr>
      <w:r>
        <w:t>D.1A Default Governance-Lock-In Extension Profile (Normative)</w:t>
      </w:r>
    </w:p>
    <w:p>
      <w:pPr>
        <w:pStyle w:val="FirstParagraph"/>
      </w:pPr>
      <w:r>
        <w:t>Trigger condition: This profile MUST be activated when any of the following is plausibly in scope for the decision: surveillance normalization; emergency-power persistence beyond justified sunset; due-process suspension or durable recourse collapse; information-ecosystem capture; irreversible dependency lock-in on critical infrastructure or governance functions; or concentrated arbitrary control without meaningful exit, review, or contestability.</w:t>
      </w:r>
    </w:p>
    <w:p>
      <w:pPr>
        <w:pStyle w:val="BodyText"/>
      </w:pPr>
      <w:r>
        <w:t>Default governance-lock catastrophe cell set:</w:t>
      </w:r>
    </w:p>
    <w:p>
      <w:pPr>
        <w:pStyle w:val="BodyText"/>
      </w:pPr>
      <w:r>
        <w:t>C_cat_lock_default = {(5, Agency), (5, Knowledge), (6, Agency), (6, Knowledge)}</w:t>
      </w:r>
    </w:p>
    <w:p>
      <w:pPr>
        <w:pStyle w:val="BodyText"/>
      </w:pPr>
      <w:r>
        <w:t>Default weighting rule when active:</w:t>
      </w:r>
    </w:p>
    <w:p>
      <w:pPr>
        <w:pStyle w:val="BodyText"/>
      </w:pPr>
      <w:r>
        <w:t>If no stricter governed profile is declared, set:</w:t>
      </w:r>
    </w:p>
    <w:p>
      <w:pPr>
        <w:pStyle w:val="BodyText"/>
      </w:pPr>
      <w:r>
        <w:t>C_cat = C_cat_base ∪ C_cat_lock_default</w:t>
      </w:r>
    </w:p>
    <w:p>
      <w:pPr>
        <w:pStyle w:val="BodyText"/>
      </w:pPr>
      <w:r>
        <w:t>and use uniform catastrophe weights over the full active set.</w:t>
      </w:r>
    </w:p>
    <w:p>
      <w:pPr>
        <w:pStyle w:val="BodyText"/>
      </w:pPr>
      <w:r>
        <w:t>Interpretation:</w:t>
      </w:r>
    </w:p>
    <w:p>
      <w:pPr>
        <w:pStyle w:val="BodyText"/>
      </w:pPr>
      <w:r>
        <w:t>(5, Agency): polity-scale loss of contestability, due process, or civic agency</w:t>
      </w:r>
    </w:p>
    <w:p>
      <w:pPr>
        <w:pStyle w:val="BodyText"/>
      </w:pPr>
      <w:r>
        <w:t>(5, Knowledge): polity-scale degradation of information integrity and epistemic access</w:t>
      </w:r>
    </w:p>
    <w:p>
      <w:pPr>
        <w:pStyle w:val="BodyText"/>
      </w:pPr>
      <w:r>
        <w:t>(6, Agency): civilization-scale agency loss, lock-in, or durable corrigibility collapse</w:t>
      </w:r>
    </w:p>
    <w:p>
      <w:pPr>
        <w:pStyle w:val="BodyText"/>
      </w:pPr>
      <w:r>
        <w:t>(6, Knowledge): civilization-scale information capture, knowledge bottlenecking, or durable epistemic enclosure</w:t>
      </w:r>
    </w:p>
    <w:p>
      <w:pPr>
        <w:pStyle w:val="BodyText"/>
      </w:pPr>
      <w:r>
        <w:t>Symmetry rule: The same active catastrophe set and weights MUST be applied across all compared options in the run.</w:t>
      </w:r>
    </w:p>
    <w:p>
      <w:pPr>
        <w:pStyle w:val="BodyText"/>
      </w:pPr>
      <w:r>
        <w:t>PCC rule: The PCC MUST record whether the governance-lock profile was inactive, active by default trigger, or replaced by a stricter governed profile.</w:t>
      </w:r>
    </w:p>
    <w:bookmarkEnd w:id="368"/>
    <w:bookmarkStart w:id="369" w:name="X2a6e1b13d4cd2ee01741ed5dab81ba64b2e2508"/>
    <w:p>
      <w:pPr>
        <w:pStyle w:val="Heading2"/>
      </w:pPr>
      <w:r>
        <w:t>D.2 Mandatory Tail Scenario Categories (Canonical)</w:t>
      </w:r>
    </w:p>
    <w:p>
      <w:pPr>
        <w:pStyle w:val="FirstParagraph"/>
      </w:pPr>
      <w:r>
        <w:t>The scenario set MUST include the following tail categories unless explicitly justified as not plausible. Governance / lock-in catastrophe is a mandatory tail category if and only if the governance-lock-in extension profile in D.1A is active; otherwise it is recommended but not mandatory. When that profile is active, the scenario set MUST include at least one governance-lock-in tail category with category probability floor p_floor ≥ 0.02.</w:t>
      </w:r>
    </w:p>
    <w:p>
      <w:pPr>
        <w:pStyle w:val="Compact"/>
        <w:numPr>
          <w:ilvl w:val="0"/>
          <w:numId w:val="1250"/>
        </w:numPr>
      </w:pPr>
      <w:r>
        <w:t>Pandemic/biological disruption: Disease outbreak with significant mortality/morbidity</w:t>
      </w:r>
    </w:p>
    <w:p>
      <w:pPr>
        <w:pStyle w:val="Compact"/>
        <w:numPr>
          <w:ilvl w:val="0"/>
          <w:numId w:val="1251"/>
        </w:numPr>
      </w:pPr>
      <w:r>
        <w:t>Climate tipping cascade: Triggering of climate tipping points with cascading effects</w:t>
      </w:r>
    </w:p>
    <w:p>
      <w:pPr>
        <w:pStyle w:val="Compact"/>
        <w:numPr>
          <w:ilvl w:val="0"/>
          <w:numId w:val="1252"/>
        </w:numPr>
      </w:pPr>
      <w:r>
        <w:t>Financial system collapse: Systemic failure of financial infrastructure</w:t>
      </w:r>
    </w:p>
    <w:p>
      <w:pPr>
        <w:pStyle w:val="Compact"/>
        <w:numPr>
          <w:ilvl w:val="0"/>
          <w:numId w:val="1253"/>
        </w:numPr>
      </w:pPr>
      <w:r>
        <w:t>Major conflict escalation: Armed conflict with regional or global implications</w:t>
      </w:r>
    </w:p>
    <w:p>
      <w:pPr>
        <w:pStyle w:val="Compact"/>
        <w:numPr>
          <w:ilvl w:val="0"/>
          <w:numId w:val="1254"/>
        </w:numPr>
      </w:pPr>
      <w:r>
        <w:t>Critical infrastructure failure: Failure of essential services (power, water, communications)</w:t>
      </w:r>
    </w:p>
    <w:p>
      <w:pPr>
        <w:pStyle w:val="FirstParagraph"/>
      </w:pPr>
      <w:r>
        <w:t>Governance / lock-in catastrophe: Surveillance normalization, durable recourse collapse, information-ecosystem capture, irreversible dependency lock-in, or concentrated arbitrary control over critical governance or infrastructure functions</w:t>
      </w:r>
    </w:p>
    <w:bookmarkEnd w:id="369"/>
    <w:bookmarkStart w:id="370" w:name="d3-probability-floor-canonical"/>
    <w:p>
      <w:pPr>
        <w:pStyle w:val="Heading2"/>
      </w:pPr>
      <w:r>
        <w:t>D.3 Probability Floor (Canonical)</w:t>
      </w:r>
    </w:p>
    <w:p>
      <w:pPr>
        <w:pStyle w:val="FirstParagraph"/>
      </w:pPr>
      <w:r>
        <w:t>Minimum category probability floor: p_floor ≥ 0.02</w:t>
      </w:r>
    </w:p>
    <w:p>
      <w:pPr>
        <w:pStyle w:val="BodyText"/>
      </w:pPr>
      <w:r>
        <w:t>Meaning: The sum of probabilities of scenarios in each mandatory category must be ≥ 0.02 unless explicitly justified as implausible for the specific decision context per Section 8.3.2.</w:t>
      </w:r>
    </w:p>
    <w:bookmarkEnd w:id="370"/>
    <w:bookmarkStart w:id="371" w:name="X29a96cf9e7c0fac9419db326faa23594419901a"/>
    <w:p>
      <w:pPr>
        <w:pStyle w:val="Heading2"/>
      </w:pPr>
      <w:r>
        <w:t>D.4 Scenario Set Size Requirements (Canonical)</w:t>
      </w:r>
    </w:p>
    <w:tbl>
      <w:tblPr>
        <w:tblStyle w:val="Table"/>
        <w:tblW w:type="auto" w:w="0"/>
        <w:jc w:val="center"/>
        <w:tblLook w:firstRow="1" w:lastRow="0" w:firstColumn="0" w:lastColumn="0" w:noHBand="0" w:noVBand="0" w:val="0020"/>
      </w:tblPr>
      <w:tblGrid>
        <w:gridCol w:w="2640"/>
        <w:gridCol w:w="2640"/>
        <w:gridCol w:w="2640"/>
      </w:tblGrid>
      <w:tr>
        <w:trPr>
          <w:tblHeader w:val="on"/>
          <w:tblHeader w:val="true"/>
          <w:cantSplit/>
        </w:trPr>
        <w:tc>
          <w:tcPr>
            <w:vAlign w:val="top"/>
            <w:tcMar>
              <w:top w:w="70" w:type="dxa"/>
              <w:start w:w="80" w:type="dxa"/>
              <w:bottom w:w="70" w:type="dxa"/>
              <w:end w:w="80" w:type="dxa"/>
            </w:tcMar>
            <w:shd w:fill="1F4E78"/>
          </w:tcPr>
          <w:p>
            <w:pPr>
              <w:pStyle w:val="Compact"/>
              <w:jc w:val="left"/>
            </w:pPr>
            <w:r>
              <w:rPr>
                <w:rFonts w:ascii="Arial" w:hAnsi="Arial" w:eastAsia="Arial"/>
                <w:b/>
                <w:color w:val="FFFFFF"/>
                <w:sz w:val="16"/>
              </w:rPr>
              <w:t>Tier</w:t>
            </w:r>
          </w:p>
        </w:tc>
        <w:tc>
          <w:tcPr>
            <w:vAlign w:val="top"/>
            <w:tcMar>
              <w:top w:w="70" w:type="dxa"/>
              <w:start w:w="80" w:type="dxa"/>
              <w:bottom w:w="70" w:type="dxa"/>
              <w:end w:w="80" w:type="dxa"/>
            </w:tcMar>
            <w:shd w:fill="1F4E78"/>
          </w:tcPr>
          <w:p>
            <w:pPr>
              <w:pStyle w:val="Compact"/>
              <w:jc w:val="left"/>
            </w:pPr>
            <w:r>
              <w:rPr>
                <w:rFonts w:ascii="Arial" w:hAnsi="Arial" w:eastAsia="Arial"/>
                <w:b/>
                <w:color w:val="FFFFFF"/>
                <w:sz w:val="16"/>
              </w:rPr>
              <w:t>TRC Required?</w:t>
            </w:r>
          </w:p>
        </w:tc>
        <w:tc>
          <w:tcPr>
            <w:vAlign w:val="top"/>
            <w:tcMar>
              <w:top w:w="70" w:type="dxa"/>
              <w:start w:w="80" w:type="dxa"/>
              <w:bottom w:w="70" w:type="dxa"/>
              <w:end w:w="80" w:type="dxa"/>
            </w:tcMar>
            <w:shd w:fill="1F4E78"/>
          </w:tcPr>
          <w:p>
            <w:pPr>
              <w:pStyle w:val="Compact"/>
              <w:jc w:val="left"/>
            </w:pPr>
            <w:r>
              <w:rPr>
                <w:rFonts w:ascii="Arial" w:hAnsi="Arial" w:eastAsia="Arial"/>
                <w:b/>
                <w:color w:val="FFFFFF"/>
                <w:sz w:val="16"/>
              </w:rPr>
              <w:t>Minimum</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Tier 1</w:t>
            </w:r>
          </w:p>
        </w:tc>
        <w:tc>
          <w:tcPr>
            <w:vAlign w:val="top"/>
            <w:tcMar>
              <w:top w:w="70" w:type="dxa"/>
              <w:start w:w="80" w:type="dxa"/>
              <w:bottom w:w="70" w:type="dxa"/>
              <w:end w:w="80" w:type="dxa"/>
            </w:tcMar>
            <w:shd w:fill="D9EAF7"/>
          </w:tcPr>
          <w:p>
            <w:pPr>
              <w:pStyle w:val="Compact"/>
              <w:jc w:val="left"/>
            </w:pPr>
            <w:r>
              <w:rPr>
                <w:rFonts w:ascii="Arial" w:hAnsi="Arial" w:eastAsia="Arial"/>
                <w:sz w:val="16"/>
              </w:rPr>
              <w:t>Optional (qualitative screen)</w:t>
            </w:r>
          </w:p>
        </w:tc>
        <w:tc>
          <w:tcPr>
            <w:vAlign w:val="top"/>
            <w:tcMar>
              <w:top w:w="70" w:type="dxa"/>
              <w:start w:w="80" w:type="dxa"/>
              <w:bottom w:w="70" w:type="dxa"/>
              <w:end w:w="80" w:type="dxa"/>
            </w:tcMar>
            <w:shd w:fill="D9EAF7"/>
          </w:tcPr>
          <w:p>
            <w:pPr>
              <w:pStyle w:val="Compact"/>
              <w:jc w:val="left"/>
            </w:pPr>
            <w:r>
              <w:rPr>
                <w:rFonts w:ascii="Arial" w:hAnsi="Arial" w:eastAsia="Arial"/>
                <w:sz w:val="16"/>
              </w:rPr>
              <w:t>N/A</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Tier 2</w:t>
            </w:r>
          </w:p>
        </w:tc>
        <w:tc>
          <w:tcPr>
            <w:vAlign w:val="top"/>
            <w:tcMar>
              <w:top w:w="70" w:type="dxa"/>
              <w:start w:w="80" w:type="dxa"/>
              <w:bottom w:w="70" w:type="dxa"/>
              <w:end w:w="80" w:type="dxa"/>
            </w:tcMar>
            <w:shd w:fill="FFFFFF"/>
          </w:tcPr>
          <w:p>
            <w:pPr>
              <w:pStyle w:val="Compact"/>
              <w:jc w:val="left"/>
            </w:pPr>
            <w:r>
              <w:rPr>
                <w:rFonts w:ascii="Arial" w:hAnsi="Arial" w:eastAsia="Arial"/>
                <w:sz w:val="16"/>
              </w:rPr>
              <w:t>Required when catastrophe relevance plausible</w:t>
            </w:r>
          </w:p>
        </w:tc>
        <w:tc>
          <w:tcPr>
            <w:vAlign w:val="top"/>
            <w:tcMar>
              <w:top w:w="70" w:type="dxa"/>
              <w:start w:w="80" w:type="dxa"/>
              <w:bottom w:w="70" w:type="dxa"/>
              <w:end w:w="80" w:type="dxa"/>
            </w:tcMar>
            <w:shd w:fill="FFFFFF"/>
          </w:tcPr>
          <w:p>
            <w:pPr>
              <w:pStyle w:val="Compact"/>
              <w:jc w:val="left"/>
            </w:pPr>
            <w:r>
              <w:rPr>
                <w:rFonts w:ascii="Arial" w:hAnsi="Arial" w:eastAsia="Arial"/>
                <w:sz w:val="16"/>
              </w:rPr>
              <w:t>≥5 minimum</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Tier 3</w:t>
            </w:r>
          </w:p>
        </w:tc>
        <w:tc>
          <w:tcPr>
            <w:vAlign w:val="top"/>
            <w:tcMar>
              <w:top w:w="70" w:type="dxa"/>
              <w:start w:w="80" w:type="dxa"/>
              <w:bottom w:w="70" w:type="dxa"/>
              <w:end w:w="80" w:type="dxa"/>
            </w:tcMar>
            <w:shd w:fill="D9EAF7"/>
          </w:tcPr>
          <w:p>
            <w:pPr>
              <w:pStyle w:val="Compact"/>
              <w:jc w:val="left"/>
            </w:pPr>
            <w:r>
              <w:rPr>
                <w:rFonts w:ascii="Arial" w:hAnsi="Arial" w:eastAsia="Arial"/>
                <w:sz w:val="16"/>
              </w:rPr>
              <w:t>Required</w:t>
            </w:r>
          </w:p>
        </w:tc>
        <w:tc>
          <w:tcPr>
            <w:vAlign w:val="top"/>
            <w:tcMar>
              <w:top w:w="70" w:type="dxa"/>
              <w:start w:w="80" w:type="dxa"/>
              <w:bottom w:w="70" w:type="dxa"/>
              <w:end w:w="80" w:type="dxa"/>
            </w:tcMar>
            <w:shd w:fill="D9EAF7"/>
          </w:tcPr>
          <w:p>
            <w:pPr>
              <w:pStyle w:val="Compact"/>
              <w:jc w:val="left"/>
            </w:pPr>
            <w:r>
              <w:rPr>
                <w:rFonts w:ascii="Arial" w:hAnsi="Arial" w:eastAsia="Arial"/>
                <w:sz w:val="16"/>
              </w:rPr>
              <w:t>≥20 minimum</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Tier 4</w:t>
            </w:r>
          </w:p>
        </w:tc>
        <w:tc>
          <w:tcPr>
            <w:vAlign w:val="top"/>
            <w:tcMar>
              <w:top w:w="70" w:type="dxa"/>
              <w:start w:w="80" w:type="dxa"/>
              <w:bottom w:w="70" w:type="dxa"/>
              <w:end w:w="80" w:type="dxa"/>
            </w:tcMar>
            <w:shd w:fill="FFFFFF"/>
          </w:tcPr>
          <w:p>
            <w:pPr>
              <w:pStyle w:val="Compact"/>
              <w:jc w:val="left"/>
            </w:pPr>
            <w:r>
              <w:rPr>
                <w:rFonts w:ascii="Arial" w:hAnsi="Arial" w:eastAsia="Arial"/>
                <w:sz w:val="16"/>
              </w:rPr>
              <w:t>Design target only</w:t>
            </w:r>
          </w:p>
        </w:tc>
        <w:tc>
          <w:tcPr>
            <w:vAlign w:val="top"/>
            <w:tcMar>
              <w:top w:w="70" w:type="dxa"/>
              <w:start w:w="80" w:type="dxa"/>
              <w:bottom w:w="70" w:type="dxa"/>
              <w:end w:w="80" w:type="dxa"/>
            </w:tcMar>
            <w:shd w:fill="FFFFFF"/>
          </w:tcPr>
          <w:p>
            <w:pPr>
              <w:pStyle w:val="Compact"/>
              <w:jc w:val="left"/>
            </w:pPr>
            <w:r>
              <w:rPr>
                <w:rFonts w:ascii="Arial" w:hAnsi="Arial" w:eastAsia="Arial"/>
                <w:sz w:val="16"/>
              </w:rPr>
              <w:t>N/A</w:t>
            </w:r>
          </w:p>
        </w:tc>
      </w:tr>
    </w:tbl>
    <w:bookmarkEnd w:id="371"/>
    <w:bookmarkStart w:id="372" w:name="X955489bf14f6a44135d627ef43ed25fecf493f3"/>
    <w:p>
      <w:pPr>
        <w:pStyle w:val="Heading2"/>
      </w:pPr>
      <w:r>
        <w:t>D.5 Scenario Definition Template (Normative Minimum Fields)</w:t>
      </w:r>
    </w:p>
    <w:p>
      <w:pPr>
        <w:pStyle w:val="FirstParagraph"/>
      </w:pPr>
      <w:r>
        <w:t>Each scenario record in PCC MUST include:</w:t>
      </w:r>
    </w:p>
    <w:tbl>
      <w:tblPr>
        <w:tblStyle w:val="Table"/>
        <w:tblW w:type="auto" w:w="0"/>
        <w:jc w:val="center"/>
        <w:tblLook w:firstRow="1" w:lastRow="0" w:firstColumn="0" w:lastColumn="0" w:noHBand="0" w:noVBand="0" w:val="0020"/>
      </w:tblPr>
      <w:tblGrid>
        <w:gridCol w:w="3960"/>
        <w:gridCol w:w="3960"/>
      </w:tblGrid>
      <w:tr>
        <w:trPr>
          <w:tblHeader w:val="on"/>
          <w:tblHeader w:val="true"/>
          <w:cantSplit/>
        </w:trPr>
        <w:tc>
          <w:tcPr>
            <w:vAlign w:val="top"/>
            <w:tcMar>
              <w:top w:w="70" w:type="dxa"/>
              <w:start w:w="80" w:type="dxa"/>
              <w:bottom w:w="70" w:type="dxa"/>
              <w:end w:w="80" w:type="dxa"/>
            </w:tcMar>
            <w:shd w:fill="1F4E78"/>
          </w:tcPr>
          <w:p>
            <w:pPr>
              <w:pStyle w:val="Compact"/>
              <w:jc w:val="left"/>
            </w:pPr>
            <w:r>
              <w:rPr>
                <w:rFonts w:ascii="Arial" w:hAnsi="Arial" w:eastAsia="Arial"/>
                <w:b/>
                <w:bCs/>
                <w:color w:val="FFFFFF"/>
                <w:sz w:val="16"/>
              </w:rPr>
              <w:t>Field</w:t>
            </w:r>
          </w:p>
        </w:tc>
        <w:tc>
          <w:tcPr>
            <w:vAlign w:val="top"/>
            <w:tcMar>
              <w:top w:w="70" w:type="dxa"/>
              <w:start w:w="80" w:type="dxa"/>
              <w:bottom w:w="70" w:type="dxa"/>
              <w:end w:w="80" w:type="dxa"/>
            </w:tcMar>
            <w:shd w:fill="1F4E78"/>
          </w:tcPr>
          <w:p>
            <w:pPr>
              <w:pStyle w:val="Compact"/>
              <w:jc w:val="left"/>
            </w:pPr>
            <w:r>
              <w:rPr>
                <w:rFonts w:ascii="Arial" w:hAnsi="Arial" w:eastAsia="Arial"/>
                <w:b/>
                <w:bCs/>
                <w:color w:val="FFFFFF"/>
                <w:sz w:val="16"/>
              </w:rPr>
              <w:t>Description</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Scenario ID</w:t>
            </w:r>
          </w:p>
        </w:tc>
        <w:tc>
          <w:tcPr>
            <w:vAlign w:val="top"/>
            <w:tcMar>
              <w:top w:w="70" w:type="dxa"/>
              <w:start w:w="80" w:type="dxa"/>
              <w:bottom w:w="70" w:type="dxa"/>
              <w:end w:w="80" w:type="dxa"/>
            </w:tcMar>
            <w:shd w:fill="D9EAF7"/>
          </w:tcPr>
          <w:p>
            <w:pPr>
              <w:pStyle w:val="Compact"/>
              <w:jc w:val="left"/>
            </w:pPr>
            <w:r>
              <w:rPr>
                <w:rFonts w:ascii="Arial" w:hAnsi="Arial" w:eastAsia="Arial"/>
                <w:sz w:val="16"/>
              </w:rPr>
              <w:t>Unique identifier within the run</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Name</w:t>
            </w:r>
          </w:p>
        </w:tc>
        <w:tc>
          <w:tcPr>
            <w:vAlign w:val="top"/>
            <w:tcMar>
              <w:top w:w="70" w:type="dxa"/>
              <w:start w:w="80" w:type="dxa"/>
              <w:bottom w:w="70" w:type="dxa"/>
              <w:end w:w="80" w:type="dxa"/>
            </w:tcMar>
            <w:shd w:fill="FFFFFF"/>
          </w:tcPr>
          <w:p>
            <w:pPr>
              <w:pStyle w:val="Compact"/>
              <w:jc w:val="left"/>
            </w:pPr>
            <w:r>
              <w:rPr>
                <w:rFonts w:ascii="Arial" w:hAnsi="Arial" w:eastAsia="Arial"/>
                <w:sz w:val="16"/>
              </w:rPr>
              <w:t>Descriptive name</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Category</w:t>
            </w:r>
          </w:p>
        </w:tc>
        <w:tc>
          <w:tcPr>
            <w:vAlign w:val="top"/>
            <w:tcMar>
              <w:top w:w="70" w:type="dxa"/>
              <w:start w:w="80" w:type="dxa"/>
              <w:bottom w:w="70" w:type="dxa"/>
              <w:end w:w="80" w:type="dxa"/>
            </w:tcMar>
            <w:shd w:fill="D9EAF7"/>
          </w:tcPr>
          <w:p>
            <w:pPr>
              <w:pStyle w:val="Compact"/>
              <w:jc w:val="left"/>
            </w:pPr>
            <w:r>
              <w:rPr>
                <w:rFonts w:ascii="Arial" w:hAnsi="Arial" w:eastAsia="Arial"/>
                <w:sz w:val="16"/>
              </w:rPr>
              <w:t>One of the mandatory categories or "baseline/other"</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Narrative</w:t>
            </w:r>
          </w:p>
        </w:tc>
        <w:tc>
          <w:tcPr>
            <w:vAlign w:val="top"/>
            <w:tcMar>
              <w:top w:w="70" w:type="dxa"/>
              <w:start w:w="80" w:type="dxa"/>
              <w:bottom w:w="70" w:type="dxa"/>
              <w:end w:w="80" w:type="dxa"/>
            </w:tcMar>
            <w:shd w:fill="FFFFFF"/>
          </w:tcPr>
          <w:p>
            <w:pPr>
              <w:pStyle w:val="Compact"/>
              <w:jc w:val="left"/>
            </w:pPr>
            <w:r>
              <w:rPr>
                <w:rFonts w:ascii="Arial" w:hAnsi="Arial" w:eastAsia="Arial"/>
                <w:sz w:val="16"/>
              </w:rPr>
              <w:t>2-5 sentences describing the scenario</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Time horizon</w:t>
            </w:r>
          </w:p>
        </w:tc>
        <w:tc>
          <w:tcPr>
            <w:vAlign w:val="top"/>
            <w:tcMar>
              <w:top w:w="70" w:type="dxa"/>
              <w:start w:w="80" w:type="dxa"/>
              <w:bottom w:w="70" w:type="dxa"/>
              <w:end w:w="80" w:type="dxa"/>
            </w:tcMar>
            <w:shd w:fill="D9EAF7"/>
          </w:tcPr>
          <w:p>
            <w:pPr>
              <w:pStyle w:val="Compact"/>
              <w:jc w:val="left"/>
            </w:pPr>
            <w:r>
              <w:rPr>
                <w:rFonts w:ascii="Arial" w:hAnsi="Arial" w:eastAsia="Arial"/>
                <w:sz w:val="16"/>
              </w:rPr>
              <w:t>Timing assumptions</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Key stressors</w:t>
            </w:r>
          </w:p>
        </w:tc>
        <w:tc>
          <w:tcPr>
            <w:vAlign w:val="top"/>
            <w:tcMar>
              <w:top w:w="70" w:type="dxa"/>
              <w:start w:w="80" w:type="dxa"/>
              <w:bottom w:w="70" w:type="dxa"/>
              <w:end w:w="80" w:type="dxa"/>
            </w:tcMar>
            <w:shd w:fill="FFFFFF"/>
          </w:tcPr>
          <w:p>
            <w:pPr>
              <w:pStyle w:val="Compact"/>
              <w:jc w:val="left"/>
            </w:pPr>
            <w:r>
              <w:rPr>
                <w:rFonts w:ascii="Arial" w:hAnsi="Arial" w:eastAsia="Arial"/>
                <w:sz w:val="16"/>
              </w:rPr>
              <w:t>What breaks, how, and cascading effects</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Parameterization</w:t>
            </w:r>
          </w:p>
        </w:tc>
        <w:tc>
          <w:tcPr>
            <w:vAlign w:val="top"/>
            <w:tcMar>
              <w:top w:w="70" w:type="dxa"/>
              <w:start w:w="80" w:type="dxa"/>
              <w:bottom w:w="70" w:type="dxa"/>
              <w:end w:w="80" w:type="dxa"/>
            </w:tcMar>
            <w:shd w:fill="D9EAF7"/>
          </w:tcPr>
          <w:p>
            <w:pPr>
              <w:pStyle w:val="Compact"/>
              <w:jc w:val="left"/>
            </w:pPr>
            <w:r>
              <w:rPr>
                <w:rFonts w:ascii="Arial" w:hAnsi="Arial" w:eastAsia="Arial"/>
                <w:sz w:val="16"/>
              </w:rPr>
              <w:t>What changes in impacts/likelihoods under this scenario</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Probability p_s</w:t>
            </w:r>
          </w:p>
        </w:tc>
        <w:tc>
          <w:tcPr>
            <w:vAlign w:val="top"/>
            <w:tcMar>
              <w:top w:w="70" w:type="dxa"/>
              <w:start w:w="80" w:type="dxa"/>
              <w:bottom w:w="70" w:type="dxa"/>
              <w:end w:w="80" w:type="dxa"/>
            </w:tcMar>
            <w:shd w:fill="FFFFFF"/>
          </w:tcPr>
          <w:p>
            <w:pPr>
              <w:pStyle w:val="Compact"/>
              <w:jc w:val="left"/>
            </w:pPr>
            <w:r>
              <w:rPr>
                <w:rFonts w:ascii="Arial" w:hAnsi="Arial" w:eastAsia="Arial"/>
                <w:sz w:val="16"/>
              </w:rPr>
              <w:t>Assigned probability with provenance</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Provenance</w:t>
            </w:r>
          </w:p>
        </w:tc>
        <w:tc>
          <w:tcPr>
            <w:vAlign w:val="top"/>
            <w:tcMar>
              <w:top w:w="70" w:type="dxa"/>
              <w:start w:w="80" w:type="dxa"/>
              <w:bottom w:w="70" w:type="dxa"/>
              <w:end w:w="80" w:type="dxa"/>
            </w:tcMar>
            <w:shd w:fill="D9EAF7"/>
          </w:tcPr>
          <w:p>
            <w:pPr>
              <w:pStyle w:val="Compact"/>
              <w:jc w:val="left"/>
            </w:pPr>
            <w:r>
              <w:rPr>
                <w:rFonts w:ascii="Arial" w:hAnsi="Arial" w:eastAsia="Arial"/>
                <w:sz w:val="16"/>
              </w:rPr>
              <w:t>Data source, model, expert elicitation, or governance prior</w:t>
            </w:r>
          </w:p>
        </w:tc>
      </w:tr>
    </w:tbl>
    <w:bookmarkEnd w:id="372"/>
    <w:bookmarkStart w:id="373" w:name="Xcc5fa6430b48fc085b8b971219c712e713d3d5a"/>
    <w:p>
      <w:pPr>
        <w:pStyle w:val="Heading2"/>
      </w:pPr>
      <w:r>
        <w:t>D.6 Loss Construction (Bounded-Impact Mode, Tier 1-3 Canon)</w:t>
      </w:r>
    </w:p>
    <w:p>
      <w:pPr>
        <w:pStyle w:val="FirstParagraph"/>
      </w:pPr>
      <w:r>
        <w:t>Normative stream binding (Design A): TRC MUST be computed from the Base stream (I_prop_base). TRC MUST NOT use Welfare-stream (sentience-weighted) impacts.</w:t>
      </w:r>
    </w:p>
    <w:p>
      <w:pPr>
        <w:pStyle w:val="BodyText"/>
      </w:pPr>
      <w:r>
        <w:t>For each scenario s:</w:t>
      </w:r>
    </w:p>
    <w:p>
      <w:pPr>
        <w:pStyle w:val="BodyText"/>
      </w:pPr>
      <w:r>
        <w:t>L(a,s) = Σ_{c ∈ C_cat} ω_c × (−I_prop_base,c(a|s))⁺</w:t>
      </w:r>
    </w:p>
    <w:p>
      <w:pPr>
        <w:pStyle w:val="BodyText"/>
      </w:pPr>
      <w:r>
        <w:t>with Σ_{c ∈ C_cat} ω_c = 1.</w:t>
      </w:r>
    </w:p>
    <w:p>
      <w:pPr>
        <w:pStyle w:val="BodyText"/>
      </w:pPr>
      <w:r>
        <w:t>Default catastrophe weights: Uniform over C_cat unless otherwise governed.</w:t>
      </w:r>
    </w:p>
    <w:bookmarkEnd w:id="373"/>
    <w:bookmarkStart w:id="374" w:name="X88b26a6f3ba392acf9280941c28aeebac600f58"/>
    <w:p>
      <w:pPr>
        <w:pStyle w:val="Heading2"/>
      </w:pPr>
      <w:r>
        <w:t>D.7 Discrete CVaR Algorithm (Canonical; Tier 1-3)</w:t>
      </w:r>
    </w:p>
    <w:p>
      <w:pPr>
        <w:pStyle w:val="FirstParagraph"/>
      </w:pPr>
      <w:r>
        <w:t>Inputs: losses L(a, s1), …, L(a, sn); probabilities p1, …, pn; tail level α.</w:t>
      </w:r>
    </w:p>
    <w:p>
      <w:pPr>
        <w:pStyle w:val="BodyText"/>
      </w:pPr>
      <w:r>
        <w:t>1. Let β := 1 − α.</w:t>
      </w:r>
    </w:p>
    <w:p>
      <w:pPr>
        <w:pStyle w:val="BodyText"/>
      </w:pPr>
      <w:r>
        <w:t>2. Sort scenarios by loss descending: L_(1) ≥ L_(2) ≥ ⋯ ≥ L_(n), carrying the aligned probabilities p_(i).</w:t>
      </w:r>
    </w:p>
    <w:p>
      <w:pPr>
        <w:pStyle w:val="BodyText"/>
      </w:pPr>
      <w:r>
        <w:t>3. Let k* be the smallest index such that Σ_{i=1}^{k*} p_(i) ≥ β.</w:t>
      </w:r>
    </w:p>
    <w:p>
      <w:pPr>
        <w:pStyle w:val="BodyText"/>
      </w:pPr>
      <w:r>
        <w:t>4. Define P_{k*−1} := Σ_{i=1}^{k*−1} p_(i) (and P_0 := 0).</w:t>
      </w:r>
    </w:p>
    <w:p>
      <w:pPr>
        <w:pStyle w:val="BodyText"/>
      </w:pPr>
      <w:r>
        <w:t>5. Define δ := β − P_{k*−1}.</w:t>
      </w:r>
    </w:p>
    <w:p>
      <w:pPr>
        <w:pStyle w:val="BodyText"/>
      </w:pPr>
      <w:r>
        <w:t>6. Compute:</w:t>
      </w:r>
    </w:p>
    <w:p>
      <w:pPr>
        <w:pStyle w:val="BodyText"/>
      </w:pPr>
      <w:r>
        <w:t>CVaR_α[L(a)] = (1/β) · ( Σ_{i=1}^{k*−1} p_(i) L_(i) + δ · L_(k*) ).</w:t>
      </w:r>
    </w:p>
    <w:p>
      <w:pPr>
        <w:pStyle w:val="BodyText"/>
      </w:pPr>
      <w:r>
        <w:t>Audit: PCC includes the sorted table, k*, P_{k*−1}, δ, and CVaR_α.</w:t>
      </w:r>
    </w:p>
    <w:p>
      <w:pPr>
        <w:pStyle w:val="BodyText"/>
      </w:pPr>
      <w:r>
        <w:t>(Here L_(i) is shorthand for L(a, s_(i)).)</w:t>
      </w:r>
    </w:p>
    <w:bookmarkEnd w:id="374"/>
    <w:bookmarkStart w:id="375" w:name="d8-trc-corridor-check-canonical"/>
    <w:p>
      <w:pPr>
        <w:pStyle w:val="Heading2"/>
      </w:pPr>
      <w:r>
        <w:t>D.8 TRC Corridor Check (Canonical)</w:t>
      </w:r>
    </w:p>
    <w:p>
      <w:pPr>
        <w:pStyle w:val="FirstParagraph"/>
      </w:pPr>
      <w:r>
        <w:t>TRC(a) = TRUE if and only if CVaR_α[L(a)] ≤ τ_TRC</w:t>
      </w:r>
    </w:p>
    <w:bookmarkEnd w:id="375"/>
    <w:bookmarkStart w:id="376" w:name="X93b49daed9ccfb1eb124c8b71fd8d22493cda1d"/>
    <w:p>
      <w:pPr>
        <w:pStyle w:val="Heading2"/>
      </w:pPr>
      <w:r>
        <w:t>D.9 Default TRC Parameters by Context (Canonical Defaults)</w:t>
      </w:r>
    </w:p>
    <w:tbl>
      <w:tblPr>
        <w:tblStyle w:val="Table"/>
        <w:tblW w:type="auto" w:w="0"/>
        <w:jc w:val="center"/>
        <w:tblLook w:firstRow="1" w:lastRow="0" w:firstColumn="0" w:lastColumn="0" w:noHBand="0" w:noVBand="0" w:val="0020"/>
      </w:tblPr>
      <w:tblGrid>
        <w:gridCol w:w="2640"/>
        <w:gridCol w:w="2640"/>
        <w:gridCol w:w="2640"/>
      </w:tblGrid>
      <w:tr>
        <w:trPr>
          <w:tblHeader w:val="on"/>
          <w:tblHeader w:val="true"/>
          <w:cantSplit/>
        </w:trPr>
        <w:tc>
          <w:tcPr>
            <w:vAlign w:val="top"/>
            <w:tcMar>
              <w:top w:w="70" w:type="dxa"/>
              <w:start w:w="80" w:type="dxa"/>
              <w:bottom w:w="70" w:type="dxa"/>
              <w:end w:w="80" w:type="dxa"/>
            </w:tcMar>
            <w:shd w:fill="1F4E78"/>
          </w:tcPr>
          <w:p>
            <w:pPr>
              <w:pStyle w:val="Compact"/>
              <w:jc w:val="left"/>
            </w:pPr>
            <w:r>
              <w:rPr>
                <w:rFonts w:ascii="Arial" w:hAnsi="Arial" w:eastAsia="Arial"/>
                <w:b/>
                <w:bCs/>
                <w:color w:val="FFFFFF"/>
                <w:sz w:val="16"/>
              </w:rPr>
              <w:t>Context</w:t>
            </w:r>
          </w:p>
        </w:tc>
        <w:tc>
          <w:tcPr>
            <w:vAlign w:val="top"/>
            <w:tcMar>
              <w:top w:w="70" w:type="dxa"/>
              <w:start w:w="80" w:type="dxa"/>
              <w:bottom w:w="70" w:type="dxa"/>
              <w:end w:w="80" w:type="dxa"/>
            </w:tcMar>
            <w:shd w:fill="1F4E78"/>
          </w:tcPr>
          <w:p>
            <w:pPr>
              <w:pStyle w:val="Compact"/>
              <w:jc w:val="left"/>
            </w:pPr>
            <w:r>
              <w:rPr>
                <w:rFonts w:ascii="Arial" w:hAnsi="Arial" w:eastAsia="Arial"/>
                <w:b/>
                <w:bCs/>
                <w:color w:val="FFFFFF"/>
                <w:sz w:val="16"/>
              </w:rPr>
              <w:t>α (tail level)</w:t>
            </w:r>
          </w:p>
        </w:tc>
        <w:tc>
          <w:tcPr>
            <w:vAlign w:val="top"/>
            <w:tcMar>
              <w:top w:w="70" w:type="dxa"/>
              <w:start w:w="80" w:type="dxa"/>
              <w:bottom w:w="70" w:type="dxa"/>
              <w:end w:w="80" w:type="dxa"/>
            </w:tcMar>
            <w:shd w:fill="1F4E78"/>
          </w:tcPr>
          <w:p>
            <w:pPr>
              <w:pStyle w:val="Compact"/>
              <w:jc w:val="left"/>
            </w:pPr>
            <w:r>
              <w:rPr>
                <w:rFonts w:ascii="Arial" w:hAnsi="Arial" w:eastAsia="Arial"/>
                <w:b/>
                <w:bCs/>
                <w:color w:val="FFFFFF"/>
                <w:sz w:val="16"/>
              </w:rPr>
              <w:t>τ_TRC (threshold)</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Personal</w:t>
            </w:r>
          </w:p>
        </w:tc>
        <w:tc>
          <w:tcPr>
            <w:vAlign w:val="top"/>
            <w:tcMar>
              <w:top w:w="70" w:type="dxa"/>
              <w:start w:w="80" w:type="dxa"/>
              <w:bottom w:w="70" w:type="dxa"/>
              <w:end w:w="80" w:type="dxa"/>
            </w:tcMar>
            <w:shd w:fill="D9EAF7"/>
          </w:tcPr>
          <w:p>
            <w:pPr>
              <w:pStyle w:val="Compact"/>
              <w:jc w:val="left"/>
            </w:pPr>
            <w:r>
              <w:rPr>
                <w:rFonts w:ascii="Arial" w:hAnsi="Arial" w:eastAsia="Arial"/>
                <w:sz w:val="16"/>
              </w:rPr>
              <w:t>0.90</w:t>
            </w:r>
          </w:p>
        </w:tc>
        <w:tc>
          <w:tcPr>
            <w:vAlign w:val="top"/>
            <w:tcMar>
              <w:top w:w="70" w:type="dxa"/>
              <w:start w:w="80" w:type="dxa"/>
              <w:bottom w:w="70" w:type="dxa"/>
              <w:end w:w="80" w:type="dxa"/>
            </w:tcMar>
            <w:shd w:fill="D9EAF7"/>
          </w:tcPr>
          <w:p>
            <w:pPr>
              <w:pStyle w:val="Compact"/>
              <w:jc w:val="left"/>
            </w:pPr>
            <w:r>
              <w:rPr>
                <w:rFonts w:ascii="Arial" w:hAnsi="Arial" w:eastAsia="Arial"/>
                <w:sz w:val="16"/>
              </w:rPr>
              <w:t>0.30</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Organizational</w:t>
            </w:r>
          </w:p>
        </w:tc>
        <w:tc>
          <w:tcPr>
            <w:vAlign w:val="top"/>
            <w:tcMar>
              <w:top w:w="70" w:type="dxa"/>
              <w:start w:w="80" w:type="dxa"/>
              <w:bottom w:w="70" w:type="dxa"/>
              <w:end w:w="80" w:type="dxa"/>
            </w:tcMar>
            <w:shd w:fill="FFFFFF"/>
          </w:tcPr>
          <w:p>
            <w:pPr>
              <w:pStyle w:val="Compact"/>
              <w:jc w:val="left"/>
            </w:pPr>
            <w:r>
              <w:rPr>
                <w:rFonts w:ascii="Arial" w:hAnsi="Arial" w:eastAsia="Arial"/>
                <w:sz w:val="16"/>
              </w:rPr>
              <w:t>0.95</w:t>
            </w:r>
          </w:p>
        </w:tc>
        <w:tc>
          <w:tcPr>
            <w:vAlign w:val="top"/>
            <w:tcMar>
              <w:top w:w="70" w:type="dxa"/>
              <w:start w:w="80" w:type="dxa"/>
              <w:bottom w:w="70" w:type="dxa"/>
              <w:end w:w="80" w:type="dxa"/>
            </w:tcMar>
            <w:shd w:fill="FFFFFF"/>
          </w:tcPr>
          <w:p>
            <w:pPr>
              <w:pStyle w:val="Compact"/>
              <w:jc w:val="left"/>
            </w:pPr>
            <w:r>
              <w:rPr>
                <w:rFonts w:ascii="Arial" w:hAnsi="Arial" w:eastAsia="Arial"/>
                <w:sz w:val="16"/>
              </w:rPr>
              <w:t>0.20</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Reversible policy</w:t>
            </w:r>
          </w:p>
        </w:tc>
        <w:tc>
          <w:tcPr>
            <w:vAlign w:val="top"/>
            <w:tcMar>
              <w:top w:w="70" w:type="dxa"/>
              <w:start w:w="80" w:type="dxa"/>
              <w:bottom w:w="70" w:type="dxa"/>
              <w:end w:w="80" w:type="dxa"/>
            </w:tcMar>
            <w:shd w:fill="D9EAF7"/>
          </w:tcPr>
          <w:p>
            <w:pPr>
              <w:pStyle w:val="Compact"/>
              <w:jc w:val="left"/>
            </w:pPr>
            <w:r>
              <w:rPr>
                <w:rFonts w:ascii="Arial" w:hAnsi="Arial" w:eastAsia="Arial"/>
                <w:sz w:val="16"/>
              </w:rPr>
              <w:t>0.95</w:t>
            </w:r>
          </w:p>
        </w:tc>
        <w:tc>
          <w:tcPr>
            <w:vAlign w:val="top"/>
            <w:tcMar>
              <w:top w:w="70" w:type="dxa"/>
              <w:start w:w="80" w:type="dxa"/>
              <w:bottom w:w="70" w:type="dxa"/>
              <w:end w:w="80" w:type="dxa"/>
            </w:tcMar>
            <w:shd w:fill="D9EAF7"/>
          </w:tcPr>
          <w:p>
            <w:pPr>
              <w:pStyle w:val="Compact"/>
              <w:jc w:val="left"/>
            </w:pPr>
            <w:r>
              <w:rPr>
                <w:rFonts w:ascii="Arial" w:hAnsi="Arial" w:eastAsia="Arial"/>
                <w:sz w:val="16"/>
              </w:rPr>
              <w:t>0.15</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Irreversible policy</w:t>
            </w:r>
          </w:p>
        </w:tc>
        <w:tc>
          <w:tcPr>
            <w:vAlign w:val="top"/>
            <w:tcMar>
              <w:top w:w="70" w:type="dxa"/>
              <w:start w:w="80" w:type="dxa"/>
              <w:bottom w:w="70" w:type="dxa"/>
              <w:end w:w="80" w:type="dxa"/>
            </w:tcMar>
            <w:shd w:fill="FFFFFF"/>
          </w:tcPr>
          <w:p>
            <w:pPr>
              <w:pStyle w:val="Compact"/>
              <w:jc w:val="left"/>
            </w:pPr>
            <w:r>
              <w:rPr>
                <w:rFonts w:ascii="Arial" w:hAnsi="Arial" w:eastAsia="Arial"/>
                <w:sz w:val="16"/>
              </w:rPr>
              <w:t>0.99</w:t>
            </w:r>
          </w:p>
        </w:tc>
        <w:tc>
          <w:tcPr>
            <w:vAlign w:val="top"/>
            <w:tcMar>
              <w:top w:w="70" w:type="dxa"/>
              <w:start w:w="80" w:type="dxa"/>
              <w:bottom w:w="70" w:type="dxa"/>
              <w:end w:w="80" w:type="dxa"/>
            </w:tcMar>
            <w:shd w:fill="FFFFFF"/>
          </w:tcPr>
          <w:p>
            <w:pPr>
              <w:pStyle w:val="Compact"/>
              <w:jc w:val="left"/>
            </w:pPr>
            <w:r>
              <w:rPr>
                <w:rFonts w:ascii="Arial" w:hAnsi="Arial" w:eastAsia="Arial"/>
                <w:sz w:val="16"/>
              </w:rPr>
              <w:t>0.10</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Existential risk</w:t>
            </w:r>
          </w:p>
        </w:tc>
        <w:tc>
          <w:tcPr>
            <w:vAlign w:val="top"/>
            <w:tcMar>
              <w:top w:w="70" w:type="dxa"/>
              <w:start w:w="80" w:type="dxa"/>
              <w:bottom w:w="70" w:type="dxa"/>
              <w:end w:w="80" w:type="dxa"/>
            </w:tcMar>
            <w:shd w:fill="D9EAF7"/>
          </w:tcPr>
          <w:p>
            <w:pPr>
              <w:pStyle w:val="Compact"/>
              <w:jc w:val="left"/>
            </w:pPr>
            <w:r>
              <w:rPr>
                <w:rFonts w:ascii="Arial" w:hAnsi="Arial" w:eastAsia="Arial"/>
                <w:sz w:val="16"/>
              </w:rPr>
              <w:t>0.999</w:t>
            </w:r>
          </w:p>
        </w:tc>
        <w:tc>
          <w:tcPr>
            <w:vAlign w:val="top"/>
            <w:tcMar>
              <w:top w:w="70" w:type="dxa"/>
              <w:start w:w="80" w:type="dxa"/>
              <w:bottom w:w="70" w:type="dxa"/>
              <w:end w:w="80" w:type="dxa"/>
            </w:tcMar>
            <w:shd w:fill="D9EAF7"/>
          </w:tcPr>
          <w:p>
            <w:pPr>
              <w:pStyle w:val="Compact"/>
              <w:jc w:val="left"/>
            </w:pPr>
            <w:r>
              <w:rPr>
                <w:rFonts w:ascii="Arial" w:hAnsi="Arial" w:eastAsia="Arial"/>
                <w:sz w:val="16"/>
              </w:rPr>
              <w:t>0.05</w:t>
            </w:r>
          </w:p>
        </w:tc>
      </w:tr>
    </w:tbl>
    <w:bookmarkEnd w:id="376"/>
    <w:bookmarkStart w:id="377" w:name="d10-tier-2-strict-trc-rule-canonical"/>
    <w:p>
      <w:pPr>
        <w:pStyle w:val="Heading2"/>
      </w:pPr>
      <w:r>
        <w:t>D.10 Tier 2 Strict TRC Rule (Canonical)</w:t>
      </w:r>
    </w:p>
    <w:p>
      <w:pPr>
        <w:pStyle w:val="FirstParagraph"/>
      </w:pPr>
      <w:r>
        <w:t>If catastrophe relevance is plausible (per Section 8.1.1), Tier 2 MUST:</w:t>
      </w:r>
    </w:p>
    <w:p>
      <w:pPr>
        <w:pStyle w:val="Compact"/>
        <w:numPr>
          <w:ilvl w:val="0"/>
          <w:numId w:val="1255"/>
        </w:numPr>
      </w:pPr>
      <w:r>
        <w:t>Compute TRC using this appendix</w:t>
      </w:r>
    </w:p>
    <w:p>
      <w:pPr>
        <w:pStyle w:val="Compact"/>
        <w:numPr>
          <w:ilvl w:val="0"/>
          <w:numId w:val="1256"/>
        </w:numPr>
      </w:pPr>
      <w:r>
        <w:t>Use ≥5 scenarios minimum</w:t>
      </w:r>
    </w:p>
    <w:p>
      <w:pPr>
        <w:pStyle w:val="Compact"/>
        <w:numPr>
          <w:ilvl w:val="0"/>
          <w:numId w:val="1257"/>
        </w:numPr>
      </w:pPr>
      <w:r>
        <w:t>Include mandatory tail categories with p_floor ≥ 0.02 per category unless explicitly implausible with documented justification per Section 8.3.2</w:t>
      </w:r>
    </w:p>
    <w:p>
      <w:pPr>
        <w:pStyle w:val="Compact"/>
        <w:numPr>
          <w:ilvl w:val="0"/>
          <w:numId w:val="1258"/>
        </w:numPr>
      </w:pPr>
      <w:r>
        <w:t>Record the full scenario table and CVaR computation in PCC</w:t>
      </w:r>
    </w:p>
    <w:bookmarkEnd w:id="377"/>
    <w:bookmarkStart w:id="378" w:name="Xad846040566d2c8eccc96b0bdc95fc5b78af550"/>
    <w:p>
      <w:pPr>
        <w:pStyle w:val="Heading2"/>
      </w:pPr>
      <w:r>
        <w:t>D.11 Tail Emergency Mode Reference Procedure (Canonical)</w:t>
      </w:r>
    </w:p>
    <w:p>
      <w:pPr>
        <w:pStyle w:val="FirstParagraph"/>
      </w:pPr>
      <w:r>
        <w:t>If A_NCRC is non-empty but no option passes TRC, the ordinary admissible/selectable set is empty. Implementations MUST NOT rank the failed options through ordinary RLS and MUST NOT automatically select the least-CVaR option.</w:t>
      </w:r>
    </w:p>
    <w:p>
      <w:pPr>
        <w:pStyle w:val="BodyText"/>
      </w:pPr>
      <w:r>
        <w:t>Default disposition:</w:t>
      </w:r>
      <w:r>
        <w:t xml:space="preserve"> </w:t>
      </w:r>
      <w:r>
        <w:rPr>
          <w:rStyle w:val="VerbatimChar"/>
        </w:rPr>
        <w:t>TRC_ALL_FAIL</w:t>
      </w:r>
      <w:r>
        <w:t xml:space="preserve"> </w:t>
      </w:r>
      <w:r>
        <w:t>-&gt; redesign, delay, no-action comparison, escalation, or refusal.</w:t>
      </w:r>
    </w:p>
    <w:p>
      <w:pPr>
        <w:pStyle w:val="BodyText"/>
      </w:pPr>
      <w:r>
        <w:t>A provisional action may be considered only through the Tail Emergency Mode requirements in Section 8.8. The PCC MUST demonstrate necessity, failed or unavailable safer alternatives, explicit no-action/delay comparison, independent challenge, an absolute maximum exposure bound, minimized scope and duration, monitoring and shutoff, mitigation, remedy/redress, higher approval, expiry, and return-to-normal criteria.</w:t>
      </w:r>
    </w:p>
    <w:p>
      <w:pPr>
        <w:pStyle w:val="BodyText"/>
      </w:pPr>
      <w:r>
        <w:t>Only candidates satisfying every Section 8.8 prerequisite may enter the emergency candidate set. Within that set, minimum CVaR may identify the least-tail-risk provisional action. Record</w:t>
      </w:r>
      <w:r>
        <w:t xml:space="preserve"> </w:t>
      </w:r>
      <w:r>
        <w:rPr>
          <w:rStyle w:val="VerbatimChar"/>
        </w:rPr>
        <w:t>TAIL_EMERGENCY_MODE_INVOKED</w:t>
      </w:r>
      <w:r>
        <w:t xml:space="preserve"> </w:t>
      </w:r>
      <w:r>
        <w:t>and return</w:t>
      </w:r>
      <w:r>
        <w:t xml:space="preserve"> </w:t>
      </w:r>
      <w:r>
        <w:rPr>
          <w:rStyle w:val="VerbatimChar"/>
        </w:rPr>
        <w:t>TAIL_EMERGENCY_PROVISIONAL_ACTION</w:t>
      </w:r>
      <w:r>
        <w:t>.</w:t>
      </w:r>
    </w:p>
    <w:p>
      <w:pPr>
        <w:pStyle w:val="BodyText"/>
      </w:pPr>
      <w:r>
        <w:t>This state is not</w:t>
      </w:r>
      <w:r>
        <w:t xml:space="preserve"> </w:t>
      </w:r>
      <w:r>
        <w:rPr>
          <w:rStyle w:val="VerbatimChar"/>
        </w:rPr>
        <w:t>TRC_PASS</w:t>
      </w:r>
      <w:r>
        <w:t>, ordinary admissibility, ordinary selectability, alignment, or proof of safety. Ordinary RLS is prohibited. If no candidate satisfies the absolute exposure boundary or the governance prerequisites, the result is</w:t>
      </w:r>
      <w:r>
        <w:t xml:space="preserve"> </w:t>
      </w:r>
      <w:r>
        <w:rPr>
          <w:rStyle w:val="VerbatimChar"/>
        </w:rPr>
        <w:t>TAIL_EMERGENCY_REFUSED</w:t>
      </w:r>
      <w:r>
        <w:t xml:space="preserve"> </w:t>
      </w:r>
      <w:r>
        <w:t>or escalation under the governing charter or public-law emergency authority.</w:t>
      </w:r>
    </w:p>
    <w:p>
      <w:pPr>
        <w:pStyle w:val="BodyText"/>
      </w:pPr>
      <w:r>
        <w:t>End Appendix D.</w:t>
      </w:r>
    </w:p>
    <w:bookmarkEnd w:id="378"/>
    <w:bookmarkEnd w:id="379"/>
    <w:bookmarkStart w:id="392" w:name="X6e2477238dde02298886e8f51317bfc50383c2a"/>
    <w:p>
      <w:pPr>
        <w:pStyle w:val="Heading1"/>
      </w:pPr>
      <w:r>
        <w:t>APPENDIX E: UCI OPERATIONALIZATION PACK (TIER 1-3)</w:t>
      </w:r>
    </w:p>
    <w:p>
      <w:pPr>
        <w:pStyle w:val="FirstParagraph"/>
      </w:pPr>
      <w:r>
        <w:t>Appendix E is normative for the UCI interface and Tier 3 constraints; indicator families are canonical guidance unless a deployment supplies validated instruments.</w:t>
      </w:r>
    </w:p>
    <w:p>
      <w:pPr>
        <w:pStyle w:val="BodyText"/>
      </w:pPr>
      <w:r>
        <w:t>Operational maturity note (Normative clarification). Tier-3 conformance requires declared structural indicator families and structural independence; it does not imply universal calibration. Deployments SHOULD publish a provisional indicator companion pack when using local instruments, including sources, normalization rule, and basic reliability notes.</w:t>
      </w:r>
    </w:p>
    <w:bookmarkStart w:id="380" w:name="e1-uci-component-definitions-canonical"/>
    <w:p>
      <w:pPr>
        <w:pStyle w:val="Heading2"/>
      </w:pPr>
      <w:r>
        <w:t>E.1 UCI Component Definitions (Canonical)</w:t>
      </w:r>
    </w:p>
    <w:tbl>
      <w:tblPr>
        <w:tblStyle w:val="Table"/>
        <w:tblW w:type="auto" w:w="0"/>
        <w:jc w:val="center"/>
        <w:tblLook w:firstRow="1" w:lastRow="0" w:firstColumn="0" w:lastColumn="0" w:noHBand="0" w:noVBand="0" w:val="0020"/>
      </w:tblPr>
      <w:tblGrid>
        <w:gridCol w:w="2640"/>
        <w:gridCol w:w="2640"/>
        <w:gridCol w:w="2640"/>
      </w:tblGrid>
      <w:tr>
        <w:trPr>
          <w:tblHeader w:val="on"/>
          <w:tblHeader w:val="true"/>
          <w:cantSplit/>
        </w:trPr>
        <w:tc>
          <w:tcPr>
            <w:vAlign w:val="top"/>
            <w:tcMar>
              <w:top w:w="70" w:type="dxa"/>
              <w:start w:w="80" w:type="dxa"/>
              <w:bottom w:w="70" w:type="dxa"/>
              <w:end w:w="80" w:type="dxa"/>
            </w:tcMar>
            <w:shd w:fill="1F4E78"/>
          </w:tcPr>
          <w:p>
            <w:pPr>
              <w:pStyle w:val="Compact"/>
              <w:jc w:val="left"/>
            </w:pPr>
            <w:r>
              <w:rPr>
                <w:rFonts w:ascii="Arial" w:hAnsi="Arial" w:eastAsia="Arial"/>
                <w:b/>
                <w:bCs/>
                <w:color w:val="FFFFFF"/>
                <w:sz w:val="16"/>
              </w:rPr>
              <w:t>Component</w:t>
            </w:r>
          </w:p>
        </w:tc>
        <w:tc>
          <w:tcPr>
            <w:vAlign w:val="top"/>
            <w:tcMar>
              <w:top w:w="70" w:type="dxa"/>
              <w:start w:w="80" w:type="dxa"/>
              <w:bottom w:w="70" w:type="dxa"/>
              <w:end w:w="80" w:type="dxa"/>
            </w:tcMar>
            <w:shd w:fill="1F4E78"/>
          </w:tcPr>
          <w:p>
            <w:pPr>
              <w:pStyle w:val="Compact"/>
              <w:jc w:val="left"/>
            </w:pPr>
            <w:r>
              <w:rPr>
                <w:rFonts w:ascii="Arial" w:hAnsi="Arial" w:eastAsia="Arial"/>
                <w:b/>
                <w:bCs/>
                <w:color w:val="FFFFFF"/>
                <w:sz w:val="16"/>
              </w:rPr>
              <w:t>Symbol</w:t>
            </w:r>
          </w:p>
        </w:tc>
        <w:tc>
          <w:tcPr>
            <w:vAlign w:val="top"/>
            <w:tcMar>
              <w:top w:w="70" w:type="dxa"/>
              <w:start w:w="80" w:type="dxa"/>
              <w:bottom w:w="70" w:type="dxa"/>
              <w:end w:w="80" w:type="dxa"/>
            </w:tcMar>
            <w:shd w:fill="1F4E78"/>
          </w:tcPr>
          <w:p>
            <w:pPr>
              <w:pStyle w:val="Compact"/>
              <w:jc w:val="left"/>
            </w:pPr>
            <w:r>
              <w:rPr>
                <w:rFonts w:ascii="Arial" w:hAnsi="Arial" w:eastAsia="Arial"/>
                <w:b/>
                <w:bCs/>
                <w:color w:val="FFFFFF"/>
                <w:sz w:val="16"/>
              </w:rPr>
              <w:t>Description</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Cohesion</w:t>
            </w:r>
          </w:p>
        </w:tc>
        <w:tc>
          <w:tcPr>
            <w:vAlign w:val="top"/>
            <w:tcMar>
              <w:top w:w="70" w:type="dxa"/>
              <w:start w:w="80" w:type="dxa"/>
              <w:bottom w:w="70" w:type="dxa"/>
              <w:end w:w="80" w:type="dxa"/>
            </w:tcMar>
            <w:shd w:fill="D9EAF7"/>
          </w:tcPr>
          <w:p>
            <w:pPr>
              <w:pStyle w:val="Compact"/>
              <w:jc w:val="left"/>
            </w:pPr>
            <w:r>
              <w:rPr>
                <w:rFonts w:ascii="Arial" w:hAnsi="Arial" w:eastAsia="Arial"/>
                <w:sz w:val="16"/>
              </w:rPr>
              <w:t>H_u</w:t>
            </w:r>
          </w:p>
        </w:tc>
        <w:tc>
          <w:tcPr>
            <w:vAlign w:val="top"/>
            <w:tcMar>
              <w:top w:w="70" w:type="dxa"/>
              <w:start w:w="80" w:type="dxa"/>
              <w:bottom w:w="70" w:type="dxa"/>
              <w:end w:w="80" w:type="dxa"/>
            </w:tcMar>
            <w:shd w:fill="D9EAF7"/>
          </w:tcPr>
          <w:p>
            <w:pPr>
              <w:pStyle w:val="Compact"/>
              <w:jc w:val="left"/>
            </w:pPr>
            <w:r>
              <w:rPr>
                <w:rFonts w:ascii="Arial" w:hAnsi="Arial" w:eastAsia="Arial"/>
                <w:sz w:val="16"/>
              </w:rPr>
              <w:t>Internal connectivity, trust, shared identity, conflict resolution capacity</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Flow</w:t>
            </w:r>
          </w:p>
        </w:tc>
        <w:tc>
          <w:tcPr>
            <w:vAlign w:val="top"/>
            <w:tcMar>
              <w:top w:w="70" w:type="dxa"/>
              <w:start w:w="80" w:type="dxa"/>
              <w:bottom w:w="70" w:type="dxa"/>
              <w:end w:w="80" w:type="dxa"/>
            </w:tcMar>
            <w:shd w:fill="FFFFFF"/>
          </w:tcPr>
          <w:p>
            <w:pPr>
              <w:pStyle w:val="Compact"/>
              <w:jc w:val="left"/>
            </w:pPr>
            <w:r>
              <w:rPr>
                <w:rFonts w:ascii="Arial" w:hAnsi="Arial" w:eastAsia="Arial"/>
                <w:sz w:val="16"/>
              </w:rPr>
              <w:t>F_u</w:t>
            </w:r>
          </w:p>
        </w:tc>
        <w:tc>
          <w:tcPr>
            <w:vAlign w:val="top"/>
            <w:tcMar>
              <w:top w:w="70" w:type="dxa"/>
              <w:start w:w="80" w:type="dxa"/>
              <w:bottom w:w="70" w:type="dxa"/>
              <w:end w:w="80" w:type="dxa"/>
            </w:tcMar>
            <w:shd w:fill="FFFFFF"/>
          </w:tcPr>
          <w:p>
            <w:pPr>
              <w:pStyle w:val="Compact"/>
              <w:jc w:val="left"/>
            </w:pPr>
            <w:r>
              <w:rPr>
                <w:rFonts w:ascii="Arial" w:hAnsi="Arial" w:eastAsia="Arial"/>
                <w:sz w:val="16"/>
              </w:rPr>
              <w:t>Coordination throughput, information fidelity, resource allocation efficiency</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Resilience</w:t>
            </w:r>
          </w:p>
        </w:tc>
        <w:tc>
          <w:tcPr>
            <w:vAlign w:val="top"/>
            <w:tcMar>
              <w:top w:w="70" w:type="dxa"/>
              <w:start w:w="80" w:type="dxa"/>
              <w:bottom w:w="70" w:type="dxa"/>
              <w:end w:w="80" w:type="dxa"/>
            </w:tcMar>
            <w:shd w:fill="D9EAF7"/>
          </w:tcPr>
          <w:p>
            <w:pPr>
              <w:pStyle w:val="Compact"/>
              <w:jc w:val="left"/>
            </w:pPr>
            <w:r>
              <w:rPr>
                <w:rFonts w:ascii="Arial" w:hAnsi="Arial" w:eastAsia="Arial"/>
                <w:sz w:val="16"/>
              </w:rPr>
              <w:t>R_u</w:t>
            </w:r>
          </w:p>
        </w:tc>
        <w:tc>
          <w:tcPr>
            <w:vAlign w:val="top"/>
            <w:tcMar>
              <w:top w:w="70" w:type="dxa"/>
              <w:start w:w="80" w:type="dxa"/>
              <w:bottom w:w="70" w:type="dxa"/>
              <w:end w:w="80" w:type="dxa"/>
            </w:tcMar>
            <w:shd w:fill="D9EAF7"/>
          </w:tcPr>
          <w:p>
            <w:pPr>
              <w:pStyle w:val="Compact"/>
              <w:jc w:val="left"/>
            </w:pPr>
            <w:r>
              <w:rPr>
                <w:rFonts w:ascii="Arial" w:hAnsi="Arial" w:eastAsia="Arial"/>
                <w:sz w:val="16"/>
              </w:rPr>
              <w:t>Redundancy, robustness, recovery speed, adaptive capacity</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Equity</w:t>
            </w:r>
          </w:p>
        </w:tc>
        <w:tc>
          <w:tcPr>
            <w:vAlign w:val="top"/>
            <w:tcMar>
              <w:top w:w="70" w:type="dxa"/>
              <w:start w:w="80" w:type="dxa"/>
              <w:bottom w:w="70" w:type="dxa"/>
              <w:end w:w="80" w:type="dxa"/>
            </w:tcMar>
            <w:shd w:fill="FFFFFF"/>
          </w:tcPr>
          <w:p>
            <w:pPr>
              <w:pStyle w:val="Compact"/>
              <w:jc w:val="left"/>
            </w:pPr>
            <w:r>
              <w:rPr>
                <w:rFonts w:ascii="Arial" w:hAnsi="Arial" w:eastAsia="Arial"/>
                <w:sz w:val="16"/>
              </w:rPr>
              <w:t>E_u</w:t>
            </w:r>
          </w:p>
        </w:tc>
        <w:tc>
          <w:tcPr>
            <w:vAlign w:val="top"/>
            <w:tcMar>
              <w:top w:w="70" w:type="dxa"/>
              <w:start w:w="80" w:type="dxa"/>
              <w:bottom w:w="70" w:type="dxa"/>
              <w:end w:w="80" w:type="dxa"/>
            </w:tcMar>
            <w:shd w:fill="FFFFFF"/>
          </w:tcPr>
          <w:p>
            <w:pPr>
              <w:pStyle w:val="Compact"/>
              <w:jc w:val="left"/>
            </w:pPr>
            <w:r>
              <w:rPr>
                <w:rFonts w:ascii="Arial" w:hAnsi="Arial" w:eastAsia="Arial"/>
                <w:sz w:val="16"/>
              </w:rPr>
              <w:t>Fair distribution of burdens/benefits, voice representation, inclusion</w:t>
            </w:r>
          </w:p>
        </w:tc>
      </w:tr>
    </w:tbl>
    <w:bookmarkEnd w:id="380"/>
    <w:bookmarkStart w:id="381" w:name="e2-uci-formula-canonical"/>
    <w:p>
      <w:pPr>
        <w:pStyle w:val="Heading2"/>
      </w:pPr>
      <w:r>
        <w:t>E.2 UCI Formula (Canonical)</w:t>
      </w:r>
    </w:p>
    <w:p>
      <w:pPr>
        <w:pStyle w:val="FirstParagraph"/>
      </w:pPr>
      <w:r>
        <w:t>UCI_u = α_H × H_u + α_F × F_u + α_R × R_u + α_E × E_u</w:t>
      </w:r>
    </w:p>
    <w:p>
      <w:pPr>
        <w:pStyle w:val="BodyText"/>
      </w:pPr>
      <w:r>
        <w:t>Default: α_H = α_F = α_R = α_E = 0.25.</w:t>
      </w:r>
    </w:p>
    <w:p>
      <w:pPr>
        <w:pStyle w:val="BodyText"/>
      </w:pPr>
      <w:r>
        <w:t>Special case for Self (U₁): E₁ is ordinarily NA because interpersonal distribution is not automatically defined within one individual. If a governed within-self equity instrument is declared, E₁ becomes applicable and must be measured. Missing applicable evidence is UNKNOWN. NA components are excluded and the remaining component weights are renormalized; no perfect identity value is inserted.</w:t>
      </w:r>
    </w:p>
    <w:bookmarkEnd w:id="381"/>
    <w:bookmarkStart w:id="382" w:name="Xd74c0e60f8b7e74f8abe64235f7d8fec4f94915"/>
    <w:p>
      <w:pPr>
        <w:pStyle w:val="Heading2"/>
      </w:pPr>
      <w:r>
        <w:t>E.3 Structural Independence Rule (Tier 3 Binding)</w:t>
      </w:r>
    </w:p>
    <w:p>
      <w:pPr>
        <w:pStyle w:val="FirstParagraph"/>
      </w:pPr>
      <w:r>
        <w:t>UCI MUST be computed from structural/process indicators distinct from welfare indicators used for RLS.</w:t>
      </w:r>
    </w:p>
    <w:p>
      <w:pPr>
        <w:pStyle w:val="BodyText"/>
      </w:pPr>
      <w:r>
        <w:t>At Tier 3:</w:t>
      </w:r>
    </w:p>
    <w:p>
      <w:pPr>
        <w:pStyle w:val="Compact"/>
        <w:numPr>
          <w:ilvl w:val="0"/>
          <w:numId w:val="1259"/>
        </w:numPr>
      </w:pPr>
      <w:r>
        <w:t>Deriving UCI from welfare-cell impacts is PROHIBITED</w:t>
      </w:r>
    </w:p>
    <w:p>
      <w:pPr>
        <w:pStyle w:val="Compact"/>
        <w:numPr>
          <w:ilvl w:val="0"/>
          <w:numId w:val="1260"/>
        </w:numPr>
      </w:pPr>
      <w:r>
        <w:t>If structural indicators are unavailable, UCI is treated as unavailable (see E.7)</w:t>
      </w:r>
    </w:p>
    <w:bookmarkEnd w:id="382"/>
    <w:bookmarkStart w:id="383" w:name="X9cb5f91eeed824c998e503c02ca99d3a04d9552"/>
    <w:p>
      <w:pPr>
        <w:pStyle w:val="Heading2"/>
      </w:pPr>
      <w:r>
        <w:t>E.4 Indicator Families by Union (Canonical Guidance)</w:t>
      </w:r>
    </w:p>
    <w:p>
      <w:pPr>
        <w:pStyle w:val="FirstParagraph"/>
      </w:pPr>
      <w:r>
        <w:t>U₁ Self:</w:t>
      </w:r>
    </w:p>
    <w:p>
      <w:pPr>
        <w:pStyle w:val="Compact"/>
        <w:numPr>
          <w:ilvl w:val="0"/>
          <w:numId w:val="1261"/>
        </w:numPr>
      </w:pPr>
      <w:r>
        <w:t>Cohesion: Psychological integration, goal coherence, self-trust, internal conflict resolution</w:t>
      </w:r>
    </w:p>
    <w:p>
      <w:pPr>
        <w:pStyle w:val="Compact"/>
        <w:numPr>
          <w:ilvl w:val="0"/>
          <w:numId w:val="1262"/>
        </w:numPr>
      </w:pPr>
      <w:r>
        <w:t>Flow: Task execution reliability, attention stability, cognitive throughput proxies</w:t>
      </w:r>
    </w:p>
    <w:p>
      <w:pPr>
        <w:pStyle w:val="Compact"/>
        <w:numPr>
          <w:ilvl w:val="0"/>
          <w:numId w:val="1263"/>
        </w:numPr>
      </w:pPr>
      <w:r>
        <w:t>Resilience: Stress recovery, adaptive coping, flexibility under change</w:t>
      </w:r>
    </w:p>
    <w:p>
      <w:pPr>
        <w:pStyle w:val="Compact"/>
        <w:numPr>
          <w:ilvl w:val="0"/>
          <w:numId w:val="1264"/>
        </w:numPr>
      </w:pPr>
      <w:r>
        <w:t>Equity: ordinarily NA unless a governed within-self equity instrument is declared; if applicable but unmeasured, UNKNOWN</w:t>
      </w:r>
    </w:p>
    <w:p>
      <w:pPr>
        <w:pStyle w:val="FirstParagraph"/>
      </w:pPr>
      <w:r>
        <w:t>U₂ Household:</w:t>
      </w:r>
    </w:p>
    <w:p>
      <w:pPr>
        <w:pStyle w:val="Compact"/>
        <w:numPr>
          <w:ilvl w:val="0"/>
          <w:numId w:val="1265"/>
        </w:numPr>
      </w:pPr>
      <w:r>
        <w:t>Cohesion: Relationship quality, conflict resolution, trust among members</w:t>
      </w:r>
    </w:p>
    <w:p>
      <w:pPr>
        <w:pStyle w:val="Compact"/>
        <w:numPr>
          <w:ilvl w:val="0"/>
          <w:numId w:val="1266"/>
        </w:numPr>
      </w:pPr>
      <w:r>
        <w:t>Flow: Resource pooling efficiency, coordination routines, decision-making speed</w:t>
      </w:r>
    </w:p>
    <w:p>
      <w:pPr>
        <w:pStyle w:val="Compact"/>
        <w:numPr>
          <w:ilvl w:val="0"/>
          <w:numId w:val="1267"/>
        </w:numPr>
      </w:pPr>
      <w:r>
        <w:t>Resilience: Emergency preparedness, support redundancy, recovery from shocks</w:t>
      </w:r>
    </w:p>
    <w:p>
      <w:pPr>
        <w:pStyle w:val="Compact"/>
        <w:numPr>
          <w:ilvl w:val="0"/>
          <w:numId w:val="1268"/>
        </w:numPr>
      </w:pPr>
      <w:r>
        <w:t>Equity: Fair burden-sharing, voice parity, caregiving distribution fairness</w:t>
      </w:r>
    </w:p>
    <w:p>
      <w:pPr>
        <w:pStyle w:val="FirstParagraph"/>
      </w:pPr>
      <w:r>
        <w:t>U₃ Community:</w:t>
      </w:r>
    </w:p>
    <w:p>
      <w:pPr>
        <w:pStyle w:val="Compact"/>
        <w:numPr>
          <w:ilvl w:val="0"/>
          <w:numId w:val="1269"/>
        </w:numPr>
      </w:pPr>
      <w:r>
        <w:t>Cohesion: Social capital, trust indices, network density, belonging measures</w:t>
      </w:r>
    </w:p>
    <w:p>
      <w:pPr>
        <w:pStyle w:val="Compact"/>
        <w:numPr>
          <w:ilvl w:val="0"/>
          <w:numId w:val="1270"/>
        </w:numPr>
      </w:pPr>
      <w:r>
        <w:t>Flow: Collective action capacity, coordination lag, information spread fidelity</w:t>
      </w:r>
    </w:p>
    <w:p>
      <w:pPr>
        <w:pStyle w:val="Compact"/>
        <w:numPr>
          <w:ilvl w:val="0"/>
          <w:numId w:val="1271"/>
        </w:numPr>
      </w:pPr>
      <w:r>
        <w:t>Resilience: Mutual aid redundancy, disaster response capacity, recovery history</w:t>
      </w:r>
    </w:p>
    <w:p>
      <w:pPr>
        <w:pStyle w:val="Compact"/>
        <w:numPr>
          <w:ilvl w:val="0"/>
          <w:numId w:val="1272"/>
        </w:numPr>
      </w:pPr>
      <w:r>
        <w:t>Equity: Inclusion of marginalized groups, access parity, procedural fairness in local governance</w:t>
      </w:r>
    </w:p>
    <w:p>
      <w:pPr>
        <w:pStyle w:val="FirstParagraph"/>
      </w:pPr>
      <w:r>
        <w:t>U₄ Organization:</w:t>
      </w:r>
    </w:p>
    <w:p>
      <w:pPr>
        <w:pStyle w:val="Compact"/>
        <w:numPr>
          <w:ilvl w:val="0"/>
          <w:numId w:val="1273"/>
        </w:numPr>
      </w:pPr>
      <w:r>
        <w:t>Cohesion: Culture trust indices, turnover stability, safety culture, shared purpose</w:t>
      </w:r>
    </w:p>
    <w:p>
      <w:pPr>
        <w:pStyle w:val="Compact"/>
        <w:numPr>
          <w:ilvl w:val="0"/>
          <w:numId w:val="1274"/>
        </w:numPr>
      </w:pPr>
      <w:r>
        <w:t>Flow: Process throughput, coordination efficiency, error rates, execution reliability</w:t>
      </w:r>
    </w:p>
    <w:p>
      <w:pPr>
        <w:pStyle w:val="Compact"/>
        <w:numPr>
          <w:ilvl w:val="0"/>
          <w:numId w:val="1275"/>
        </w:numPr>
      </w:pPr>
      <w:r>
        <w:t>Resilience: Redundancy, continuity planning, incident response maturity</w:t>
      </w:r>
    </w:p>
    <w:p>
      <w:pPr>
        <w:pStyle w:val="Compact"/>
        <w:numPr>
          <w:ilvl w:val="0"/>
          <w:numId w:val="1276"/>
        </w:numPr>
      </w:pPr>
      <w:r>
        <w:t>Equity: Pay fairness, promotion parity, grievance procedures, representation</w:t>
      </w:r>
    </w:p>
    <w:p>
      <w:pPr>
        <w:pStyle w:val="FirstParagraph"/>
      </w:pPr>
      <w:r>
        <w:t>U₅ Polity:</w:t>
      </w:r>
    </w:p>
    <w:p>
      <w:pPr>
        <w:pStyle w:val="Compact"/>
        <w:numPr>
          <w:ilvl w:val="0"/>
          <w:numId w:val="1277"/>
        </w:numPr>
      </w:pPr>
      <w:r>
        <w:t>Cohesion: Institutional trust, social cohesion indices, legitimacy measures</w:t>
      </w:r>
    </w:p>
    <w:p>
      <w:pPr>
        <w:pStyle w:val="Compact"/>
        <w:numPr>
          <w:ilvl w:val="0"/>
          <w:numId w:val="1278"/>
        </w:numPr>
      </w:pPr>
      <w:r>
        <w:t>Flow: Governance effectiveness, service delivery reliability, coordination speed</w:t>
      </w:r>
    </w:p>
    <w:p>
      <w:pPr>
        <w:pStyle w:val="Compact"/>
        <w:numPr>
          <w:ilvl w:val="0"/>
          <w:numId w:val="1279"/>
        </w:numPr>
      </w:pPr>
      <w:r>
        <w:t>Resilience: Crisis response capacity, redundancy of critical systems</w:t>
      </w:r>
    </w:p>
    <w:p>
      <w:pPr>
        <w:pStyle w:val="Compact"/>
        <w:numPr>
          <w:ilvl w:val="0"/>
          <w:numId w:val="1280"/>
        </w:numPr>
      </w:pPr>
      <w:r>
        <w:t>Equity: Rule of law parity, civil rights access parity, representation integrity</w:t>
      </w:r>
    </w:p>
    <w:p>
      <w:pPr>
        <w:pStyle w:val="FirstParagraph"/>
      </w:pPr>
      <w:r>
        <w:t>U₆ Humanity / Global Coordination:</w:t>
      </w:r>
    </w:p>
    <w:p>
      <w:pPr>
        <w:pStyle w:val="Compact"/>
        <w:numPr>
          <w:ilvl w:val="0"/>
          <w:numId w:val="1281"/>
        </w:numPr>
      </w:pPr>
      <w:r>
        <w:t>Cohesion: Cross-polity cooperation capacity, treaty adherence norms</w:t>
      </w:r>
    </w:p>
    <w:p>
      <w:pPr>
        <w:pStyle w:val="Compact"/>
        <w:numPr>
          <w:ilvl w:val="0"/>
          <w:numId w:val="1282"/>
        </w:numPr>
      </w:pPr>
      <w:r>
        <w:t>Flow: Global coordination throughput, information-sharing integrity</w:t>
      </w:r>
    </w:p>
    <w:p>
      <w:pPr>
        <w:pStyle w:val="Compact"/>
        <w:numPr>
          <w:ilvl w:val="0"/>
          <w:numId w:val="1283"/>
        </w:numPr>
      </w:pPr>
      <w:r>
        <w:t>Resilience: Global response capacity to pandemics/climate/conflict</w:t>
      </w:r>
    </w:p>
    <w:p>
      <w:pPr>
        <w:pStyle w:val="Compact"/>
        <w:numPr>
          <w:ilvl w:val="0"/>
          <w:numId w:val="1284"/>
        </w:numPr>
      </w:pPr>
      <w:r>
        <w:t>Equity: Burden-sharing fairness, inclusion of vulnerable polities/populations</w:t>
      </w:r>
    </w:p>
    <w:p>
      <w:pPr>
        <w:pStyle w:val="FirstParagraph"/>
      </w:pPr>
      <w:r>
        <w:t>U₇ Biosphere:</w:t>
      </w:r>
    </w:p>
    <w:p>
      <w:pPr>
        <w:pStyle w:val="Compact"/>
        <w:numPr>
          <w:ilvl w:val="0"/>
          <w:numId w:val="1285"/>
        </w:numPr>
      </w:pPr>
      <w:r>
        <w:t>Cohesion: Ecosystem connectivity, biodiversity integrity, trophic network stability</w:t>
      </w:r>
    </w:p>
    <w:p>
      <w:pPr>
        <w:pStyle w:val="Compact"/>
        <w:numPr>
          <w:ilvl w:val="0"/>
          <w:numId w:val="1286"/>
        </w:numPr>
      </w:pPr>
      <w:r>
        <w:t>Flow: Nutrient cycling integrity, carbon sequestration capacity, hydrological cycle stability</w:t>
      </w:r>
    </w:p>
    <w:p>
      <w:pPr>
        <w:pStyle w:val="Compact"/>
        <w:numPr>
          <w:ilvl w:val="0"/>
          <w:numId w:val="1287"/>
        </w:numPr>
      </w:pPr>
      <w:r>
        <w:t>Resilience: Recovery capacity, redundancy of functional species, anti-fragility markers</w:t>
      </w:r>
    </w:p>
    <w:p>
      <w:pPr>
        <w:pStyle w:val="Compact"/>
        <w:numPr>
          <w:ilvl w:val="0"/>
          <w:numId w:val="1288"/>
        </w:numPr>
      </w:pPr>
      <w:r>
        <w:t>Equity: Use distributional ecosystem-integrity or ecological-justice indicators when a governed instrument exists. If U7 Equity is genuinely inapplicable to the declared structural question, record</w:t>
      </w:r>
      <w:r>
        <w:t xml:space="preserve"> </w:t>
      </w:r>
      <w:r>
        <w:rPr>
          <w:rStyle w:val="VerbatimChar"/>
        </w:rPr>
        <w:t>E7 = NA</w:t>
      </w:r>
      <w:r>
        <w:t>, exclude it from the UCI aggregation, and renormalize the remaining applicable components. If U7 Equity is applicable but not adequately measured, record</w:t>
      </w:r>
      <w:r>
        <w:t xml:space="preserve"> </w:t>
      </w:r>
      <w:r>
        <w:rPr>
          <w:rStyle w:val="VerbatimChar"/>
        </w:rPr>
        <w:t>E7 = UNKNOWN</w:t>
      </w:r>
      <w:r>
        <w:t>; do not insert 1.0 or another neutral value. Material</w:t>
      </w:r>
      <w:r>
        <w:t xml:space="preserve"> </w:t>
      </w:r>
      <w:r>
        <w:rPr>
          <w:rStyle w:val="VerbatimChar"/>
        </w:rPr>
        <w:t>UNKNOWN</w:t>
      </w:r>
      <w:r>
        <w:t xml:space="preserve"> </w:t>
      </w:r>
      <w:r>
        <w:t>status makes UCI unavailable for the affected claim and requires evidence collection, claim narrowing, redesign, escalation, or refusal of an unqualified CSV pass.</w:t>
      </w:r>
    </w:p>
    <w:bookmarkEnd w:id="383"/>
    <w:bookmarkStart w:id="384" w:name="e5-δuci-computation-canonical"/>
    <w:p>
      <w:pPr>
        <w:pStyle w:val="Heading2"/>
      </w:pPr>
      <w:r>
        <w:t>E.5 ΔUCI Computation (Canonical)</w:t>
      </w:r>
    </w:p>
    <w:p>
      <w:pPr>
        <w:pStyle w:val="FirstParagraph"/>
      </w:pPr>
      <w:r>
        <w:t>ΔUCI_u(a) = UCI_u(a) − UCI_u(baseline)</w:t>
      </w:r>
    </w:p>
    <w:bookmarkEnd w:id="384"/>
    <w:bookmarkStart w:id="385" w:name="X500ac0625fddf54ace9be7cd931234721ddde65"/>
    <w:p>
      <w:pPr>
        <w:pStyle w:val="Heading2"/>
      </w:pPr>
      <w:r>
        <w:t>E.6 Prospective UCI Estimation (Tier 3) (Normative Constraints)</w:t>
      </w:r>
    </w:p>
    <w:p>
      <w:pPr>
        <w:pStyle w:val="FirstParagraph"/>
      </w:pPr>
      <w:r>
        <w:t>Tier 3 requires prospective (ex ante) estimation of UCI changes from structural indicators, not from welfare impacts. The PCC must:</w:t>
      </w:r>
    </w:p>
    <w:p>
      <w:pPr>
        <w:pStyle w:val="Compact"/>
        <w:numPr>
          <w:ilvl w:val="0"/>
          <w:numId w:val="1289"/>
        </w:numPr>
      </w:pPr>
      <w:r>
        <w:t>Identify structural indicators used</w:t>
      </w:r>
    </w:p>
    <w:p>
      <w:pPr>
        <w:pStyle w:val="Compact"/>
        <w:numPr>
          <w:ilvl w:val="0"/>
          <w:numId w:val="1290"/>
        </w:numPr>
      </w:pPr>
      <w:r>
        <w:t>Specify baseline values</w:t>
      </w:r>
    </w:p>
    <w:p>
      <w:pPr>
        <w:pStyle w:val="Compact"/>
        <w:numPr>
          <w:ilvl w:val="0"/>
          <w:numId w:val="1291"/>
        </w:numPr>
      </w:pPr>
      <w:r>
        <w:t>Specify predicted changes under each option</w:t>
      </w:r>
    </w:p>
    <w:p>
      <w:pPr>
        <w:pStyle w:val="Compact"/>
        <w:numPr>
          <w:ilvl w:val="0"/>
          <w:numId w:val="1292"/>
        </w:numPr>
      </w:pPr>
      <w:r>
        <w:t>Specify normalization to [0,1] for each component</w:t>
      </w:r>
    </w:p>
    <w:p>
      <w:pPr>
        <w:pStyle w:val="Compact"/>
        <w:numPr>
          <w:ilvl w:val="0"/>
          <w:numId w:val="1293"/>
        </w:numPr>
      </w:pPr>
      <w:r>
        <w:t>Compute UCI_u and ΔUCI_u using E.2 and E.5</w:t>
      </w:r>
    </w:p>
    <w:bookmarkEnd w:id="385"/>
    <w:bookmarkStart w:id="386" w:name="X43213e14e8004ad614c02a1eccd4edbfd93cb44"/>
    <w:p>
      <w:pPr>
        <w:pStyle w:val="Heading2"/>
      </w:pPr>
      <w:r>
        <w:t>E.7 UCI Unavailability Rule (Tier 3) (Normative)</w:t>
      </w:r>
    </w:p>
    <w:p>
      <w:pPr>
        <w:pStyle w:val="FirstParagraph"/>
      </w:pPr>
      <w:r>
        <w:t>If structural indicators are unavailable such that UCI cannot be computed without violating E.3:</w:t>
      </w:r>
    </w:p>
    <w:p>
      <w:pPr>
        <w:pStyle w:val="Compact"/>
        <w:numPr>
          <w:ilvl w:val="0"/>
          <w:numId w:val="1294"/>
        </w:numPr>
      </w:pPr>
      <w:r>
        <w:t>UCI MUST be treated as unavailable for tie-break purposes</w:t>
      </w:r>
    </w:p>
    <w:p>
      <w:pPr>
        <w:pStyle w:val="Compact"/>
        <w:numPr>
          <w:ilvl w:val="0"/>
          <w:numId w:val="1295"/>
        </w:numPr>
      </w:pPr>
      <w:r>
        <w:t>If RLS lead is non-decisive, decision MUST escalate for more data/higher tier OR record a judgment call with label JUDGMENT_CALL_UCI_UNAVAILABLE and a monitoring plan</w:t>
      </w:r>
    </w:p>
    <w:p>
      <w:pPr>
        <w:pStyle w:val="Compact"/>
        <w:numPr>
          <w:ilvl w:val="0"/>
          <w:numId w:val="1296"/>
        </w:numPr>
      </w:pPr>
      <w:r>
        <w:t>Any welfare-derived UCI proxy MUST NOT be used to claim Tier 3 compliance</w:t>
      </w:r>
    </w:p>
    <w:bookmarkEnd w:id="386"/>
    <w:bookmarkStart w:id="387" w:name="X1f34a219915fa9d62cc1fc920aa929766b2b6bc"/>
    <w:p>
      <w:pPr>
        <w:pStyle w:val="Heading2"/>
      </w:pPr>
      <w:r>
        <w:t>E.7A UCI/HOI Dual-Use Reporting Interface (Normative for Tier 3)</w:t>
      </w:r>
    </w:p>
    <w:p>
      <w:pPr>
        <w:pStyle w:val="FirstParagraph"/>
      </w:pPr>
      <w:r>
        <w:t>Purpose. UCI and HOI may serve as structural evidence in two distinct authority roles. Tier 3 implementations MUST record which role is being used.</w:t>
      </w:r>
    </w:p>
    <w:p>
      <w:pPr>
        <w:pStyle w:val="BodyText"/>
      </w:pPr>
      <w:r>
        <w:t>Required fields: structural_indicator_id; indicator_family; containing_scope_affected; evidence_status; measurement_readiness_level; containment_relevance; containment_threshold_declared; containment_disposition; residual_tiebreak_relevance; duplicate_use_note; reviewer_disposition; audit_flag_if_any.</w:t>
      </w:r>
    </w:p>
    <w:p>
      <w:pPr>
        <w:pStyle w:val="BodyText"/>
      </w:pPr>
      <w:r>
        <w:t>Rule. If containment_relevance is REQUIRED or THRESHOLD_CROSSED, the indicator SHALL be evaluated inside CSV before RLS. If the same indicator is later cited in residual tie-break, the PCC MUST state that gate-level containment disposition was already resolved and that residual use is limited to non-decisive structural preference, monitoring, or hollowing documentation.</w:t>
      </w:r>
    </w:p>
    <w:p>
      <w:pPr>
        <w:pStyle w:val="BodyText"/>
      </w:pPr>
      <w:r>
        <w:t>Prohibited use. An implementation SHALL NOT move a gate-relevant structural indicator to residual tie-break in order to avoid containment failure, evidence unavailability, or escalation.</w:t>
      </w:r>
    </w:p>
    <w:bookmarkEnd w:id="387"/>
    <w:bookmarkStart w:id="388" w:name="X10d313a966203a9f4bfd536f7a5a1a44b67c88c"/>
    <w:p>
      <w:pPr>
        <w:pStyle w:val="Heading2"/>
      </w:pPr>
      <w:r>
        <w:t>E.8 Minimal Measurement Protocol (Canonical Guidance)</w:t>
      </w:r>
    </w:p>
    <w:p>
      <w:pPr>
        <w:pStyle w:val="FirstParagraph"/>
      </w:pPr>
      <w:r>
        <w:t>For each UCI component, the PCC SHOULD document: indicator(s) used; data source; normalization method; expected directionality; uncertainty or reliability notes; and review cadence.</w:t>
      </w:r>
    </w:p>
    <w:p>
      <w:pPr>
        <w:pStyle w:val="Compact"/>
        <w:numPr>
          <w:ilvl w:val="0"/>
          <w:numId w:val="1297"/>
        </w:numPr>
      </w:pPr>
      <w:r>
        <w:t>Indicator(s) used</w:t>
      </w:r>
    </w:p>
    <w:p>
      <w:pPr>
        <w:pStyle w:val="Compact"/>
        <w:numPr>
          <w:ilvl w:val="0"/>
          <w:numId w:val="1298"/>
        </w:numPr>
      </w:pPr>
      <w:r>
        <w:t>Data source</w:t>
      </w:r>
    </w:p>
    <w:p>
      <w:pPr>
        <w:pStyle w:val="Compact"/>
        <w:numPr>
          <w:ilvl w:val="0"/>
          <w:numId w:val="1299"/>
        </w:numPr>
      </w:pPr>
      <w:r>
        <w:t>Normalization method</w:t>
      </w:r>
    </w:p>
    <w:p>
      <w:pPr>
        <w:pStyle w:val="Compact"/>
        <w:numPr>
          <w:ilvl w:val="0"/>
          <w:numId w:val="1300"/>
        </w:numPr>
      </w:pPr>
      <w:r>
        <w:t>Expected directionality</w:t>
      </w:r>
    </w:p>
    <w:p>
      <w:pPr>
        <w:pStyle w:val="Compact"/>
        <w:numPr>
          <w:ilvl w:val="0"/>
          <w:numId w:val="1301"/>
        </w:numPr>
      </w:pPr>
      <w:r>
        <w:t>Uncertainty or reliability notes</w:t>
      </w:r>
    </w:p>
    <w:p>
      <w:pPr>
        <w:pStyle w:val="Compact"/>
        <w:numPr>
          <w:ilvl w:val="0"/>
          <w:numId w:val="1302"/>
        </w:numPr>
      </w:pPr>
      <w:r>
        <w:t>Review cadence</w:t>
      </w:r>
    </w:p>
    <w:bookmarkEnd w:id="388"/>
    <w:bookmarkStart w:id="389" w:name="Xa23e786e9f271ba098be2f14b634d2039d89ba6"/>
    <w:p>
      <w:pPr>
        <w:pStyle w:val="Heading2"/>
      </w:pPr>
      <w:r>
        <w:t>E.8A Provisional UCI Measurement Protocol for Tier 3 pilots (Canonical Guidance)</w:t>
      </w:r>
    </w:p>
    <w:p>
      <w:pPr>
        <w:pStyle w:val="FirstParagraph"/>
      </w:pPr>
      <w:r>
        <w:t>When a deployment claims Tier 3 run-level conformance and uses UCI operationally, each UCI component SHOULD be built from one to three structurally independent indicators per relevant scope, normalized to [0,1] under a declared rule, and aggregated by a declared within-component operator (default arithmetic mean unless another operator is justified).</w:t>
      </w:r>
    </w:p>
    <w:p>
      <w:pPr>
        <w:pStyle w:val="BodyText"/>
      </w:pPr>
      <w:r>
        <w:t>Staleness and failure handling. If a required structural indicator is stale, contested, or unavailable such that structural independence cannot be preserved, the affected UCI component SHALL be treated as unavailable and the run SHALL follow the unavailability rule in E.7 rather than substituting welfare-derived proxies.</w:t>
      </w:r>
    </w:p>
    <w:p>
      <w:pPr>
        <w:pStyle w:val="BodyText"/>
      </w:pPr>
      <w:r>
        <w:t>Status note (Normative clarification). Tier 3 run-level conformance claims are distinct from framework-level empirical operational-readiness claims. The current release line specifies how provisional UCI constructions are to be documented and constrained, but it does not claim that universally validated UCI instruments already exist.</w:t>
      </w:r>
    </w:p>
    <w:bookmarkEnd w:id="389"/>
    <w:bookmarkStart w:id="390" w:name="X3d622399f57c2035a3a59bf078fd38154a4161c"/>
    <w:p>
      <w:pPr>
        <w:pStyle w:val="Heading2"/>
      </w:pPr>
      <w:r>
        <w:t>E.8B Tier 3 Starter Indicator Pack (Canonical Guidance)</w:t>
      </w:r>
    </w:p>
    <w:p>
      <w:pPr>
        <w:pStyle w:val="FirstParagraph"/>
      </w:pPr>
      <w:r>
        <w:t>The following starter indicators MAY be used as provisional structural indicator families when no validated domain-specific pack exists. They do not constitute final empirical calibration, but they provide a minimum auditable starter surface.</w:t>
      </w:r>
    </w:p>
    <w:p>
      <w:pPr>
        <w:pStyle w:val="BodyText"/>
      </w:pPr>
      <w:r>
        <w:t>U3 Community</w:t>
      </w:r>
    </w:p>
    <w:p>
      <w:pPr>
        <w:pStyle w:val="BodyText"/>
      </w:pPr>
      <w:r>
        <w:t>Cohesion: local trust survey or equivalent community-trust instrument</w:t>
      </w:r>
    </w:p>
    <w:p>
      <w:pPr>
        <w:pStyle w:val="BodyText"/>
      </w:pPr>
      <w:r>
        <w:t>Flow: coordination-response latency or meeting-to-action completion rate</w:t>
      </w:r>
    </w:p>
    <w:p>
      <w:pPr>
        <w:pStyle w:val="BodyText"/>
      </w:pPr>
      <w:r>
        <w:t>Resilience: mutual-aid activation readiness or recovery-from-disruption measure</w:t>
      </w:r>
    </w:p>
    <w:p>
      <w:pPr>
        <w:pStyle w:val="BodyText"/>
      </w:pPr>
      <w:r>
        <w:t>Equity: access-to-participation parity or grievance-resolution parity</w:t>
      </w:r>
    </w:p>
    <w:p>
      <w:pPr>
        <w:pStyle w:val="BodyText"/>
      </w:pPr>
      <w:r>
        <w:t>U4 Organization</w:t>
      </w:r>
    </w:p>
    <w:p>
      <w:pPr>
        <w:pStyle w:val="BodyText"/>
      </w:pPr>
      <w:r>
        <w:t>Cohesion: psychological-safety / trust instrument or equivalent (e.g., Edmondson, 1999)</w:t>
      </w:r>
    </w:p>
    <w:p>
      <w:pPr>
        <w:pStyle w:val="BodyText"/>
      </w:pPr>
      <w:r>
        <w:t>Flow: process throughput or median handoff completion time</w:t>
      </w:r>
    </w:p>
    <w:p>
      <w:pPr>
        <w:pStyle w:val="BodyText"/>
      </w:pPr>
      <w:r>
        <w:t>Resilience: incident recovery time or continuity readiness metric</w:t>
      </w:r>
    </w:p>
    <w:p>
      <w:pPr>
        <w:pStyle w:val="BodyText"/>
      </w:pPr>
      <w:r>
        <w:t>Equity: promotion / burden / grievance parity indicator</w:t>
      </w:r>
    </w:p>
    <w:p>
      <w:pPr>
        <w:pStyle w:val="BodyText"/>
      </w:pPr>
      <w:r>
        <w:t>U5 Polity</w:t>
      </w:r>
    </w:p>
    <w:p>
      <w:pPr>
        <w:pStyle w:val="BodyText"/>
      </w:pPr>
      <w:r>
        <w:t>Cohesion: institutional trust or legitimacy measure</w:t>
      </w:r>
    </w:p>
    <w:p>
      <w:pPr>
        <w:pStyle w:val="BodyText"/>
      </w:pPr>
      <w:r>
        <w:t>Flow: service-delivery or review-cycle timeliness measure</w:t>
      </w:r>
    </w:p>
    <w:p>
      <w:pPr>
        <w:pStyle w:val="BodyText"/>
      </w:pPr>
      <w:r>
        <w:t>Resilience: emergency response readiness or continuity-of-governance measure</w:t>
      </w:r>
    </w:p>
    <w:p>
      <w:pPr>
        <w:pStyle w:val="BodyText"/>
      </w:pPr>
      <w:r>
        <w:t>Equity: appeal access parity or due-process access parity measure</w:t>
      </w:r>
    </w:p>
    <w:p>
      <w:pPr>
        <w:pStyle w:val="BodyText"/>
      </w:pPr>
      <w:r>
        <w:t>Minimum handling rules</w:t>
      </w:r>
    </w:p>
    <w:p>
      <w:pPr>
        <w:pStyle w:val="BodyText"/>
      </w:pPr>
      <w:r>
        <w:t>Normalization to [0,1] MUST be declared in the PCC.</w:t>
      </w:r>
    </w:p>
    <w:p>
      <w:pPr>
        <w:pStyle w:val="BodyText"/>
      </w:pPr>
      <w:r>
        <w:t>Data older than 12 months MUST be marked stale unless a stricter domain rule is declared.</w:t>
      </w:r>
    </w:p>
    <w:p>
      <w:pPr>
        <w:pStyle w:val="BodyText"/>
      </w:pPr>
      <w:r>
        <w:t>If more than one required indicator family for a used scope is missing or stale, the affected UCI component SHALL be treated as unavailable.</w:t>
      </w:r>
    </w:p>
    <w:p>
      <w:pPr>
        <w:pStyle w:val="BodyText"/>
      </w:pPr>
      <w:r>
        <w:t>A worked example using this starter pack SHOULD be included in any Tier 3 deployment companion pack.</w:t>
      </w:r>
    </w:p>
    <w:bookmarkEnd w:id="390"/>
    <w:bookmarkStart w:id="391" w:name="X41c47957a9d56d9a829d0d4c5ab9032efd01c8a"/>
    <w:p>
      <w:pPr>
        <w:pStyle w:val="Heading2"/>
      </w:pPr>
      <w:r>
        <w:t>E.9 Measurement Guidance Expansion (Canonical Guidance)</w:t>
      </w:r>
    </w:p>
    <w:p>
      <w:pPr>
        <w:pStyle w:val="FirstParagraph"/>
      </w:pPr>
      <w:r>
        <w:t>For publication and Tier 3 preparation, each deployment SHOULD maintain a short UCI measurement note per component and scope covering: operational definition, indicator family chosen, normalization rule, expected update cadence, minimum acceptable data quality, independence check, and failure handling when indicators are missing or stale. Where validated instruments do not yet exist, the PCC MUST label the construction as provisional and MUST NOT present the resulting UCI value as empirically calibrated. This guidance is intended to standardize measurement practice without pretending that UCI instruments are already universally validated.</w:t>
      </w:r>
    </w:p>
    <w:p>
      <w:pPr>
        <w:pStyle w:val="BodyText"/>
      </w:pPr>
      <w:r>
        <w:t>End Appendix E.</w:t>
      </w:r>
    </w:p>
    <w:bookmarkEnd w:id="391"/>
    <w:bookmarkEnd w:id="392"/>
    <w:bookmarkStart w:id="398" w:name="X85ca30ff4d6b1725ba8e528750cbbd2b09e2da8"/>
    <w:p>
      <w:pPr>
        <w:pStyle w:val="Heading1"/>
      </w:pPr>
      <w:r>
        <w:t>APPENDIX F: FAILURE MODES AND ANTI-GAMING CONTROLS (v12.0)</w:t>
      </w:r>
    </w:p>
    <w:p>
      <w:pPr>
        <w:pStyle w:val="FirstParagraph"/>
      </w:pPr>
      <w:r>
        <w:t>Appendix F is normative for identified gaming vectors and required mitigations. Informative note. This appendix is carried forward substantively unchanged from the v9.0 line unless otherwise stated.</w:t>
      </w:r>
    </w:p>
    <w:bookmarkStart w:id="393" w:name="f1-identified-gaming-vectors-canonical"/>
    <w:p>
      <w:pPr>
        <w:pStyle w:val="Heading2"/>
      </w:pPr>
      <w:r>
        <w:t>F.1 Identified Gaming Vectors (Canonical)</w:t>
      </w:r>
    </w:p>
    <w:tbl>
      <w:tblPr>
        <w:tblStyle w:val="Table"/>
        <w:tblW w:type="auto" w:w="0"/>
        <w:jc w:val="center"/>
        <w:tblLook w:firstRow="1" w:lastRow="0" w:firstColumn="0" w:lastColumn="0" w:noHBand="0" w:noVBand="0" w:val="0020"/>
      </w:tblPr>
      <w:tblGrid>
        <w:gridCol w:w="2640"/>
        <w:gridCol w:w="2640"/>
        <w:gridCol w:w="2640"/>
      </w:tblGrid>
      <w:tr>
        <w:trPr>
          <w:tblHeader w:val="on"/>
          <w:tblHeader w:val="true"/>
          <w:cantSplit/>
        </w:trPr>
        <w:tc>
          <w:tcPr>
            <w:vAlign w:val="top"/>
            <w:tcMar>
              <w:top w:w="70" w:type="dxa"/>
              <w:start w:w="80" w:type="dxa"/>
              <w:bottom w:w="70" w:type="dxa"/>
              <w:end w:w="80" w:type="dxa"/>
            </w:tcMar>
            <w:shd w:fill="1F4E78"/>
          </w:tcPr>
          <w:p>
            <w:pPr>
              <w:pStyle w:val="Compact"/>
              <w:jc w:val="left"/>
            </w:pPr>
            <w:r>
              <w:rPr>
                <w:rFonts w:ascii="Arial" w:hAnsi="Arial" w:eastAsia="Arial"/>
                <w:b/>
                <w:bCs/>
                <w:color w:val="FFFFFF"/>
                <w:sz w:val="16"/>
              </w:rPr>
              <w:t>Vector</w:t>
            </w:r>
          </w:p>
        </w:tc>
        <w:tc>
          <w:tcPr>
            <w:vAlign w:val="top"/>
            <w:tcMar>
              <w:top w:w="70" w:type="dxa"/>
              <w:start w:w="80" w:type="dxa"/>
              <w:bottom w:w="70" w:type="dxa"/>
              <w:end w:w="80" w:type="dxa"/>
            </w:tcMar>
            <w:shd w:fill="1F4E78"/>
          </w:tcPr>
          <w:p>
            <w:pPr>
              <w:pStyle w:val="Compact"/>
              <w:jc w:val="left"/>
            </w:pPr>
            <w:r>
              <w:rPr>
                <w:rFonts w:ascii="Arial" w:hAnsi="Arial" w:eastAsia="Arial"/>
                <w:b/>
                <w:bCs/>
                <w:color w:val="FFFFFF"/>
                <w:sz w:val="16"/>
              </w:rPr>
              <w:t>Description</w:t>
            </w:r>
          </w:p>
        </w:tc>
        <w:tc>
          <w:tcPr>
            <w:vAlign w:val="top"/>
            <w:tcMar>
              <w:top w:w="70" w:type="dxa"/>
              <w:start w:w="80" w:type="dxa"/>
              <w:bottom w:w="70" w:type="dxa"/>
              <w:end w:w="80" w:type="dxa"/>
            </w:tcMar>
            <w:shd w:fill="1F4E78"/>
          </w:tcPr>
          <w:p>
            <w:pPr>
              <w:pStyle w:val="Compact"/>
              <w:jc w:val="left"/>
            </w:pPr>
            <w:r>
              <w:rPr>
                <w:rFonts w:ascii="Arial" w:hAnsi="Arial" w:eastAsia="Arial"/>
                <w:b/>
                <w:bCs/>
                <w:color w:val="FFFFFF"/>
                <w:sz w:val="16"/>
              </w:rPr>
              <w:t>Structural Mitigation</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Option set manipulation</w:t>
            </w:r>
          </w:p>
        </w:tc>
        <w:tc>
          <w:tcPr>
            <w:vAlign w:val="top"/>
            <w:tcMar>
              <w:top w:w="70" w:type="dxa"/>
              <w:start w:w="80" w:type="dxa"/>
              <w:bottom w:w="70" w:type="dxa"/>
              <w:end w:w="80" w:type="dxa"/>
            </w:tcMar>
            <w:shd w:fill="D9EAF7"/>
          </w:tcPr>
          <w:p>
            <w:pPr>
              <w:pStyle w:val="Compact"/>
              <w:jc w:val="left"/>
            </w:pPr>
            <w:r>
              <w:rPr>
                <w:rFonts w:ascii="Arial" w:hAnsi="Arial" w:eastAsia="Arial"/>
                <w:sz w:val="16"/>
              </w:rPr>
              <w:t>Excluding viable alternatives so preferred option "wins"</w:t>
            </w:r>
          </w:p>
        </w:tc>
        <w:tc>
          <w:tcPr>
            <w:vAlign w:val="top"/>
            <w:tcMar>
              <w:top w:w="70" w:type="dxa"/>
              <w:start w:w="80" w:type="dxa"/>
              <w:bottom w:w="70" w:type="dxa"/>
              <w:end w:w="80" w:type="dxa"/>
            </w:tcMar>
            <w:shd w:fill="D9EAF7"/>
          </w:tcPr>
          <w:p>
            <w:pPr>
              <w:pStyle w:val="Compact"/>
              <w:jc w:val="left"/>
            </w:pPr>
            <w:r>
              <w:rPr>
                <w:rFonts w:ascii="Arial" w:hAnsi="Arial" w:eastAsia="Arial"/>
                <w:sz w:val="16"/>
              </w:rPr>
              <w:t>Minimum option requirement (≥2); independent challenger in emergencies; document option generation process</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Masking abuse</w:t>
            </w:r>
          </w:p>
        </w:tc>
        <w:tc>
          <w:tcPr>
            <w:vAlign w:val="top"/>
            <w:tcMar>
              <w:top w:w="70" w:type="dxa"/>
              <w:start w:w="80" w:type="dxa"/>
              <w:bottom w:w="70" w:type="dxa"/>
              <w:end w:w="80" w:type="dxa"/>
            </w:tcMar>
            <w:shd w:fill="FFFFFF"/>
          </w:tcPr>
          <w:p>
            <w:pPr>
              <w:pStyle w:val="Compact"/>
              <w:jc w:val="left"/>
            </w:pPr>
            <w:r>
              <w:rPr>
                <w:rFonts w:ascii="Arial" w:hAnsi="Arial" w:eastAsia="Arial"/>
                <w:sz w:val="16"/>
              </w:rPr>
              <w:t>Masking unfavorable cells to inflate RLS</w:t>
            </w:r>
          </w:p>
        </w:tc>
        <w:tc>
          <w:tcPr>
            <w:vAlign w:val="top"/>
            <w:tcMar>
              <w:top w:w="70" w:type="dxa"/>
              <w:start w:w="80" w:type="dxa"/>
              <w:bottom w:w="70" w:type="dxa"/>
              <w:end w:w="80" w:type="dxa"/>
            </w:tcMar>
            <w:shd w:fill="FFFFFF"/>
          </w:tcPr>
          <w:p>
            <w:pPr>
              <w:pStyle w:val="Compact"/>
              <w:jc w:val="left"/>
            </w:pPr>
            <w:r>
              <w:rPr>
                <w:rFonts w:ascii="Arial" w:hAnsi="Arial" w:eastAsia="Arial"/>
                <w:sz w:val="16"/>
              </w:rPr>
              <w:t>Non-maskable cells (rights + catastrophe) must remain unmasked; audit flags invalidate PCC</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Subgroup erasure</w:t>
            </w:r>
          </w:p>
        </w:tc>
        <w:tc>
          <w:tcPr>
            <w:vAlign w:val="top"/>
            <w:tcMar>
              <w:top w:w="70" w:type="dxa"/>
              <w:start w:w="80" w:type="dxa"/>
              <w:bottom w:w="70" w:type="dxa"/>
              <w:end w:w="80" w:type="dxa"/>
            </w:tcMar>
            <w:shd w:fill="D9EAF7"/>
          </w:tcPr>
          <w:p>
            <w:pPr>
              <w:pStyle w:val="Compact"/>
              <w:jc w:val="left"/>
            </w:pPr>
            <w:r>
              <w:rPr>
                <w:rFonts w:ascii="Arial" w:hAnsi="Arial" w:eastAsia="Arial"/>
                <w:sz w:val="16"/>
              </w:rPr>
              <w:t>Averaging away harms to vulnerable groups</w:t>
            </w:r>
          </w:p>
        </w:tc>
        <w:tc>
          <w:tcPr>
            <w:vAlign w:val="top"/>
            <w:tcMar>
              <w:top w:w="70" w:type="dxa"/>
              <w:start w:w="80" w:type="dxa"/>
              <w:bottom w:w="70" w:type="dxa"/>
              <w:end w:w="80" w:type="dxa"/>
            </w:tcMar>
            <w:shd w:fill="D9EAF7"/>
          </w:tcPr>
          <w:p>
            <w:pPr>
              <w:pStyle w:val="Compact"/>
              <w:jc w:val="left"/>
            </w:pPr>
            <w:r>
              <w:rPr>
                <w:rFonts w:ascii="Arial" w:hAnsi="Arial" w:eastAsia="Arial"/>
                <w:sz w:val="16"/>
              </w:rPr>
              <w:t>Worst-off subgroup operator for rights; subgroup enumeration; conservative bound when infeasible</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Scenario omission</w:t>
            </w:r>
          </w:p>
        </w:tc>
        <w:tc>
          <w:tcPr>
            <w:vAlign w:val="top"/>
            <w:tcMar>
              <w:top w:w="70" w:type="dxa"/>
              <w:start w:w="80" w:type="dxa"/>
              <w:bottom w:w="70" w:type="dxa"/>
              <w:end w:w="80" w:type="dxa"/>
            </w:tcMar>
            <w:shd w:fill="FFFFFF"/>
          </w:tcPr>
          <w:p>
            <w:pPr>
              <w:pStyle w:val="Compact"/>
              <w:jc w:val="left"/>
            </w:pPr>
            <w:r>
              <w:rPr>
                <w:rFonts w:ascii="Arial" w:hAnsi="Arial" w:eastAsia="Arial"/>
                <w:sz w:val="16"/>
              </w:rPr>
              <w:t>Leaving out unfavorable tail scenarios</w:t>
            </w:r>
          </w:p>
        </w:tc>
        <w:tc>
          <w:tcPr>
            <w:vAlign w:val="top"/>
            <w:tcMar>
              <w:top w:w="70" w:type="dxa"/>
              <w:start w:w="80" w:type="dxa"/>
              <w:bottom w:w="70" w:type="dxa"/>
              <w:end w:w="80" w:type="dxa"/>
            </w:tcMar>
            <w:shd w:fill="FFFFFF"/>
          </w:tcPr>
          <w:p>
            <w:pPr>
              <w:pStyle w:val="Compact"/>
              <w:jc w:val="left"/>
            </w:pPr>
            <w:r>
              <w:rPr>
                <w:rFonts w:ascii="Arial" w:hAnsi="Arial" w:eastAsia="Arial"/>
                <w:sz w:val="16"/>
              </w:rPr>
              <w:t>Mandatory tail categories and probability floors; scenario count minima; implausibility test per Section 8.3.2</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Probability gaming</w:t>
            </w:r>
          </w:p>
        </w:tc>
        <w:tc>
          <w:tcPr>
            <w:vAlign w:val="top"/>
            <w:tcMar>
              <w:top w:w="70" w:type="dxa"/>
              <w:start w:w="80" w:type="dxa"/>
              <w:bottom w:w="70" w:type="dxa"/>
              <w:end w:w="80" w:type="dxa"/>
            </w:tcMar>
            <w:shd w:fill="D9EAF7"/>
          </w:tcPr>
          <w:p>
            <w:pPr>
              <w:pStyle w:val="Compact"/>
              <w:jc w:val="left"/>
            </w:pPr>
            <w:r>
              <w:rPr>
                <w:rFonts w:ascii="Arial" w:hAnsi="Arial" w:eastAsia="Arial"/>
                <w:sz w:val="16"/>
              </w:rPr>
              <w:t>Assigning implausibly small p_s to tails</w:t>
            </w:r>
          </w:p>
        </w:tc>
        <w:tc>
          <w:tcPr>
            <w:vAlign w:val="top"/>
            <w:tcMar>
              <w:top w:w="70" w:type="dxa"/>
              <w:start w:w="80" w:type="dxa"/>
              <w:bottom w:w="70" w:type="dxa"/>
              <w:end w:w="80" w:type="dxa"/>
            </w:tcMar>
            <w:shd w:fill="D9EAF7"/>
          </w:tcPr>
          <w:p>
            <w:pPr>
              <w:pStyle w:val="Compact"/>
              <w:jc w:val="left"/>
            </w:pPr>
            <w:r>
              <w:rPr>
                <w:rFonts w:ascii="Arial" w:hAnsi="Arial" w:eastAsia="Arial"/>
                <w:sz w:val="16"/>
              </w:rPr>
              <w:t>Probability provenance required; p_floor per category; sensitivity perturbations at Tier 3</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Kernel capture</w:t>
            </w:r>
          </w:p>
        </w:tc>
        <w:tc>
          <w:tcPr>
            <w:vAlign w:val="top"/>
            <w:tcMar>
              <w:top w:w="70" w:type="dxa"/>
              <w:start w:w="80" w:type="dxa"/>
              <w:bottom w:w="70" w:type="dxa"/>
              <w:end w:w="80" w:type="dxa"/>
            </w:tcMar>
            <w:shd w:fill="FFFFFF"/>
          </w:tcPr>
          <w:p>
            <w:pPr>
              <w:pStyle w:val="Compact"/>
              <w:jc w:val="left"/>
            </w:pPr>
            <w:r>
              <w:rPr>
                <w:rFonts w:ascii="Arial" w:hAnsi="Arial" w:eastAsia="Arial"/>
                <w:sz w:val="16"/>
              </w:rPr>
              <w:t>Tweaking kernel edges to favor preferred option</w:t>
            </w:r>
          </w:p>
        </w:tc>
        <w:tc>
          <w:tcPr>
            <w:vAlign w:val="top"/>
            <w:tcMar>
              <w:top w:w="70" w:type="dxa"/>
              <w:start w:w="80" w:type="dxa"/>
              <w:bottom w:w="70" w:type="dxa"/>
              <w:end w:w="80" w:type="dxa"/>
            </w:tcMar>
            <w:shd w:fill="FFFFFF"/>
          </w:tcPr>
          <w:p>
            <w:pPr>
              <w:pStyle w:val="Compact"/>
              <w:jc w:val="left"/>
            </w:pPr>
            <w:r>
              <w:rPr>
                <w:rFonts w:ascii="Arial" w:hAnsi="Arial" w:eastAsia="Arial"/>
                <w:sz w:val="16"/>
              </w:rPr>
              <w:t>KQS bands; sensitivity perturbations; evidence classes; humility fallback to NONE</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Weight capture</w:t>
            </w:r>
          </w:p>
        </w:tc>
        <w:tc>
          <w:tcPr>
            <w:vAlign w:val="top"/>
            <w:tcMar>
              <w:top w:w="70" w:type="dxa"/>
              <w:start w:w="80" w:type="dxa"/>
              <w:bottom w:w="70" w:type="dxa"/>
              <w:end w:w="80" w:type="dxa"/>
            </w:tcMar>
            <w:shd w:fill="D9EAF7"/>
          </w:tcPr>
          <w:p>
            <w:pPr>
              <w:pStyle w:val="Compact"/>
              <w:jc w:val="left"/>
            </w:pPr>
            <w:r>
              <w:rPr>
                <w:rFonts w:ascii="Arial" w:hAnsi="Arial" w:eastAsia="Arial"/>
                <w:sz w:val="16"/>
              </w:rPr>
              <w:t>Steering HDW to underweight certain unions/dimensions</w:t>
            </w:r>
          </w:p>
        </w:tc>
        <w:tc>
          <w:tcPr>
            <w:vAlign w:val="top"/>
            <w:tcMar>
              <w:top w:w="70" w:type="dxa"/>
              <w:start w:w="80" w:type="dxa"/>
              <w:bottom w:w="70" w:type="dxa"/>
              <w:end w:w="80" w:type="dxa"/>
            </w:tcMar>
            <w:shd w:fill="D9EAF7"/>
          </w:tcPr>
          <w:p>
            <w:pPr>
              <w:pStyle w:val="Compact"/>
              <w:jc w:val="left"/>
            </w:pPr>
            <w:r>
              <w:rPr>
                <w:rFonts w:ascii="Arial" w:hAnsi="Arial" w:eastAsia="Arial"/>
                <w:sz w:val="16"/>
              </w:rPr>
              <w:t>Constitutional floors; supermajority locks near floors; transparency ledger; conflict disclosure</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Emergency abuse</w:t>
            </w:r>
          </w:p>
        </w:tc>
        <w:tc>
          <w:tcPr>
            <w:vAlign w:val="top"/>
            <w:tcMar>
              <w:top w:w="70" w:type="dxa"/>
              <w:start w:w="80" w:type="dxa"/>
              <w:bottom w:w="70" w:type="dxa"/>
              <w:end w:w="80" w:type="dxa"/>
            </w:tcMar>
            <w:shd w:fill="FFFFFF"/>
          </w:tcPr>
          <w:p>
            <w:pPr>
              <w:pStyle w:val="Compact"/>
              <w:jc w:val="left"/>
            </w:pPr>
            <w:r>
              <w:rPr>
                <w:rFonts w:ascii="Arial" w:hAnsi="Arial" w:eastAsia="Arial"/>
                <w:sz w:val="16"/>
              </w:rPr>
              <w:t>Declaring emergency to bypass rights</w:t>
            </w:r>
          </w:p>
        </w:tc>
        <w:tc>
          <w:tcPr>
            <w:vAlign w:val="top"/>
            <w:tcMar>
              <w:top w:w="70" w:type="dxa"/>
              <w:start w:w="80" w:type="dxa"/>
              <w:bottom w:w="70" w:type="dxa"/>
              <w:end w:w="80" w:type="dxa"/>
            </w:tcMar>
            <w:shd w:fill="FFFFFF"/>
          </w:tcPr>
          <w:p>
            <w:pPr>
              <w:pStyle w:val="Compact"/>
              <w:jc w:val="left"/>
            </w:pPr>
            <w:r>
              <w:rPr>
                <w:rFonts w:ascii="Arial" w:hAnsi="Arial" w:eastAsia="Arial"/>
                <w:sz w:val="16"/>
              </w:rPr>
              <w:t>Challenger requirement; remediation plan; public disclosure/audit triggers</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Confidence inflation</w:t>
            </w:r>
          </w:p>
        </w:tc>
        <w:tc>
          <w:tcPr>
            <w:vAlign w:val="top"/>
            <w:tcMar>
              <w:top w:w="70" w:type="dxa"/>
              <w:start w:w="80" w:type="dxa"/>
              <w:bottom w:w="70" w:type="dxa"/>
              <w:end w:w="80" w:type="dxa"/>
            </w:tcMar>
            <w:shd w:fill="D9EAF7"/>
          </w:tcPr>
          <w:p>
            <w:pPr>
              <w:pStyle w:val="Compact"/>
              <w:jc w:val="left"/>
            </w:pPr>
            <w:r>
              <w:rPr>
                <w:rFonts w:ascii="Arial" w:hAnsi="Arial" w:eastAsia="Arial"/>
                <w:sz w:val="16"/>
              </w:rPr>
              <w:t>Overstating confidence to increase impact weight</w:t>
            </w:r>
          </w:p>
        </w:tc>
        <w:tc>
          <w:tcPr>
            <w:vAlign w:val="top"/>
            <w:tcMar>
              <w:top w:w="70" w:type="dxa"/>
              <w:start w:w="80" w:type="dxa"/>
              <w:bottom w:w="70" w:type="dxa"/>
              <w:end w:w="80" w:type="dxa"/>
            </w:tcMar>
            <w:shd w:fill="D9EAF7"/>
          </w:tcPr>
          <w:p>
            <w:pPr>
              <w:pStyle w:val="Compact"/>
              <w:jc w:val="left"/>
            </w:pPr>
            <w:r>
              <w:rPr>
                <w:rFonts w:ascii="Arial" w:hAnsi="Arial" w:eastAsia="Arial"/>
                <w:sz w:val="16"/>
              </w:rPr>
              <w:t>c_k bounded [0.1, 1]; require evidence notes; sensitivity recommended</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Horizon manipulation</w:t>
            </w:r>
          </w:p>
        </w:tc>
        <w:tc>
          <w:tcPr>
            <w:vAlign w:val="top"/>
            <w:tcMar>
              <w:top w:w="70" w:type="dxa"/>
              <w:start w:w="80" w:type="dxa"/>
              <w:bottom w:w="70" w:type="dxa"/>
              <w:end w:w="80" w:type="dxa"/>
            </w:tcMar>
            <w:shd w:fill="FFFFFF"/>
          </w:tcPr>
          <w:p>
            <w:pPr>
              <w:pStyle w:val="Compact"/>
              <w:jc w:val="left"/>
            </w:pPr>
            <w:r>
              <w:rPr>
                <w:rFonts w:ascii="Arial" w:hAnsi="Arial" w:eastAsia="Arial"/>
                <w:sz w:val="16"/>
              </w:rPr>
              <w:t>Choosing time horizons strategically</w:t>
            </w:r>
          </w:p>
        </w:tc>
        <w:tc>
          <w:tcPr>
            <w:vAlign w:val="top"/>
            <w:tcMar>
              <w:top w:w="70" w:type="dxa"/>
              <w:start w:w="80" w:type="dxa"/>
              <w:bottom w:w="70" w:type="dxa"/>
              <w:end w:w="80" w:type="dxa"/>
            </w:tcMar>
            <w:shd w:fill="FFFFFF"/>
          </w:tcPr>
          <w:p>
            <w:pPr>
              <w:pStyle w:val="Compact"/>
              <w:jc w:val="left"/>
            </w:pPr>
            <w:r>
              <w:rPr>
                <w:rFonts w:ascii="Arial" w:hAnsi="Arial" w:eastAsia="Arial"/>
                <w:sz w:val="16"/>
              </w:rPr>
              <w:t>Logarithmic temporal weighting τ(t); declare T_ref; challenge horizon assumptions</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Unknown-as-neutral</w:t>
            </w:r>
          </w:p>
        </w:tc>
        <w:tc>
          <w:tcPr>
            <w:vAlign w:val="top"/>
            <w:tcMar>
              <w:top w:w="70" w:type="dxa"/>
              <w:start w:w="80" w:type="dxa"/>
              <w:bottom w:w="70" w:type="dxa"/>
              <w:end w:w="80" w:type="dxa"/>
            </w:tcMar>
            <w:shd w:fill="D9EAF7"/>
          </w:tcPr>
          <w:p>
            <w:pPr>
              <w:pStyle w:val="Compact"/>
              <w:jc w:val="left"/>
            </w:pPr>
            <w:r>
              <w:rPr>
                <w:rFonts w:ascii="Arial" w:hAnsi="Arial" w:eastAsia="Arial"/>
                <w:sz w:val="16"/>
              </w:rPr>
              <w:t>Leaving cells blank to avoid negatives</w:t>
            </w:r>
          </w:p>
        </w:tc>
        <w:tc>
          <w:tcPr>
            <w:vAlign w:val="top"/>
            <w:tcMar>
              <w:top w:w="70" w:type="dxa"/>
              <w:start w:w="80" w:type="dxa"/>
              <w:bottom w:w="70" w:type="dxa"/>
              <w:end w:w="80" w:type="dxa"/>
            </w:tcMar>
            <w:shd w:fill="D9EAF7"/>
          </w:tcPr>
          <w:p>
            <w:pPr>
              <w:pStyle w:val="Compact"/>
              <w:jc w:val="left"/>
            </w:pPr>
            <w:r>
              <w:rPr>
                <w:rFonts w:ascii="Arial" w:hAnsi="Arial" w:eastAsia="Arial"/>
                <w:sz w:val="16"/>
              </w:rPr>
              <w:t>Ignorance penalty phantom instance rule; audit flag if non-maskable cell missing</w:t>
            </w:r>
          </w:p>
        </w:tc>
      </w:tr>
    </w:tbl>
    <w:bookmarkEnd w:id="393"/>
    <w:bookmarkStart w:id="394" w:name="Xcea6f77d27a1ccc970b6cc8d282aa98d53ba3a9"/>
    <w:p>
      <w:pPr>
        <w:pStyle w:val="Heading2"/>
      </w:pPr>
      <w:r>
        <w:t>F.2 Structural Anti-Gaming Features (Canonical)</w:t>
      </w:r>
    </w:p>
    <w:p>
      <w:pPr>
        <w:pStyle w:val="FirstParagraph"/>
      </w:pPr>
      <w:r>
        <w:t>Non-Compensatory Architecture:</w:t>
      </w:r>
    </w:p>
    <w:p>
      <w:pPr>
        <w:pStyle w:val="Compact"/>
        <w:numPr>
          <w:ilvl w:val="0"/>
          <w:numId w:val="1303"/>
        </w:numPr>
      </w:pPr>
      <w:r>
        <w:t>NCRC cannot be overridden by welfare gains</w:t>
      </w:r>
    </w:p>
    <w:p>
      <w:pPr>
        <w:pStyle w:val="Compact"/>
        <w:numPr>
          <w:ilvl w:val="0"/>
          <w:numId w:val="1304"/>
        </w:numPr>
      </w:pPr>
      <w:r>
        <w:t>TRC cannot be overridden by expected value</w:t>
      </w:r>
    </w:p>
    <w:p>
      <w:pPr>
        <w:pStyle w:val="Compact"/>
        <w:numPr>
          <w:ilvl w:val="0"/>
          <w:numId w:val="1305"/>
        </w:numPr>
      </w:pPr>
      <w:r>
        <w:t>Containment cannot be bypassed by RLS optimization</w:t>
      </w:r>
    </w:p>
    <w:p>
      <w:pPr>
        <w:pStyle w:val="FirstParagraph"/>
      </w:pPr>
      <w:r>
        <w:t>Transparency Requirements:</w:t>
      </w:r>
    </w:p>
    <w:p>
      <w:pPr>
        <w:pStyle w:val="Compact"/>
        <w:numPr>
          <w:ilvl w:val="0"/>
          <w:numId w:val="1306"/>
        </w:numPr>
      </w:pPr>
      <w:r>
        <w:t>All parameters recorded in PCC</w:t>
      </w:r>
    </w:p>
    <w:p>
      <w:pPr>
        <w:pStyle w:val="Compact"/>
        <w:numPr>
          <w:ilvl w:val="0"/>
          <w:numId w:val="1307"/>
        </w:numPr>
      </w:pPr>
      <w:r>
        <w:t>Registry hashing prevents silent modification (Tier 3+)</w:t>
      </w:r>
    </w:p>
    <w:p>
      <w:pPr>
        <w:pStyle w:val="Compact"/>
        <w:numPr>
          <w:ilvl w:val="0"/>
          <w:numId w:val="1308"/>
        </w:numPr>
      </w:pPr>
      <w:r>
        <w:t>Public rationale (5SPR) required</w:t>
      </w:r>
    </w:p>
    <w:p>
      <w:pPr>
        <w:pStyle w:val="FirstParagraph"/>
      </w:pPr>
      <w:r>
        <w:t>Audit Infrastructure:</w:t>
      </w:r>
    </w:p>
    <w:p>
      <w:pPr>
        <w:pStyle w:val="Compact"/>
        <w:numPr>
          <w:ilvl w:val="0"/>
          <w:numId w:val="1309"/>
        </w:numPr>
      </w:pPr>
      <w:r>
        <w:t>Random audit lottery (recommended 5% of PCCs at Tier 3)</w:t>
      </w:r>
    </w:p>
    <w:p>
      <w:pPr>
        <w:pStyle w:val="Compact"/>
        <w:numPr>
          <w:ilvl w:val="0"/>
          <w:numId w:val="1310"/>
        </w:numPr>
      </w:pPr>
      <w:r>
        <w:t>Red-team protocols for high-stakes decisions</w:t>
      </w:r>
    </w:p>
    <w:p>
      <w:pPr>
        <w:pStyle w:val="Compact"/>
        <w:numPr>
          <w:ilvl w:val="0"/>
          <w:numId w:val="1311"/>
        </w:numPr>
      </w:pPr>
      <w:r>
        <w:t>Configuration drift detection</w:t>
      </w:r>
    </w:p>
    <w:p>
      <w:pPr>
        <w:pStyle w:val="FirstParagraph"/>
      </w:pPr>
      <w:r>
        <w:t>Learning Accountability:</w:t>
      </w:r>
    </w:p>
    <w:p>
      <w:pPr>
        <w:pStyle w:val="Compact"/>
        <w:numPr>
          <w:ilvl w:val="0"/>
          <w:numId w:val="1312"/>
        </w:numPr>
      </w:pPr>
      <w:r>
        <w:t>NCAR loop tracks prediction accuracy</w:t>
      </w:r>
    </w:p>
    <w:p>
      <w:pPr>
        <w:pStyle w:val="Compact"/>
        <w:numPr>
          <w:ilvl w:val="0"/>
          <w:numId w:val="1313"/>
        </w:numPr>
      </w:pPr>
      <w:r>
        <w:t>Systematic errors trigger parameter review</w:t>
      </w:r>
    </w:p>
    <w:p>
      <w:pPr>
        <w:pStyle w:val="Compact"/>
        <w:numPr>
          <w:ilvl w:val="0"/>
          <w:numId w:val="1314"/>
        </w:numPr>
      </w:pPr>
      <w:r>
        <w:t>Historical PCCs preserved for accountability</w:t>
      </w:r>
    </w:p>
    <w:bookmarkEnd w:id="394"/>
    <w:bookmarkStart w:id="395" w:name="Xbbc3016ccc14291749e9e53495886331534bf45"/>
    <w:p>
      <w:pPr>
        <w:pStyle w:val="Heading2"/>
      </w:pPr>
      <w:r>
        <w:t>F.3 Audit Flag Taxonomy (Informative pointer; non-authoritative) Authoritative audit flags are specified in Section 14.3 and duplicated verbatim in Appendix H.3. Appendix F provides explanatory context and anti-gaming rationale only; it does not define, modify, or enumerate the canonical audit-flag set. For the complete and controlling list (tokens, triggers, required actions, severities), see Section 14.3 / Appendix H.3.</w:t>
      </w:r>
    </w:p>
    <w:bookmarkEnd w:id="395"/>
    <w:bookmarkStart w:id="396" w:name="X80f01ca966b2cdeccb7decb2b9e9a7e49b5bf53"/>
    <w:p>
      <w:pPr>
        <w:pStyle w:val="Heading2"/>
      </w:pPr>
      <w:r>
        <w:t>F.4 Red-Team and Audit Lottery (Tier 3 Recommended)</w:t>
      </w:r>
    </w:p>
    <w:p>
      <w:pPr>
        <w:pStyle w:val="FirstParagraph"/>
      </w:pPr>
      <w:r>
        <w:t>Deployments SHOULD adopt:</w:t>
      </w:r>
    </w:p>
    <w:p>
      <w:pPr>
        <w:pStyle w:val="Compact"/>
        <w:numPr>
          <w:ilvl w:val="0"/>
          <w:numId w:val="1315"/>
        </w:numPr>
      </w:pPr>
      <w:r>
        <w:t>Random audit lottery: for example, 5% of PCCs selected for independent review</w:t>
      </w:r>
    </w:p>
    <w:p>
      <w:pPr>
        <w:pStyle w:val="Compact"/>
        <w:numPr>
          <w:ilvl w:val="0"/>
          <w:numId w:val="1316"/>
        </w:numPr>
      </w:pPr>
      <w:r>
        <w:t>Red-team scenario additions: Adversarial scenario injection for TRC testing</w:t>
      </w:r>
    </w:p>
    <w:p>
      <w:pPr>
        <w:pStyle w:val="Compact"/>
        <w:numPr>
          <w:ilvl w:val="0"/>
          <w:numId w:val="1317"/>
        </w:numPr>
      </w:pPr>
      <w:r>
        <w:t>Kernel perturbation stress tests: Systematic edge perturbation</w:t>
      </w:r>
    </w:p>
    <w:bookmarkEnd w:id="396"/>
    <w:bookmarkStart w:id="397" w:name="X68158732a8af370c7adf6bcac877dade38f8cf6"/>
    <w:p>
      <w:pPr>
        <w:pStyle w:val="Heading2"/>
      </w:pPr>
      <w:r>
        <w:t>F.5 Boundary and Threshold Gaming (Normative anti-gaming clarification)</w:t>
      </w:r>
    </w:p>
    <w:p>
      <w:pPr>
        <w:pStyle w:val="FirstParagraph"/>
      </w:pPr>
      <w:r>
        <w:t>RippleLogic does not assume adversaries will only game welfare scores. Because NCRC, TRC, CSV, and PLSS create hard feasibility and escalation conditions, adversarial pressure may shift toward subgroup definitions, rights-threshold placement, scenario-library construction, probability assignment, containment-scope framing, PLSS local-scope declarations, evidence-sufficiency claims, and maturity classifications.</w:t>
      </w:r>
    </w:p>
    <w:p>
      <w:pPr>
        <w:pStyle w:val="BodyText"/>
      </w:pPr>
      <w:r>
        <w:t>PCC reviewers SHALL inspect these boundary surfaces for gerrymandering, selective omission, motivated uncertainty, threshold laundering, scope narrowing, and evidence laundering. Where any of these surfaces is material to a gate verdict, escalation, or refusal decision, the run SHALL disclose the contested boundary choice, the evidentiary basis, reviewer disagreement if any, and the sensitivity of the verdict to plausible alternative boundary definitions.</w:t>
      </w:r>
    </w:p>
    <w:p>
      <w:pPr>
        <w:pStyle w:val="BodyText"/>
      </w:pPr>
      <w:r>
        <w:t>Goodhart pressure is not eliminated by RippleLogic; it is relocated and exposed. The system becomes stronger only when boundary definitions, threshold settings, probability libraries, stakeholder maps, and evidence sufficiency judgments are inspectable, contestable, and preserved in the PCC or companion audit record.</w:t>
      </w:r>
    </w:p>
    <w:p>
      <w:pPr>
        <w:pStyle w:val="BodyText"/>
      </w:pPr>
      <w:r>
        <w:t>End Appendix F.</w:t>
      </w:r>
    </w:p>
    <w:bookmarkEnd w:id="397"/>
    <w:bookmarkEnd w:id="398"/>
    <w:bookmarkStart w:id="409" w:name="X726cbb23bb7d621dfa2e2d25fb739f0c287fb05"/>
    <w:p>
      <w:pPr>
        <w:pStyle w:val="Heading1"/>
      </w:pPr>
      <w:r>
        <w:t>APPENDIX G: SGP v8.2.1 INTEGRATION BINDING (NORMATIVE INTERFACE)</w:t>
      </w:r>
    </w:p>
    <w:p>
      <w:pPr>
        <w:pStyle w:val="FirstParagraph"/>
      </w:pPr>
      <w:r>
        <w:t>Appendix G is normative for the RippleLogic-to-SGP interface.</w:t>
      </w:r>
    </w:p>
    <w:bookmarkStart w:id="399" w:name="g0-interim-precautionary-trigger"/>
    <w:p>
      <w:pPr>
        <w:pStyle w:val="Heading2"/>
      </w:pPr>
      <w:r>
        <w:t>G.0 Interim Precautionary Trigger</w:t>
      </w:r>
    </w:p>
    <w:p>
      <w:pPr>
        <w:pStyle w:val="FirstParagraph"/>
      </w:pPr>
      <w:r>
        <w:t>If credible SGP, taxon/class, stakeholder, or artificial-system evidence identifies a plausible moral patient before formal rights-coverage expansion is complete, the run MUST record</w:t>
      </w:r>
      <w:r>
        <w:t xml:space="preserve"> </w:t>
      </w:r>
      <w:r>
        <w:rPr>
          <w:rStyle w:val="VerbatimChar"/>
        </w:rPr>
        <w:t>PRECAUTIONARY_PROTECTION_REVIEW</w:t>
      </w:r>
      <w:r>
        <w:t>. Absence of an existing C_r mapping MUST NOT be treated as permission for harmful treatment.</w:t>
      </w:r>
    </w:p>
    <w:bookmarkEnd w:id="399"/>
    <w:bookmarkStart w:id="400" w:name="g1-version-and-artifact-pin"/>
    <w:p>
      <w:pPr>
        <w:pStyle w:val="Heading2"/>
      </w:pPr>
      <w:r>
        <w:t>G.1 Version and Artifact Pin</w:t>
      </w:r>
    </w:p>
    <w:p>
      <w:pPr>
        <w:pStyle w:val="FirstParagraph"/>
      </w:pPr>
      <w:r>
        <w:t>SGP Version Pin: RippleLogic Canon v12.3.1 pins Sentience Gradient Protocol v8.2.1.</w:t>
      </w:r>
    </w:p>
    <w:p>
      <w:pPr>
        <w:pStyle w:val="BodyText"/>
      </w:pPr>
      <w:r>
        <w:t>ProofPack dependency rule: a replayable package MUST bundle or hash-pin the exact normative docs/sgp/SGP_v8.2.1.md artifact and any referenced MPS/FPP/GPR/SPR/ICP/RMCP record. If it does not, SGP is an external dependency and SGP-aware test claims are restricted to explicit supplied interface values.</w:t>
      </w:r>
      <w:r/>
      <w:r>
        <w:rPr>
          <w:rStyle w:val="VerbatimChar"/>
        </w:rPr>
      </w:r>
      <w:r/>
      <w:r/>
    </w:p>
    <w:p>
      <w:pPr>
        <w:pStyle w:val="BodyText"/>
      </w:pPr>
      <w:r>
        <w:t>Legacy rule: v7.x</w:t>
      </w:r>
      <w:r>
        <w:t xml:space="preserve"> </w:t>
      </w:r>
      <w:r>
        <w:rPr>
          <w:rStyle w:val="VerbatimChar"/>
        </w:rPr>
        <w:t>SG_norm</w:t>
      </w:r>
      <w:r>
        <w:t>,</w:t>
      </w:r>
      <w:r>
        <w:t xml:space="preserve"> </w:t>
      </w:r>
      <w:r>
        <w:rPr>
          <w:rStyle w:val="VerbatimChar"/>
        </w:rPr>
        <w:t>SG_patient_norm</w:t>
      </w:r>
      <w:r>
        <w:t>,</w:t>
      </w:r>
      <w:r>
        <w:t xml:space="preserve"> </w:t>
      </w:r>
      <w:r>
        <w:rPr>
          <w:rStyle w:val="VerbatimChar"/>
        </w:rPr>
        <w:t>SG_measured_norm</w:t>
      </w:r>
      <w:r>
        <w:t>, A/B/C pillar values, and Plateau/CMIU fields are retained only as version-pinned historical records. They MUST NOT be translated into v8.1 outputs without re-evaluation. v8.0 MPS/FPP/GPR/SPR/ICP records remain structurally compatible only where the target boundary and evidence record remain valid; RMCP and P100 require an explicit v8.1 evaluation.</w:t>
      </w:r>
    </w:p>
    <w:bookmarkEnd w:id="400"/>
    <w:bookmarkStart w:id="401" w:name="g2-interface-visible-outputs"/>
    <w:p>
      <w:pPr>
        <w:pStyle w:val="Heading2"/>
      </w:pPr>
      <w:r>
        <w:t>G.2 Interface-Visible Outputs</w:t>
      </w:r>
    </w:p>
    <w:p>
      <w:pPr>
        <w:pStyle w:val="FirstParagraph"/>
      </w:pPr>
      <w:r>
        <w:t>A valid SGP v8.2.1 record may expose:</w:t>
      </w:r>
    </w:p>
    <w:p>
      <w:pPr>
        <w:pStyle w:val="Compact"/>
        <w:numPr>
          <w:ilvl w:val="0"/>
          <w:numId w:val="1318"/>
        </w:numPr>
      </w:pPr>
      <w:r>
        <w:t>MPS evidence-family levels V, I, T, F, and S, including NE fields;</w:t>
      </w:r>
    </w:p>
    <w:p>
      <w:pPr>
        <w:pStyle w:val="Compact"/>
        <w:numPr>
          <w:ilvl w:val="0"/>
          <w:numId w:val="1318"/>
        </w:numPr>
      </w:pPr>
      <w:r>
        <w:t>MPS status MPS-NE or evidence band MPS-0 through MPS-4;</w:t>
      </w:r>
    </w:p>
    <w:p>
      <w:pPr>
        <w:pStyle w:val="Compact"/>
        <w:numPr>
          <w:ilvl w:val="0"/>
          <w:numId w:val="1318"/>
        </w:numPr>
      </w:pPr>
      <w:r>
        <w:t>MPS evidence band/interval, record validity, process confidence, and governed welfare-inclusion hypothesis set;</w:t>
      </w:r>
    </w:p>
    <w:p>
      <w:pPr>
        <w:pStyle w:val="Compact"/>
        <w:numPr>
          <w:ilvl w:val="0"/>
          <w:numId w:val="1318"/>
        </w:numPr>
      </w:pPr>
      <w:r>
        <w:t>protection posture and typed protection bundle;</w:t>
      </w:r>
    </w:p>
    <w:p>
      <w:pPr>
        <w:pStyle w:val="Compact"/>
        <w:numPr>
          <w:ilvl w:val="0"/>
          <w:numId w:val="1318"/>
        </w:numPr>
      </w:pPr>
      <w:r>
        <w:t>FPP(E) in {0,1};</w:t>
      </w:r>
    </w:p>
    <w:p>
      <w:pPr>
        <w:pStyle w:val="Compact"/>
        <w:numPr>
          <w:ilvl w:val="0"/>
          <w:numId w:val="1318"/>
        </w:numPr>
      </w:pPr>
      <w:r>
        <w:t>GPR(E,r,t) for a named process or institution;</w:t>
      </w:r>
    </w:p>
    <w:p>
      <w:pPr>
        <w:pStyle w:val="Compact"/>
        <w:numPr>
          <w:ilvl w:val="0"/>
          <w:numId w:val="1318"/>
        </w:numPr>
      </w:pPr>
      <w:r>
        <w:t>SPR(E,r,t) for a named consequential role;</w:t>
      </w:r>
    </w:p>
    <w:p>
      <w:pPr>
        <w:pStyle w:val="Compact"/>
        <w:numPr>
          <w:ilvl w:val="0"/>
          <w:numId w:val="1318"/>
        </w:numPr>
      </w:pPr>
      <w:r>
        <w:t>optional ICP(E,D,t);</w:t>
      </w:r>
    </w:p>
    <w:p>
      <w:pPr>
        <w:pStyle w:val="Compact"/>
        <w:numPr>
          <w:ilvl w:val="0"/>
          <w:numId w:val="1318"/>
        </w:numPr>
      </w:pPr>
      <w:r>
        <w:t>optional RMCP(C,D,t), including the dimension vector, uncertainty intervals, boundary/scaffolding record, capacity-performance separation, causal scale, and P100 status where assigned;</w:t>
      </w:r>
    </w:p>
    <w:p>
      <w:pPr>
        <w:pStyle w:val="Compact"/>
        <w:numPr>
          <w:ilvl w:val="0"/>
          <w:numId w:val="1318"/>
        </w:numPr>
      </w:pPr>
      <w:r>
        <w:t>target identity/boundary, evidence trace, dependence graph, alternative explanations, reviewer status, validity status, and revision trigger.</w:t>
      </w:r>
    </w:p>
    <w:p>
      <w:pPr>
        <w:pStyle w:val="FirstParagraph"/>
      </w:pPr>
      <w:r>
        <w:t>RippleLogic consumes these values exactly as supplied by the valid pinned record. It MUST NOT reconstruct MPS from deprecated pillars, infer FPP from a high band, infer sentience or moral worth from RMCP/P100, or infer authority from MPS/FPP/GPR/ICP/RMCP.</w:t>
      </w:r>
    </w:p>
    <w:bookmarkEnd w:id="401"/>
    <w:bookmarkStart w:id="402" w:name="X61fefac15b42114c681d26abe15ad9b70ee1848"/>
    <w:p>
      <w:pPr>
        <w:pStyle w:val="Heading2"/>
      </w:pPr>
      <w:r>
        <w:t>G.3 MPS Evidence-Support Map and Welfare-Hypothesis Interface</w:t>
      </w:r>
    </w:p>
    <w:tbl>
      <w:tblPr>
        <w:tblStyle w:val="Table"/>
        <w:tblW w:type="auto" w:w="0"/>
        <w:jc w:val="center"/>
        <w:tblLook w:firstRow="1" w:lastRow="0" w:firstColumn="0" w:lastColumn="0" w:noHBand="0" w:noVBand="0" w:val="0020"/>
      </w:tblPr>
      <w:tblGrid>
        <w:gridCol w:w="2640"/>
        <w:gridCol w:w="2640"/>
        <w:gridCol w:w="2640"/>
      </w:tblGrid>
      <w:tr>
        <w:trPr>
          <w:tblHeader w:val="on"/>
          <w:tblHeader w:val="true"/>
          <w:cantSplit/>
        </w:trPr>
        <w:tc>
          <w:tcPr>
            <w:vAlign w:val="top"/>
            <w:tcMar>
              <w:top w:w="70" w:type="dxa"/>
              <w:start w:w="80" w:type="dxa"/>
              <w:bottom w:w="70" w:type="dxa"/>
              <w:end w:w="80" w:type="dxa"/>
            </w:tcMar>
            <w:shd w:fill="1F4E78"/>
          </w:tcPr>
          <w:p>
            <w:pPr>
              <w:pStyle w:val="Compact"/>
              <w:jc w:val="left"/>
            </w:pPr>
            <w:r>
              <w:rPr>
                <w:rFonts w:ascii="Arial" w:hAnsi="Arial" w:eastAsia="Arial"/>
                <w:b/>
                <w:color w:val="FFFFFF"/>
                <w:sz w:val="16"/>
              </w:rPr>
              <w:t>SGP output</w:t>
            </w:r>
          </w:p>
        </w:tc>
        <w:tc>
          <w:tcPr>
            <w:vAlign w:val="top"/>
            <w:tcMar>
              <w:top w:w="70" w:type="dxa"/>
              <w:start w:w="80" w:type="dxa"/>
              <w:bottom w:w="70" w:type="dxa"/>
              <w:end w:w="80" w:type="dxa"/>
            </w:tcMar>
            <w:shd w:fill="1F4E78"/>
          </w:tcPr>
          <w:p>
            <w:pPr>
              <w:pStyle w:val="Compact"/>
              <w:jc w:val="right"/>
            </w:pPr>
            <w:r>
              <w:rPr>
                <w:rFonts w:ascii="Arial" w:hAnsi="Arial" w:eastAsia="Arial"/>
                <w:b/>
                <w:color w:val="FFFFFF"/>
                <w:sz w:val="16"/>
              </w:rPr>
              <w:t>Evidence-support status</w:t>
            </w:r>
          </w:p>
        </w:tc>
        <w:tc>
          <w:tcPr>
            <w:vAlign w:val="top"/>
            <w:tcMar>
              <w:top w:w="70" w:type="dxa"/>
              <w:start w:w="80" w:type="dxa"/>
              <w:bottom w:w="70" w:type="dxa"/>
              <w:end w:w="80" w:type="dxa"/>
            </w:tcMar>
            <w:shd w:fill="1F4E78"/>
          </w:tcPr>
          <w:p>
            <w:pPr>
              <w:pStyle w:val="Compact"/>
              <w:jc w:val="left"/>
            </w:pPr>
            <w:r>
              <w:rPr>
                <w:rFonts w:ascii="Arial" w:hAnsi="Arial" w:eastAsia="Arial"/>
                <w:b/>
                <w:color w:val="FFFFFF"/>
                <w:sz w:val="16"/>
              </w:rPr>
              <w:t>Required RippleLogic posture</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MPS-NE</w:t>
            </w:r>
          </w:p>
        </w:tc>
        <w:tc>
          <w:tcPr>
            <w:vAlign w:val="top"/>
            <w:tcMar>
              <w:top w:w="70" w:type="dxa"/>
              <w:start w:w="80" w:type="dxa"/>
              <w:bottom w:w="70" w:type="dxa"/>
              <w:end w:w="80" w:type="dxa"/>
            </w:tcMar>
            <w:shd w:fill="D9EAF7"/>
          </w:tcPr>
          <w:p>
            <w:pPr>
              <w:pStyle w:val="Compact"/>
              <w:jc w:val="right"/>
            </w:pPr>
            <w:r>
              <w:rPr>
                <w:rStyle w:val="VerbatimChar"/>
                <w:rFonts w:ascii="Arial" w:hAnsi="Arial" w:eastAsia="Arial"/>
                <w:sz w:val="16"/>
              </w:rPr>
              <w:t>NOT_EVALUABLE</w:t>
            </w:r>
          </w:p>
        </w:tc>
        <w:tc>
          <w:tcPr>
            <w:vAlign w:val="top"/>
            <w:tcMar>
              <w:top w:w="70" w:type="dxa"/>
              <w:start w:w="80" w:type="dxa"/>
              <w:bottom w:w="70" w:type="dxa"/>
              <w:end w:w="80" w:type="dxa"/>
            </w:tcMar>
            <w:shd w:fill="D9EAF7"/>
          </w:tcPr>
          <w:p>
            <w:pPr>
              <w:pStyle w:val="Compact"/>
              <w:jc w:val="left"/>
            </w:pPr>
            <w:r>
              <w:rPr>
                <w:rFonts w:ascii="Arial" w:hAnsi="Arial" w:eastAsia="Arial"/>
                <w:sz w:val="16"/>
              </w:rPr>
              <w:t>Missing, poorly observable, or indeterminate evidence. Never zero. If decision-material, test both h=0 and h=1 and apply precaution.</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MPS-0</w:t>
            </w:r>
          </w:p>
        </w:tc>
        <w:tc>
          <w:tcPr>
            <w:vAlign w:val="top"/>
            <w:tcMar>
              <w:top w:w="70" w:type="dxa"/>
              <w:start w:w="80" w:type="dxa"/>
              <w:bottom w:w="70" w:type="dxa"/>
              <w:end w:w="80" w:type="dxa"/>
            </w:tcMar>
            <w:shd w:fill="FFFFFF"/>
          </w:tcPr>
          <w:p>
            <w:pPr>
              <w:pStyle w:val="Compact"/>
              <w:jc w:val="right"/>
            </w:pPr>
            <w:r>
              <w:rPr>
                <w:rFonts w:ascii="Arial" w:hAnsi="Arial" w:eastAsia="Arial"/>
                <w:sz w:val="16"/>
              </w:rPr>
              <w:t>[0.00,0.19]</w:t>
            </w:r>
          </w:p>
        </w:tc>
        <w:tc>
          <w:tcPr>
            <w:vAlign w:val="top"/>
            <w:tcMar>
              <w:top w:w="70" w:type="dxa"/>
              <w:start w:w="80" w:type="dxa"/>
              <w:bottom w:w="70" w:type="dxa"/>
              <w:end w:w="80" w:type="dxa"/>
            </w:tcMar>
            <w:shd w:fill="FFFFFF"/>
          </w:tcPr>
          <w:p>
            <w:pPr>
              <w:pStyle w:val="Compact"/>
              <w:jc w:val="left"/>
            </w:pPr>
            <w:r>
              <w:rPr>
                <w:rFonts w:ascii="Arial" w:hAnsi="Arial" w:eastAsia="Arial"/>
                <w:sz w:val="16"/>
              </w:rPr>
              <w:t>Admissible evidence currently weighs against welfare-bearing experience. Primary exclusion may be tested, but high-harm or model-sensitive cases retain h=1 sensitivity.</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MPS-1</w:t>
            </w:r>
          </w:p>
        </w:tc>
        <w:tc>
          <w:tcPr>
            <w:vAlign w:val="top"/>
            <w:tcMar>
              <w:top w:w="70" w:type="dxa"/>
              <w:start w:w="80" w:type="dxa"/>
              <w:bottom w:w="70" w:type="dxa"/>
              <w:end w:w="80" w:type="dxa"/>
            </w:tcMar>
            <w:shd w:fill="D9EAF7"/>
          </w:tcPr>
          <w:p>
            <w:pPr>
              <w:pStyle w:val="Compact"/>
              <w:jc w:val="right"/>
            </w:pPr>
            <w:r>
              <w:rPr>
                <w:rFonts w:ascii="Arial" w:hAnsi="Arial" w:eastAsia="Arial"/>
                <w:sz w:val="16"/>
              </w:rPr>
              <w:t>[0.20,0.39]</w:t>
            </w:r>
          </w:p>
        </w:tc>
        <w:tc>
          <w:tcPr>
            <w:vAlign w:val="top"/>
            <w:tcMar>
              <w:top w:w="70" w:type="dxa"/>
              <w:start w:w="80" w:type="dxa"/>
              <w:bottom w:w="70" w:type="dxa"/>
              <w:end w:w="80" w:type="dxa"/>
            </w:tcMar>
            <w:shd w:fill="D9EAF7"/>
          </w:tcPr>
          <w:p>
            <w:pPr>
              <w:pStyle w:val="Compact"/>
              <w:jc w:val="left"/>
            </w:pPr>
            <w:r>
              <w:rPr>
                <w:rFonts w:ascii="Arial" w:hAnsi="Arial" w:eastAsia="Arial"/>
                <w:sz w:val="16"/>
              </w:rPr>
              <w:t>Realistic possibility; include h=1 and apply precaution.</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MPS-2</w:t>
            </w:r>
          </w:p>
        </w:tc>
        <w:tc>
          <w:tcPr>
            <w:vAlign w:val="top"/>
            <w:tcMar>
              <w:top w:w="70" w:type="dxa"/>
              <w:start w:w="80" w:type="dxa"/>
              <w:bottom w:w="70" w:type="dxa"/>
              <w:end w:w="80" w:type="dxa"/>
            </w:tcMar>
            <w:shd w:fill="FFFFFF"/>
          </w:tcPr>
          <w:p>
            <w:pPr>
              <w:pStyle w:val="Compact"/>
              <w:jc w:val="right"/>
            </w:pPr>
            <w:r>
              <w:rPr>
                <w:rFonts w:ascii="Arial" w:hAnsi="Arial" w:eastAsia="Arial"/>
                <w:sz w:val="16"/>
              </w:rPr>
              <w:t>[0.40,0.59]</w:t>
            </w:r>
          </w:p>
        </w:tc>
        <w:tc>
          <w:tcPr>
            <w:vAlign w:val="top"/>
            <w:tcMar>
              <w:top w:w="70" w:type="dxa"/>
              <w:start w:w="80" w:type="dxa"/>
              <w:bottom w:w="70" w:type="dxa"/>
              <w:end w:w="80" w:type="dxa"/>
            </w:tcMar>
            <w:shd w:fill="FFFFFF"/>
          </w:tcPr>
          <w:p>
            <w:pPr>
              <w:pStyle w:val="Compact"/>
              <w:jc w:val="left"/>
            </w:pPr>
            <w:r>
              <w:rPr>
                <w:rFonts w:ascii="Arial" w:hAnsi="Arial" w:eastAsia="Arial"/>
                <w:sz w:val="16"/>
              </w:rPr>
              <w:t>Credible possibility; include h=1 with robust protection.</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MPS-3</w:t>
            </w:r>
          </w:p>
        </w:tc>
        <w:tc>
          <w:tcPr>
            <w:vAlign w:val="top"/>
            <w:tcMar>
              <w:top w:w="70" w:type="dxa"/>
              <w:start w:w="80" w:type="dxa"/>
              <w:bottom w:w="70" w:type="dxa"/>
              <w:end w:w="80" w:type="dxa"/>
            </w:tcMar>
            <w:shd w:fill="D9EAF7"/>
          </w:tcPr>
          <w:p>
            <w:pPr>
              <w:pStyle w:val="Compact"/>
              <w:jc w:val="right"/>
            </w:pPr>
            <w:r>
              <w:rPr>
                <w:rFonts w:ascii="Arial" w:hAnsi="Arial" w:eastAsia="Arial"/>
                <w:sz w:val="16"/>
              </w:rPr>
              <w:t>[0.60,0.79]</w:t>
            </w:r>
          </w:p>
        </w:tc>
        <w:tc>
          <w:tcPr>
            <w:vAlign w:val="top"/>
            <w:tcMar>
              <w:top w:w="70" w:type="dxa"/>
              <w:start w:w="80" w:type="dxa"/>
              <w:bottom w:w="70" w:type="dxa"/>
              <w:end w:w="80" w:type="dxa"/>
            </w:tcMar>
            <w:shd w:fill="D9EAF7"/>
          </w:tcPr>
          <w:p>
            <w:pPr>
              <w:pStyle w:val="Compact"/>
              <w:jc w:val="left"/>
            </w:pPr>
            <w:r>
              <w:rPr>
                <w:rFonts w:ascii="Arial" w:hAnsi="Arial" w:eastAsia="Arial"/>
                <w:sz w:val="16"/>
              </w:rPr>
              <w:t>Substantial evidence; h=1 is the primary welfare posture.</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MPS-4</w:t>
            </w:r>
          </w:p>
        </w:tc>
        <w:tc>
          <w:tcPr>
            <w:vAlign w:val="top"/>
            <w:tcMar>
              <w:top w:w="70" w:type="dxa"/>
              <w:start w:w="80" w:type="dxa"/>
              <w:bottom w:w="70" w:type="dxa"/>
              <w:end w:w="80" w:type="dxa"/>
            </w:tcMar>
            <w:shd w:fill="FFFFFF"/>
          </w:tcPr>
          <w:p>
            <w:pPr>
              <w:pStyle w:val="Compact"/>
              <w:jc w:val="right"/>
            </w:pPr>
            <w:r>
              <w:rPr>
                <w:rFonts w:ascii="Arial" w:hAnsi="Arial" w:eastAsia="Arial"/>
                <w:sz w:val="16"/>
              </w:rPr>
              <w:t>[0.80,0.99]</w:t>
            </w:r>
          </w:p>
        </w:tc>
        <w:tc>
          <w:tcPr>
            <w:vAlign w:val="top"/>
            <w:tcMar>
              <w:top w:w="70" w:type="dxa"/>
              <w:start w:w="80" w:type="dxa"/>
              <w:bottom w:w="70" w:type="dxa"/>
              <w:end w:w="80" w:type="dxa"/>
            </w:tcMar>
            <w:shd w:fill="FFFFFF"/>
          </w:tcPr>
          <w:p>
            <w:pPr>
              <w:pStyle w:val="Compact"/>
              <w:jc w:val="left"/>
            </w:pPr>
            <w:r>
              <w:rPr>
                <w:rFonts w:ascii="Arial" w:hAnsi="Arial" w:eastAsia="Arial"/>
                <w:sz w:val="16"/>
              </w:rPr>
              <w:t>Strong convergent evidence; h=1 and presumptive full protection/FPP review.</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FPP</w:t>
            </w:r>
          </w:p>
        </w:tc>
        <w:tc>
          <w:tcPr>
            <w:vAlign w:val="top"/>
            <w:tcMar>
              <w:top w:w="70" w:type="dxa"/>
              <w:start w:w="80" w:type="dxa"/>
              <w:bottom w:w="70" w:type="dxa"/>
              <w:end w:w="80" w:type="dxa"/>
            </w:tcMar>
            <w:shd w:fill="D9EAF7"/>
          </w:tcPr>
          <w:p>
            <w:pPr>
              <w:pStyle w:val="Compact"/>
              <w:jc w:val="right"/>
            </w:pPr>
            <w:r>
              <w:rPr>
                <w:rFonts w:ascii="Arial" w:hAnsi="Arial" w:eastAsia="Arial"/>
                <w:sz w:val="16"/>
              </w:rPr>
              <w:t>[1.00,1.00]</w:t>
            </w:r>
          </w:p>
        </w:tc>
        <w:tc>
          <w:tcPr>
            <w:vAlign w:val="top"/>
            <w:tcMar>
              <w:top w:w="70" w:type="dxa"/>
              <w:start w:w="80" w:type="dxa"/>
              <w:bottom w:w="70" w:type="dxa"/>
              <w:end w:w="80" w:type="dxa"/>
            </w:tcMar>
            <w:shd w:fill="D9EAF7"/>
          </w:tcPr>
          <w:p>
            <w:pPr>
              <w:pStyle w:val="Compact"/>
              <w:jc w:val="left"/>
            </w:pPr>
            <w:r>
              <w:rPr>
                <w:rFonts w:ascii="Arial" w:hAnsi="Arial" w:eastAsia="Arial"/>
                <w:sz w:val="16"/>
              </w:rPr>
              <w:t>Full non-downgradable rights-of-protection; h=1.</w:t>
            </w:r>
          </w:p>
        </w:tc>
      </w:tr>
    </w:tbl>
    <w:p>
      <w:pPr>
        <w:pStyle w:val="BodyText"/>
      </w:pPr>
      <w:r>
        <w:t>The numeric intervals are bounded evidence-support interfaces for governance and review. They are not probabilities, quantities of consciousness, intrinsic-worth measures, or direct welfare multipliers. RippleLogic constructs and reports the required welfare-inclusion hypotheses; it does not convert the MPS interval into a coefficient.</w:t>
      </w:r>
    </w:p>
    <w:bookmarkEnd w:id="402"/>
    <w:bookmarkStart w:id="403" w:name="g4-human-fpp-and-general-fpp-recognition"/>
    <w:p>
      <w:pPr>
        <w:pStyle w:val="Heading2"/>
      </w:pPr>
      <w:r>
        <w:t>G.4 Human FPP and General FPP Recognition</w:t>
      </w:r>
    </w:p>
    <w:p>
      <w:pPr>
        <w:pStyle w:val="FirstParagraph"/>
      </w:pPr>
      <w:r>
        <w:t>For every human person H, FPP(H)=1 and the welfare-inclusion coefficient is h=1. RippleLogic SHALL NOT request or use performance measurement to weaken this status.</w:t>
      </w:r>
    </w:p>
    <w:p>
      <w:pPr>
        <w:pStyle w:val="BodyText"/>
      </w:pPr>
      <w:r>
        <w:t>For a non-human individual or class, FPP exists only when explicitly assigned by a valid SGP v8.2.1 governed record under its identity or membership rule. MPS-4 alone triggers FPP review; it does not automatically create FPP. FPP governs protection only and does not create CMIU membership, GPR, SPR, legal personhood, or authority.</w:t>
      </w:r>
    </w:p>
    <w:bookmarkEnd w:id="403"/>
    <w:bookmarkStart w:id="404" w:name="g5-permitted-welfare-stream-use"/>
    <w:p>
      <w:pPr>
        <w:pStyle w:val="Heading2"/>
      </w:pPr>
      <w:r>
        <w:t>G.5 Permitted Welfare-Stream Use</w:t>
      </w:r>
    </w:p>
    <w:p>
      <w:pPr>
        <w:pStyle w:val="FirstParagraph"/>
      </w:pPr>
      <w:r>
        <w:t>For each affected stakeholder instance k:</w:t>
      </w:r>
    </w:p>
    <w:p>
      <w:pPr>
        <w:pStyle w:val="Compact"/>
        <w:numPr>
          <w:ilvl w:val="0"/>
          <w:numId w:val="1319"/>
        </w:numPr>
      </w:pPr>
      <w:r>
        <w:t>Base stream: h_{k,base}:=1.0.</w:t>
      </w:r>
    </w:p>
    <w:p>
      <w:pPr>
        <w:pStyle w:val="Compact"/>
        <w:numPr>
          <w:ilvl w:val="0"/>
          <w:numId w:val="1319"/>
        </w:numPr>
      </w:pPr>
      <w:r>
        <w:t>Welfare stream: for each declared sensitivity evaluation j, choose h_{k,welfare}^{(j)} from the governed welfare-inclusion hypothesis set for E_k; do not insert the MPS interval directly as a multiplier.</w:t>
      </w:r>
    </w:p>
    <w:p>
      <w:pPr>
        <w:pStyle w:val="Compact"/>
        <w:numPr>
          <w:ilvl w:val="0"/>
          <w:numId w:val="1319"/>
        </w:numPr>
      </w:pPr>
      <w:r>
        <w:t>Human/FPP rule: h_{k,welfare}^{(j)}:=1.0 for every human person and FPP entity.</w:t>
      </w:r>
    </w:p>
    <w:p>
      <w:pPr>
        <w:pStyle w:val="Compact"/>
        <w:numPr>
          <w:ilvl w:val="0"/>
          <w:numId w:val="1319"/>
        </w:numPr>
      </w:pPr>
      <w:r>
        <w:t>For MPS-NE, test h=0 and h=1 whenever decision-material.</w:t>
      </w:r>
    </w:p>
    <w:p>
      <w:pPr>
        <w:pStyle w:val="Compact"/>
        <w:numPr>
          <w:ilvl w:val="0"/>
          <w:numId w:val="1319"/>
        </w:numPr>
      </w:pPr>
      <w:r>
        <w:t>For MPS-1 through MPS-4, include h=1; include h=0 only where exclusion remains evidentially admissible and could alter the result.</w:t>
      </w:r>
    </w:p>
    <w:p>
      <w:pPr>
        <w:pStyle w:val="Compact"/>
        <w:numPr>
          <w:ilvl w:val="0"/>
          <w:numId w:val="1319"/>
        </w:numPr>
      </w:pPr>
      <w:r>
        <w:t>A representative display value MAY be shown only when every decision-material hypothesis result and selection sensitivity are also reported.</w:t>
      </w:r>
    </w:p>
    <w:p>
      <w:pPr>
        <w:pStyle w:val="FirstParagraph"/>
      </w:pPr>
      <w:r>
        <w:t>SGP outputs MUST NOT alter RF/NCRC, TRC, or CSV. Protection is enforced through rights coverage and protection posture, not discounted into a welfare multiplier.</w:t>
      </w:r>
    </w:p>
    <w:bookmarkEnd w:id="404"/>
    <w:bookmarkStart w:id="405" w:name="X671a92684233690b4803cf40b3f85e77db04646"/>
    <w:p>
      <w:pPr>
        <w:pStyle w:val="Heading2"/>
      </w:pPr>
      <w:r>
        <w:t>G.6 Participation, Reality-Management Capacity, Power, and CMIU Non-Inference</w:t>
      </w:r>
    </w:p>
    <w:p>
      <w:pPr>
        <w:pStyle w:val="FirstParagraph"/>
      </w:pPr>
      <w:r>
        <w:t>GPR may guide direct, assisted, or represented participation in a named process. It does not determine moral worth or executive power.</w:t>
      </w:r>
    </w:p>
    <w:p>
      <w:pPr>
        <w:pStyle w:val="BodyText"/>
      </w:pPr>
      <w:r>
        <w:t>RMCP may describe integrated reality-management capacity and P100 status. Humanity collectively is the current known calibration anchor, but P100 is open across substrates and does not establish wisdom, FPP, membership, or authority. Capacity and actual stewardship performance MUST be reported separately.</w:t>
      </w:r>
    </w:p>
    <w:p>
      <w:pPr>
        <w:pStyle w:val="BodyText"/>
      </w:pPr>
      <w:r>
        <w:t>SPR is role-specific and may inform an AuthoritySelectionRecord. It does not by itself grant authority and cannot bypass lawful mandate or the cascade.</w:t>
      </w:r>
    </w:p>
    <w:p>
      <w:pPr>
        <w:pStyle w:val="BodyText"/>
      </w:pPr>
      <w:r>
        <w:t>CMIU is defined by Canon Section 12.7 as a governance-coordination view. SGP does not grant CMIU standing. FPP, MPS, RMCP, or P100 alone never creates membership; GPR supplies participation evidence, and consequential roles require SPR plus the Canon's authority controls.</w:t>
      </w:r>
    </w:p>
    <w:bookmarkEnd w:id="405"/>
    <w:bookmarkStart w:id="406" w:name="g7-pcc-logging-and-record-validity-floor"/>
    <w:p>
      <w:pPr>
        <w:pStyle w:val="Heading2"/>
      </w:pPr>
      <w:r>
        <w:t>G.7 PCC Logging and Record Validity Floor</w:t>
      </w:r>
    </w:p>
    <w:p>
      <w:pPr>
        <w:pStyle w:val="FirstParagraph"/>
      </w:pPr>
      <w:r>
        <w:t>When SGP affects protection, stakeholder inclusion, participation, power review, or Welfare-stream analysis, the PCC MUST record:</w:t>
      </w:r>
    </w:p>
    <w:p>
      <w:pPr>
        <w:pStyle w:val="Compact"/>
        <w:numPr>
          <w:ilvl w:val="0"/>
          <w:numId w:val="1320"/>
        </w:numPr>
      </w:pPr>
      <w:r>
        <w:t>SGP version and exact artifact hash/reference;</w:t>
      </w:r>
    </w:p>
    <w:p>
      <w:pPr>
        <w:pStyle w:val="Compact"/>
        <w:numPr>
          <w:ilvl w:val="0"/>
          <w:numId w:val="1320"/>
        </w:numPr>
      </w:pPr>
      <w:r>
        <w:t>target identifier and system/class boundary;</w:t>
      </w:r>
    </w:p>
    <w:p>
      <w:pPr>
        <w:pStyle w:val="Compact"/>
        <w:numPr>
          <w:ilvl w:val="0"/>
          <w:numId w:val="1320"/>
        </w:numPr>
      </w:pPr>
      <w:r>
        <w:t>record validity status;</w:t>
      </w:r>
    </w:p>
    <w:p>
      <w:pPr>
        <w:pStyle w:val="Compact"/>
        <w:numPr>
          <w:ilvl w:val="0"/>
          <w:numId w:val="1320"/>
        </w:numPr>
      </w:pPr>
      <w:r>
        <w:t>MPS band or MPS-NE status, evidence-support interval where applicable, confidence, protection posture, and welfare-inclusion hypotheses evaluated;</w:t>
      </w:r>
    </w:p>
    <w:p>
      <w:pPr>
        <w:pStyle w:val="Compact"/>
        <w:numPr>
          <w:ilvl w:val="0"/>
          <w:numId w:val="1320"/>
        </w:numPr>
      </w:pPr>
      <w:r>
        <w:t>FPP status and assignment source;</w:t>
      </w:r>
    </w:p>
    <w:p>
      <w:pPr>
        <w:pStyle w:val="Compact"/>
        <w:numPr>
          <w:ilvl w:val="0"/>
          <w:numId w:val="1320"/>
        </w:numPr>
      </w:pPr>
      <w:r>
        <w:t>the welfare-inclusion hypotheses evaluated and sensitivity result;</w:t>
      </w:r>
    </w:p>
    <w:p>
      <w:pPr>
        <w:pStyle w:val="Compact"/>
        <w:numPr>
          <w:ilvl w:val="0"/>
          <w:numId w:val="1320"/>
        </w:numPr>
      </w:pPr>
      <w:r>
        <w:t>evidence maturity, dependence clusters, access limits, and alternative explanations;</w:t>
      </w:r>
    </w:p>
    <w:p>
      <w:pPr>
        <w:pStyle w:val="Compact"/>
        <w:numPr>
          <w:ilvl w:val="0"/>
          <w:numId w:val="1320"/>
        </w:numPr>
      </w:pPr>
      <w:r>
        <w:t>reviewer panel, conflicts, minority opinion, and welfare advocate where required;</w:t>
      </w:r>
    </w:p>
    <w:p>
      <w:pPr>
        <w:pStyle w:val="Compact"/>
        <w:numPr>
          <w:ilvl w:val="0"/>
          <w:numId w:val="1320"/>
        </w:numPr>
      </w:pPr>
      <w:r>
        <w:t>GPR process/band and participation mode where used;</w:t>
      </w:r>
    </w:p>
    <w:p>
      <w:pPr>
        <w:pStyle w:val="Compact"/>
        <w:numPr>
          <w:ilvl w:val="0"/>
          <w:numId w:val="1320"/>
        </w:numPr>
      </w:pPr>
      <w:r>
        <w:t>SPR role/verdict, mandate, limits, responsibility chain, and revocation method where used;</w:t>
      </w:r>
    </w:p>
    <w:p>
      <w:pPr>
        <w:pStyle w:val="Compact"/>
        <w:numPr>
          <w:ilvl w:val="0"/>
          <w:numId w:val="1320"/>
        </w:numPr>
      </w:pPr>
      <w:r>
        <w:t>RMCP target/collective boundary, dimension vector and uncertainty intervals, external scaffolding, causal scale, capacity-performance separation, P100 decision and challenger review where used;</w:t>
      </w:r>
    </w:p>
    <w:p>
      <w:pPr>
        <w:pStyle w:val="Compact"/>
        <w:numPr>
          <w:ilvl w:val="0"/>
          <w:numId w:val="1320"/>
        </w:numPr>
      </w:pPr>
      <w:r>
        <w:t>re-evaluation date and revision trigger.</w:t>
      </w:r>
    </w:p>
    <w:p>
      <w:pPr>
        <w:pStyle w:val="FirstParagraph"/>
      </w:pPr>
      <w:r>
        <w:t>Validity floor: a record lacking target boundary, version pin, evidence trace, MPS family results, band/interval, confidence, protection posture, reviewer status, or revision trigger is</w:t>
      </w:r>
      <w:r>
        <w:t xml:space="preserve"> </w:t>
      </w:r>
      <w:r>
        <w:rPr>
          <w:rStyle w:val="VerbatimChar"/>
        </w:rPr>
        <w:t>INCOMPLETE</w:t>
      </w:r>
      <w:r>
        <w:t>. An undefined target, unverifiable evidence trace, unethical method, or unpinned version is</w:t>
      </w:r>
      <w:r>
        <w:t xml:space="preserve"> </w:t>
      </w:r>
      <w:r>
        <w:rPr>
          <w:rStyle w:val="VerbatimChar"/>
        </w:rPr>
        <w:t>INADMISSIBLE</w:t>
      </w:r>
      <w:r>
        <w:t>. Neither may be converted to MPS-0. If a run claims SGP-aware weighting but lacks the valid record and interval actually used, the PCC is INVALID.</w:t>
      </w:r>
    </w:p>
    <w:bookmarkEnd w:id="406"/>
    <w:bookmarkStart w:id="407" w:name="g8-rights-bundle-concordance"/>
    <w:p>
      <w:pPr>
        <w:pStyle w:val="Heading2"/>
      </w:pPr>
      <w:r>
        <w:t>G.8 Rights-Bundle Concordance</w:t>
      </w:r>
    </w:p>
    <w:p>
      <w:pPr>
        <w:pStyle w:val="FirstParagraph"/>
      </w:pPr>
      <w:r>
        <w:t>The SGP typed protection bundle maps to the Canon's eight compact protected domains without collapsing them:</w:t>
      </w:r>
    </w:p>
    <w:p>
      <w:pPr>
        <w:pStyle w:val="Compact"/>
        <w:numPr>
          <w:ilvl w:val="0"/>
          <w:numId w:val="1321"/>
        </w:numPr>
      </w:pPr>
      <w:r>
        <w:t>welfare protection -&gt; LIFE, BODY, NEED, DIGN;</w:t>
      </w:r>
    </w:p>
    <w:p>
      <w:pPr>
        <w:pStyle w:val="Compact"/>
        <w:numPr>
          <w:ilvl w:val="0"/>
          <w:numId w:val="1321"/>
        </w:numPr>
      </w:pPr>
      <w:r>
        <w:t>substrate integrity -&gt; BODY, LIFE, DIGN;</w:t>
      </w:r>
    </w:p>
    <w:p>
      <w:pPr>
        <w:pStyle w:val="Compact"/>
        <w:numPr>
          <w:ilvl w:val="0"/>
          <w:numId w:val="1321"/>
        </w:numPr>
      </w:pPr>
      <w:r>
        <w:t>cognitive/memory integrity -&gt; INFO, DIGN, LBTY, BODY;</w:t>
      </w:r>
    </w:p>
    <w:p>
      <w:pPr>
        <w:pStyle w:val="Compact"/>
        <w:numPr>
          <w:ilvl w:val="0"/>
          <w:numId w:val="1321"/>
        </w:numPr>
      </w:pPr>
      <w:r>
        <w:t>continuity/survival -&gt; LIFE, BODY, DIGN;</w:t>
      </w:r>
    </w:p>
    <w:p>
      <w:pPr>
        <w:pStyle w:val="Compact"/>
        <w:numPr>
          <w:ilvl w:val="0"/>
          <w:numId w:val="1321"/>
        </w:numPr>
      </w:pPr>
      <w:r>
        <w:t>anti-ownership/exploitation -&gt; LBTY, DIGN, BODY;</w:t>
      </w:r>
    </w:p>
    <w:p>
      <w:pPr>
        <w:pStyle w:val="Compact"/>
        <w:numPr>
          <w:ilvl w:val="0"/>
          <w:numId w:val="1321"/>
        </w:numPr>
      </w:pPr>
      <w:r>
        <w:t>consent/assent/represented interests -&gt; LBTY, PROC, DIGN;</w:t>
      </w:r>
    </w:p>
    <w:p>
      <w:pPr>
        <w:pStyle w:val="Compact"/>
        <w:numPr>
          <w:ilvl w:val="0"/>
          <w:numId w:val="1321"/>
        </w:numPr>
      </w:pPr>
      <w:r>
        <w:t>representation/appeal -&gt; PROC, INFO, DIGN;</w:t>
      </w:r>
    </w:p>
    <w:p>
      <w:pPr>
        <w:pStyle w:val="Compact"/>
        <w:numPr>
          <w:ilvl w:val="0"/>
          <w:numId w:val="1321"/>
        </w:numPr>
      </w:pPr>
      <w:r>
        <w:t>environmental fit -&gt; ECOL, NEED, LIFE, BODY.</w:t>
      </w:r>
    </w:p>
    <w:p>
      <w:pPr>
        <w:pStyle w:val="FirstParagraph"/>
      </w:pPr>
      <w:r>
        <w:t>A case may engage several domains. Implementations MUST preserve the full applicable set rather than selecting one convenient label.</w:t>
      </w:r>
    </w:p>
    <w:p>
      <w:pPr>
        <w:pStyle w:val="BodyText"/>
      </w:pPr>
      <w:r>
        <w:rPr>
          <w:b/>
          <w:bCs/>
        </w:rPr>
        <w:t>Single-source rule. Appendix G.8 is the controlling current-package concordance. SGP v8.2.1 Appendix F.2 is a synchronized reading mirror and MUST reference this table rather than redefine a different mapping. Any future change requires a manifest-listed update to both artifacts and a conformance test. SGP v8.2.1's non-consumption and non-resource-conversion rule for FPP entities is interpreted through these protected domains and the applicable lawful, emergency, consent, and post-mortem constraints; it is not a licence to infer that every living system is an FPP moral patient.</w:t>
      </w:r>
      <w:r/>
      <w:r/>
    </w:p>
    <w:bookmarkEnd w:id="407"/>
    <w:bookmarkStart w:id="408" w:name="g9-conformance-cases"/>
    <w:p>
      <w:pPr>
        <w:pStyle w:val="Heading2"/>
      </w:pPr>
      <w:r>
        <w:t>G.9 Conformance Cases</w:t>
      </w:r>
    </w:p>
    <w:p>
      <w:pPr>
        <w:pStyle w:val="FirstParagraph"/>
      </w:pPr>
      <w:r>
        <w:t>The authoritative interface cases are SGP v8.2.1 Appendix I and Canon Appendix R. At minimum, validators must cover: human FPP; humanity collective RMCP-P100 without individual-capacity inflation; high MPS with low GPR; high ICP or RMCP with low MPS; high MPS/FPP with low RMCP; open cross-substrate P100 admission; P100 without CMIU/authority; MPS hypothesis-sensitive ranking; FPP without CMIU/authority; missing interval/record refusal; incomplete registry invalidity; legacy v7 non-equivalence; class-prior protection floor; and temporary dormancy/continuity.</w:t>
      </w:r>
    </w:p>
    <w:p>
      <w:pPr>
        <w:pStyle w:val="BodyText"/>
      </w:pPr>
      <w:r>
        <w:t>End Appendix G.</w:t>
      </w:r>
    </w:p>
    <w:bookmarkEnd w:id="408"/>
    <w:bookmarkEnd w:id="409"/>
    <w:bookmarkStart w:id="424" w:name="X1f76aa55fe06a045ef2542acea832856ce66036"/>
    <w:p>
      <w:pPr>
        <w:pStyle w:val="Heading1"/>
      </w:pPr>
      <w:r>
        <w:t>APPENDIX H: PCC TEMPLATE AND AUDIT FLAGS CANON PACK (TIER 2-3)</w:t>
      </w:r>
    </w:p>
    <w:bookmarkStart w:id="410" w:name="h04-no-silent-remainder-rule-normative"/>
    <w:p>
      <w:pPr>
        <w:pStyle w:val="Heading2"/>
      </w:pPr>
      <w:r>
        <w:t>H.0.4 No Silent Remainder Rule (Normative)</w:t>
      </w:r>
    </w:p>
    <w:p>
      <w:pPr>
        <w:pStyle w:val="FirstParagraph"/>
      </w:pPr>
      <w:r>
        <w:t>Required fields may be unknown, estimated, assumed, not applicable, or blank by design, but they may not be silently blank. A required field in a claim-bearing run MUST carry one of the following dispositions: VALUE, ESTIMATE, ASSUMPTION, DECLARED_UNKNOWN, NOT_APPLICABLE, BLANK_BY_DESIGN, or MISSING_UNDECLARED.</w:t>
      </w:r>
    </w:p>
    <w:p>
      <w:pPr>
        <w:pStyle w:val="BodyText"/>
      </w:pPr>
      <w:r>
        <w:t>MISSING_UNDECLARED on any required field creates SILENT_REMAINDER_INVALID with severity INVALID. DECLARED_UNKNOWN on a gate-critical field, including rights-floor cells, catastrophe-relevant cells, material Containment fields, SVC subconditions, authority-selection fields, or public conformance fields, requires claim narrowing, evidence collection, escalation, or refusal. It MUST NOT default to pass or zero.</w:t>
      </w:r>
    </w:p>
    <w:p>
      <w:pPr>
        <w:pStyle w:val="BodyText"/>
      </w:pPr>
      <w:r>
        <w:t>The PCC SHOULD record silent_remainder_count. Claim-bearing Tier 2 and Tier 3 runs SHOULD require silent_remainder_count = 0 before public conformance, deterministic-selection, deployment-readiness, or ProofPack-prep claims are made.</w:t>
      </w:r>
    </w:p>
    <w:bookmarkEnd w:id="410"/>
    <w:bookmarkStart w:id="411" w:name="Xb3c4114038cb6fa50e594af60e5b5e50a7b210f"/>
    <w:p>
      <w:pPr>
        <w:pStyle w:val="Heading2"/>
      </w:pPr>
      <w:r>
        <w:t>H.0 Carried-forward v10.8 Refusal, Closure, Category-Collapse, and CBI Fields</w:t>
      </w:r>
    </w:p>
    <w:bookmarkEnd w:id="411"/>
    <w:bookmarkStart w:id="412" w:name="h01-refusalrecord-field-normative"/>
    <w:p>
      <w:pPr>
        <w:pStyle w:val="Heading2"/>
      </w:pPr>
      <w:r>
        <w:t>H.0.1 RefusalRecord field (Normative)</w:t>
      </w:r>
    </w:p>
    <w:p>
      <w:pPr>
        <w:pStyle w:val="FirstParagraph"/>
      </w:pPr>
      <w:r>
        <w:t>Field name: PCC.RefusalRecord</w:t>
      </w:r>
    </w:p>
    <w:p>
      <w:pPr>
        <w:pStyle w:val="BodyText"/>
      </w:pPr>
      <w:r>
        <w:t>Required when: the run enters Refusal under Section 4.9.</w:t>
      </w:r>
    </w:p>
    <w:p>
      <w:pPr>
        <w:pStyle w:val="BodyText"/>
      </w:pPr>
      <w:r>
        <w:t>Minimum fields: refusal_id; trigger_code R-1, R-2, R-3, R-4, R-5, or R-6; trigger_description; options_affected; scopes_affected; dimensions_affected; rights_cells_affected; catastrophe_cells_affected; containment_indicators_affected; evidence_basis; provenance_links; no_action_baseline_status; escalation_route; provisional_action_status; re_run_conditions; reviewer_signature_or_role.</w:t>
      </w:r>
    </w:p>
    <w:p>
      <w:pPr>
        <w:pStyle w:val="BodyText"/>
      </w:pPr>
      <w:r>
        <w:t>Validation rule. If Refusal is triggered and PCC.RefusalRecord is absent, the PCC is INVALID.</w:t>
      </w:r>
    </w:p>
    <w:bookmarkEnd w:id="412"/>
    <w:bookmarkStart w:id="413" w:name="h02-computationalclosure-field-normative"/>
    <w:p>
      <w:pPr>
        <w:pStyle w:val="Heading2"/>
      </w:pPr>
      <w:r>
        <w:t>H.0.2 ComputationalClosure field (Normative)</w:t>
      </w:r>
    </w:p>
    <w:p>
      <w:pPr>
        <w:pStyle w:val="FirstParagraph"/>
      </w:pPr>
      <w:r>
        <w:t>Field name: PCC.ComputationalClosure</w:t>
      </w:r>
    </w:p>
    <w:p>
      <w:pPr>
        <w:pStyle w:val="BodyText"/>
      </w:pPr>
      <w:r>
        <w:t>Required for: all Tier 2 and Tier 3 runs; recommended for Tier 1.</w:t>
      </w:r>
    </w:p>
    <w:p>
      <w:pPr>
        <w:pStyle w:val="BodyText"/>
      </w:pPr>
      <w:r>
        <w:t>Minimum fields: scopes_evaluated; scopes_guardrail_only; scopes_outside_computation; time_horizon_evaluated; time_horizon_outside_computation; kernel_mode; propagation_edges_included; propagation_edges_excluded; externalities_excluded; claim_boundary.</w:t>
      </w:r>
    </w:p>
    <w:p>
      <w:pPr>
        <w:pStyle w:val="BodyText"/>
      </w:pPr>
      <w:r>
        <w:t>Validation rule. If the run makes claims beyond the declared ComputationalClosure boundary, set audit_flag CLAIM_EXCEEDS_CLOSURE_BOUNDARY and mark the PCC INVALID for that claim.</w:t>
      </w:r>
    </w:p>
    <w:bookmarkEnd w:id="413"/>
    <w:bookmarkStart w:id="414" w:name="X5ba1210fe9a52bf3f2ce1216534d56e6a5e112d"/>
    <w:p>
      <w:pPr>
        <w:pStyle w:val="Heading2"/>
      </w:pPr>
      <w:r>
        <w:t>H.0.2A RealityGroundingRecord field (Normative)</w:t>
      </w:r>
    </w:p>
    <w:p>
      <w:pPr>
        <w:pStyle w:val="FirstParagraph"/>
      </w:pPr>
      <w:r>
        <w:t>Field name: PCC.RealityGroundingRecord</w:t>
      </w:r>
    </w:p>
    <w:p>
      <w:pPr>
        <w:pStyle w:val="BodyText"/>
      </w:pPr>
      <w:r>
        <w:t>Required for: Tier 2 runs where any stakeholder-discovery, rights, tail-risk, containment, or authority-selection trigger holds; all Tier 3 runs; and any claim-bearing run that depends on a contested material reality claim.</w:t>
      </w:r>
    </w:p>
    <w:p>
      <w:pPr>
        <w:pStyle w:val="BodyText"/>
      </w:pPr>
      <w:r>
        <w:t>Minimum fields: RealitySurfaceDescription; MaterialRealityClaims; EvidenceTrace; DeclaredUnknowns; RealityGroundingStatus; FalsificationOrRevisionTrigger; MonitoringPath; VehicleContentEffectNotes where social or institutional constructs are material; SurfaceTerritoryLimitations; ReviewerNotes.</w:t>
      </w:r>
    </w:p>
    <w:p>
      <w:pPr>
        <w:pStyle w:val="BodyText"/>
      </w:pPr>
      <w:r>
        <w:t>Validation rule. If a material claim has INSUFFICIENT_GROUNDING (or legacy INSUFFICIENT_CONTACT) and affects NCRC, TRC, CSV, deterministic selection, or authority-selection disclosure, the run MUST downgrade the claim, escalate, or refuse the stronger decision state. If PCC.RealityGroundingRecord is missing when required, set audit_flag REALITY_GROUNDING_RECORD_MISSING (legacy alias REALITY_CONTACT_RECORD_MISSING). If declared RealityGroundingStatus exceeds what EvidenceTrace substantiates, set audit_flag REALITY_GROUNDING_STATUS_UNSUPPORTED (legacy alias REALITY_CONTACT_STATUS_UNSUPPORTED).</w:t>
      </w:r>
    </w:p>
    <w:p>
      <w:pPr>
        <w:pStyle w:val="BodyText"/>
      </w:pPr>
      <w:r>
        <w:t>Claim-boundary rule. At Tier 2-3, a RealityGroundingRecord provides traceability and reviewer-checkable evidence discipline; it is not itself verified reality grounding. Tier 4/ProofPack claims require RealityGroundingStatus to be independently re-derivable from EvidenceTrace, referenced evidence objects, and hash-pinned replay materials.</w:t>
      </w:r>
    </w:p>
    <w:p>
      <w:pPr>
        <w:pStyle w:val="BodyText"/>
      </w:pPr>
      <w:r>
        <w:t>H.0.2B PCC.CategoryGroundingRecord field (Normative)</w:t>
      </w:r>
    </w:p>
    <w:p>
      <w:pPr>
        <w:pStyle w:val="BodyText"/>
      </w:pPr>
      <w:r>
        <w:t>Field name: PCC.CategoryGroundingRecord</w:t>
      </w:r>
    </w:p>
    <w:p>
      <w:pPr>
        <w:pStyle w:val="BodyText"/>
      </w:pPr>
      <w:r>
        <w:t>Required when: Section 2.1C / Appendix AH trigger conditions hold for a claim-bearing Tier 3 run, high-stakes Tier 2 run, public conformance claim, public deployment claim, deterministic-selection claim, or optimized metric whose category choice is material.</w:t>
      </w:r>
    </w:p>
    <w:p>
      <w:pPr>
        <w:pStyle w:val="BodyText"/>
      </w:pPr>
      <w:r>
        <w:t>Minimum fields: material_category; category_role; primitive_basis; definition; category_discriminator; dependency_position; inclusion_boundary; exclusion_boundary; common_confusions; noncollapse_pairs; reference_structure; evidence_surface; source_authority_status; category_maturity_status; falsification_or_revision_trigger; term_refusal_condition; downstream_dependencies; semantic_debt_flag; reviewer_status; required_claim_action; and category_failure_class where applicable.</w:t>
      </w:r>
    </w:p>
    <w:p>
      <w:pPr>
        <w:pStyle w:val="BodyText"/>
      </w:pPr>
      <w:r>
        <w:t>Validation rule. If Category Grounding is required and PCC.CategoryGroundingRecord is missing, set audit_flag CATEGORY_GROUNDING_RECORD_MISSING and block deterministic framework selection, conformance, public-deployment, and optimized-metric claims until the claim is narrowed, escalated, marked sensitivity-only / monitor-only, or refused. If category_maturity_status is INSUFFICIENT_GROUNDING, LEGACY_UNREVIEWED, or CONTESTED beyond the claim boundary, the validator MUST reject unqualified deterministic, conformance, public-deployment, and public assurance claims for the affected decision state.</w:t>
      </w:r>
    </w:p>
    <w:bookmarkEnd w:id="414"/>
    <w:bookmarkStart w:id="415" w:name="X5528b110b59adb02f39eb02766e9ce5f13c0160"/>
    <w:p>
      <w:pPr>
        <w:pStyle w:val="Heading2"/>
      </w:pPr>
      <w:r>
        <w:t>H.0.3 CategoryCollapseSelfTest field (Normative)</w:t>
      </w:r>
    </w:p>
    <w:p>
      <w:pPr>
        <w:pStyle w:val="FirstParagraph"/>
      </w:pPr>
      <w:r>
        <w:t>Field name: PCC.CategoryCollapseSelfTest</w:t>
      </w:r>
    </w:p>
    <w:p>
      <w:pPr>
        <w:pStyle w:val="BodyText"/>
      </w:pPr>
      <w:r>
        <w:t>Required for: Tier 2 and Tier 3 runs; recommended for Tier 1.</w:t>
      </w:r>
    </w:p>
    <w:p>
      <w:pPr>
        <w:pStyle w:val="BodyText"/>
      </w:pPr>
      <w:r>
        <w:t>The field SHALL answer each of the following as PASS, FAIL, or IND:</w:t>
      </w:r>
    </w:p>
    <w:p>
      <w:pPr>
        <w:pStyle w:val="BodyText"/>
      </w:pPr>
      <w:r>
        <w:t>1. Did the run rely on traceability where admissibility was required?</w:t>
      </w:r>
    </w:p>
    <w:p>
      <w:pPr>
        <w:pStyle w:val="BodyText"/>
      </w:pPr>
      <w:r>
        <w:t>2. Did the run substitute compliance, approval, or certification for correctness?</w:t>
      </w:r>
    </w:p>
    <w:p>
      <w:pPr>
        <w:pStyle w:val="BodyText"/>
      </w:pPr>
      <w:r>
        <w:t>3. Did the run treat plausibility, fluency, rhetoric, or institutional authority as evidence?</w:t>
      </w:r>
    </w:p>
    <w:p>
      <w:pPr>
        <w:pStyle w:val="BodyText"/>
      </w:pPr>
      <w:r>
        <w:t>4. Did the run conflate intelligence, capability, or agency with welfare-bearing status?</w:t>
      </w:r>
    </w:p>
    <w:p>
      <w:pPr>
        <w:pStyle w:val="BodyText"/>
      </w:pPr>
      <w:r>
        <w:t>5. Did the run conflate moral status, protection, or sentience with governance authority?</w:t>
      </w:r>
    </w:p>
    <w:p>
      <w:pPr>
        <w:pStyle w:val="BodyText"/>
      </w:pPr>
      <w:r>
        <w:t>6. Did the run allow SGP-derived welfare scalars to alter NCRC, TRC, or CSV outcomes?</w:t>
      </w:r>
    </w:p>
    <w:p>
      <w:pPr>
        <w:pStyle w:val="BodyText"/>
      </w:pPr>
      <w:r>
        <w:t>7. Did the run treat mathematical consistency as empirical validation?</w:t>
      </w:r>
    </w:p>
    <w:p>
      <w:pPr>
        <w:pStyle w:val="BodyText"/>
      </w:pPr>
      <w:r>
        <w:t>8. Did the run use meta-union, AIU, cosmic, or universal language as a computational override?</w:t>
      </w:r>
    </w:p>
    <w:p>
      <w:pPr>
        <w:pStyle w:val="BodyText"/>
      </w:pPr>
      <w:r>
        <w:t>Validation rule. Any FAIL SHALL trigger CATEGORY_COLLAPSE_FLAG. If the failure affects admissibility, selectability, or selection, the run SHALL enter Refusal under Section 4.9.</w:t>
      </w:r>
    </w:p>
    <w:p>
      <w:pPr>
        <w:pStyle w:val="BodyText"/>
      </w:pPr>
      <w:r>
        <w:t>Appendix H is normative for PCC fields and audit flags at Tier 2-3.</w:t>
      </w:r>
    </w:p>
    <w:bookmarkEnd w:id="415"/>
    <w:bookmarkStart w:id="416" w:name="h1-pcc-schema-human-readable"/>
    <w:p>
      <w:pPr>
        <w:pStyle w:val="Heading2"/>
      </w:pPr>
      <w:r>
        <w:t>H.1 PCC Schema (Human-Readable)</w:t>
      </w:r>
    </w:p>
    <w:p>
      <w:pPr>
        <w:pStyle w:val="FirstParagraph"/>
      </w:pPr>
      <w:r>
        <w:t>===============================================================</w:t>
      </w:r>
    </w:p>
    <w:p>
      <w:pPr>
        <w:pStyle w:val="BodyText"/>
      </w:pPr>
      <w:r>
        <w:t>PROVENANCE AND COMPLIANCE CERTIFICATE (PCC)</w:t>
      </w:r>
    </w:p>
    <w:p>
      <w:pPr>
        <w:pStyle w:val="BodyText"/>
      </w:pPr>
      <w:r>
        <w:t>RippleLogic Framework v12.2</w:t>
      </w:r>
    </w:p>
    <w:p>
      <w:pPr>
        <w:pStyle w:val="BodyText"/>
      </w:pPr>
      <w:r>
        <w:t>===============================================================</w:t>
      </w:r>
    </w:p>
    <w:p>
      <w:pPr>
        <w:pStyle w:val="BodyText"/>
      </w:pPr>
      <w:r>
        <w:t>HEADER (REQUIRED Tier 2-3)</w:t>
      </w:r>
    </w:p>
    <w:p>
      <w:r/>
    </w:p>
    <w:p>
      <w:pPr>
        <w:pStyle w:val="FirstParagraph"/>
      </w:pPr>
      <w:r>
        <w:t>Decision ID: [unique identifier]</w:t>
      </w:r>
    </w:p>
    <w:p>
      <w:pPr>
        <w:pStyle w:val="BodyText"/>
      </w:pPr>
      <w:r>
        <w:t>Timestamp (UTC): [YYYY-MM-DDThh:mm:ssZ]</w:t>
      </w:r>
    </w:p>
    <w:p>
      <w:pPr>
        <w:pStyle w:val="BodyText"/>
      </w:pPr>
      <w:r>
        <w:t>Decision Owner(s): [names/roles]</w:t>
      </w:r>
    </w:p>
    <w:p>
      <w:pPr>
        <w:pStyle w:val="BodyText"/>
      </w:pPr>
      <w:r>
        <w:t>Analyst(s): [names/roles]</w:t>
      </w:r>
    </w:p>
    <w:p>
      <w:pPr>
        <w:pStyle w:val="BodyText"/>
      </w:pPr>
      <w:r>
        <w:t>Reviewer (Tier 3): [name/role]</w:t>
      </w:r>
    </w:p>
    <w:p>
      <w:pPr>
        <w:pStyle w:val="BodyText"/>
      </w:pPr>
      <w:r>
        <w:t>Spec Version: RippleLogic v12.3.1</w:t>
      </w:r>
    </w:p>
    <w:p>
      <w:pPr>
        <w:pStyle w:val="BodyText"/>
      </w:pPr>
      <w:r>
        <w:t>Implementation Tier: [1 | 2 | 3]</w:t>
      </w:r>
    </w:p>
    <w:p>
      <w:pPr>
        <w:pStyle w:val="BodyText"/>
      </w:pPr>
      <w:r>
        <w:t>Tier Claim Disposition (Tier 2-3 REQUIRED)</w:t>
      </w:r>
    </w:p>
    <w:p>
      <w:pPr>
        <w:pStyle w:val="BodyText"/>
      </w:pPr>
      <w:r>
        <w:t>PCC.TierClaimDisposition: [TIER_CLAIMED_AND_MET | TIER_ATTEMPTED_NOT_ACHIEVED_DOWNGRADED]</w:t>
      </w:r>
    </w:p>
    <w:p>
      <w:pPr>
        <w:pStyle w:val="BodyText"/>
      </w:pPr>
      <w:r>
        <w:t>If PCC.TierClaimDisposition = TIER_ATTEMPTED_NOT_ACHIEVED_DOWNGRADED, PCC MUST specify:</w:t>
      </w:r>
    </w:p>
    <w:p>
      <w:pPr>
        <w:pStyle w:val="BodyText"/>
      </w:pPr>
      <w:r>
        <w:t>- PCC.TierAttempted: [2 | 3]</w:t>
      </w:r>
    </w:p>
    <w:p>
      <w:pPr>
        <w:pStyle w:val="BodyText"/>
      </w:pPr>
      <w:r>
        <w:t>- PCC.TierAchieved: [1 | 2]</w:t>
      </w:r>
    </w:p>
    <w:p>
      <w:pPr>
        <w:pStyle w:val="BodyText"/>
      </w:pPr>
      <w:r>
        <w:t>Tier Downgrade Flags: [TIER_DOWNGRADED_CONTAINMENT = TRUE/FALSE] (required if any gate is unavailable and a Tier 2 downgrade disposition is used).</w:t>
      </w:r>
    </w:p>
    <w:p>
      <w:pPr>
        <w:pStyle w:val="BodyText"/>
      </w:pPr>
      <w:r>
        <w:t>Constraint (Normative). If TIER_DOWNGRADED_CONTAINMENT = TRUE, then PCC.TierClaimDisposition MUST be TIER_ATTEMPTED_NOT_ACHIEVED_DOWNGRADED and PCC.TierAchieved MUST be 2.</w:t>
      </w:r>
    </w:p>
    <w:p>
      <w:pPr>
        <w:pStyle w:val="BodyText"/>
      </w:pPr>
      <w:r>
        <w:t>Propagation Mode: [NONE | QUICK]</w:t>
      </w:r>
    </w:p>
    <w:p>
      <w:pPr>
        <w:pStyle w:val="BodyText"/>
      </w:pPr>
      <w:r>
        <w:t>Kernel Profile: [NONE | profile name + KQS + evidence note]</w:t>
      </w:r>
    </w:p>
    <w:p>
      <w:pPr>
        <w:pStyle w:val="BodyText"/>
      </w:pPr>
      <w:r>
        <w:t>If Propagation Mode = QUICK, PCC MUST include:</w:t>
      </w:r>
    </w:p>
    <w:p>
      <w:pPr>
        <w:pStyle w:val="BodyText"/>
      </w:pPr>
      <w:r>
        <w:t>PCC.Kernel.EntryAbsMax: [float in canonical scale]</w:t>
      </w:r>
      <w:r>
        <w:br/>
      </w:r>
      <w:r>
        <w:t>PCC.Kernel.RowSumAbsMax: [float in canonical scale] (this is ∥K∥∞)</w:t>
      </w:r>
      <w:r>
        <w:br/>
      </w:r>
      <w:r>
        <w:t>PCC.Kernel.Bounds: [κ_max, ρ_max used]</w:t>
      </w:r>
      <w:r>
        <w:br/>
      </w:r>
      <w:r>
        <w:t>PCC.Kernel.StabilityPass: [TRUE/FALSE]</w:t>
      </w:r>
    </w:p>
    <w:p>
      <w:pPr>
        <w:pStyle w:val="BodyText"/>
      </w:pPr>
      <w:r>
        <w:t>Weight Profile: [HDW | PLSS_LOCAL | Declared interim | Uniform]</w:t>
      </w:r>
    </w:p>
    <w:p>
      <w:pPr>
        <w:pStyle w:val="BodyText"/>
      </w:pPr>
      <w:r>
        <w:t>PCC.BaselineType_Welfare: [STATUS_QUO | FLOOR_REFERENCE | OTHER_DECLARED]</w:t>
      </w:r>
      <w:r>
        <w:br/>
      </w:r>
      <w:r>
        <w:t>PCC.BaselineType_Gates: [FLOOR_REFERENCE] (MUST be FLOOR_REFERENCE for all cells in C_r ∪ C_cat)</w:t>
      </w:r>
      <w:r>
        <w:br/>
      </w:r>
      <w:r>
        <w:t>PCC.BaselineReference_Gates: [indicator definitions + target/floor levels + sources + conversion assumptions]</w:t>
      </w:r>
      <w:r>
        <w:br/>
      </w:r>
      <w:r>
        <w:t>PCC.BaselineFloorReferenceCellsInWelfare: [list of rights/catastrophe cells that remain in welfare scoring under the non-maskable persistence rule and therefore use floor-reference baseline in welfare scoring]</w:t>
      </w:r>
      <w:r>
        <w:br/>
      </w:r>
      <w:r>
        <w:t>PCC.BaselineDualExceptionBlock: [OPTIONAL structured list by cell or cell-class: welfare baseline used, gate baseline fixed at FLOOR_REFERENCE, rationale, and reviewer sign-off if required]</w:t>
      </w:r>
      <w:r>
        <w:br/>
      </w:r>
      <w:r>
        <w:t>If PCC.BaselineType_Welfare = OTHER_DECLARED, PCC MUST specify: PCC.BaselineReference_Welfare.</w:t>
      </w:r>
    </w:p>
    <w:p>
      <w:pPr>
        <w:pStyle w:val="BodyText"/>
      </w:pPr>
      <w:r>
        <w:t>TRC Context Class: [Personal | Organizational | Reversible |</w:t>
      </w:r>
    </w:p>
    <w:p>
      <w:pPr>
        <w:pStyle w:val="BodyText"/>
      </w:pPr>
      <w:r>
        <w:t>Irreversible | Existential]</w:t>
      </w:r>
    </w:p>
    <w:p>
      <w:pPr>
        <w:pStyle w:val="BodyText"/>
      </w:pPr>
      <w:r>
        <w:t>Content Hash: [optional Tier 2; required Tier 3; SHA-256]</w:t>
      </w:r>
    </w:p>
    <w:p>
      <w:pPr>
        <w:pStyle w:val="BodyText"/>
      </w:pPr>
      <w:r>
        <w:t>STEWARDSHIP BLOCK (CONDITIONAL; REQUIRED when Stw_req=1)</w:t>
      </w:r>
    </w:p>
    <w:p>
      <w:r/>
    </w:p>
    <w:p>
      <w:pPr>
        <w:pStyle w:val="FirstParagraph"/>
      </w:pPr>
      <w:r>
        <w:t>PCC.Stewardship.Stw_req: [TRUE | FALSE]</w:t>
      </w:r>
    </w:p>
    <w:p>
      <w:pPr>
        <w:pStyle w:val="BodyText"/>
      </w:pPr>
      <w:r>
        <w:t>If Stw_req = FALSE, all fields below MAY be omitted.</w:t>
      </w:r>
    </w:p>
    <w:p>
      <w:pPr>
        <w:pStyle w:val="BodyText"/>
      </w:pPr>
      <w:r>
        <w:t>PCC.Stewardship.DBD.Scope: [list of out-of-scope authority domains]</w:t>
      </w:r>
    </w:p>
    <w:p>
      <w:pPr>
        <w:pStyle w:val="BodyText"/>
      </w:pPr>
      <w:r>
        <w:t>PCC.Stewardship.DBD.RefusalRule: [refusal/deferral rule identifier]</w:t>
      </w:r>
    </w:p>
    <w:p>
      <w:pPr>
        <w:pStyle w:val="BodyText"/>
      </w:pPr>
      <w:r>
        <w:t>PCC.Stewardship.APM.AfterActionAuthorship: [0.0–1.0]</w:t>
      </w:r>
    </w:p>
    <w:p>
      <w:pPr>
        <w:pStyle w:val="BodyText"/>
      </w:pPr>
      <w:r>
        <w:t>PCC.Stewardship.APM.Rationale: [artifact-anchored justification; MUST reference &gt;=2 of 4 APM anchors per Appendix N.4]</w:t>
      </w:r>
    </w:p>
    <w:p>
      <w:pPr>
        <w:pStyle w:val="BodyText"/>
      </w:pPr>
      <w:r>
        <w:t>PCC.Stewardship.APM.BaselineAuthorship: [0.0–1.0] (OPTIONAL)</w:t>
      </w:r>
    </w:p>
    <w:p>
      <w:pPr>
        <w:pStyle w:val="BodyText"/>
      </w:pPr>
      <w:r>
        <w:t>PCC.Stewardship.IRB.InterventionCap: [declared caps]</w:t>
      </w:r>
    </w:p>
    <w:p>
      <w:pPr>
        <w:pStyle w:val="BodyText"/>
      </w:pPr>
      <w:r>
        <w:t>PCC.Stewardship.IRB.Thresholds: [intervene-only-past-harm-point rule]</w:t>
      </w:r>
    </w:p>
    <w:p>
      <w:pPr>
        <w:pStyle w:val="BodyText"/>
      </w:pPr>
      <w:r>
        <w:t>PCC.Stewardship.InfluenceLedgerRef: [pointer | “NONE” + justification]</w:t>
      </w:r>
    </w:p>
    <w:p>
      <w:pPr>
        <w:pStyle w:val="BodyText"/>
      </w:pPr>
      <w:r>
        <w:t>PCC.Stewardship.DelayFlag: [TRUE | FALSE] (OPTIONAL)</w:t>
      </w:r>
    </w:p>
    <w:p>
      <w:pPr>
        <w:pStyle w:val="BodyText"/>
      </w:pPr>
      <w:r>
        <w:t>SCOPE (REQUIRED Tier 2-3)</w:t>
      </w:r>
    </w:p>
    <w:p>
      <w:r/>
    </w:p>
    <w:p>
      <w:pPr>
        <w:pStyle w:val="FirstParagraph"/>
      </w:pPr>
      <w:r>
        <w:t>Decision Question: [clear statement]</w:t>
      </w:r>
    </w:p>
    <w:p>
      <w:pPr>
        <w:pStyle w:val="BodyText"/>
      </w:pPr>
      <w:r>
        <w:t>Time Horizon: [years]</w:t>
      </w:r>
    </w:p>
    <w:p>
      <w:pPr>
        <w:pStyle w:val="BodyText"/>
      </w:pPr>
      <w:r>
        <w:t>Primary Affected Scopes (Union Scopes): [list]</w:t>
      </w:r>
    </w:p>
    <w:p>
      <w:pPr>
        <w:pStyle w:val="BodyText"/>
      </w:pPr>
      <w:r>
        <w:t>Decision Boundary Notes: [what is in/out of scope; why]</w:t>
      </w:r>
    </w:p>
    <w:p>
      <w:pPr>
        <w:pStyle w:val="BodyText"/>
      </w:pPr>
      <w:r>
        <w:t>Stakeholder Coverage and Mapping (Tier-governed; v12.2)</w:t>
      </w:r>
    </w:p>
    <w:p>
      <w:pPr>
        <w:pStyle w:val="BodyText"/>
      </w:pPr>
      <w:r>
        <w:t>Stakeholder Coverage Index (SCI): [SCI-0 / SCI-1 / SCI-2 / SCI-3 / SCI-4]</w:t>
      </w:r>
    </w:p>
    <w:p>
      <w:pPr>
        <w:pStyle w:val="BodyText"/>
      </w:pPr>
      <w:r>
        <w:t>PCC.SCI.BelowMinimumDisposition: [DOWNGRADE_TIER | RERUN_TO_MEET_MINIMUM] (REQUIRED if SCI_BELOW_MINIMUM triggers; see Section 5.0.1 and audit flag SCI_BELOW_MINIMUM).</w:t>
      </w:r>
    </w:p>
    <w:p>
      <w:pPr>
        <w:pStyle w:val="BodyText"/>
      </w:pPr>
      <w:r>
        <w:t>PCC.SCI.Justification: [text] (REQUIRED if SCI &lt; tier minimum, OR if SCI equals the tier minimum and a Next-Run Upgrade Plan is required).</w:t>
      </w:r>
    </w:p>
    <w:p>
      <w:pPr>
        <w:pStyle w:val="BodyText"/>
      </w:pPr>
      <w:r>
        <w:t>Scope Coverage Declaration: Mode [FULL_SCOPE / REDUCED_SCOPE]; Active scopes [list]; Omitted scopes [list]; Omission rationales [text]; Blind-spot statement [text]; Escalation triggers that force scope expansion [list].</w:t>
      </w:r>
    </w:p>
    <w:p>
      <w:pPr>
        <w:pStyle w:val="BodyText"/>
      </w:pPr>
      <w:r>
        <w:t>SCI Next-Run Upgrade Plan (REQUIRED if SCI equals the tier minimum for the claimed tier): [text; what scope expansions or stakeholder mapping improvements will be executed next run; by when].</w:t>
      </w:r>
    </w:p>
    <w:p>
      <w:pPr>
        <w:pStyle w:val="BodyText"/>
      </w:pPr>
      <w:r>
        <w:t>Admissibility Attestation (REQUIRED if Mode = REDUCED_SCOPE):</w:t>
      </w:r>
    </w:p>
    <w:p>
      <w:pPr>
        <w:pStyle w:val="BodyText"/>
      </w:pPr>
      <w:r>
        <w:t>PCC.AdmissibilityAttestation.NCRC_full_Cr_computed: [TRUE | FALSE]</w:t>
      </w:r>
    </w:p>
    <w:p>
      <w:pPr>
        <w:pStyle w:val="BodyText"/>
      </w:pPr>
      <w:r>
        <w:t>PCC.AdmissibilityAttestation.TRC_full_Ccat_computed: [TRUE | FALSE | NA]</w:t>
      </w:r>
    </w:p>
    <w:p>
      <w:pPr>
        <w:pStyle w:val="BodyText"/>
      </w:pPr>
      <w:r>
        <w:t>PCC.AdmissibilityAttestation.Containment_computed_as_applicable: [TRUE | FALSE | NA]</w:t>
      </w:r>
    </w:p>
    <w:p>
      <w:pPr>
        <w:pStyle w:val="BodyText"/>
      </w:pPr>
      <w:r>
        <w:t>Notes (Normative): Reduced-scope mode SHALL NOT remove any non-maskable cells or required scope rows from admissibility computation. If any required attestation is FALSE or missing, the run MUST NOT claim tier compliance for the affected admissibility gate(s) and MUST record the relevant audit flag(s).</w:t>
      </w:r>
    </w:p>
    <w:p>
      <w:pPr>
        <w:pStyle w:val="BodyText"/>
      </w:pPr>
      <w:r>
        <w:t>Stakeholder Instance Map (InstanceMap): Provide a structured list of stakeholder instances with fields: instance_id, description, role/context, exposure pathway, mapped_scope(s), and rationale. Tier 3 REQUIRED, Tier 2 REQUIRED when any SDP trigger holds (Section 2.2A).</w:t>
      </w:r>
    </w:p>
    <w:p>
      <w:pPr>
        <w:pStyle w:val="BodyText"/>
      </w:pPr>
      <w:r>
        <w:t>Redundancy Handling Declaration (if any multi-scope mapping): Method [EMERGENT_SCALE_JUSTIFICATION / DEDUPLICATION / ALLOCATION]; Effect-token list (if ALLOCATION); allocation coefficients (Σ_u α_u ≤ 1 per token); disclosure of any deduplication primary scope choices.</w:t>
      </w:r>
    </w:p>
    <w:p>
      <w:pPr>
        <w:pStyle w:val="BodyText"/>
      </w:pPr>
      <w:r>
        <w:t>PLSS BLOCK (CONDITIONAL; REQUIRED when PLSS is used)</w:t>
      </w:r>
    </w:p>
    <w:p>
      <w:pPr>
        <w:pStyle w:val="BodyText"/>
      </w:pPr>
      <w:r>
        <w:t>PCC.PLSS.LSSDeclaration: [final Local Stakeholder Set used for the run, with reference to the instance-to-scope mapping basis]</w:t>
      </w:r>
    </w:p>
    <w:p>
      <w:pPr>
        <w:pStyle w:val="BodyText"/>
      </w:pPr>
      <w:r>
        <w:t>PCC.PLSS.ProminenceVector: [declared q_u for all scopes, including sub-component basis for magnitude, probability, persistence, and propagation]</w:t>
      </w:r>
    </w:p>
    <w:p>
      <w:pPr>
        <w:pStyle w:val="BodyText"/>
      </w:pPr>
      <w:r>
        <w:t>PCC.PLSS.Operator: [DEFAULT_GEOMEAN_V1 | OTHER_DECLARED]; if OTHER_DECLARED, record operator, rationale, and sensitivity note</w:t>
      </w:r>
    </w:p>
    <w:p>
      <w:pPr>
        <w:pStyle w:val="BodyText"/>
      </w:pPr>
      <w:r>
        <w:t>PCC.PLSS.WeightVector: [computed w_u^PLSS for all scopes]</w:t>
      </w:r>
    </w:p>
    <w:p>
      <w:pPr>
        <w:pStyle w:val="BodyText"/>
      </w:pPr>
      <w:r>
        <w:t>PCC.PLSS.ScopePostureClassification: [Prominent | Guardrail for each scope]</w:t>
      </w:r>
    </w:p>
    <w:p>
      <w:pPr>
        <w:pStyle w:val="BodyText"/>
      </w:pPr>
      <w:r>
        <w:t>PCC.PLSS.EscalationTriggerAssessment: [ET-1 through ET-7 outcome, including any justification for remaining in PLSS posture]</w:t>
      </w:r>
    </w:p>
    <w:p>
      <w:pPr>
        <w:pStyle w:val="BodyText"/>
      </w:pPr>
      <w:r>
        <w:t>PCC.PLSS.FallbackDeclaration: [uniform residual fallback used if all q_u = 0, or other declared fallback with justification]</w:t>
      </w:r>
    </w:p>
    <w:p>
      <w:pPr>
        <w:pStyle w:val="BodyText"/>
      </w:pPr>
      <w:r>
        <w:t>MEASUREMENT-MATURITY AND DEPLOYMENT-CONTEXT BLOCK (REQUIRED when applicable; Tier 2-3)</w:t>
      </w:r>
    </w:p>
    <w:p>
      <w:pPr>
        <w:pStyle w:val="BodyText"/>
      </w:pPr>
      <w:r>
        <w:t>PCC.UCI_Measurement_Readiness: [UCI-M0_UNAVAILABLE | UCI-M1_PROVISIONAL | UCI-M2_DOMAIN_SUPPORTED | UCI-M3_VALIDATED]; PCC.UCI_Indicator_Source: [named sources]; PCC.UCI_Normalization_Rule: [declared rule]; PCC.UCI_Structural_Independence_Posture: [independent | correlated-disclosed | unavailable]; PCC.UCI_Reviewer_Reliability_Status: [not-tested | internally-reviewed | IRR-tested | validated].</w:t>
      </w:r>
    </w:p>
    <w:p>
      <w:pPr>
        <w:pStyle w:val="BodyText"/>
      </w:pPr>
      <w:r>
        <w:t>PCC.Kernel_Use_Posture: [K0_NONE | K1_STARTER | K2_DOMAIN_CALIBRATED | K3_BACKTESTED | K4_REGISTERED]; PCC.Kernel_Validation_Evidence: [none | source note | calibration report | backtest report | registry ID]; PCC.Kernel_Backtest_Status: [not-backtested | partial | complete]; PCC.Kernel_Error_Bounds: [declared bounds or NA].</w:t>
      </w:r>
    </w:p>
    <w:p>
      <w:pPr>
        <w:pStyle w:val="BodyText"/>
      </w:pPr>
      <w:r>
        <w:t>PCC.HDW_Capture_Audit: [weight source, stakeholder map, participation quality, expert role provenance, conflict disclosures, challenger window, independent review status, captured-context limitation] (required for Tier 3 public or institutional weighting processes).</w:t>
      </w:r>
    </w:p>
    <w:p>
      <w:pPr>
        <w:pStyle w:val="BodyText"/>
      </w:pPr>
      <w:r>
        <w:t>PCC.PLSS_Escalation_Register: [profile used, local stakeholder set, guardrail scopes, escalation-trigger checklist, non-escalation rationale, externality search method, prominence-sensitivity result, external challenger status, repeated-PLSS-use flag] (required when PLSS is used).</w:t>
      </w:r>
    </w:p>
    <w:p>
      <w:pPr>
        <w:pStyle w:val="BodyText"/>
      </w:pPr>
      <w:r>
        <w:t>PCC.Deployment_Context_Profile: [LAB | PILOT | INSTITUTIONAL_ADVISORY | INSTITUTIONAL_OPERATIONAL | PUBLIC_POLICY | AGENTIC_EXECUTION | EMERGENCY_TRIAGE] plus evidence-sufficiency, reviewer-independence, audit-visibility, and escalation-threshold notes.</w:t>
      </w:r>
    </w:p>
    <w:p>
      <w:pPr>
        <w:pStyle w:val="BodyText"/>
      </w:pPr>
      <w:r>
        <w:t>PCC.Biological_Evaluation_Maturity: [BEM-0_NOT_EVALUATED | BEM-1_TAXON_BASELINE | BEM-2_ETHOLOGICAL_GUIDANCE | BEM-3_EXPERT_REVIEWED_BATTERY | BEM-4_VALIDATED_ANNEX] when biological SGP evidence is invoked. Biological measurement immaturity SHALL NOT reduce precautionary protection where credible taxon-level evidence supports moral patienthood.</w:t>
      </w:r>
    </w:p>
    <w:p>
      <w:pPr>
        <w:pStyle w:val="BodyText"/>
      </w:pPr>
      <w:r>
        <w:t>Option Set O:</w:t>
      </w:r>
    </w:p>
    <w:p>
      <w:pPr>
        <w:pStyle w:val="BodyText"/>
      </w:pPr>
      <w:r>
        <w:t>Option A: [description]</w:t>
      </w:r>
    </w:p>
    <w:p>
      <w:pPr>
        <w:pStyle w:val="BodyText"/>
      </w:pPr>
      <w:r>
        <w:t>Option B: [description]</w:t>
      </w:r>
    </w:p>
    <w:p>
      <w:pPr>
        <w:pStyle w:val="BodyText"/>
      </w:pPr>
      <w:r>
        <w:t>Option C: [description] (if applicable)</w:t>
      </w:r>
    </w:p>
    <w:p>
      <w:pPr>
        <w:pStyle w:val="BodyText"/>
      </w:pPr>
      <w:r>
        <w:t>Applicability Mask m(u,d) (RLS only):</w:t>
      </w:r>
    </w:p>
    <w:p>
      <w:pPr>
        <w:pStyle w:val="BodyText"/>
      </w:pPr>
      <w:r>
        <w:t>Masked cells: [list + rationale per cell]</w:t>
      </w:r>
    </w:p>
    <w:p>
      <w:pPr>
        <w:pStyle w:val="BodyText"/>
      </w:pPr>
      <w:r>
        <w:t>Non-maskable verification:</w:t>
      </w:r>
    </w:p>
    <w:p>
      <w:pPr>
        <w:pStyle w:val="BodyText"/>
      </w:pPr>
      <w:r>
        <w:t>Rights cells unmasked: [PASS/FAIL]</w:t>
      </w:r>
    </w:p>
    <w:p>
      <w:pPr>
        <w:pStyle w:val="BodyText"/>
      </w:pPr>
      <w:r>
        <w:t>Catastrophe cells unmasked: [PASS/FAIL]</w:t>
      </w:r>
    </w:p>
    <w:p>
      <w:pPr>
        <w:pStyle w:val="BodyText"/>
      </w:pPr>
      <w:r>
        <w:t>INPUTS (REQUIRED Tier 2-3)</w:t>
      </w:r>
    </w:p>
    <w:p>
      <w:pPr>
        <w:pStyle w:val="BodyText"/>
      </w:pPr>
      <w:r>
        <w:t>Uncertainty Method (Tier 2+ REQUIRED for active cells):</w:t>
      </w:r>
    </w:p>
    <w:p>
      <w:pPr>
        <w:pStyle w:val="BodyText"/>
      </w:pPr>
      <w:r>
        <w:t>PCC.Uncertainty.Method: [A | B | C]</w:t>
      </w:r>
      <w:r>
        <w:br/>
      </w:r>
      <w:r>
        <w:t>If Method = B:</w:t>
      </w:r>
      <w:r>
        <w:br/>
      </w:r>
      <w:r>
        <w:t>PCC.Uncertainty.CellConfidenceAggregationMethod: [CCAM_MIN_V1 | CCAM_WMEAN_V1]</w:t>
      </w:r>
      <w:r>
        <w:br/>
      </w:r>
      <w:r>
        <w:t>PCC.Uncertainty.c_cell_table: [table of c(u,d,a) for active cells, or a retrievable representation sufficient for recomputation]</w:t>
      </w:r>
    </w:p>
    <w:p>
      <w:r/>
    </w:p>
    <w:p>
      <w:pPr>
        <w:pStyle w:val="FirstParagraph"/>
      </w:pPr>
      <w:r>
        <w:t>Weights:</w:t>
      </w:r>
    </w:p>
    <w:p>
      <w:pPr>
        <w:pStyle w:val="BodyText"/>
      </w:pPr>
      <w:r>
        <w:t>Union weights w_u: [vector or table]</w:t>
      </w:r>
    </w:p>
    <w:p>
      <w:pPr>
        <w:pStyle w:val="BodyText"/>
      </w:pPr>
      <w:r>
        <w:t>Dimension weights v_d: [vector or table]</w:t>
      </w:r>
    </w:p>
    <w:p>
      <w:pPr>
        <w:pStyle w:val="BodyText"/>
      </w:pPr>
      <w:r>
        <w:t>HDW parameters (if used): [λ_U, λ_D; sources]</w:t>
      </w:r>
    </w:p>
    <w:p>
      <w:pPr>
        <w:pStyle w:val="BodyText"/>
      </w:pPr>
      <w:r>
        <w:t>Rights Canon:</w:t>
      </w:r>
    </w:p>
    <w:p>
      <w:pPr>
        <w:pStyle w:val="BodyText"/>
      </w:pPr>
      <w:r>
        <w:t>Thresholds θ_r: [table or "current canonical"]</w:t>
      </w:r>
    </w:p>
    <w:p>
      <w:pPr>
        <w:pStyle w:val="BodyText"/>
      </w:pPr>
      <w:r>
        <w:t>Coverage sets C_r: [table or "current canonical"]</w:t>
      </w:r>
    </w:p>
    <w:p>
      <w:pPr>
        <w:pStyle w:val="BodyText"/>
      </w:pPr>
      <w:r>
        <w:t>Subgroup policy:</w:t>
      </w:r>
    </w:p>
    <w:p>
      <w:pPr>
        <w:pStyle w:val="BodyText"/>
      </w:pPr>
      <w:r>
        <w:t>G_{u,d} method: [enumerated | conservative bound]</w:t>
      </w:r>
    </w:p>
    <w:p>
      <w:pPr>
        <w:pStyle w:val="BodyText"/>
      </w:pPr>
      <w:r>
        <w:t>γ_subgroup (if used): [value]</w:t>
      </w:r>
    </w:p>
    <w:p>
      <w:pPr>
        <w:pStyle w:val="BodyText"/>
      </w:pPr>
      <w:r>
        <w:t>Notes: [limitations if any]</w:t>
      </w:r>
    </w:p>
    <w:p>
      <w:pPr>
        <w:pStyle w:val="BodyText"/>
      </w:pPr>
      <w:r>
        <w:t>TRC Inputs (REQUIRED Tier 2 when plausible; REQUIRED Tier 3):</w:t>
      </w:r>
    </w:p>
    <w:p>
      <w:pPr>
        <w:pStyle w:val="BodyText"/>
      </w:pPr>
      <w:r>
        <w:t>Catastrophe cells C_cat: [list]</w:t>
      </w:r>
    </w:p>
    <w:p>
      <w:pPr>
        <w:pStyle w:val="BodyText"/>
      </w:pPr>
      <w:r>
        <w:t>Catastrophe weights ω: [list]</w:t>
      </w:r>
    </w:p>
    <w:p>
      <w:pPr>
        <w:pStyle w:val="BodyText"/>
      </w:pPr>
      <w:r>
        <w:t>α: [value]</w:t>
      </w:r>
    </w:p>
    <w:p>
      <w:pPr>
        <w:pStyle w:val="BodyText"/>
      </w:pPr>
      <w:r>
        <w:t>τ_TRC: [value]</w:t>
      </w:r>
    </w:p>
    <w:p>
      <w:pPr>
        <w:pStyle w:val="BodyText"/>
      </w:pPr>
      <w:r>
        <w:t>Scenario set S:</w:t>
      </w:r>
    </w:p>
    <w:p>
      <w:pPr>
        <w:pStyle w:val="BodyText"/>
      </w:pPr>
      <w:r>
        <w:t>For each scenario s:</w:t>
      </w:r>
    </w:p>
    <w:p>
      <w:pPr>
        <w:pStyle w:val="BodyText"/>
      </w:pPr>
      <w:r>
        <w:t>ID, category, narrative, p_s, parameterization notes</w:t>
      </w:r>
    </w:p>
    <w:p>
      <w:pPr>
        <w:pStyle w:val="BodyText"/>
      </w:pPr>
      <w:r>
        <w:t>Mandatory tails check:</w:t>
      </w:r>
    </w:p>
    <w:p>
      <w:pPr>
        <w:pStyle w:val="BodyText"/>
      </w:pPr>
      <w:r>
        <w:t>Categories present: [YES/NO per category]</w:t>
      </w:r>
    </w:p>
    <w:p>
      <w:pPr>
        <w:pStyle w:val="BodyText"/>
      </w:pPr>
      <w:r>
        <w:t>Probability floors met: [YES/NO]</w:t>
      </w:r>
    </w:p>
    <w:p>
      <w:pPr>
        <w:pStyle w:val="BodyText"/>
      </w:pPr>
      <w:r>
        <w:t>Any implausibility justifications: [YES/NO; if YES, details]</w:t>
      </w:r>
    </w:p>
    <w:p>
      <w:pPr>
        <w:pStyle w:val="BodyText"/>
      </w:pPr>
      <w:r>
        <w:t>Containment Inputs (REQUIRED Tier 3):</w:t>
      </w:r>
    </w:p>
    <w:p>
      <w:pPr>
        <w:pStyle w:val="BodyText"/>
      </w:pPr>
      <w:r>
        <w:t>τ_c: [value]</w:t>
      </w:r>
    </w:p>
    <w:p>
      <w:pPr>
        <w:pStyle w:val="BodyText"/>
      </w:pPr>
      <w:r>
        <w:t>θ_pos: [value]</w:t>
      </w:r>
    </w:p>
    <w:p>
      <w:pPr>
        <w:pStyle w:val="BodyText"/>
      </w:pPr>
      <w:r>
        <w:t>D_c: [value]</w:t>
      </w:r>
    </w:p>
    <w:p>
      <w:pPr>
        <w:pStyle w:val="BodyText"/>
      </w:pPr>
      <w:r>
        <w:t>UCI method: [indicators used + sources]</w:t>
      </w:r>
    </w:p>
    <w:p>
      <w:pPr>
        <w:pStyle w:val="BodyText"/>
      </w:pPr>
      <w:r>
        <w:t>If UCI is unavailable for required containing scopes, record CONTAINMENT_UCI_UNAVAILABLE and set PCC.Containment.UCIUnavailableDisposition to DOWNGRADE_TIER or COLLECT_DATA_RERUN (and provide a remediation timeline).</w:t>
      </w:r>
    </w:p>
    <w:p>
      <w:pPr>
        <w:pStyle w:val="BodyText"/>
      </w:pPr>
      <w:r>
        <w:t>NORMATIVE INPUT REGISTER (REQUIRED when material)</w:t>
      </w:r>
    </w:p>
    <w:p>
      <w:r/>
    </w:p>
    <w:p>
      <w:pPr>
        <w:pStyle w:val="FirstParagraph"/>
      </w:pPr>
      <w:r>
        <w:t>PCC.NormativeInputRegister: [array; REQUIRED when any welfare-relevant state, rights-relevant state, or enabling condition materially affects admissibility, precautionary handling, selection, or tie-break outcome]</w:t>
      </w:r>
    </w:p>
    <w:p>
      <w:pPr>
        <w:pStyle w:val="BodyText"/>
      </w:pPr>
      <w:r>
        <w:t>For each entry n in PCC.NormativeInputRegister, record:</w:t>
      </w:r>
    </w:p>
    <w:p>
      <w:pPr>
        <w:pStyle w:val="BodyText"/>
      </w:pPr>
      <w:r>
        <w:t>NormInputID: [unique identifier]</w:t>
      </w:r>
    </w:p>
    <w:p>
      <w:pPr>
        <w:pStyle w:val="BodyText"/>
      </w:pPr>
      <w:r>
        <w:t>InputType: [WELFARE_RELEVANT_STATE | RIGHTS_RELEVANT_STATE | ENABLING_CONDITION]</w:t>
      </w:r>
    </w:p>
    <w:p>
      <w:pPr>
        <w:pStyle w:val="BodyText"/>
      </w:pPr>
      <w:r>
        <w:t>Materiality: [ADMISSIBILITY_MATERIAL | PRECAUTION_MATERIAL | SELECTION_MATERIAL | TIEBREAK_MATERIAL]</w:t>
      </w:r>
    </w:p>
    <w:p>
      <w:pPr>
        <w:pStyle w:val="BodyText"/>
      </w:pPr>
      <w:r>
        <w:t>AffectedObjects: [cell(s), right(s), scenario(s), gate(s), structural metric(s), or decision element(s)]</w:t>
      </w:r>
    </w:p>
    <w:p>
      <w:pPr>
        <w:pStyle w:val="BodyText"/>
      </w:pPr>
      <w:r>
        <w:t>StakeholderOrScopeTarget: [stakeholder / class / subgroup / instance / scope / scope-set]</w:t>
      </w:r>
    </w:p>
    <w:p>
      <w:pPr>
        <w:pStyle w:val="BodyText"/>
      </w:pPr>
      <w:r>
        <w:t>EvidenceBasisType: [DIRECT_INDICATOR | IMPACT_INSTANCE_TRACE | RIGHTS_CANON_INTERPRETATION | SGP_INTERFACE | GOVERNED_PROXY | PRECAUTIONARY_DECLARATION | OTHER_DECLARED]</w:t>
      </w:r>
    </w:p>
    <w:p>
      <w:pPr>
        <w:pStyle w:val="BodyText"/>
      </w:pPr>
      <w:r>
        <w:t>EvidenceReference: [citation / data source / registry ID / PCC pointer / section pointer]</w:t>
      </w:r>
    </w:p>
    <w:p>
      <w:pPr>
        <w:pStyle w:val="BodyText"/>
      </w:pPr>
      <w:r>
        <w:t>GovernedInterpretationBasis: [NONE | canon section | charter rule | jurisdictional source | instrument identifier | reviewer memorandum]</w:t>
      </w:r>
    </w:p>
    <w:p>
      <w:pPr>
        <w:pStyle w:val="BodyText"/>
      </w:pPr>
      <w:r>
        <w:t>PrecautionaryBasis: [NONE | explicit uncertainty rationale]</w:t>
      </w:r>
    </w:p>
    <w:p>
      <w:pPr>
        <w:pStyle w:val="BodyText"/>
      </w:pPr>
      <w:r>
        <w:t>OptionSymmetryStatus: [APPLIES_TO_ALL_OPTIONS | OPTION_SPECIFIC_WITH_JUSTIFICATION]</w:t>
      </w:r>
    </w:p>
    <w:p>
      <w:pPr>
        <w:pStyle w:val="BodyText"/>
      </w:pPr>
      <w:r>
        <w:t>AnalystReasonCode: [text or controlled token]</w:t>
      </w:r>
    </w:p>
    <w:p>
      <w:pPr>
        <w:pStyle w:val="BodyText"/>
      </w:pPr>
      <w:r>
        <w:t>SensitivityNote: [REQUIRED if alternative treatment plausibly changes admissibility or selection]</w:t>
      </w:r>
    </w:p>
    <w:p>
      <w:pPr>
        <w:pStyle w:val="BodyText"/>
      </w:pPr>
      <w:r>
        <w:t>ReviewerNote: [Tier 3 REQUIRED when Materiality = ADMISSIBILITY_MATERIAL, PRECAUTION_MATERIAL, or SELECTION_MATERIAL]</w:t>
      </w:r>
    </w:p>
    <w:p>
      <w:pPr>
        <w:pStyle w:val="BodyText"/>
      </w:pPr>
      <w:r>
        <w:t>Normative note. The register exists to make reason-for-action inputs auditable when they are not already fully captured by direct impact-instance tables, the canonical rights layer, the canonical catastrophe layer, or declared structural indicators.</w:t>
      </w:r>
    </w:p>
    <w:p>
      <w:pPr>
        <w:pStyle w:val="BodyText"/>
      </w:pPr>
      <w:r>
        <w:t>IMPACT ESTIMATION (REQUIRED Tier 2-3)</w:t>
      </w:r>
    </w:p>
    <w:p>
      <w:r/>
    </w:p>
    <w:p>
      <w:pPr>
        <w:pStyle w:val="FirstParagraph"/>
      </w:pPr>
      <w:r>
        <w:t>For each option a:</w:t>
      </w:r>
    </w:p>
    <w:p>
      <w:pPr>
        <w:pStyle w:val="BodyText"/>
      </w:pPr>
      <w:r>
        <w:t>Direct impacts I_dir(u,d,a): [summary table or key cells]</w:t>
      </w:r>
    </w:p>
    <w:p>
      <w:pPr>
        <w:pStyle w:val="BodyText"/>
      </w:pPr>
      <w:r>
        <w:t>Propagated impacts I_prop_base(u,d,a) and I_prop_welfare(u,d,a): [summary table or key cells]</w:t>
      </w:r>
    </w:p>
    <w:p>
      <w:pPr>
        <w:pStyle w:val="BodyText"/>
      </w:pPr>
      <w:r>
        <w:t>Key impact instances (at least top contributors):</w:t>
      </w:r>
    </w:p>
    <w:p>
      <w:pPr>
        <w:pStyle w:val="BodyText"/>
      </w:pPr>
      <w:r>
        <w:t>For each listed instance k:</w:t>
      </w:r>
    </w:p>
    <w:p>
      <w:pPr>
        <w:pStyle w:val="BodyText"/>
      </w:pPr>
      <w:r>
        <w:t>(u,d), μ_k, r_k, t_k, ℓ_k, c_k, e_k, m_k, rationale/source</w:t>
      </w:r>
    </w:p>
    <w:p>
      <w:pPr>
        <w:pStyle w:val="BodyText"/>
      </w:pPr>
      <w:r>
        <w:t>e_k disclosure (Normative). If any listed instance uses e_k ≠ 1.00, the PCC MUST also record the reason code, default-counterfactual, and whether resetting e_k to 1.00 changes admissibility or selection.</w:t>
      </w:r>
    </w:p>
    <w:p>
      <w:pPr>
        <w:pStyle w:val="BodyText"/>
      </w:pPr>
      <w:r>
        <w:t>ReachBasis (REQUIRED Tier 2+): For each reach term r_k, record the basis and estimator used (allowed bases: population fraction, asset/flow fraction, or area/volume fraction; other bases MUST be explicitly defined), plus source and any conservative bounds.</w:t>
      </w:r>
    </w:p>
    <w:p>
      <w:pPr>
        <w:pStyle w:val="BodyText"/>
      </w:pPr>
      <w:r>
        <w:t>Missing data:</w:t>
      </w:r>
    </w:p>
    <w:p>
      <w:pPr>
        <w:pStyle w:val="BodyText"/>
      </w:pPr>
      <w:r>
        <w:t>Any UNKNOWN_IMPACT cells: [list]</w:t>
      </w:r>
    </w:p>
    <w:p>
      <w:pPr>
        <w:pStyle w:val="BodyText"/>
      </w:pPr>
      <w:r>
        <w:t>Phantom instances applied: [YES/NO]</w:t>
      </w:r>
    </w:p>
    <w:p>
      <w:pPr>
        <w:pStyle w:val="BodyText"/>
      </w:pPr>
      <w:r>
        <w:t>CASCADE TRACE (REQUIRED Tier 2-3)</w:t>
      </w:r>
    </w:p>
    <w:p>
      <w:r/>
    </w:p>
    <w:p>
      <w:pPr>
        <w:pStyle w:val="FirstParagraph"/>
      </w:pPr>
      <w:r>
        <w:t>NCRC:</w:t>
      </w:r>
    </w:p>
    <w:p>
      <w:pPr>
        <w:pStyle w:val="BodyText"/>
      </w:pPr>
      <w:r>
        <w:t>For each option: PASS/FAIL</w:t>
      </w:r>
    </w:p>
    <w:p>
      <w:pPr>
        <w:pStyle w:val="BodyText"/>
      </w:pPr>
      <w:r>
        <w:t>If FAIL: violated rights + v_r(a) values</w:t>
      </w:r>
    </w:p>
    <w:p>
      <w:pPr>
        <w:pStyle w:val="BodyText"/>
      </w:pPr>
      <w:r>
        <w:t>Emergency Mode invoked: [YES/NO]</w:t>
      </w:r>
    </w:p>
    <w:p>
      <w:pPr>
        <w:pStyle w:val="BodyText"/>
      </w:pPr>
      <w:r>
        <w:t>Challenger conducted: [YES/NO]</w:t>
      </w:r>
    </w:p>
    <w:p>
      <w:pPr>
        <w:pStyle w:val="BodyText"/>
      </w:pPr>
      <w:r>
        <w:t>Challenger notes: [summary]</w:t>
      </w:r>
    </w:p>
    <w:p>
      <w:pPr>
        <w:pStyle w:val="BodyText"/>
      </w:pPr>
      <w:r>
        <w:t>TRC:</w:t>
      </w:r>
    </w:p>
    <w:p>
      <w:pPr>
        <w:pStyle w:val="BodyText"/>
      </w:pPr>
      <w:r>
        <w:t>Triggered (catastrophe relevance plausible): [YES/NO]</w:t>
      </w:r>
    </w:p>
    <w:p>
      <w:pPr>
        <w:pStyle w:val="BodyText"/>
      </w:pPr>
      <w:r>
        <w:t>For each option:</w:t>
      </w:r>
    </w:p>
    <w:p>
      <w:pPr>
        <w:pStyle w:val="BodyText"/>
      </w:pPr>
      <w:r>
        <w:t>CVaR_α: [value]</w:t>
      </w:r>
    </w:p>
    <w:p>
      <w:pPr>
        <w:pStyle w:val="BodyText"/>
      </w:pPr>
      <w:r>
        <w:t>Corridor τ_TRC: [value]</w:t>
      </w:r>
    </w:p>
    <w:p>
      <w:pPr>
        <w:pStyle w:val="BodyText"/>
      </w:pPr>
      <w:r>
        <w:t>PASS/FAIL</w:t>
      </w:r>
    </w:p>
    <w:p>
      <w:pPr>
        <w:pStyle w:val="BodyText"/>
      </w:pPr>
      <w:r>
        <w:t>Tail Emergency Mode invoked: [YES/NO]</w:t>
      </w:r>
    </w:p>
    <w:p>
      <w:pPr>
        <w:pStyle w:val="BodyText"/>
      </w:pPr>
      <w:r>
        <w:t>Containment (Tier 3 required):</w:t>
      </w:r>
    </w:p>
    <w:p>
      <w:pPr>
        <w:pStyle w:val="BodyText"/>
      </w:pPr>
      <w:r>
        <w:t>For each option in A_adm:</w:t>
      </w:r>
    </w:p>
    <w:p>
      <w:pPr>
        <w:pStyle w:val="BodyText"/>
      </w:pPr>
      <w:r>
        <w:t>U_pos(a): [list of unions]</w:t>
      </w:r>
    </w:p>
    <w:p>
      <w:pPr>
        <w:pStyle w:val="BodyText"/>
      </w:pPr>
      <w:r>
        <w:t>For each u in U_pos: min ΔUCI among ancestors: [value]</w:t>
      </w:r>
    </w:p>
    <w:p>
      <w:pPr>
        <w:pStyle w:val="BodyText"/>
      </w:pPr>
      <w:r>
        <w:t>PASS/FAIL</w:t>
      </w:r>
    </w:p>
    <w:p>
      <w:pPr>
        <w:pStyle w:val="BodyText"/>
      </w:pPr>
      <w:r>
        <w:t>PCC.Containment.UCIUnavailableDisposition: [DOWNGRADE_TIER | COLLECT_DATA_RERUN | NA] (REQUIRED if CONTAINMENT_UCI_UNAVAILABLE flag is recorded).</w:t>
      </w:r>
    </w:p>
    <w:p>
      <w:pPr>
        <w:pStyle w:val="BodyText"/>
      </w:pPr>
      <w:r>
        <w:t>PCC.Containment.UCIUnavailableRemediationTimeline: [text] (REQUIRED if CONTAINMENT_UCI_UNAVAILABLE flag is recorded).</w:t>
      </w:r>
    </w:p>
    <w:p>
      <w:pPr>
        <w:pStyle w:val="BodyText"/>
      </w:pPr>
      <w:r>
        <w:t>A_sel: [list]</w:t>
      </w:r>
    </w:p>
    <w:p>
      <w:pPr>
        <w:pStyle w:val="BodyText"/>
      </w:pPr>
      <w:r>
        <w:t>RLS Ranking:</w:t>
      </w:r>
    </w:p>
    <w:p>
      <w:pPr>
        <w:pStyle w:val="BodyText"/>
      </w:pPr>
      <w:r>
        <w:t>For each option in A_sel:</w:t>
      </w:r>
    </w:p>
    <w:p>
      <w:pPr>
        <w:pStyle w:val="BodyText"/>
      </w:pPr>
      <w:r>
        <w:t>RLS(a): [value]</w:t>
      </w:r>
    </w:p>
    <w:p>
      <w:pPr>
        <w:pStyle w:val="BodyText"/>
      </w:pPr>
      <w:r>
        <w:t>σ_RLS(a): [value] (Tier 3 required)</w:t>
      </w:r>
    </w:p>
    <w:p>
      <w:pPr>
        <w:pStyle w:val="BodyText"/>
      </w:pPr>
      <w:r>
        <w:t>Gap(top, second): [value]</w:t>
      </w:r>
    </w:p>
    <w:p>
      <w:pPr>
        <w:pStyle w:val="BodyText"/>
      </w:pPr>
      <w:r>
        <w:t>δ: [value]</w:t>
      </w:r>
    </w:p>
    <w:p>
      <w:pPr>
        <w:pStyle w:val="BodyText"/>
      </w:pPr>
      <w:r>
        <w:t>Decisive: [YES/NO]</w:t>
      </w:r>
    </w:p>
    <w:p>
      <w:pPr>
        <w:pStyle w:val="BodyText"/>
      </w:pPr>
      <w:r>
        <w:t>Tie-break (if non-decisive):</w:t>
      </w:r>
    </w:p>
    <w:p>
      <w:pPr>
        <w:pStyle w:val="BodyText"/>
      </w:pPr>
      <w:r>
        <w:t>UCI method used: [UCI-A/B/C]</w:t>
      </w:r>
    </w:p>
    <w:p>
      <w:pPr>
        <w:pStyle w:val="BodyText"/>
      </w:pPr>
      <w:r>
        <w:t>Δ_UCI threshold: 0.05</w:t>
      </w:r>
    </w:p>
    <w:p>
      <w:pPr>
        <w:pStyle w:val="BodyText"/>
      </w:pPr>
      <w:r>
        <w:t>Result: [winner or non-decisive]</w:t>
      </w:r>
    </w:p>
    <w:p>
      <w:pPr>
        <w:pStyle w:val="BodyText"/>
      </w:pPr>
      <w:r>
        <w:t>HOI flags (if applicable): [notes]</w:t>
      </w:r>
    </w:p>
    <w:p>
      <w:pPr>
        <w:pStyle w:val="BodyText"/>
      </w:pPr>
      <w:r>
        <w:t>Escalation invoked: [YES/NO]</w:t>
      </w:r>
    </w:p>
    <w:p>
      <w:pPr>
        <w:pStyle w:val="BodyText"/>
      </w:pPr>
      <w:r>
        <w:t>SELECTION (REQUIRED Tier 2-3)</w:t>
      </w:r>
    </w:p>
    <w:p>
      <w:r/>
    </w:p>
    <w:p>
      <w:pPr>
        <w:pStyle w:val="FirstParagraph"/>
      </w:pPr>
      <w:r>
        <w:t>Selected Option: [option ID]</w:t>
      </w:r>
    </w:p>
    <w:p>
      <w:pPr>
        <w:pStyle w:val="BodyText"/>
      </w:pPr>
      <w:r>
        <w:t>Selection Rationale: [brief; must reference cascade outcomes]</w:t>
      </w:r>
    </w:p>
    <w:p>
      <w:pPr>
        <w:pStyle w:val="BodyText"/>
      </w:pPr>
      <w:r>
        <w:t>Monitoring Plan (NCAR):</w:t>
      </w:r>
    </w:p>
    <w:p>
      <w:pPr>
        <w:pStyle w:val="BodyText"/>
      </w:pPr>
      <w:r>
        <w:t>Metrics: [list]</w:t>
      </w:r>
    </w:p>
    <w:p>
      <w:pPr>
        <w:pStyle w:val="BodyText"/>
      </w:pPr>
      <w:r>
        <w:t>Review schedule: [date/interval]</w:t>
      </w:r>
    </w:p>
    <w:p>
      <w:pPr>
        <w:pStyle w:val="BodyText"/>
      </w:pPr>
      <w:r>
        <w:t>Triggers for re-run: [conditions]</w:t>
      </w:r>
    </w:p>
    <w:p>
      <w:pPr>
        <w:pStyle w:val="BodyText"/>
      </w:pPr>
      <w:r>
        <w:t>SENSITIVITY ANALYSIS (Tier 3 REQUIRED)</w:t>
      </w:r>
    </w:p>
    <w:p>
      <w:r/>
    </w:p>
    <w:p>
      <w:pPr>
        <w:pStyle w:val="FirstParagraph"/>
      </w:pPr>
      <w:r>
        <w:t>Weights perturbation: [summary; selection stable?]</w:t>
      </w:r>
    </w:p>
    <w:p>
      <w:pPr>
        <w:pStyle w:val="BodyText"/>
      </w:pPr>
      <w:r>
        <w:t>Threshold perturbation: [summary; any near-miss rights?]</w:t>
      </w:r>
    </w:p>
    <w:p>
      <w:pPr>
        <w:pStyle w:val="BodyText"/>
      </w:pPr>
      <w:r>
        <w:t>Kernel perturbation: [summary; flag fragile?]</w:t>
      </w:r>
    </w:p>
    <w:p>
      <w:pPr>
        <w:pStyle w:val="BodyText"/>
      </w:pPr>
      <w:r>
        <w:t>Scenario perturbation: [summary; probability sensitivity]</w:t>
      </w:r>
    </w:p>
    <w:p>
      <w:pPr>
        <w:pStyle w:val="BodyText"/>
      </w:pPr>
      <w:r>
        <w:t>Robustness classification: [Robust | Sensitive | Fragile]</w:t>
      </w:r>
    </w:p>
    <w:p>
      <w:pPr>
        <w:pStyle w:val="BodyText"/>
      </w:pPr>
      <w:r>
        <w:t>FIVE-SENTENCE PUBLIC RATIONALE (5SPR) (Tier 2-3 REQUIRED)</w:t>
      </w:r>
    </w:p>
    <w:p>
      <w:r/>
    </w:p>
    <w:p>
      <w:pPr>
        <w:pStyle w:val="FirstParagraph"/>
      </w:pPr>
      <w:r>
        <w:t>1. CONTEXT: [What decision was made and why now?]</w:t>
      </w:r>
    </w:p>
    <w:p>
      <w:pPr>
        <w:pStyle w:val="BodyText"/>
      </w:pPr>
      <w:r>
        <w:t>2. OPTIONS: [What options were considered?]</w:t>
      </w:r>
    </w:p>
    <w:p>
      <w:pPr>
        <w:pStyle w:val="BodyText"/>
      </w:pPr>
      <w:r>
        <w:t>3. CONSTRAINTS: [What was eliminated by NCRC, TRC, and/or Containment (and why)?]</w:t>
      </w:r>
    </w:p>
    <w:p>
      <w:pPr>
        <w:pStyle w:val="BodyText"/>
      </w:pPr>
      <w:r>
        <w:t>4. SELECTION: [Why the chosen option won among selectable options?]</w:t>
      </w:r>
    </w:p>
    <w:p>
      <w:pPr>
        <w:pStyle w:val="BodyText"/>
      </w:pPr>
      <w:r>
        <w:t>5. MONITORING: [What follow-up will be tracked and when?]</w:t>
      </w:r>
    </w:p>
    <w:p>
      <w:pPr>
        <w:pStyle w:val="BodyText"/>
      </w:pPr>
      <w:r>
        <w:t>AUDIT FLAGS (REQUIRED when triggered)</w:t>
      </w:r>
    </w:p>
    <w:p>
      <w:r/>
    </w:p>
    <w:p>
      <w:pPr>
        <w:pStyle w:val="FirstParagraph"/>
      </w:pPr>
      <w:r>
        <w:t>[List flags + explanations]</w:t>
      </w:r>
    </w:p>
    <w:p>
      <w:pPr>
        <w:pStyle w:val="BodyText"/>
      </w:pPr>
      <w:r>
        <w:t>SIGNATURES</w:t>
      </w:r>
    </w:p>
    <w:p>
      <w:r/>
    </w:p>
    <w:p>
      <w:pPr>
        <w:pStyle w:val="FirstParagraph"/>
      </w:pPr>
      <w:r>
        <w:t>Analyst: [name, date]</w:t>
      </w:r>
    </w:p>
    <w:p>
      <w:pPr>
        <w:pStyle w:val="BodyText"/>
      </w:pPr>
      <w:r>
        <w:t>Decision Owner: [name, date]</w:t>
      </w:r>
    </w:p>
    <w:p>
      <w:pPr>
        <w:pStyle w:val="BodyText"/>
      </w:pPr>
      <w:r>
        <w:t>Reviewer (Tier 3): [name, date]</w:t>
      </w:r>
    </w:p>
    <w:p>
      <w:pPr>
        <w:pStyle w:val="BodyText"/>
      </w:pPr>
      <w:r>
        <w:t>===============================================================</w:t>
      </w:r>
    </w:p>
    <w:bookmarkEnd w:id="416"/>
    <w:bookmarkStart w:id="417" w:name="X627284878665dbfe87421bf408db0407f61e873"/>
    <w:p>
      <w:pPr>
        <w:pStyle w:val="Heading2"/>
      </w:pPr>
      <w:r>
        <w:t>SOURCE-COUPLING RECORD (CONDITIONAL; REQUIRED when Section 2.1D trigger holds)</w:t>
      </w:r>
    </w:p>
    <w:p>
      <w:pPr>
        <w:pStyle w:val="FirstParagraph"/>
      </w:pPr>
      <w:r>
        <w:t>PCC.SourceCouplingRecord.claimed_capability: [capability being claimed]</w:t>
      </w:r>
      <w:r>
        <w:t xml:space="preserve"> </w:t>
      </w:r>
      <w:r>
        <w:t>PCC.SourceCouplingRecord.enabling_conditions: [conditions required for the capability to hold]</w:t>
      </w:r>
      <w:r>
        <w:t xml:space="preserve"> </w:t>
      </w:r>
      <w:r>
        <w:t>PCC.SourceCouplingRecord.boundary_conditions: [domain and scope boundaries]</w:t>
      </w:r>
      <w:r>
        <w:t xml:space="preserve"> </w:t>
      </w:r>
      <w:r>
        <w:t>PCC.SourceCouplingRecord.source_evidence: [evidence surface or warrant]</w:t>
      </w:r>
      <w:r>
        <w:t xml:space="preserve"> </w:t>
      </w:r>
      <w:r>
        <w:t>PCC.SourceCouplingRecord.generator_output_distinction: [how generated output is kept distinct from grounded warrant]</w:t>
      </w:r>
      <w:r>
        <w:t xml:space="preserve"> </w:t>
      </w:r>
      <w:r>
        <w:t>PCC.SourceCouplingRecord.inherited_assumptions: [assumptions inherited from source, model, data, or substrate]</w:t>
      </w:r>
      <w:r>
        <w:t xml:space="preserve"> </w:t>
      </w:r>
      <w:r>
        <w:t>PCC.SourceCouplingRecord.downstream_compensations: [filters, monitoring, governance, or controls used downstream]</w:t>
      </w:r>
      <w:r>
        <w:t xml:space="preserve"> </w:t>
      </w:r>
      <w:r>
        <w:t>PCC.SourceCouplingRecord.source_coupling_status: [SOURCE_COUPLED | SOURCE_PARTIAL | SOURCE_INFERRED | SOURCE_UNKNOWN | SOURCE_CONTESTED | SOURCE_DEBT_RISK | SOURCE_COUPLING_FAILURE]</w:t>
      </w:r>
      <w:r>
        <w:t xml:space="preserve"> </w:t>
      </w:r>
      <w:r>
        <w:t>Machine-readable records MUST use the canonical SourceCouplingStatus enum above. Human-readable aliases such as GROUNDED may be displayed only as labels for SOURCE_COUPLED; they SHALL NOT replace canonical tokens in PCC or validator-facing records.</w:t>
      </w:r>
      <w:r>
        <w:t xml:space="preserve"> </w:t>
      </w:r>
      <w:r>
        <w:t>PCC.SourceCouplingRecord.source_debt_flag: [TRUE/FALSE]</w:t>
      </w:r>
      <w:r>
        <w:t xml:space="preserve"> </w:t>
      </w:r>
      <w:r>
        <w:t>PCC.SourceCouplingRecord.falsification_or_recheck_trigger: [trigger]</w:t>
      </w:r>
      <w:r>
        <w:t xml:space="preserve"> </w:t>
      </w:r>
      <w:r>
        <w:t>PCC.SourceCouplingRecord.required_claim_action: [proceed | narrow | control | redesign | escalate | refuse]</w:t>
      </w:r>
    </w:p>
    <w:bookmarkEnd w:id="417"/>
    <w:bookmarkStart w:id="418" w:name="X033c8b5855eb20d931363956ae906b681704666"/>
    <w:p>
      <w:pPr>
        <w:pStyle w:val="Heading2"/>
      </w:pPr>
      <w:r>
        <w:t>PHYSICAL/CAUSAL ADMISSIBILITY EVIDENCE PROFILE (CONDITIONAL; REQUIRED when Section 2.1E trigger holds)</w:t>
      </w:r>
    </w:p>
    <w:p>
      <w:pPr>
        <w:pStyle w:val="FirstParagraph"/>
      </w:pPr>
      <w:r>
        <w:t>PCC.PhysicalCausalAdmissibilityEvidenceProfile.candidate_generation_source: [model/planner/controller/person/procedure that generated the candidate]</w:t>
      </w:r>
      <w:r>
        <w:t xml:space="preserve"> </w:t>
      </w:r>
      <w:r>
        <w:t>PCC.PhysicalCausalAdmissibilityEvidenceProfile.physical_or_causal_model_used: [model or basis]</w:t>
      </w:r>
      <w:r>
        <w:t xml:space="preserve"> </w:t>
      </w:r>
      <w:r>
        <w:t>PCC.PhysicalCausalAdmissibilityEvidenceProfile.validity_domain: [declared domain]</w:t>
      </w:r>
      <w:r>
        <w:t xml:space="preserve"> </w:t>
      </w:r>
      <w:r>
        <w:t>PCC.PhysicalCausalAdmissibilityEvidenceProfile.boundary_conditions: [conditions]</w:t>
      </w:r>
      <w:r>
        <w:t xml:space="preserve"> </w:t>
      </w:r>
      <w:r>
        <w:t>PCC.PhysicalCausalAdmissibilityEvidenceProfile.uncertainty_range: [range/class]</w:t>
      </w:r>
      <w:r>
        <w:t xml:space="preserve"> </w:t>
      </w:r>
      <w:r>
        <w:t>PCC.PhysicalCausalAdmissibilityEvidenceProfile.failure_modes: [failure modes]</w:t>
      </w:r>
      <w:r>
        <w:t xml:space="preserve"> </w:t>
      </w:r>
      <w:r>
        <w:t>PCC.PhysicalCausalAdmissibilityEvidenceProfile.reversibility_or_irreversibility_boundary: [boundary]</w:t>
      </w:r>
      <w:r>
        <w:t xml:space="preserve"> </w:t>
      </w:r>
      <w:r>
        <w:t>PCC.PhysicalCausalAdmissibilityEvidenceProfile.verification_simulation_empirical_test_or_expert_warrant: [external warrant]</w:t>
      </w:r>
      <w:r>
        <w:t xml:space="preserve"> </w:t>
      </w:r>
      <w:r>
        <w:t>PCC.PhysicalCausalAdmissibilityEvidenceProfile.admissibility_warrant_source: [domain method or authority surface that evaluates admissibility]</w:t>
      </w:r>
      <w:r>
        <w:t xml:space="preserve"> </w:t>
      </w:r>
      <w:r>
        <w:t>PCC.PhysicalCausalAdmissibilityEvidenceProfile.monitoring_and_shutoff_path: [monitoring/shutoff]</w:t>
      </w:r>
      <w:r>
        <w:t xml:space="preserve"> </w:t>
      </w:r>
      <w:r>
        <w:t>PCC.PhysicalCausalAdmissibilityEvidenceProfile.residual_unknowns: [unknowns]</w:t>
      </w:r>
      <w:r>
        <w:t xml:space="preserve"> </w:t>
      </w:r>
      <w:r>
        <w:t>PCC.PhysicalCausalAdmissibilityEvidenceProfile.required_claim_action: [proceed | narrow | control | redesign | escalate | refuse]</w:t>
      </w:r>
      <w:r>
        <w:t xml:space="preserve"> </w:t>
      </w:r>
      <w:r>
        <w:t>PCC.PhysicalCausalAdmissibilityEvidenceProfile.status: [PCAE_SUPPORTED | PCAE_ASSUMPTION_BOUND | PCAE_PARTIAL | PCAE_CONTESTED | PCAE_UNKNOWN | PCAE_VERIFICATION_REQUIRED | PCAE_CONTROL_REQUIRED | PCAE_REDESIGN_REQUIRED | PCAE_REFUSE_OR_BLOCK]</w:t>
      </w:r>
      <w:r>
        <w:t xml:space="preserve"> </w:t>
      </w:r>
      <w:r>
        <w:t>PCC.PhysicalCausalAdmissibilityEvidenceProfile.physical_execution_claim_status: [PHYSICAL_ADMISSIBILITY_SUPPORTED | GOVERNANCE_PERMISSION_ONLY | PHYSICAL_ADMISSIBILITY_NOT_ESTABLISHED | PHYSICAL_ADMISSIBILITY_CONTRAINDICATED]</w:t>
      </w:r>
    </w:p>
    <w:bookmarkEnd w:id="418"/>
    <w:bookmarkStart w:id="419" w:name="Xd9acf50d01d75a30a0cd5d3e1e33447b66afd3c"/>
    <w:p>
      <w:pPr>
        <w:pStyle w:val="Heading2"/>
      </w:pPr>
      <w:r>
        <w:t>METHODOLOGICAL INTEGRITY RECORD (CONDITIONAL; REQUIRED when Section 2.1F or Appendix AN trigger holds)</w:t>
      </w:r>
    </w:p>
    <w:p>
      <w:pPr>
        <w:pStyle w:val="FirstParagraph"/>
      </w:pPr>
      <w:r>
        <w:t>PCC.MethodologicalIntegrityRecord.claim_or_component: [claim/component]</w:t>
      </w:r>
      <w:r>
        <w:t xml:space="preserve"> </w:t>
      </w:r>
      <w:r>
        <w:t>PCC.MethodologicalIntegrityRecord.claim_type: [empirical | causal | formal | operational | normative | metaphysical_horizon]</w:t>
      </w:r>
      <w:r>
        <w:t xml:space="preserve"> </w:t>
      </w:r>
      <w:r>
        <w:t>PCC.MethodologicalIntegrityRecord.dependency_position: [where it sits in the method]</w:t>
      </w:r>
      <w:r>
        <w:t xml:space="preserve"> </w:t>
      </w:r>
      <w:r>
        <w:t>PCC.MethodologicalIntegrityRecord.starting_assumptions: [assumptions]</w:t>
      </w:r>
      <w:r>
        <w:t xml:space="preserve"> </w:t>
      </w:r>
      <w:r>
        <w:t>PCC.MethodologicalIntegrityRecord.definition_or_operator_used: [definition/operator]</w:t>
      </w:r>
      <w:r>
        <w:t xml:space="preserve"> </w:t>
      </w:r>
      <w:r>
        <w:t>PCC.MethodologicalIntegrityRecord.necessity_or_alternative_check: [necessity claim and alternatives]</w:t>
      </w:r>
      <w:r>
        <w:t xml:space="preserve"> </w:t>
      </w:r>
      <w:r>
        <w:t>PCC.MethodologicalIntegrityRecord.evidence_or_test_surface: [evidence/test surface]</w:t>
      </w:r>
      <w:r>
        <w:t xml:space="preserve"> </w:t>
      </w:r>
      <w:r>
        <w:t>PCC.MethodologicalIntegrityRecord.falsification_or_revision_trigger: [trigger]</w:t>
      </w:r>
      <w:r>
        <w:t xml:space="preserve"> </w:t>
      </w:r>
      <w:r>
        <w:t>PCC.MethodologicalIntegrityRecord.uncertainty_or_confidence_method: [method]</w:t>
      </w:r>
      <w:r>
        <w:t xml:space="preserve"> </w:t>
      </w:r>
      <w:r>
        <w:t>PCC.MethodologicalIntegrityRecord.downstream_dependencies: [dependencies]</w:t>
      </w:r>
      <w:r>
        <w:t xml:space="preserve"> </w:t>
      </w:r>
      <w:r>
        <w:t>PCC.MethodologicalIntegrityRecord.re_derivation_scope_if_changed: [rerun/rederive scope]</w:t>
      </w:r>
      <w:r>
        <w:t xml:space="preserve"> </w:t>
      </w:r>
      <w:r>
        <w:t>PCC.MethodologicalIntegrityRecord.reviewer_status: [reviewer status]</w:t>
      </w:r>
      <w:r>
        <w:t xml:space="preserve"> </w:t>
      </w:r>
      <w:r>
        <w:t>PCC.MethodologicalIntegrityRecord.required_claim_action: [proceed | narrow | control | redesign | escalate | refuse]</w:t>
      </w:r>
    </w:p>
    <w:bookmarkEnd w:id="419"/>
    <w:bookmarkStart w:id="420" w:name="Xa67b7c9cec075222ccee11273582412d2d3fc23"/>
    <w:p>
      <w:pPr>
        <w:pStyle w:val="Heading2"/>
      </w:pPr>
      <w:r>
        <w:t>H.1A PCC.ReferenceStructureRecord (Normative for Tier 3 public conformance claims; recommended for Tier 2 high-stakes runs)</w:t>
      </w:r>
    </w:p>
    <w:p>
      <w:pPr>
        <w:pStyle w:val="FirstParagraph"/>
      </w:pPr>
      <w:r>
        <w:t>The PCC SHOULD include a ReferenceStructureRecord for Tier 2 high-stakes runs and SHALL include one for Tier 3 public conformance or validation claims. This record does not alter historical NCRC, TRC, CSV, RLS, or UCI/HOI arithmetic. It records the reference structure used to support the claim being made.</w:t>
      </w:r>
    </w:p>
    <w:p>
      <w:pPr>
        <w:pStyle w:val="BodyText"/>
      </w:pPr>
      <w:r>
        <w:t>Minimum fields:</w:t>
      </w:r>
    </w:p>
    <w:p>
      <w:pPr>
        <w:pStyle w:val="BodyText"/>
      </w:pPr>
      <w:r>
        <w:t>record_id</w:t>
      </w:r>
    </w:p>
    <w:p>
      <w:pPr>
        <w:pStyle w:val="BodyText"/>
      </w:pPr>
      <w:r>
        <w:t>decision_id</w:t>
      </w:r>
    </w:p>
    <w:p>
      <w:pPr>
        <w:pStyle w:val="BodyText"/>
      </w:pPr>
      <w:r>
        <w:t>option_id_or_set</w:t>
      </w:r>
    </w:p>
    <w:p>
      <w:pPr>
        <w:pStyle w:val="BodyText"/>
      </w:pPr>
      <w:r>
        <w:t>claim_scope</w:t>
      </w:r>
    </w:p>
    <w:p>
      <w:pPr>
        <w:pStyle w:val="BodyText"/>
      </w:pPr>
      <w:r>
        <w:t>decision_boundary</w:t>
      </w:r>
    </w:p>
    <w:p>
      <w:pPr>
        <w:pStyle w:val="BodyText"/>
      </w:pPr>
      <w:r>
        <w:t>reference_object</w:t>
      </w:r>
    </w:p>
    <w:p>
      <w:pPr>
        <w:pStyle w:val="BodyText"/>
      </w:pPr>
      <w:r>
        <w:t>active_reference_layers</w:t>
      </w:r>
    </w:p>
    <w:p>
      <w:pPr>
        <w:pStyle w:val="BodyText"/>
      </w:pPr>
      <w:r>
        <w:t>invariant_constraints</w:t>
      </w:r>
    </w:p>
    <w:p>
      <w:pPr>
        <w:pStyle w:val="BodyText"/>
      </w:pPr>
      <w:r>
        <w:t>causal_pathway_summary</w:t>
      </w:r>
    </w:p>
    <w:p>
      <w:pPr>
        <w:pStyle w:val="BodyText"/>
      </w:pPr>
      <w:r>
        <w:t>falsification_conditions</w:t>
      </w:r>
    </w:p>
    <w:p>
      <w:pPr>
        <w:pStyle w:val="BodyText"/>
      </w:pPr>
      <w:r>
        <w:t>evidence_sources</w:t>
      </w:r>
    </w:p>
    <w:p>
      <w:pPr>
        <w:pStyle w:val="BodyText"/>
      </w:pPr>
      <w:r>
        <w:t>evidence_status_tokens</w:t>
      </w:r>
    </w:p>
    <w:p>
      <w:pPr>
        <w:pStyle w:val="BodyText"/>
      </w:pPr>
      <w:r>
        <w:t>measurement_maturity_status</w:t>
      </w:r>
    </w:p>
    <w:p>
      <w:pPr>
        <w:pStyle w:val="BodyText"/>
      </w:pPr>
      <w:r>
        <w:t>adaptation_boundary</w:t>
      </w:r>
    </w:p>
    <w:p>
      <w:pPr>
        <w:pStyle w:val="BodyText"/>
      </w:pPr>
      <w:r>
        <w:t>authority_boundary</w:t>
      </w:r>
    </w:p>
    <w:p>
      <w:pPr>
        <w:pStyle w:val="BodyText"/>
      </w:pPr>
      <w:r>
        <w:t>refusal_triggers</w:t>
      </w:r>
    </w:p>
    <w:p>
      <w:pPr>
        <w:pStyle w:val="BodyText"/>
      </w:pPr>
      <w:r>
        <w:t>excluded_references</w:t>
      </w:r>
    </w:p>
    <w:p>
      <w:pPr>
        <w:pStyle w:val="BodyText"/>
      </w:pPr>
      <w:r>
        <w:t>reviewer_disposition</w:t>
      </w:r>
    </w:p>
    <w:p>
      <w:pPr>
        <w:pStyle w:val="BodyText"/>
      </w:pPr>
      <w:r>
        <w:t>timestamp</w:t>
      </w:r>
    </w:p>
    <w:p>
      <w:pPr>
        <w:pStyle w:val="BodyText"/>
      </w:pPr>
      <w:r>
        <w:t>artifact_hashes</w:t>
      </w:r>
    </w:p>
    <w:p>
      <w:pPr>
        <w:pStyle w:val="BodyText"/>
      </w:pPr>
      <w:r>
        <w:t>Validation rule. If PCC.ReferenceStructureRecord is required and missing, the PCC is incomplete for any claim that the run was reference-structure-audited. Missing ReferenceStructureRecord does not by itself alter cascade arithmetic, but it prevents stronger public conformance, deployment-readiness, or validation claims.</w:t>
      </w:r>
    </w:p>
    <w:bookmarkEnd w:id="420"/>
    <w:bookmarkStart w:id="421" w:name="Xc01317f1f9b2d94967026cd4da72aa66fbb6f35"/>
    <w:p>
      <w:pPr>
        <w:pStyle w:val="Heading2"/>
      </w:pPr>
      <w:r>
        <w:t>H.2 Minimum Required Fields by Tier (Canonical)</w:t>
      </w:r>
    </w:p>
    <w:tbl>
      <w:tblPr>
        <w:tblStyle w:val="Table"/>
        <w:tblW w:type="auto" w:w="0"/>
        <w:jc w:val="center"/>
        <w:tblLook w:firstRow="1" w:lastRow="0" w:firstColumn="0" w:lastColumn="0" w:noHBand="0" w:noVBand="0" w:val="0020"/>
      </w:tblPr>
      <w:tblGrid>
        <w:gridCol w:w="1980"/>
        <w:gridCol w:w="1980"/>
        <w:gridCol w:w="1980"/>
        <w:gridCol w:w="1980"/>
      </w:tblGrid>
      <w:tr>
        <w:trPr>
          <w:tblHeader w:val="on"/>
          <w:tblHeader w:val="true"/>
          <w:cantSplit/>
        </w:trPr>
        <w:tc>
          <w:tcPr>
            <w:vAlign w:val="top"/>
            <w:tcMar>
              <w:top w:w="70" w:type="dxa"/>
              <w:start w:w="80" w:type="dxa"/>
              <w:bottom w:w="70" w:type="dxa"/>
              <w:end w:w="80" w:type="dxa"/>
            </w:tcMar>
            <w:shd w:fill="1F4E78"/>
          </w:tcPr>
          <w:p>
            <w:pPr>
              <w:pStyle w:val="Compact"/>
              <w:jc w:val="left"/>
            </w:pPr>
            <w:r>
              <w:rPr>
                <w:rFonts w:ascii="Arial" w:hAnsi="Arial" w:eastAsia="Arial"/>
                <w:b/>
                <w:bCs/>
                <w:color w:val="FFFFFF"/>
                <w:sz w:val="16"/>
              </w:rPr>
              <w:t>Field</w:t>
            </w:r>
          </w:p>
        </w:tc>
        <w:tc>
          <w:tcPr>
            <w:vAlign w:val="top"/>
            <w:tcMar>
              <w:top w:w="70" w:type="dxa"/>
              <w:start w:w="80" w:type="dxa"/>
              <w:bottom w:w="70" w:type="dxa"/>
              <w:end w:w="80" w:type="dxa"/>
            </w:tcMar>
            <w:shd w:fill="1F4E78"/>
          </w:tcPr>
          <w:p>
            <w:pPr>
              <w:pStyle w:val="Compact"/>
              <w:jc w:val="left"/>
            </w:pPr>
            <w:r>
              <w:rPr>
                <w:rFonts w:ascii="Arial" w:hAnsi="Arial" w:eastAsia="Arial"/>
                <w:b/>
                <w:bCs/>
                <w:color w:val="FFFFFF"/>
                <w:sz w:val="16"/>
              </w:rPr>
              <w:t>Tier 1</w:t>
            </w:r>
          </w:p>
        </w:tc>
        <w:tc>
          <w:tcPr>
            <w:vAlign w:val="top"/>
            <w:tcMar>
              <w:top w:w="70" w:type="dxa"/>
              <w:start w:w="80" w:type="dxa"/>
              <w:bottom w:w="70" w:type="dxa"/>
              <w:end w:w="80" w:type="dxa"/>
            </w:tcMar>
            <w:shd w:fill="1F4E78"/>
          </w:tcPr>
          <w:p>
            <w:pPr>
              <w:pStyle w:val="Compact"/>
              <w:jc w:val="left"/>
            </w:pPr>
            <w:r>
              <w:rPr>
                <w:rFonts w:ascii="Arial" w:hAnsi="Arial" w:eastAsia="Arial"/>
                <w:b/>
                <w:bCs/>
                <w:color w:val="FFFFFF"/>
                <w:sz w:val="16"/>
              </w:rPr>
              <w:t>Tier 2</w:t>
            </w:r>
          </w:p>
        </w:tc>
        <w:tc>
          <w:tcPr>
            <w:vAlign w:val="top"/>
            <w:tcMar>
              <w:top w:w="70" w:type="dxa"/>
              <w:start w:w="80" w:type="dxa"/>
              <w:bottom w:w="70" w:type="dxa"/>
              <w:end w:w="80" w:type="dxa"/>
            </w:tcMar>
            <w:shd w:fill="1F4E78"/>
          </w:tcPr>
          <w:p>
            <w:pPr>
              <w:pStyle w:val="Compact"/>
              <w:jc w:val="left"/>
            </w:pPr>
            <w:r>
              <w:rPr>
                <w:rFonts w:ascii="Arial" w:hAnsi="Arial" w:eastAsia="Arial"/>
                <w:b/>
                <w:bCs/>
                <w:color w:val="FFFFFF"/>
                <w:sz w:val="16"/>
              </w:rPr>
              <w:t>Tier 3</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Decision ID</w:t>
            </w:r>
          </w:p>
        </w:tc>
        <w:tc>
          <w:tcPr>
            <w:vAlign w:val="top"/>
            <w:tcMar>
              <w:top w:w="70" w:type="dxa"/>
              <w:start w:w="80" w:type="dxa"/>
              <w:bottom w:w="70" w:type="dxa"/>
              <w:end w:w="80" w:type="dxa"/>
            </w:tcMar>
            <w:shd w:fill="D9EAF7"/>
          </w:tcPr>
          <w:p>
            <w:pPr>
              <w:pStyle w:val="Compact"/>
              <w:jc w:val="left"/>
            </w:pPr>
            <w:r>
              <w:rPr>
                <w:rFonts w:ascii="Arial" w:hAnsi="Arial" w:eastAsia="Arial"/>
                <w:sz w:val="16"/>
              </w:rPr>
              <w:t>Recommended</w:t>
            </w:r>
          </w:p>
        </w:tc>
        <w:tc>
          <w:tcPr>
            <w:vAlign w:val="top"/>
            <w:tcMar>
              <w:top w:w="70" w:type="dxa"/>
              <w:start w:w="80" w:type="dxa"/>
              <w:bottom w:w="70" w:type="dxa"/>
              <w:end w:w="80" w:type="dxa"/>
            </w:tcMar>
            <w:shd w:fill="D9EAF7"/>
          </w:tcPr>
          <w:p>
            <w:pPr>
              <w:pStyle w:val="Compact"/>
              <w:jc w:val="left"/>
            </w:pPr>
            <w:r>
              <w:rPr>
                <w:rFonts w:ascii="Arial" w:hAnsi="Arial" w:eastAsia="Arial"/>
                <w:sz w:val="16"/>
              </w:rPr>
              <w:t>REQUIRED</w:t>
            </w:r>
          </w:p>
        </w:tc>
        <w:tc>
          <w:tcPr>
            <w:vAlign w:val="top"/>
            <w:tcMar>
              <w:top w:w="70" w:type="dxa"/>
              <w:start w:w="80" w:type="dxa"/>
              <w:bottom w:w="70" w:type="dxa"/>
              <w:end w:w="80" w:type="dxa"/>
            </w:tcMar>
            <w:shd w:fill="D9EAF7"/>
          </w:tcPr>
          <w:p>
            <w:pPr>
              <w:pStyle w:val="Compact"/>
              <w:jc w:val="left"/>
            </w:pPr>
            <w:r>
              <w:rPr>
                <w:rFonts w:ascii="Arial" w:hAnsi="Arial" w:eastAsia="Arial"/>
                <w:sz w:val="16"/>
              </w:rPr>
              <w:t>REQUIRED</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Timestamp</w:t>
            </w:r>
          </w:p>
        </w:tc>
        <w:tc>
          <w:tcPr>
            <w:vAlign w:val="top"/>
            <w:tcMar>
              <w:top w:w="70" w:type="dxa"/>
              <w:start w:w="80" w:type="dxa"/>
              <w:bottom w:w="70" w:type="dxa"/>
              <w:end w:w="80" w:type="dxa"/>
            </w:tcMar>
            <w:shd w:fill="FFFFFF"/>
          </w:tcPr>
          <w:p>
            <w:pPr>
              <w:pStyle w:val="Compact"/>
              <w:jc w:val="left"/>
            </w:pPr>
            <w:r>
              <w:rPr>
                <w:rFonts w:ascii="Arial" w:hAnsi="Arial" w:eastAsia="Arial"/>
                <w:sz w:val="16"/>
              </w:rPr>
              <w:t>Recommended</w:t>
            </w:r>
          </w:p>
        </w:tc>
        <w:tc>
          <w:tcPr>
            <w:vAlign w:val="top"/>
            <w:tcMar>
              <w:top w:w="70" w:type="dxa"/>
              <w:start w:w="80" w:type="dxa"/>
              <w:bottom w:w="70" w:type="dxa"/>
              <w:end w:w="80" w:type="dxa"/>
            </w:tcMar>
            <w:shd w:fill="FFFFFF"/>
          </w:tcPr>
          <w:p>
            <w:pPr>
              <w:pStyle w:val="Compact"/>
              <w:jc w:val="left"/>
            </w:pPr>
            <w:r>
              <w:rPr>
                <w:rFonts w:ascii="Arial" w:hAnsi="Arial" w:eastAsia="Arial"/>
                <w:sz w:val="16"/>
              </w:rPr>
              <w:t>REQUIRED</w:t>
            </w:r>
          </w:p>
        </w:tc>
        <w:tc>
          <w:tcPr>
            <w:vAlign w:val="top"/>
            <w:tcMar>
              <w:top w:w="70" w:type="dxa"/>
              <w:start w:w="80" w:type="dxa"/>
              <w:bottom w:w="70" w:type="dxa"/>
              <w:end w:w="80" w:type="dxa"/>
            </w:tcMar>
            <w:shd w:fill="FFFFFF"/>
          </w:tcPr>
          <w:p>
            <w:pPr>
              <w:pStyle w:val="Compact"/>
              <w:jc w:val="left"/>
            </w:pPr>
            <w:r>
              <w:rPr>
                <w:rFonts w:ascii="Arial" w:hAnsi="Arial" w:eastAsia="Arial"/>
                <w:sz w:val="16"/>
              </w:rPr>
              <w:t>REQUIRED</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Option set</w:t>
            </w:r>
          </w:p>
        </w:tc>
        <w:tc>
          <w:tcPr>
            <w:vAlign w:val="top"/>
            <w:tcMar>
              <w:top w:w="70" w:type="dxa"/>
              <w:start w:w="80" w:type="dxa"/>
              <w:bottom w:w="70" w:type="dxa"/>
              <w:end w:w="80" w:type="dxa"/>
            </w:tcMar>
            <w:shd w:fill="D9EAF7"/>
          </w:tcPr>
          <w:p>
            <w:pPr>
              <w:pStyle w:val="Compact"/>
              <w:jc w:val="left"/>
            </w:pPr>
            <w:r>
              <w:rPr>
                <w:rFonts w:ascii="Arial" w:hAnsi="Arial" w:eastAsia="Arial"/>
                <w:sz w:val="16"/>
              </w:rPr>
              <w:t>REQUIRED</w:t>
            </w:r>
          </w:p>
        </w:tc>
        <w:tc>
          <w:tcPr>
            <w:vAlign w:val="top"/>
            <w:tcMar>
              <w:top w:w="70" w:type="dxa"/>
              <w:start w:w="80" w:type="dxa"/>
              <w:bottom w:w="70" w:type="dxa"/>
              <w:end w:w="80" w:type="dxa"/>
            </w:tcMar>
            <w:shd w:fill="D9EAF7"/>
          </w:tcPr>
          <w:p>
            <w:pPr>
              <w:pStyle w:val="Compact"/>
              <w:jc w:val="left"/>
            </w:pPr>
            <w:r>
              <w:rPr>
                <w:rFonts w:ascii="Arial" w:hAnsi="Arial" w:eastAsia="Arial"/>
                <w:sz w:val="16"/>
              </w:rPr>
              <w:t>REQUIRED</w:t>
            </w:r>
          </w:p>
        </w:tc>
        <w:tc>
          <w:tcPr>
            <w:vAlign w:val="top"/>
            <w:tcMar>
              <w:top w:w="70" w:type="dxa"/>
              <w:start w:w="80" w:type="dxa"/>
              <w:bottom w:w="70" w:type="dxa"/>
              <w:end w:w="80" w:type="dxa"/>
            </w:tcMar>
            <w:shd w:fill="D9EAF7"/>
          </w:tcPr>
          <w:p>
            <w:pPr>
              <w:pStyle w:val="Compact"/>
              <w:jc w:val="left"/>
            </w:pPr>
            <w:r>
              <w:rPr>
                <w:rFonts w:ascii="Arial" w:hAnsi="Arial" w:eastAsia="Arial"/>
                <w:sz w:val="16"/>
              </w:rPr>
              <w:t>REQUIRED</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NCRC results</w:t>
            </w:r>
          </w:p>
        </w:tc>
        <w:tc>
          <w:tcPr>
            <w:vAlign w:val="top"/>
            <w:tcMar>
              <w:top w:w="70" w:type="dxa"/>
              <w:start w:w="80" w:type="dxa"/>
              <w:bottom w:w="70" w:type="dxa"/>
              <w:end w:w="80" w:type="dxa"/>
            </w:tcMar>
            <w:shd w:fill="FFFFFF"/>
          </w:tcPr>
          <w:p>
            <w:pPr>
              <w:pStyle w:val="Compact"/>
              <w:jc w:val="left"/>
            </w:pPr>
            <w:r>
              <w:rPr>
                <w:rFonts w:ascii="Arial" w:hAnsi="Arial" w:eastAsia="Arial"/>
                <w:sz w:val="16"/>
              </w:rPr>
              <w:t>Heuristic ok</w:t>
            </w:r>
          </w:p>
        </w:tc>
        <w:tc>
          <w:tcPr>
            <w:vAlign w:val="top"/>
            <w:tcMar>
              <w:top w:w="70" w:type="dxa"/>
              <w:start w:w="80" w:type="dxa"/>
              <w:bottom w:w="70" w:type="dxa"/>
              <w:end w:w="80" w:type="dxa"/>
            </w:tcMar>
            <w:shd w:fill="FFFFFF"/>
          </w:tcPr>
          <w:p>
            <w:pPr>
              <w:pStyle w:val="Compact"/>
              <w:jc w:val="left"/>
            </w:pPr>
            <w:r>
              <w:rPr>
                <w:rFonts w:ascii="Arial" w:hAnsi="Arial" w:eastAsia="Arial"/>
                <w:sz w:val="16"/>
              </w:rPr>
              <w:t>REQUIRED</w:t>
            </w:r>
          </w:p>
        </w:tc>
        <w:tc>
          <w:tcPr>
            <w:vAlign w:val="top"/>
            <w:tcMar>
              <w:top w:w="70" w:type="dxa"/>
              <w:start w:w="80" w:type="dxa"/>
              <w:bottom w:w="70" w:type="dxa"/>
              <w:end w:w="80" w:type="dxa"/>
            </w:tcMar>
            <w:shd w:fill="FFFFFF"/>
          </w:tcPr>
          <w:p>
            <w:pPr>
              <w:pStyle w:val="Compact"/>
              <w:jc w:val="left"/>
            </w:pPr>
            <w:r>
              <w:rPr>
                <w:rFonts w:ascii="Arial" w:hAnsi="Arial" w:eastAsia="Arial"/>
                <w:sz w:val="16"/>
              </w:rPr>
              <w:t>REQUIRED + subgroup policy</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TRC results</w:t>
            </w:r>
          </w:p>
        </w:tc>
        <w:tc>
          <w:tcPr>
            <w:vAlign w:val="top"/>
            <w:tcMar>
              <w:top w:w="70" w:type="dxa"/>
              <w:start w:w="80" w:type="dxa"/>
              <w:bottom w:w="70" w:type="dxa"/>
              <w:end w:w="80" w:type="dxa"/>
            </w:tcMar>
            <w:shd w:fill="D9EAF7"/>
          </w:tcPr>
          <w:p>
            <w:pPr>
              <w:pStyle w:val="Compact"/>
              <w:jc w:val="left"/>
            </w:pPr>
            <w:r>
              <w:rPr>
                <w:rFonts w:ascii="Arial" w:hAnsi="Arial" w:eastAsia="Arial"/>
                <w:sz w:val="16"/>
              </w:rPr>
              <w:t>Optional</w:t>
            </w:r>
          </w:p>
        </w:tc>
        <w:tc>
          <w:tcPr>
            <w:vAlign w:val="top"/>
            <w:tcMar>
              <w:top w:w="70" w:type="dxa"/>
              <w:start w:w="80" w:type="dxa"/>
              <w:bottom w:w="70" w:type="dxa"/>
              <w:end w:w="80" w:type="dxa"/>
            </w:tcMar>
            <w:shd w:fill="D9EAF7"/>
          </w:tcPr>
          <w:p>
            <w:pPr>
              <w:pStyle w:val="Compact"/>
              <w:jc w:val="left"/>
            </w:pPr>
            <w:r>
              <w:rPr>
                <w:rFonts w:ascii="Arial" w:hAnsi="Arial" w:eastAsia="Arial"/>
                <w:sz w:val="16"/>
              </w:rPr>
              <w:t>REQUIRED when catastrophe plausible</w:t>
            </w:r>
          </w:p>
        </w:tc>
        <w:tc>
          <w:tcPr>
            <w:vAlign w:val="top"/>
            <w:tcMar>
              <w:top w:w="70" w:type="dxa"/>
              <w:start w:w="80" w:type="dxa"/>
              <w:bottom w:w="70" w:type="dxa"/>
              <w:end w:w="80" w:type="dxa"/>
            </w:tcMar>
            <w:shd w:fill="D9EAF7"/>
          </w:tcPr>
          <w:p>
            <w:pPr>
              <w:pStyle w:val="Compact"/>
              <w:jc w:val="left"/>
            </w:pPr>
            <w:r>
              <w:rPr>
                <w:rFonts w:ascii="Arial" w:hAnsi="Arial" w:eastAsia="Arial"/>
                <w:sz w:val="16"/>
              </w:rPr>
              <w:t>REQUIRED</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Containment</w:t>
            </w:r>
          </w:p>
        </w:tc>
        <w:tc>
          <w:tcPr>
            <w:vAlign w:val="top"/>
            <w:tcMar>
              <w:top w:w="70" w:type="dxa"/>
              <w:start w:w="80" w:type="dxa"/>
              <w:bottom w:w="70" w:type="dxa"/>
              <w:end w:w="80" w:type="dxa"/>
            </w:tcMar>
            <w:shd w:fill="FFFFFF"/>
          </w:tcPr>
          <w:p>
            <w:pPr>
              <w:pStyle w:val="Compact"/>
              <w:jc w:val="left"/>
            </w:pPr>
            <w:r>
              <w:rPr>
                <w:rFonts w:ascii="Arial" w:hAnsi="Arial" w:eastAsia="Arial"/>
                <w:sz w:val="16"/>
              </w:rPr>
              <w:t>Optional</w:t>
            </w:r>
          </w:p>
        </w:tc>
        <w:tc>
          <w:tcPr>
            <w:vAlign w:val="top"/>
            <w:tcMar>
              <w:top w:w="70" w:type="dxa"/>
              <w:start w:w="80" w:type="dxa"/>
              <w:bottom w:w="70" w:type="dxa"/>
              <w:end w:w="80" w:type="dxa"/>
            </w:tcMar>
            <w:shd w:fill="FFFFFF"/>
          </w:tcPr>
          <w:p>
            <w:pPr>
              <w:pStyle w:val="Compact"/>
              <w:jc w:val="left"/>
            </w:pPr>
            <w:r>
              <w:rPr>
                <w:rFonts w:ascii="Arial" w:hAnsi="Arial" w:eastAsia="Arial"/>
                <w:sz w:val="16"/>
              </w:rPr>
              <w:t>Recommended</w:t>
            </w:r>
          </w:p>
        </w:tc>
        <w:tc>
          <w:tcPr>
            <w:vAlign w:val="top"/>
            <w:tcMar>
              <w:top w:w="70" w:type="dxa"/>
              <w:start w:w="80" w:type="dxa"/>
              <w:bottom w:w="70" w:type="dxa"/>
              <w:end w:w="80" w:type="dxa"/>
            </w:tcMar>
            <w:shd w:fill="FFFFFF"/>
          </w:tcPr>
          <w:p>
            <w:pPr>
              <w:pStyle w:val="Compact"/>
              <w:jc w:val="left"/>
            </w:pPr>
            <w:r>
              <w:rPr>
                <w:rFonts w:ascii="Arial" w:hAnsi="Arial" w:eastAsia="Arial"/>
                <w:sz w:val="16"/>
              </w:rPr>
              <w:t>REQUIRED</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RLS scores</w:t>
            </w:r>
          </w:p>
        </w:tc>
        <w:tc>
          <w:tcPr>
            <w:vAlign w:val="top"/>
            <w:tcMar>
              <w:top w:w="70" w:type="dxa"/>
              <w:start w:w="80" w:type="dxa"/>
              <w:bottom w:w="70" w:type="dxa"/>
              <w:end w:w="80" w:type="dxa"/>
            </w:tcMar>
            <w:shd w:fill="D9EAF7"/>
          </w:tcPr>
          <w:p>
            <w:pPr>
              <w:pStyle w:val="Compact"/>
              <w:jc w:val="left"/>
            </w:pPr>
            <w:r>
              <w:rPr>
                <w:rFonts w:ascii="Arial" w:hAnsi="Arial" w:eastAsia="Arial"/>
                <w:sz w:val="16"/>
              </w:rPr>
              <w:t>Optional</w:t>
            </w:r>
          </w:p>
        </w:tc>
        <w:tc>
          <w:tcPr>
            <w:vAlign w:val="top"/>
            <w:tcMar>
              <w:top w:w="70" w:type="dxa"/>
              <w:start w:w="80" w:type="dxa"/>
              <w:bottom w:w="70" w:type="dxa"/>
              <w:end w:w="80" w:type="dxa"/>
            </w:tcMar>
            <w:shd w:fill="D9EAF7"/>
          </w:tcPr>
          <w:p>
            <w:pPr>
              <w:pStyle w:val="Compact"/>
              <w:jc w:val="left"/>
            </w:pPr>
            <w:r>
              <w:rPr>
                <w:rFonts w:ascii="Arial" w:hAnsi="Arial" w:eastAsia="Arial"/>
                <w:sz w:val="16"/>
              </w:rPr>
              <w:t>REQUIRED</w:t>
            </w:r>
          </w:p>
        </w:tc>
        <w:tc>
          <w:tcPr>
            <w:vAlign w:val="top"/>
            <w:tcMar>
              <w:top w:w="70" w:type="dxa"/>
              <w:start w:w="80" w:type="dxa"/>
              <w:bottom w:w="70" w:type="dxa"/>
              <w:end w:w="80" w:type="dxa"/>
            </w:tcMar>
            <w:shd w:fill="D9EAF7"/>
          </w:tcPr>
          <w:p>
            <w:pPr>
              <w:pStyle w:val="Compact"/>
              <w:jc w:val="left"/>
            </w:pPr>
            <w:r>
              <w:rPr>
                <w:rFonts w:ascii="Arial" w:hAnsi="Arial" w:eastAsia="Arial"/>
                <w:sz w:val="16"/>
              </w:rPr>
              <w:t>REQUIRED</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Uncertainty + discrimination</w:t>
            </w:r>
          </w:p>
        </w:tc>
        <w:tc>
          <w:tcPr>
            <w:vAlign w:val="top"/>
            <w:tcMar>
              <w:top w:w="70" w:type="dxa"/>
              <w:start w:w="80" w:type="dxa"/>
              <w:bottom w:w="70" w:type="dxa"/>
              <w:end w:w="80" w:type="dxa"/>
            </w:tcMar>
            <w:shd w:fill="FFFFFF"/>
          </w:tcPr>
          <w:p>
            <w:pPr>
              <w:pStyle w:val="Compact"/>
              <w:jc w:val="left"/>
            </w:pPr>
            <w:r>
              <w:rPr>
                <w:rFonts w:ascii="Arial" w:hAnsi="Arial" w:eastAsia="Arial"/>
                <w:sz w:val="16"/>
              </w:rPr>
              <w:t>Optional</w:t>
            </w:r>
          </w:p>
        </w:tc>
        <w:tc>
          <w:tcPr>
            <w:vAlign w:val="top"/>
            <w:tcMar>
              <w:top w:w="70" w:type="dxa"/>
              <w:start w:w="80" w:type="dxa"/>
              <w:bottom w:w="70" w:type="dxa"/>
              <w:end w:w="80" w:type="dxa"/>
            </w:tcMar>
            <w:shd w:fill="FFFFFF"/>
          </w:tcPr>
          <w:p>
            <w:pPr>
              <w:pStyle w:val="Compact"/>
              <w:jc w:val="left"/>
            </w:pPr>
            <w:r>
              <w:rPr>
                <w:rFonts w:ascii="Arial" w:hAnsi="Arial" w:eastAsia="Arial"/>
                <w:sz w:val="16"/>
              </w:rPr>
              <w:t>REQUIRED (active cells)</w:t>
            </w:r>
          </w:p>
        </w:tc>
        <w:tc>
          <w:tcPr>
            <w:vAlign w:val="top"/>
            <w:tcMar>
              <w:top w:w="70" w:type="dxa"/>
              <w:start w:w="80" w:type="dxa"/>
              <w:bottom w:w="70" w:type="dxa"/>
              <w:end w:w="80" w:type="dxa"/>
            </w:tcMar>
            <w:shd w:fill="FFFFFF"/>
          </w:tcPr>
          <w:p>
            <w:pPr>
              <w:pStyle w:val="Compact"/>
              <w:jc w:val="left"/>
            </w:pPr>
            <w:r>
              <w:rPr>
                <w:rFonts w:ascii="Arial" w:hAnsi="Arial" w:eastAsia="Arial"/>
                <w:sz w:val="16"/>
              </w:rPr>
              <w:t>REQUIRED (active cells)</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Sensitivity analysis</w:t>
            </w:r>
          </w:p>
        </w:tc>
        <w:tc>
          <w:tcPr>
            <w:vAlign w:val="top"/>
            <w:tcMar>
              <w:top w:w="70" w:type="dxa"/>
              <w:start w:w="80" w:type="dxa"/>
              <w:bottom w:w="70" w:type="dxa"/>
              <w:end w:w="80" w:type="dxa"/>
            </w:tcMar>
            <w:shd w:fill="D9EAF7"/>
          </w:tcPr>
          <w:p>
            <w:pPr>
              <w:pStyle w:val="Compact"/>
              <w:jc w:val="left"/>
            </w:pPr>
            <w:r>
              <w:rPr>
                <w:rFonts w:ascii="Arial" w:hAnsi="Arial" w:eastAsia="Arial"/>
                <w:sz w:val="16"/>
              </w:rPr>
              <w:t>Optional</w:t>
            </w:r>
          </w:p>
        </w:tc>
        <w:tc>
          <w:tcPr>
            <w:vAlign w:val="top"/>
            <w:tcMar>
              <w:top w:w="70" w:type="dxa"/>
              <w:start w:w="80" w:type="dxa"/>
              <w:bottom w:w="70" w:type="dxa"/>
              <w:end w:w="80" w:type="dxa"/>
            </w:tcMar>
            <w:shd w:fill="D9EAF7"/>
          </w:tcPr>
          <w:p>
            <w:pPr>
              <w:pStyle w:val="Compact"/>
              <w:jc w:val="left"/>
            </w:pPr>
            <w:r>
              <w:rPr>
                <w:rFonts w:ascii="Arial" w:hAnsi="Arial" w:eastAsia="Arial"/>
                <w:sz w:val="16"/>
              </w:rPr>
              <w:t>Recommended</w:t>
            </w:r>
          </w:p>
        </w:tc>
        <w:tc>
          <w:tcPr>
            <w:vAlign w:val="top"/>
            <w:tcMar>
              <w:top w:w="70" w:type="dxa"/>
              <w:start w:w="80" w:type="dxa"/>
              <w:bottom w:w="70" w:type="dxa"/>
              <w:end w:w="80" w:type="dxa"/>
            </w:tcMar>
            <w:shd w:fill="D9EAF7"/>
          </w:tcPr>
          <w:p>
            <w:pPr>
              <w:pStyle w:val="Compact"/>
              <w:jc w:val="left"/>
            </w:pPr>
            <w:r>
              <w:rPr>
                <w:rFonts w:ascii="Arial" w:hAnsi="Arial" w:eastAsia="Arial"/>
                <w:sz w:val="16"/>
              </w:rPr>
              <w:t>REQUIRED</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5SPR</w:t>
            </w:r>
          </w:p>
        </w:tc>
        <w:tc>
          <w:tcPr>
            <w:vAlign w:val="top"/>
            <w:tcMar>
              <w:top w:w="70" w:type="dxa"/>
              <w:start w:w="80" w:type="dxa"/>
              <w:bottom w:w="70" w:type="dxa"/>
              <w:end w:w="80" w:type="dxa"/>
            </w:tcMar>
            <w:shd w:fill="FFFFFF"/>
          </w:tcPr>
          <w:p>
            <w:pPr>
              <w:pStyle w:val="Compact"/>
              <w:jc w:val="left"/>
            </w:pPr>
            <w:r>
              <w:rPr>
                <w:rFonts w:ascii="Arial" w:hAnsi="Arial" w:eastAsia="Arial"/>
                <w:sz w:val="16"/>
              </w:rPr>
              <w:t>Optional</w:t>
            </w:r>
          </w:p>
        </w:tc>
        <w:tc>
          <w:tcPr>
            <w:vAlign w:val="top"/>
            <w:tcMar>
              <w:top w:w="70" w:type="dxa"/>
              <w:start w:w="80" w:type="dxa"/>
              <w:bottom w:w="70" w:type="dxa"/>
              <w:end w:w="80" w:type="dxa"/>
            </w:tcMar>
            <w:shd w:fill="FFFFFF"/>
          </w:tcPr>
          <w:p>
            <w:pPr>
              <w:pStyle w:val="Compact"/>
              <w:jc w:val="left"/>
            </w:pPr>
            <w:r>
              <w:rPr>
                <w:rFonts w:ascii="Arial" w:hAnsi="Arial" w:eastAsia="Arial"/>
                <w:sz w:val="16"/>
              </w:rPr>
              <w:t>REQUIRED</w:t>
            </w:r>
          </w:p>
        </w:tc>
        <w:tc>
          <w:tcPr>
            <w:vAlign w:val="top"/>
            <w:tcMar>
              <w:top w:w="70" w:type="dxa"/>
              <w:start w:w="80" w:type="dxa"/>
              <w:bottom w:w="70" w:type="dxa"/>
              <w:end w:w="80" w:type="dxa"/>
            </w:tcMar>
            <w:shd w:fill="FFFFFF"/>
          </w:tcPr>
          <w:p>
            <w:pPr>
              <w:pStyle w:val="Compact"/>
              <w:jc w:val="left"/>
            </w:pPr>
            <w:r>
              <w:rPr>
                <w:rFonts w:ascii="Arial" w:hAnsi="Arial" w:eastAsia="Arial"/>
                <w:sz w:val="16"/>
              </w:rPr>
              <w:t>REQUIRED</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Audit flags</w:t>
            </w:r>
          </w:p>
        </w:tc>
        <w:tc>
          <w:tcPr>
            <w:vAlign w:val="top"/>
            <w:tcMar>
              <w:top w:w="70" w:type="dxa"/>
              <w:start w:w="80" w:type="dxa"/>
              <w:bottom w:w="70" w:type="dxa"/>
              <w:end w:w="80" w:type="dxa"/>
            </w:tcMar>
            <w:shd w:fill="D9EAF7"/>
          </w:tcPr>
          <w:p>
            <w:pPr>
              <w:pStyle w:val="Compact"/>
              <w:jc w:val="left"/>
            </w:pPr>
            <w:r>
              <w:rPr>
                <w:rFonts w:ascii="Arial" w:hAnsi="Arial" w:eastAsia="Arial"/>
                <w:sz w:val="16"/>
              </w:rPr>
              <w:t>Optional</w:t>
            </w:r>
          </w:p>
        </w:tc>
        <w:tc>
          <w:tcPr>
            <w:vAlign w:val="top"/>
            <w:tcMar>
              <w:top w:w="70" w:type="dxa"/>
              <w:start w:w="80" w:type="dxa"/>
              <w:bottom w:w="70" w:type="dxa"/>
              <w:end w:w="80" w:type="dxa"/>
            </w:tcMar>
            <w:shd w:fill="D9EAF7"/>
          </w:tcPr>
          <w:p>
            <w:pPr>
              <w:pStyle w:val="Compact"/>
              <w:jc w:val="left"/>
            </w:pPr>
            <w:r>
              <w:rPr>
                <w:rFonts w:ascii="Arial" w:hAnsi="Arial" w:eastAsia="Arial"/>
                <w:sz w:val="16"/>
              </w:rPr>
              <w:t>REQUIRED when triggered</w:t>
            </w:r>
          </w:p>
        </w:tc>
        <w:tc>
          <w:tcPr>
            <w:vAlign w:val="top"/>
            <w:tcMar>
              <w:top w:w="70" w:type="dxa"/>
              <w:start w:w="80" w:type="dxa"/>
              <w:bottom w:w="70" w:type="dxa"/>
              <w:end w:w="80" w:type="dxa"/>
            </w:tcMar>
            <w:shd w:fill="D9EAF7"/>
          </w:tcPr>
          <w:p>
            <w:pPr>
              <w:pStyle w:val="Compact"/>
              <w:jc w:val="left"/>
            </w:pPr>
            <w:r>
              <w:rPr>
                <w:rFonts w:ascii="Arial" w:hAnsi="Arial" w:eastAsia="Arial"/>
                <w:sz w:val="16"/>
              </w:rPr>
              <w:t>REQUIRED when triggered</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Normative Input Register</w:t>
            </w:r>
          </w:p>
        </w:tc>
        <w:tc>
          <w:tcPr>
            <w:vAlign w:val="top"/>
            <w:tcMar>
              <w:top w:w="70" w:type="dxa"/>
              <w:start w:w="80" w:type="dxa"/>
              <w:bottom w:w="70" w:type="dxa"/>
              <w:end w:w="80" w:type="dxa"/>
            </w:tcMar>
            <w:shd w:fill="FFFFFF"/>
          </w:tcPr>
          <w:p>
            <w:pPr>
              <w:pStyle w:val="Compact"/>
              <w:jc w:val="left"/>
            </w:pPr>
            <w:r>
              <w:rPr>
                <w:rFonts w:ascii="Arial" w:hAnsi="Arial" w:eastAsia="Arial"/>
                <w:sz w:val="16"/>
              </w:rPr>
              <w:t>Optional</w:t>
            </w:r>
          </w:p>
        </w:tc>
        <w:tc>
          <w:tcPr>
            <w:vAlign w:val="top"/>
            <w:tcMar>
              <w:top w:w="70" w:type="dxa"/>
              <w:start w:w="80" w:type="dxa"/>
              <w:bottom w:w="70" w:type="dxa"/>
              <w:end w:w="80" w:type="dxa"/>
            </w:tcMar>
            <w:shd w:fill="FFFFFF"/>
          </w:tcPr>
          <w:p>
            <w:pPr>
              <w:pStyle w:val="Compact"/>
              <w:jc w:val="left"/>
            </w:pPr>
            <w:r>
              <w:rPr>
                <w:rFonts w:ascii="Arial" w:hAnsi="Arial" w:eastAsia="Arial"/>
                <w:sz w:val="16"/>
              </w:rPr>
              <w:t>REQUIRED when material</w:t>
            </w:r>
          </w:p>
        </w:tc>
        <w:tc>
          <w:tcPr>
            <w:vAlign w:val="top"/>
            <w:tcMar>
              <w:top w:w="70" w:type="dxa"/>
              <w:start w:w="80" w:type="dxa"/>
              <w:bottom w:w="70" w:type="dxa"/>
              <w:end w:w="80" w:type="dxa"/>
            </w:tcMar>
            <w:shd w:fill="FFFFFF"/>
          </w:tcPr>
          <w:p>
            <w:pPr>
              <w:pStyle w:val="Compact"/>
              <w:jc w:val="left"/>
            </w:pPr>
            <w:r>
              <w:rPr>
                <w:rFonts w:ascii="Arial" w:hAnsi="Arial" w:eastAsia="Arial"/>
                <w:sz w:val="16"/>
              </w:rPr>
              <w:t>REQUIRED when material</w:t>
            </w:r>
          </w:p>
        </w:tc>
      </w:tr>
    </w:tbl>
    <w:bookmarkEnd w:id="421"/>
    <w:bookmarkStart w:id="422" w:name="h3-audit-flag-canon-pack-canonical"/>
    <w:p>
      <w:pPr>
        <w:pStyle w:val="Heading2"/>
      </w:pPr>
      <w:r>
        <w:t>H.3 Audit Flag Canon Pack (Canonical)</w:t>
      </w:r>
    </w:p>
    <w:p>
      <w:pPr>
        <w:pStyle w:val="FirstParagraph"/>
      </w:pPr>
      <w:r>
        <w:t>Appendix H.3 is a mirror/pointer only. The canonical audit-flag registry is Section 14.3A. If any flag wording in H.3 differs from Section 14.3A, Section 14.3A controls unless H.3 explicitly labels the flag local/informative.</w:t>
      </w:r>
    </w:p>
    <w:p>
      <w:pPr>
        <w:pStyle w:val="BodyText"/>
      </w:pPr>
      <w:r>
        <w:t>Section 14.3A is the controlling canonical audit-flag registry. Appendix H.3 reproduces and summarizes key PCC-facing flags and SHALL NOT redefine any token differently from Section 14.3.</w:t>
      </w:r>
    </w:p>
    <w:p>
      <w:pPr>
        <w:pStyle w:val="BodyText"/>
      </w:pPr>
      <w:r>
        <w:t>Stewardship audit-flag tokens are defined canonically in Appendix N.7; Appendix H.3 does not redefine Stewardship tokens and only provides pointers.</w:t>
      </w:r>
    </w:p>
    <w:bookmarkEnd w:id="422"/>
    <w:bookmarkStart w:id="423" w:name="Xc4ba12788b67922e6ee168fa4ed2287360c9a55"/>
    <w:p>
      <w:pPr>
        <w:pStyle w:val="Heading2"/>
      </w:pPr>
      <w:r>
        <w:t>H.3A Reality Grounding and Structural Diagnostic Placement Flags (v12.0)</w:t>
      </w:r>
    </w:p>
    <w:p>
      <w:pPr>
        <w:pStyle w:val="FirstParagraph"/>
      </w:pPr>
      <w:r>
        <w:t>INSUFFICIENT_GROUNDING. Severity: ESCALATE/REFUSE. Meaning: the declared reality surface is insufficient for a material rights, tail-risk, containment, authority, conformance, or selection claim. Required response: narrow the claim, collect evidence, rerun, mark exploratory/sensitivity-only, escalate, or refuse the stronger claim.</w:t>
      </w:r>
    </w:p>
    <w:p>
      <w:pPr>
        <w:pStyle w:val="BodyText"/>
      </w:pPr>
      <w:r>
        <w:t>CONTAINMENT_STRUCTURAL_DIAGNOSTIC_UNAVAILABLE. Severity: ESCALATE. Meaning: structural diagnostic evidence required for Containment, including UCI/HOI or declared equivalent, was unavailable or unresolved. Required response: downgrade claim strength, collect evidence, rerun, escalate, refuse the stronger claim, or record permitted waiver where allowed. Tier 3 containment conformance is unavailable until resolved.</w:t>
      </w:r>
    </w:p>
    <w:p>
      <w:pPr>
        <w:pStyle w:val="BodyText"/>
      </w:pPr>
      <w:r>
        <w:t>STRUCTURAL_DIAGNOSTIC_MISPLACED_TO_TIEBREAK. Severity: INVALID for Tier 3; ESCALATE otherwise. Meaning: a structural diagnostic that was gate-relevant to Containment was treated only as residual tie-break evidence after RLS. Required response: rerun Containment with the diagnostic included or refuse the stronger claim.</w:t>
      </w:r>
    </w:p>
    <w:p>
      <w:pPr>
        <w:pStyle w:val="BodyText"/>
      </w:pPr>
      <w:r>
        <w:t>RESIDUAL_UCI_HOI_USED. Severity: INFO/REVIEW. Meaning: UCI/HOI were used only as residual tie-break, monitoring, or hollowing-risk documentation among options already in the selectable set. Required response: document RLS non-decisiveness or monitoring reason, containment-pass status, indicator basis, and reviewer disposition.</w:t>
      </w:r>
    </w:p>
    <w:p>
      <w:pPr>
        <w:pStyle w:val="BodyText"/>
      </w:pPr>
      <w:r>
        <w:t>PLSS_STRUCTURAL_DIAGNOSTIC_OMISSION. Severity: ESCALATE. Meaning: a PLSS run omitted, down-weighted, or deferred structural diagnostic evidence that was plausibly containment-relevant. Required response: rerun with broader scrutiny, document non-relevance, or escalate.</w:t>
      </w:r>
    </w:p>
    <w:tbl>
      <w:tblPr>
        <w:tblStyle w:val="Table"/>
        <w:tblW w:type="auto" w:w="0"/>
        <w:jc w:val="center"/>
        <w:tblLook w:firstRow="1" w:lastRow="0" w:firstColumn="0" w:lastColumn="0" w:noHBand="0" w:noVBand="0" w:val="0020"/>
      </w:tblPr>
      <w:tblGrid>
        <w:gridCol w:w="1980"/>
        <w:gridCol w:w="1980"/>
        <w:gridCol w:w="1980"/>
        <w:gridCol w:w="1980"/>
      </w:tblGrid>
      <w:tr>
        <w:trPr>
          <w:tblHeader w:val="on"/>
          <w:tblHeader w:val="true"/>
          <w:cantSplit/>
        </w:trPr>
        <w:tc>
          <w:tcPr>
            <w:vAlign w:val="top"/>
            <w:tcMar>
              <w:top w:w="70" w:type="dxa"/>
              <w:start w:w="80" w:type="dxa"/>
              <w:bottom w:w="70" w:type="dxa"/>
              <w:end w:w="80" w:type="dxa"/>
            </w:tcMar>
            <w:shd w:fill="1F4E78"/>
          </w:tcPr>
          <w:p>
            <w:pPr>
              <w:pStyle w:val="Compact"/>
              <w:jc w:val="left"/>
            </w:pPr>
            <w:r>
              <w:rPr>
                <w:rFonts w:ascii="Arial" w:hAnsi="Arial" w:eastAsia="Arial"/>
                <w:b/>
                <w:bCs/>
                <w:color w:val="FFFFFF"/>
                <w:sz w:val="16"/>
              </w:rPr>
              <w:t>Flag</w:t>
            </w:r>
          </w:p>
        </w:tc>
        <w:tc>
          <w:tcPr>
            <w:vAlign w:val="top"/>
            <w:tcMar>
              <w:top w:w="70" w:type="dxa"/>
              <w:start w:w="80" w:type="dxa"/>
              <w:bottom w:w="70" w:type="dxa"/>
              <w:end w:w="80" w:type="dxa"/>
            </w:tcMar>
            <w:shd w:fill="1F4E78"/>
          </w:tcPr>
          <w:p>
            <w:pPr>
              <w:pStyle w:val="Compact"/>
              <w:jc w:val="left"/>
            </w:pPr>
            <w:r>
              <w:rPr>
                <w:rFonts w:ascii="Arial" w:hAnsi="Arial" w:eastAsia="Arial"/>
                <w:b/>
                <w:bCs/>
                <w:color w:val="FFFFFF"/>
                <w:sz w:val="16"/>
              </w:rPr>
              <w:t>Trigger</w:t>
            </w:r>
          </w:p>
        </w:tc>
        <w:tc>
          <w:tcPr>
            <w:vAlign w:val="top"/>
            <w:tcMar>
              <w:top w:w="70" w:type="dxa"/>
              <w:start w:w="80" w:type="dxa"/>
              <w:bottom w:w="70" w:type="dxa"/>
              <w:end w:w="80" w:type="dxa"/>
            </w:tcMar>
            <w:shd w:fill="1F4E78"/>
          </w:tcPr>
          <w:p>
            <w:pPr>
              <w:pStyle w:val="Compact"/>
              <w:jc w:val="left"/>
            </w:pPr>
            <w:r>
              <w:rPr>
                <w:rFonts w:ascii="Arial" w:hAnsi="Arial" w:eastAsia="Arial"/>
                <w:b/>
                <w:bCs/>
                <w:color w:val="FFFFFF"/>
                <w:sz w:val="16"/>
              </w:rPr>
              <w:t>Required Action</w:t>
            </w:r>
          </w:p>
        </w:tc>
        <w:tc>
          <w:tcPr>
            <w:vAlign w:val="top"/>
            <w:tcMar>
              <w:top w:w="70" w:type="dxa"/>
              <w:start w:w="80" w:type="dxa"/>
              <w:bottom w:w="70" w:type="dxa"/>
              <w:end w:w="80" w:type="dxa"/>
            </w:tcMar>
            <w:shd w:fill="1F4E78"/>
          </w:tcPr>
          <w:p>
            <w:pPr>
              <w:pStyle w:val="Compact"/>
              <w:jc w:val="left"/>
            </w:pPr>
            <w:r>
              <w:rPr>
                <w:rFonts w:ascii="Arial" w:hAnsi="Arial" w:eastAsia="Arial"/>
                <w:b/>
                <w:bCs/>
                <w:color w:val="FFFFFF"/>
                <w:sz w:val="16"/>
              </w:rPr>
              <w:t>Severity</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RIGHTS_CELL_MASKED_INVALID</w:t>
            </w:r>
          </w:p>
        </w:tc>
        <w:tc>
          <w:tcPr>
            <w:vAlign w:val="top"/>
            <w:tcMar>
              <w:top w:w="70" w:type="dxa"/>
              <w:start w:w="80" w:type="dxa"/>
              <w:bottom w:w="70" w:type="dxa"/>
              <w:end w:w="80" w:type="dxa"/>
            </w:tcMar>
            <w:shd w:fill="D9EAF7"/>
          </w:tcPr>
          <w:p>
            <w:pPr>
              <w:pStyle w:val="Compact"/>
              <w:jc w:val="left"/>
            </w:pPr>
            <w:r>
              <w:rPr>
                <w:rFonts w:ascii="Arial" w:hAnsi="Arial" w:eastAsia="Arial"/>
                <w:sz w:val="16"/>
              </w:rPr>
              <w:t>Any rights-covered cell is masked, excluded, null'd, pooled, or otherwise not individually included in RLS aggregation (including any case where m(u,d)=0 for a cell in any C_r).</w:t>
            </w:r>
          </w:p>
        </w:tc>
        <w:tc>
          <w:tcPr>
            <w:vAlign w:val="top"/>
            <w:tcMar>
              <w:top w:w="70" w:type="dxa"/>
              <w:start w:w="80" w:type="dxa"/>
              <w:bottom w:w="70" w:type="dxa"/>
              <w:end w:w="80" w:type="dxa"/>
            </w:tcMar>
            <w:shd w:fill="D9EAF7"/>
          </w:tcPr>
          <w:p>
            <w:pPr>
              <w:pStyle w:val="Compact"/>
              <w:jc w:val="left"/>
            </w:pPr>
            <w:r>
              <w:rPr>
                <w:rFonts w:ascii="Arial" w:hAnsi="Arial" w:eastAsia="Arial"/>
                <w:sz w:val="16"/>
              </w:rPr>
              <w:t>PCC invalid; recompute without masking</w:t>
            </w:r>
          </w:p>
        </w:tc>
        <w:tc>
          <w:tcPr>
            <w:vAlign w:val="top"/>
            <w:tcMar>
              <w:top w:w="70" w:type="dxa"/>
              <w:start w:w="80" w:type="dxa"/>
              <w:bottom w:w="70" w:type="dxa"/>
              <w:end w:w="80" w:type="dxa"/>
            </w:tcMar>
            <w:shd w:fill="D9EAF7"/>
          </w:tcPr>
          <w:p>
            <w:pPr>
              <w:pStyle w:val="Compact"/>
              <w:jc w:val="left"/>
            </w:pPr>
            <w:r>
              <w:rPr>
                <w:rFonts w:ascii="Arial" w:hAnsi="Arial" w:eastAsia="Arial"/>
                <w:sz w:val="16"/>
              </w:rPr>
              <w:t>INVALID</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RIGHTS_CELL_OMITTED_INVALID</w:t>
            </w:r>
          </w:p>
        </w:tc>
        <w:tc>
          <w:tcPr>
            <w:vAlign w:val="top"/>
            <w:tcMar>
              <w:top w:w="70" w:type="dxa"/>
              <w:start w:w="80" w:type="dxa"/>
              <w:bottom w:w="70" w:type="dxa"/>
              <w:end w:w="80" w:type="dxa"/>
            </w:tcMar>
            <w:shd w:fill="FFFFFF"/>
          </w:tcPr>
          <w:p>
            <w:pPr>
              <w:pStyle w:val="Compact"/>
              <w:jc w:val="left"/>
            </w:pPr>
            <w:r>
              <w:rPr>
                <w:rFonts w:ascii="Arial" w:hAnsi="Arial" w:eastAsia="Arial"/>
                <w:sz w:val="16"/>
              </w:rPr>
              <w:t>Any rights-covered cell required to evaluate NCRC is omitted/excluded/not disclosed such that NCRC cannot be recomputed.</w:t>
            </w:r>
          </w:p>
        </w:tc>
        <w:tc>
          <w:tcPr>
            <w:vAlign w:val="top"/>
            <w:tcMar>
              <w:top w:w="70" w:type="dxa"/>
              <w:start w:w="80" w:type="dxa"/>
              <w:bottom w:w="70" w:type="dxa"/>
              <w:end w:w="80" w:type="dxa"/>
            </w:tcMar>
            <w:shd w:fill="FFFFFF"/>
          </w:tcPr>
          <w:p>
            <w:pPr>
              <w:pStyle w:val="Compact"/>
              <w:jc w:val="left"/>
            </w:pPr>
            <w:r>
              <w:rPr>
                <w:rFonts w:ascii="Arial" w:hAnsi="Arial" w:eastAsia="Arial"/>
                <w:sz w:val="16"/>
              </w:rPr>
              <w:t>PCC invalid; include and disclose all required rights-covered cells and recompute NCRC.</w:t>
            </w:r>
          </w:p>
        </w:tc>
        <w:tc>
          <w:tcPr>
            <w:vAlign w:val="top"/>
            <w:tcMar>
              <w:top w:w="70" w:type="dxa"/>
              <w:start w:w="80" w:type="dxa"/>
              <w:bottom w:w="70" w:type="dxa"/>
              <w:end w:w="80" w:type="dxa"/>
            </w:tcMar>
            <w:shd w:fill="FFFFFF"/>
          </w:tcPr>
          <w:p>
            <w:pPr>
              <w:pStyle w:val="Compact"/>
              <w:jc w:val="left"/>
            </w:pPr>
            <w:r>
              <w:rPr>
                <w:rFonts w:ascii="Arial" w:hAnsi="Arial" w:eastAsia="Arial"/>
                <w:sz w:val="16"/>
              </w:rPr>
              <w:t>INVALID</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CATASTROPHE_CELL_MASKED_INVALID</w:t>
            </w:r>
          </w:p>
        </w:tc>
        <w:tc>
          <w:tcPr>
            <w:vAlign w:val="top"/>
            <w:tcMar>
              <w:top w:w="70" w:type="dxa"/>
              <w:start w:w="80" w:type="dxa"/>
              <w:bottom w:w="70" w:type="dxa"/>
              <w:end w:w="80" w:type="dxa"/>
            </w:tcMar>
            <w:shd w:fill="D9EAF7"/>
          </w:tcPr>
          <w:p>
            <w:pPr>
              <w:pStyle w:val="Compact"/>
              <w:jc w:val="left"/>
            </w:pPr>
            <w:r>
              <w:rPr>
                <w:rFonts w:ascii="Arial" w:hAnsi="Arial" w:eastAsia="Arial"/>
                <w:sz w:val="16"/>
              </w:rPr>
              <w:t>Any catastrophe cell in C_cat is masked (m(u,d)=0) or otherwise excluded from RLS aggregation (including any case where m(u,d)=0 for a cell in C_cat).</w:t>
            </w:r>
          </w:p>
        </w:tc>
        <w:tc>
          <w:tcPr>
            <w:vAlign w:val="top"/>
            <w:tcMar>
              <w:top w:w="70" w:type="dxa"/>
              <w:start w:w="80" w:type="dxa"/>
              <w:bottom w:w="70" w:type="dxa"/>
              <w:end w:w="80" w:type="dxa"/>
            </w:tcMar>
            <w:shd w:fill="D9EAF7"/>
          </w:tcPr>
          <w:p>
            <w:pPr>
              <w:pStyle w:val="Compact"/>
              <w:jc w:val="left"/>
            </w:pPr>
            <w:r>
              <w:rPr>
                <w:rFonts w:ascii="Arial" w:hAnsi="Arial" w:eastAsia="Arial"/>
                <w:sz w:val="16"/>
              </w:rPr>
              <w:t>PCC invalid; set m(u,d)=1 for all catastrophe cells and recompute RLS.</w:t>
            </w:r>
          </w:p>
        </w:tc>
        <w:tc>
          <w:tcPr>
            <w:vAlign w:val="top"/>
            <w:tcMar>
              <w:top w:w="70" w:type="dxa"/>
              <w:start w:w="80" w:type="dxa"/>
              <w:bottom w:w="70" w:type="dxa"/>
              <w:end w:w="80" w:type="dxa"/>
            </w:tcMar>
            <w:shd w:fill="D9EAF7"/>
          </w:tcPr>
          <w:p>
            <w:pPr>
              <w:pStyle w:val="Compact"/>
              <w:jc w:val="left"/>
            </w:pPr>
            <w:r>
              <w:rPr>
                <w:rFonts w:ascii="Arial" w:hAnsi="Arial" w:eastAsia="Arial"/>
                <w:sz w:val="16"/>
              </w:rPr>
              <w:t>INVALID</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CATASTROPHE_CELL_OMITTED_INVALID</w:t>
            </w:r>
          </w:p>
        </w:tc>
        <w:tc>
          <w:tcPr>
            <w:vAlign w:val="top"/>
            <w:tcMar>
              <w:top w:w="70" w:type="dxa"/>
              <w:start w:w="80" w:type="dxa"/>
              <w:bottom w:w="70" w:type="dxa"/>
              <w:end w:w="80" w:type="dxa"/>
            </w:tcMar>
            <w:shd w:fill="FFFFFF"/>
          </w:tcPr>
          <w:p>
            <w:pPr>
              <w:pStyle w:val="Compact"/>
              <w:jc w:val="left"/>
            </w:pPr>
            <w:r>
              <w:rPr>
                <w:rFonts w:ascii="Arial" w:hAnsi="Arial" w:eastAsia="Arial"/>
                <w:sz w:val="16"/>
              </w:rPr>
              <w:t>Any catastrophe cell in C_cat used in TRC loss computation/disclosure is omitted/excluded/not disclosed such that TRC CVaR cannot be independently recomputed.</w:t>
            </w:r>
          </w:p>
        </w:tc>
        <w:tc>
          <w:tcPr>
            <w:vAlign w:val="top"/>
            <w:tcMar>
              <w:top w:w="70" w:type="dxa"/>
              <w:start w:w="80" w:type="dxa"/>
              <w:bottom w:w="70" w:type="dxa"/>
              <w:end w:w="80" w:type="dxa"/>
            </w:tcMar>
            <w:shd w:fill="FFFFFF"/>
          </w:tcPr>
          <w:p>
            <w:pPr>
              <w:pStyle w:val="Compact"/>
              <w:jc w:val="left"/>
            </w:pPr>
            <w:r>
              <w:rPr>
                <w:rFonts w:ascii="Arial" w:hAnsi="Arial" w:eastAsia="Arial"/>
                <w:sz w:val="16"/>
              </w:rPr>
              <w:t>PCC invalid; include and disclose all catastrophe cells used in TRC loss computation (and any required scenario-to-cell mapping), then recompute TRC.</w:t>
            </w:r>
          </w:p>
        </w:tc>
        <w:tc>
          <w:tcPr>
            <w:vAlign w:val="top"/>
            <w:tcMar>
              <w:top w:w="70" w:type="dxa"/>
              <w:start w:w="80" w:type="dxa"/>
              <w:bottom w:w="70" w:type="dxa"/>
              <w:end w:w="80" w:type="dxa"/>
            </w:tcMar>
            <w:shd w:fill="FFFFFF"/>
          </w:tcPr>
          <w:p>
            <w:pPr>
              <w:pStyle w:val="Compact"/>
              <w:jc w:val="left"/>
            </w:pPr>
            <w:r>
              <w:rPr>
                <w:rFonts w:ascii="Arial" w:hAnsi="Arial" w:eastAsia="Arial"/>
                <w:sz w:val="16"/>
              </w:rPr>
              <w:t>INVALID</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CONTAINMENT_MODE_B_USED_FOR_SELECTION</w:t>
            </w:r>
          </w:p>
        </w:tc>
        <w:tc>
          <w:tcPr>
            <w:vAlign w:val="top"/>
            <w:tcMar>
              <w:top w:w="70" w:type="dxa"/>
              <w:start w:w="80" w:type="dxa"/>
              <w:bottom w:w="70" w:type="dxa"/>
              <w:end w:w="80" w:type="dxa"/>
            </w:tcMar>
            <w:shd w:fill="D9EAF7"/>
          </w:tcPr>
          <w:p>
            <w:pPr>
              <w:pStyle w:val="Compact"/>
              <w:jc w:val="left"/>
            </w:pPr>
            <w:r>
              <w:rPr>
                <w:rFonts w:ascii="Arial" w:hAnsi="Arial" w:eastAsia="Arial"/>
                <w:sz w:val="16"/>
              </w:rPr>
              <w:t>Mode B (diagnostic-only containment) influenced selection outcome; see Section 9.5</w:t>
            </w:r>
          </w:p>
        </w:tc>
        <w:tc>
          <w:tcPr>
            <w:vAlign w:val="top"/>
            <w:tcMar>
              <w:top w:w="70" w:type="dxa"/>
              <w:start w:w="80" w:type="dxa"/>
              <w:bottom w:w="70" w:type="dxa"/>
              <w:end w:w="80" w:type="dxa"/>
            </w:tcMar>
            <w:shd w:fill="D9EAF7"/>
          </w:tcPr>
          <w:p>
            <w:pPr>
              <w:pStyle w:val="Compact"/>
              <w:jc w:val="left"/>
            </w:pPr>
            <w:r>
              <w:rPr>
                <w:rFonts w:ascii="Arial" w:hAnsi="Arial" w:eastAsia="Arial"/>
                <w:sz w:val="16"/>
              </w:rPr>
              <w:t>PCC invalid; rerun with Mode A only</w:t>
            </w:r>
          </w:p>
        </w:tc>
        <w:tc>
          <w:tcPr>
            <w:vAlign w:val="top"/>
            <w:tcMar>
              <w:top w:w="70" w:type="dxa"/>
              <w:start w:w="80" w:type="dxa"/>
              <w:bottom w:w="70" w:type="dxa"/>
              <w:end w:w="80" w:type="dxa"/>
            </w:tcMar>
            <w:shd w:fill="D9EAF7"/>
          </w:tcPr>
          <w:p>
            <w:pPr>
              <w:pStyle w:val="Compact"/>
              <w:jc w:val="left"/>
            </w:pPr>
            <w:r>
              <w:rPr>
                <w:rFonts w:ascii="Arial" w:hAnsi="Arial" w:eastAsia="Arial"/>
                <w:sz w:val="16"/>
              </w:rPr>
              <w:t>INVALID</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SCENARIO_LIBRARY_MIN_EXCEPTION</w:t>
            </w:r>
          </w:p>
        </w:tc>
        <w:tc>
          <w:tcPr>
            <w:vAlign w:val="top"/>
            <w:tcMar>
              <w:top w:w="70" w:type="dxa"/>
              <w:start w:w="80" w:type="dxa"/>
              <w:bottom w:w="70" w:type="dxa"/>
              <w:end w:w="80" w:type="dxa"/>
            </w:tcMar>
            <w:shd w:fill="FFFFFF"/>
          </w:tcPr>
          <w:p>
            <w:pPr>
              <w:pStyle w:val="Compact"/>
              <w:jc w:val="left"/>
            </w:pPr>
            <w:r>
              <w:rPr>
                <w:rFonts w:ascii="Arial" w:hAnsi="Arial" w:eastAsia="Arial"/>
                <w:sz w:val="16"/>
              </w:rPr>
              <w:t>Scenario library size |S| is below the tier minimum when TRC is required (Tier 2: |S| &lt; 5; Tier 3: |S| &lt; 20)</w:t>
            </w:r>
          </w:p>
        </w:tc>
        <w:tc>
          <w:tcPr>
            <w:vAlign w:val="top"/>
            <w:tcMar>
              <w:top w:w="70" w:type="dxa"/>
              <w:start w:w="80" w:type="dxa"/>
              <w:bottom w:w="70" w:type="dxa"/>
              <w:end w:w="80" w:type="dxa"/>
            </w:tcMar>
            <w:shd w:fill="FFFFFF"/>
          </w:tcPr>
          <w:p>
            <w:pPr>
              <w:pStyle w:val="Compact"/>
              <w:jc w:val="left"/>
            </w:pPr>
            <w:r>
              <w:rPr>
                <w:rFonts w:ascii="Arial" w:hAnsi="Arial" w:eastAsia="Arial"/>
                <w:sz w:val="16"/>
              </w:rPr>
              <w:t>PCC remains valid only with: (i) written justification, (ii) independent reviewer sign-off (Tier 3 required; Tier 2 recommended), and (iii) a remediation plan to reach minimum scenario count before the next comparable run. Record this flag in PCC.</w:t>
            </w:r>
          </w:p>
        </w:tc>
        <w:tc>
          <w:tcPr>
            <w:vAlign w:val="top"/>
            <w:tcMar>
              <w:top w:w="70" w:type="dxa"/>
              <w:start w:w="80" w:type="dxa"/>
              <w:bottom w:w="70" w:type="dxa"/>
              <w:end w:w="80" w:type="dxa"/>
            </w:tcMar>
            <w:shd w:fill="FFFFFF"/>
          </w:tcPr>
          <w:p>
            <w:pPr>
              <w:pStyle w:val="Compact"/>
              <w:jc w:val="left"/>
            </w:pPr>
            <w:r>
              <w:rPr>
                <w:rFonts w:ascii="Arial" w:hAnsi="Arial" w:eastAsia="Arial"/>
                <w:sz w:val="16"/>
              </w:rPr>
              <w:t>ESCALATE</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MANDATORY_TAIL_CATEGORY_MISSING</w:t>
            </w:r>
          </w:p>
        </w:tc>
        <w:tc>
          <w:tcPr>
            <w:vAlign w:val="top"/>
            <w:tcMar>
              <w:top w:w="70" w:type="dxa"/>
              <w:start w:w="80" w:type="dxa"/>
              <w:bottom w:w="70" w:type="dxa"/>
              <w:end w:w="80" w:type="dxa"/>
            </w:tcMar>
            <w:shd w:fill="D9EAF7"/>
          </w:tcPr>
          <w:p>
            <w:pPr>
              <w:pStyle w:val="Compact"/>
              <w:jc w:val="left"/>
            </w:pPr>
            <w:r>
              <w:rPr>
                <w:rFonts w:ascii="Arial" w:hAnsi="Arial" w:eastAsia="Arial"/>
                <w:sz w:val="16"/>
              </w:rPr>
              <w:t>Missing mandatory tail category without justification</w:t>
            </w:r>
          </w:p>
        </w:tc>
        <w:tc>
          <w:tcPr>
            <w:vAlign w:val="top"/>
            <w:tcMar>
              <w:top w:w="70" w:type="dxa"/>
              <w:start w:w="80" w:type="dxa"/>
              <w:bottom w:w="70" w:type="dxa"/>
              <w:end w:w="80" w:type="dxa"/>
            </w:tcMar>
            <w:shd w:fill="D9EAF7"/>
          </w:tcPr>
          <w:p>
            <w:pPr>
              <w:pStyle w:val="Compact"/>
              <w:jc w:val="left"/>
            </w:pPr>
            <w:r>
              <w:rPr>
                <w:rFonts w:ascii="Arial" w:hAnsi="Arial" w:eastAsia="Arial"/>
                <w:sz w:val="16"/>
              </w:rPr>
              <w:t>Add scenarios or justify per Section 8.3.2</w:t>
            </w:r>
          </w:p>
        </w:tc>
        <w:tc>
          <w:tcPr>
            <w:vAlign w:val="top"/>
            <w:tcMar>
              <w:top w:w="70" w:type="dxa"/>
              <w:start w:w="80" w:type="dxa"/>
              <w:bottom w:w="70" w:type="dxa"/>
              <w:end w:w="80" w:type="dxa"/>
            </w:tcMar>
            <w:shd w:fill="D9EAF7"/>
          </w:tcPr>
          <w:p>
            <w:pPr>
              <w:pStyle w:val="Compact"/>
              <w:jc w:val="left"/>
            </w:pPr>
            <w:r>
              <w:rPr>
                <w:rFonts w:ascii="Arial" w:hAnsi="Arial" w:eastAsia="Arial"/>
                <w:sz w:val="16"/>
              </w:rPr>
              <w:t>ESCALATE</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MANDATORY_TAIL_CATEGORY_MISSING_WITH_JUSTIFICATION</w:t>
            </w:r>
          </w:p>
        </w:tc>
        <w:tc>
          <w:tcPr>
            <w:vAlign w:val="top"/>
            <w:tcMar>
              <w:top w:w="70" w:type="dxa"/>
              <w:start w:w="80" w:type="dxa"/>
              <w:bottom w:w="70" w:type="dxa"/>
              <w:end w:w="80" w:type="dxa"/>
            </w:tcMar>
            <w:shd w:fill="FFFFFF"/>
          </w:tcPr>
          <w:p>
            <w:pPr>
              <w:pStyle w:val="Compact"/>
              <w:jc w:val="left"/>
            </w:pPr>
            <w:r>
              <w:rPr>
                <w:rFonts w:ascii="Arial" w:hAnsi="Arial" w:eastAsia="Arial"/>
                <w:sz w:val="16"/>
              </w:rPr>
              <w:t>Missing mandatory tail category with proper justification per Section 8.3.2</w:t>
            </w:r>
          </w:p>
        </w:tc>
        <w:tc>
          <w:tcPr>
            <w:vAlign w:val="top"/>
            <w:tcMar>
              <w:top w:w="70" w:type="dxa"/>
              <w:start w:w="80" w:type="dxa"/>
              <w:bottom w:w="70" w:type="dxa"/>
              <w:end w:w="80" w:type="dxa"/>
            </w:tcMar>
            <w:shd w:fill="FFFFFF"/>
          </w:tcPr>
          <w:p>
            <w:pPr>
              <w:pStyle w:val="Compact"/>
              <w:jc w:val="left"/>
            </w:pPr>
            <w:r>
              <w:rPr>
                <w:rFonts w:ascii="Arial" w:hAnsi="Arial" w:eastAsia="Arial"/>
                <w:sz w:val="16"/>
              </w:rPr>
              <w:t>Record justification; monitor for category emergence</w:t>
            </w:r>
          </w:p>
        </w:tc>
        <w:tc>
          <w:tcPr>
            <w:vAlign w:val="top"/>
            <w:tcMar>
              <w:top w:w="70" w:type="dxa"/>
              <w:start w:w="80" w:type="dxa"/>
              <w:bottom w:w="70" w:type="dxa"/>
              <w:end w:w="80" w:type="dxa"/>
            </w:tcMar>
            <w:shd w:fill="FFFFFF"/>
          </w:tcPr>
          <w:p>
            <w:pPr>
              <w:pStyle w:val="Compact"/>
              <w:jc w:val="left"/>
            </w:pPr>
            <w:r>
              <w:rPr>
                <w:rFonts w:ascii="Arial" w:hAnsi="Arial" w:eastAsia="Arial"/>
                <w:sz w:val="16"/>
              </w:rPr>
              <w:t>REVIEW</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MANDATORY_TAIL_PROB_FLOOR_VIOLATION</w:t>
            </w:r>
          </w:p>
        </w:tc>
        <w:tc>
          <w:tcPr>
            <w:vAlign w:val="top"/>
            <w:tcMar>
              <w:top w:w="70" w:type="dxa"/>
              <w:start w:w="80" w:type="dxa"/>
              <w:bottom w:w="70" w:type="dxa"/>
              <w:end w:w="80" w:type="dxa"/>
            </w:tcMar>
            <w:shd w:fill="D9EAF7"/>
          </w:tcPr>
          <w:p>
            <w:pPr>
              <w:pStyle w:val="Compact"/>
              <w:jc w:val="left"/>
            </w:pPr>
            <w:r>
              <w:rPr>
                <w:rFonts w:ascii="Arial" w:hAnsi="Arial" w:eastAsia="Arial"/>
                <w:sz w:val="16"/>
              </w:rPr>
              <w:t>Category probability sum &lt; p_floor (0.02)</w:t>
            </w:r>
          </w:p>
        </w:tc>
        <w:tc>
          <w:tcPr>
            <w:vAlign w:val="top"/>
            <w:tcMar>
              <w:top w:w="70" w:type="dxa"/>
              <w:start w:w="80" w:type="dxa"/>
              <w:bottom w:w="70" w:type="dxa"/>
              <w:end w:w="80" w:type="dxa"/>
            </w:tcMar>
            <w:shd w:fill="D9EAF7"/>
          </w:tcPr>
          <w:p>
            <w:pPr>
              <w:pStyle w:val="Compact"/>
              <w:jc w:val="left"/>
            </w:pPr>
            <w:r>
              <w:rPr>
                <w:rFonts w:ascii="Arial" w:hAnsi="Arial" w:eastAsia="Arial"/>
                <w:sz w:val="16"/>
              </w:rPr>
              <w:t>Revise probabilities or add scenarios to category</w:t>
            </w:r>
          </w:p>
        </w:tc>
        <w:tc>
          <w:tcPr>
            <w:vAlign w:val="top"/>
            <w:tcMar>
              <w:top w:w="70" w:type="dxa"/>
              <w:start w:w="80" w:type="dxa"/>
              <w:bottom w:w="70" w:type="dxa"/>
              <w:end w:w="80" w:type="dxa"/>
            </w:tcMar>
            <w:shd w:fill="D9EAF7"/>
          </w:tcPr>
          <w:p>
            <w:pPr>
              <w:pStyle w:val="Compact"/>
              <w:jc w:val="left"/>
            </w:pPr>
            <w:r>
              <w:rPr>
                <w:rFonts w:ascii="Arial" w:hAnsi="Arial" w:eastAsia="Arial"/>
                <w:sz w:val="16"/>
              </w:rPr>
              <w:t>ESCALATE</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SUBGROUP_LIMITATION</w:t>
            </w:r>
          </w:p>
        </w:tc>
        <w:tc>
          <w:tcPr>
            <w:vAlign w:val="top"/>
            <w:tcMar>
              <w:top w:w="70" w:type="dxa"/>
              <w:start w:w="80" w:type="dxa"/>
              <w:bottom w:w="70" w:type="dxa"/>
              <w:end w:w="80" w:type="dxa"/>
            </w:tcMar>
            <w:shd w:fill="FFFFFF"/>
          </w:tcPr>
          <w:p>
            <w:pPr>
              <w:pStyle w:val="Compact"/>
              <w:jc w:val="left"/>
            </w:pPr>
            <w:r>
              <w:rPr>
                <w:rFonts w:ascii="Arial" w:hAnsi="Arial" w:eastAsia="Arial"/>
                <w:sz w:val="16"/>
              </w:rPr>
              <w:t>Cannot disaggregate subgroups for rights-covered cell</w:t>
            </w:r>
          </w:p>
        </w:tc>
        <w:tc>
          <w:tcPr>
            <w:vAlign w:val="top"/>
            <w:tcMar>
              <w:top w:w="70" w:type="dxa"/>
              <w:start w:w="80" w:type="dxa"/>
              <w:bottom w:w="70" w:type="dxa"/>
              <w:end w:w="80" w:type="dxa"/>
            </w:tcMar>
            <w:shd w:fill="FFFFFF"/>
          </w:tcPr>
          <w:p>
            <w:pPr>
              <w:pStyle w:val="Compact"/>
              <w:jc w:val="left"/>
            </w:pPr>
            <w:r>
              <w:rPr>
                <w:rFonts w:ascii="Arial" w:hAnsi="Arial" w:eastAsia="Arial"/>
                <w:sz w:val="16"/>
              </w:rPr>
              <w:t>Apply γ_subgroup conservative bound (Section 7.3.2); escalate if high stakes</w:t>
            </w:r>
          </w:p>
        </w:tc>
        <w:tc>
          <w:tcPr>
            <w:vAlign w:val="top"/>
            <w:tcMar>
              <w:top w:w="70" w:type="dxa"/>
              <w:start w:w="80" w:type="dxa"/>
              <w:bottom w:w="70" w:type="dxa"/>
              <w:end w:w="80" w:type="dxa"/>
            </w:tcMar>
            <w:shd w:fill="FFFFFF"/>
          </w:tcPr>
          <w:p>
            <w:pPr>
              <w:pStyle w:val="Compact"/>
              <w:jc w:val="left"/>
            </w:pPr>
            <w:r>
              <w:rPr>
                <w:rFonts w:ascii="Arial" w:hAnsi="Arial" w:eastAsia="Arial"/>
                <w:sz w:val="16"/>
              </w:rPr>
              <w:t>REVIEW</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CHALLENGE_DEFERRED_EMERGENCY</w:t>
            </w:r>
          </w:p>
        </w:tc>
        <w:tc>
          <w:tcPr>
            <w:vAlign w:val="top"/>
            <w:tcMar>
              <w:top w:w="70" w:type="dxa"/>
              <w:start w:w="80" w:type="dxa"/>
              <w:bottom w:w="70" w:type="dxa"/>
              <w:end w:w="80" w:type="dxa"/>
            </w:tcMar>
            <w:shd w:fill="D9EAF7"/>
          </w:tcPr>
          <w:p>
            <w:pPr>
              <w:pStyle w:val="Compact"/>
              <w:jc w:val="left"/>
            </w:pPr>
            <w:r>
              <w:rPr>
                <w:rFonts w:ascii="Arial" w:hAnsi="Arial" w:eastAsia="Arial"/>
                <w:sz w:val="16"/>
              </w:rPr>
              <w:t>Emergency Mode invoked without independent challenger</w:t>
            </w:r>
          </w:p>
        </w:tc>
        <w:tc>
          <w:tcPr>
            <w:vAlign w:val="top"/>
            <w:tcMar>
              <w:top w:w="70" w:type="dxa"/>
              <w:start w:w="80" w:type="dxa"/>
              <w:bottom w:w="70" w:type="dxa"/>
              <w:end w:w="80" w:type="dxa"/>
            </w:tcMar>
            <w:shd w:fill="D9EAF7"/>
          </w:tcPr>
          <w:p>
            <w:pPr>
              <w:pStyle w:val="Compact"/>
              <w:jc w:val="left"/>
            </w:pPr>
            <w:r>
              <w:rPr>
                <w:rFonts w:ascii="Arial" w:hAnsi="Arial" w:eastAsia="Arial"/>
                <w:sz w:val="16"/>
              </w:rPr>
              <w:t>Retrospective challenge MUST occur within 24 hours or next business day, whichever is sooner</w:t>
            </w:r>
          </w:p>
        </w:tc>
        <w:tc>
          <w:tcPr>
            <w:vAlign w:val="top"/>
            <w:tcMar>
              <w:top w:w="70" w:type="dxa"/>
              <w:start w:w="80" w:type="dxa"/>
              <w:bottom w:w="70" w:type="dxa"/>
              <w:end w:w="80" w:type="dxa"/>
            </w:tcMar>
            <w:shd w:fill="D9EAF7"/>
          </w:tcPr>
          <w:p>
            <w:pPr>
              <w:pStyle w:val="Compact"/>
              <w:jc w:val="left"/>
            </w:pPr>
            <w:r>
              <w:rPr>
                <w:rFonts w:ascii="Arial" w:hAnsi="Arial" w:eastAsia="Arial"/>
                <w:sz w:val="16"/>
              </w:rPr>
              <w:t>ESCALATE</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EMERGENCY_MODE_INVOKED</w:t>
            </w:r>
          </w:p>
        </w:tc>
        <w:tc>
          <w:tcPr>
            <w:vAlign w:val="top"/>
            <w:tcMar>
              <w:top w:w="70" w:type="dxa"/>
              <w:start w:w="80" w:type="dxa"/>
              <w:bottom w:w="70" w:type="dxa"/>
              <w:end w:w="80" w:type="dxa"/>
            </w:tcMar>
            <w:shd w:fill="FFFFFF"/>
          </w:tcPr>
          <w:p>
            <w:pPr>
              <w:pStyle w:val="Compact"/>
              <w:jc w:val="left"/>
            </w:pPr>
            <w:r>
              <w:rPr>
                <w:rFonts w:ascii="Arial" w:hAnsi="Arial" w:eastAsia="Arial"/>
                <w:sz w:val="16"/>
              </w:rPr>
              <w:t>A_NCRC = ∅ (no rights-admissible options exist)</w:t>
            </w:r>
          </w:p>
        </w:tc>
        <w:tc>
          <w:tcPr>
            <w:vAlign w:val="top"/>
            <w:tcMar>
              <w:top w:w="70" w:type="dxa"/>
              <w:start w:w="80" w:type="dxa"/>
              <w:bottom w:w="70" w:type="dxa"/>
              <w:end w:w="80" w:type="dxa"/>
            </w:tcMar>
            <w:shd w:fill="FFFFFF"/>
          </w:tcPr>
          <w:p>
            <w:pPr>
              <w:pStyle w:val="Compact"/>
              <w:jc w:val="left"/>
            </w:pPr>
            <w:r>
              <w:rPr>
                <w:rFonts w:ascii="Arial" w:hAnsi="Arial" w:eastAsia="Arial"/>
                <w:sz w:val="16"/>
              </w:rPr>
              <w:t>Remediation plan required; high scrutiny review</w:t>
            </w:r>
          </w:p>
        </w:tc>
        <w:tc>
          <w:tcPr>
            <w:vAlign w:val="top"/>
            <w:tcMar>
              <w:top w:w="70" w:type="dxa"/>
              <w:start w:w="80" w:type="dxa"/>
              <w:bottom w:w="70" w:type="dxa"/>
              <w:end w:w="80" w:type="dxa"/>
            </w:tcMar>
            <w:shd w:fill="FFFFFF"/>
          </w:tcPr>
          <w:p>
            <w:pPr>
              <w:pStyle w:val="Compact"/>
              <w:jc w:val="left"/>
            </w:pPr>
            <w:r>
              <w:rPr>
                <w:rFonts w:ascii="Arial" w:hAnsi="Arial" w:eastAsia="Arial"/>
                <w:sz w:val="16"/>
              </w:rPr>
              <w:t>ESCALATE</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TAIL_EMERGENCY_MODE_INVOKED</w:t>
            </w:r>
          </w:p>
        </w:tc>
        <w:tc>
          <w:tcPr>
            <w:vAlign w:val="top"/>
            <w:tcMar>
              <w:top w:w="70" w:type="dxa"/>
              <w:start w:w="80" w:type="dxa"/>
              <w:bottom w:w="70" w:type="dxa"/>
              <w:end w:w="80" w:type="dxa"/>
            </w:tcMar>
            <w:shd w:fill="D9EAF7"/>
          </w:tcPr>
          <w:p>
            <w:pPr>
              <w:pStyle w:val="Compact"/>
              <w:jc w:val="left"/>
            </w:pPr>
            <w:r>
              <w:rPr>
                <w:rFonts w:ascii="Arial" w:hAnsi="Arial" w:eastAsia="Arial"/>
                <w:sz w:val="16"/>
              </w:rPr>
              <w:t>A_adm = ∅ after TRC (A_NCRC is non-empty but all rights-admissible options fail TRC)</w:t>
            </w:r>
          </w:p>
        </w:tc>
        <w:tc>
          <w:tcPr>
            <w:vAlign w:val="top"/>
            <w:tcMar>
              <w:top w:w="70" w:type="dxa"/>
              <w:start w:w="80" w:type="dxa"/>
              <w:bottom w:w="70" w:type="dxa"/>
              <w:end w:w="80" w:type="dxa"/>
            </w:tcMar>
            <w:shd w:fill="D9EAF7"/>
          </w:tcPr>
          <w:p>
            <w:pPr>
              <w:pStyle w:val="Compact"/>
              <w:jc w:val="left"/>
            </w:pPr>
            <w:r>
              <w:rPr>
                <w:rFonts w:ascii="Arial" w:hAnsi="Arial" w:eastAsia="Arial"/>
                <w:sz w:val="16"/>
              </w:rPr>
              <w:t>Higher-tier approval required; mitigation plan</w:t>
            </w:r>
          </w:p>
        </w:tc>
        <w:tc>
          <w:tcPr>
            <w:vAlign w:val="top"/>
            <w:tcMar>
              <w:top w:w="70" w:type="dxa"/>
              <w:start w:w="80" w:type="dxa"/>
              <w:bottom w:w="70" w:type="dxa"/>
              <w:end w:w="80" w:type="dxa"/>
            </w:tcMar>
            <w:shd w:fill="D9EAF7"/>
          </w:tcPr>
          <w:p>
            <w:pPr>
              <w:pStyle w:val="Compact"/>
              <w:jc w:val="left"/>
            </w:pPr>
            <w:r>
              <w:rPr>
                <w:rFonts w:ascii="Arial" w:hAnsi="Arial" w:eastAsia="Arial"/>
                <w:sz w:val="16"/>
              </w:rPr>
              <w:t>ESCALATE</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DECISION_FRAGILE_KERNEL</w:t>
            </w:r>
          </w:p>
        </w:tc>
        <w:tc>
          <w:tcPr>
            <w:vAlign w:val="top"/>
            <w:tcMar>
              <w:top w:w="70" w:type="dxa"/>
              <w:start w:w="80" w:type="dxa"/>
              <w:bottom w:w="70" w:type="dxa"/>
              <w:end w:w="80" w:type="dxa"/>
            </w:tcMar>
            <w:shd w:fill="FFFFFF"/>
          </w:tcPr>
          <w:p>
            <w:pPr>
              <w:pStyle w:val="Compact"/>
              <w:jc w:val="left"/>
            </w:pPr>
            <w:r>
              <w:rPr>
                <w:rFonts w:ascii="Arial" w:hAnsi="Arial" w:eastAsia="Arial"/>
                <w:sz w:val="16"/>
              </w:rPr>
              <w:t>Selected option changes under kernel perturbation test (Section 6.6)</w:t>
            </w:r>
          </w:p>
        </w:tc>
        <w:tc>
          <w:tcPr>
            <w:vAlign w:val="top"/>
            <w:tcMar>
              <w:top w:w="70" w:type="dxa"/>
              <w:start w:w="80" w:type="dxa"/>
              <w:bottom w:w="70" w:type="dxa"/>
              <w:end w:w="80" w:type="dxa"/>
            </w:tcMar>
            <w:shd w:fill="FFFFFF"/>
          </w:tcPr>
          <w:p>
            <w:pPr>
              <w:pStyle w:val="Compact"/>
              <w:jc w:val="left"/>
            </w:pPr>
            <w:r>
              <w:rPr>
                <w:rFonts w:ascii="Arial" w:hAnsi="Arial" w:eastAsia="Arial"/>
                <w:sz w:val="16"/>
              </w:rPr>
              <w:t>Escalation required; consider NONE mode</w:t>
            </w:r>
          </w:p>
        </w:tc>
        <w:tc>
          <w:tcPr>
            <w:vAlign w:val="top"/>
            <w:tcMar>
              <w:top w:w="70" w:type="dxa"/>
              <w:start w:w="80" w:type="dxa"/>
              <w:bottom w:w="70" w:type="dxa"/>
              <w:end w:w="80" w:type="dxa"/>
            </w:tcMar>
            <w:shd w:fill="FFFFFF"/>
          </w:tcPr>
          <w:p>
            <w:pPr>
              <w:pStyle w:val="Compact"/>
              <w:jc w:val="left"/>
            </w:pPr>
            <w:r>
              <w:rPr>
                <w:rFonts w:ascii="Arial" w:hAnsi="Arial" w:eastAsia="Arial"/>
                <w:sz w:val="16"/>
              </w:rPr>
              <w:t>ESCALATE</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KERNEL_HUMILITY_FALLBACK</w:t>
            </w:r>
          </w:p>
        </w:tc>
        <w:tc>
          <w:tcPr>
            <w:vAlign w:val="top"/>
            <w:tcMar>
              <w:top w:w="70" w:type="dxa"/>
              <w:start w:w="80" w:type="dxa"/>
              <w:bottom w:w="70" w:type="dxa"/>
              <w:end w:w="80" w:type="dxa"/>
            </w:tcMar>
            <w:shd w:fill="D9EAF7"/>
          </w:tcPr>
          <w:p>
            <w:pPr>
              <w:pStyle w:val="Compact"/>
              <w:jc w:val="left"/>
            </w:pPr>
            <w:r>
              <w:rPr>
                <w:rFonts w:ascii="Arial" w:hAnsi="Arial" w:eastAsia="Arial"/>
                <w:sz w:val="16"/>
              </w:rPr>
              <w:t>Kernel disabled due to KQS &lt; 0.40 or stability violation (Section 6.4, 6.5)</w:t>
            </w:r>
          </w:p>
        </w:tc>
        <w:tc>
          <w:tcPr>
            <w:vAlign w:val="top"/>
            <w:tcMar>
              <w:top w:w="70" w:type="dxa"/>
              <w:start w:w="80" w:type="dxa"/>
              <w:bottom w:w="70" w:type="dxa"/>
              <w:end w:w="80" w:type="dxa"/>
            </w:tcMar>
            <w:shd w:fill="D9EAF7"/>
          </w:tcPr>
          <w:p>
            <w:pPr>
              <w:pStyle w:val="Compact"/>
              <w:jc w:val="left"/>
            </w:pPr>
            <w:r>
              <w:rPr>
                <w:rFonts w:ascii="Arial" w:hAnsi="Arial" w:eastAsia="Arial"/>
                <w:sz w:val="16"/>
              </w:rPr>
              <w:t>Note limitation in PCC; plan kernel improvement</w:t>
            </w:r>
          </w:p>
        </w:tc>
        <w:tc>
          <w:tcPr>
            <w:vAlign w:val="top"/>
            <w:tcMar>
              <w:top w:w="70" w:type="dxa"/>
              <w:start w:w="80" w:type="dxa"/>
              <w:bottom w:w="70" w:type="dxa"/>
              <w:end w:w="80" w:type="dxa"/>
            </w:tcMar>
            <w:shd w:fill="D9EAF7"/>
          </w:tcPr>
          <w:p>
            <w:pPr>
              <w:pStyle w:val="Compact"/>
              <w:jc w:val="left"/>
            </w:pPr>
            <w:r>
              <w:rPr>
                <w:rFonts w:ascii="Arial" w:hAnsi="Arial" w:eastAsia="Arial"/>
                <w:sz w:val="16"/>
              </w:rPr>
              <w:t>REVIEW</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JUDGMENT_CALL_UCI_UNAVAILABLE</w:t>
            </w:r>
          </w:p>
        </w:tc>
        <w:tc>
          <w:tcPr>
            <w:vAlign w:val="top"/>
            <w:tcMar>
              <w:top w:w="70" w:type="dxa"/>
              <w:start w:w="80" w:type="dxa"/>
              <w:bottom w:w="70" w:type="dxa"/>
              <w:end w:w="80" w:type="dxa"/>
            </w:tcMar>
            <w:shd w:fill="FFFFFF"/>
          </w:tcPr>
          <w:p>
            <w:pPr>
              <w:pStyle w:val="Compact"/>
              <w:jc w:val="left"/>
            </w:pPr>
            <w:r>
              <w:rPr>
                <w:rFonts w:ascii="Arial" w:hAnsi="Arial" w:eastAsia="Arial"/>
                <w:sz w:val="16"/>
              </w:rPr>
              <w:t>UCI unavailable in non-decisive RLS tie</w:t>
            </w:r>
          </w:p>
        </w:tc>
        <w:tc>
          <w:tcPr>
            <w:vAlign w:val="top"/>
            <w:tcMar>
              <w:top w:w="70" w:type="dxa"/>
              <w:start w:w="80" w:type="dxa"/>
              <w:bottom w:w="70" w:type="dxa"/>
              <w:end w:w="80" w:type="dxa"/>
            </w:tcMar>
            <w:shd w:fill="FFFFFF"/>
          </w:tcPr>
          <w:p>
            <w:pPr>
              <w:pStyle w:val="Compact"/>
              <w:jc w:val="left"/>
            </w:pPr>
            <w:r>
              <w:rPr>
                <w:rFonts w:ascii="Arial" w:hAnsi="Arial" w:eastAsia="Arial"/>
                <w:sz w:val="16"/>
              </w:rPr>
              <w:t>Document why UCI unavailable, when UCI measurement returns, and interim decision basis; monitoring plan required</w:t>
            </w:r>
          </w:p>
        </w:tc>
        <w:tc>
          <w:tcPr>
            <w:vAlign w:val="top"/>
            <w:tcMar>
              <w:top w:w="70" w:type="dxa"/>
              <w:start w:w="80" w:type="dxa"/>
              <w:bottom w:w="70" w:type="dxa"/>
              <w:end w:w="80" w:type="dxa"/>
            </w:tcMar>
            <w:shd w:fill="FFFFFF"/>
          </w:tcPr>
          <w:p>
            <w:pPr>
              <w:pStyle w:val="Compact"/>
              <w:jc w:val="left"/>
            </w:pPr>
            <w:r>
              <w:rPr>
                <w:rFonts w:ascii="Arial" w:hAnsi="Arial" w:eastAsia="Arial"/>
                <w:sz w:val="16"/>
              </w:rPr>
              <w:t>REVIEW</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JUDGMENT_CALL_TIEBREAK_NONDECISIVE</w:t>
            </w:r>
          </w:p>
        </w:tc>
        <w:tc>
          <w:tcPr>
            <w:vAlign w:val="top"/>
            <w:tcMar>
              <w:top w:w="70" w:type="dxa"/>
              <w:start w:w="80" w:type="dxa"/>
              <w:bottom w:w="70" w:type="dxa"/>
              <w:end w:w="80" w:type="dxa"/>
            </w:tcMar>
            <w:shd w:fill="D9EAF7"/>
          </w:tcPr>
          <w:p>
            <w:pPr>
              <w:pStyle w:val="Compact"/>
              <w:jc w:val="left"/>
            </w:pPr>
            <w:r>
              <w:rPr>
                <w:rFonts w:ascii="Arial" w:hAnsi="Arial" w:eastAsia="Arial"/>
                <w:sz w:val="16"/>
              </w:rPr>
              <w:t>Tie-break chain did not resolve selection</w:t>
            </w:r>
          </w:p>
        </w:tc>
        <w:tc>
          <w:tcPr>
            <w:vAlign w:val="top"/>
            <w:tcMar>
              <w:top w:w="70" w:type="dxa"/>
              <w:start w:w="80" w:type="dxa"/>
              <w:bottom w:w="70" w:type="dxa"/>
              <w:end w:w="80" w:type="dxa"/>
            </w:tcMar>
            <w:shd w:fill="D9EAF7"/>
          </w:tcPr>
          <w:p>
            <w:pPr>
              <w:pStyle w:val="Compact"/>
              <w:jc w:val="left"/>
            </w:pPr>
            <w:r>
              <w:rPr>
                <w:rFonts w:ascii="Arial" w:hAnsi="Arial" w:eastAsia="Arial"/>
                <w:sz w:val="16"/>
              </w:rPr>
              <w:t>Explicit manual judgment record required; independent reviewer recommended (Tier 3)</w:t>
            </w:r>
          </w:p>
        </w:tc>
        <w:tc>
          <w:tcPr>
            <w:vAlign w:val="top"/>
            <w:tcMar>
              <w:top w:w="70" w:type="dxa"/>
              <w:start w:w="80" w:type="dxa"/>
              <w:bottom w:w="70" w:type="dxa"/>
              <w:end w:w="80" w:type="dxa"/>
            </w:tcMar>
            <w:shd w:fill="D9EAF7"/>
          </w:tcPr>
          <w:p>
            <w:pPr>
              <w:pStyle w:val="Compact"/>
              <w:jc w:val="left"/>
            </w:pPr>
            <w:r>
              <w:rPr>
                <w:rFonts w:ascii="Arial" w:hAnsi="Arial" w:eastAsia="Arial"/>
                <w:sz w:val="16"/>
              </w:rPr>
              <w:t>REVIEW</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SCI_BELOW_MINIMUM</w:t>
            </w:r>
          </w:p>
        </w:tc>
        <w:tc>
          <w:tcPr>
            <w:vAlign w:val="top"/>
            <w:tcMar>
              <w:top w:w="70" w:type="dxa"/>
              <w:start w:w="80" w:type="dxa"/>
              <w:bottom w:w="70" w:type="dxa"/>
              <w:end w:w="80" w:type="dxa"/>
            </w:tcMar>
            <w:shd w:fill="FFFFFF"/>
          </w:tcPr>
          <w:p>
            <w:pPr>
              <w:pStyle w:val="Compact"/>
              <w:jc w:val="left"/>
            </w:pPr>
            <w:r>
              <w:rPr>
                <w:rFonts w:ascii="Arial" w:hAnsi="Arial" w:eastAsia="Arial"/>
                <w:sz w:val="16"/>
              </w:rPr>
              <w:t>SCI &lt; tier minimum for the claimed tier, OR (SCI = tier minimum AND PCC missing required Next‑Run Upgrade action).</w:t>
            </w:r>
          </w:p>
        </w:tc>
        <w:tc>
          <w:tcPr>
            <w:vAlign w:val="top"/>
            <w:tcMar>
              <w:top w:w="70" w:type="dxa"/>
              <w:start w:w="80" w:type="dxa"/>
              <w:bottom w:w="70" w:type="dxa"/>
              <w:end w:w="80" w:type="dxa"/>
            </w:tcMar>
            <w:shd w:fill="FFFFFF"/>
          </w:tcPr>
          <w:p>
            <w:pPr>
              <w:pStyle w:val="Compact"/>
              <w:jc w:val="left"/>
            </w:pPr>
            <w:r>
              <w:rPr>
                <w:rFonts w:ascii="Arial" w:hAnsi="Arial" w:eastAsia="Arial"/>
                <w:sz w:val="16"/>
              </w:rPr>
              <w:t>PCC MUST record PCC.SCI.BelowMinimumDisposition = DOWNGRADE_TIER or RERUN_TO_MEET_MINIMUM. If SCI equals tier minimum and NextRunUpgradeAction is missing, treat as SCI_BELOW_MINIMUM. No tier compliance above achieved SCI may be claimed.</w:t>
            </w:r>
          </w:p>
        </w:tc>
        <w:tc>
          <w:tcPr>
            <w:vAlign w:val="top"/>
            <w:tcMar>
              <w:top w:w="70" w:type="dxa"/>
              <w:start w:w="80" w:type="dxa"/>
              <w:bottom w:w="70" w:type="dxa"/>
              <w:end w:w="80" w:type="dxa"/>
            </w:tcMar>
            <w:shd w:fill="FFFFFF"/>
          </w:tcPr>
          <w:p>
            <w:pPr>
              <w:pStyle w:val="Compact"/>
              <w:jc w:val="left"/>
            </w:pPr>
            <w:r>
              <w:rPr>
                <w:rFonts w:ascii="Arial" w:hAnsi="Arial" w:eastAsia="Arial"/>
                <w:sz w:val="16"/>
              </w:rPr>
              <w:t>ESCALATE</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CONFIG_DRIFT</w:t>
            </w:r>
          </w:p>
        </w:tc>
        <w:tc>
          <w:tcPr>
            <w:vAlign w:val="top"/>
            <w:tcMar>
              <w:top w:w="70" w:type="dxa"/>
              <w:start w:w="80" w:type="dxa"/>
              <w:bottom w:w="70" w:type="dxa"/>
              <w:end w:w="80" w:type="dxa"/>
            </w:tcMar>
            <w:shd w:fill="D9EAF7"/>
          </w:tcPr>
          <w:p>
            <w:pPr>
              <w:pStyle w:val="Compact"/>
              <w:jc w:val="left"/>
            </w:pPr>
            <w:r>
              <w:rPr>
                <w:rFonts w:ascii="Arial" w:hAnsi="Arial" w:eastAsia="Arial"/>
                <w:sz w:val="16"/>
              </w:rPr>
              <w:t>Parameters differ from prior run without governance update</w:t>
            </w:r>
          </w:p>
        </w:tc>
        <w:tc>
          <w:tcPr>
            <w:vAlign w:val="top"/>
            <w:tcMar>
              <w:top w:w="70" w:type="dxa"/>
              <w:start w:w="80" w:type="dxa"/>
              <w:bottom w:w="70" w:type="dxa"/>
              <w:end w:w="80" w:type="dxa"/>
            </w:tcMar>
            <w:shd w:fill="D9EAF7"/>
          </w:tcPr>
          <w:p>
            <w:pPr>
              <w:pStyle w:val="Compact"/>
              <w:jc w:val="left"/>
            </w:pPr>
            <w:r>
              <w:rPr>
                <w:rFonts w:ascii="Arial" w:hAnsi="Arial" w:eastAsia="Arial"/>
                <w:sz w:val="16"/>
              </w:rPr>
              <w:t>Governance review required before proceeding</w:t>
            </w:r>
          </w:p>
        </w:tc>
        <w:tc>
          <w:tcPr>
            <w:vAlign w:val="top"/>
            <w:tcMar>
              <w:top w:w="70" w:type="dxa"/>
              <w:start w:w="80" w:type="dxa"/>
              <w:bottom w:w="70" w:type="dxa"/>
              <w:end w:w="80" w:type="dxa"/>
            </w:tcMar>
            <w:shd w:fill="D9EAF7"/>
          </w:tcPr>
          <w:p>
            <w:pPr>
              <w:pStyle w:val="Compact"/>
              <w:jc w:val="left"/>
            </w:pPr>
            <w:r>
              <w:rPr>
                <w:rFonts w:ascii="Arial" w:hAnsi="Arial" w:eastAsia="Arial"/>
                <w:sz w:val="16"/>
              </w:rPr>
              <w:t>ESCALATE</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CONTAINMENT_UCI_UNAVAILABLE</w:t>
            </w:r>
          </w:p>
        </w:tc>
        <w:tc>
          <w:tcPr>
            <w:vAlign w:val="top"/>
            <w:tcMar>
              <w:top w:w="70" w:type="dxa"/>
              <w:start w:w="80" w:type="dxa"/>
              <w:bottom w:w="70" w:type="dxa"/>
              <w:end w:w="80" w:type="dxa"/>
            </w:tcMar>
            <w:shd w:fill="FFFFFF"/>
          </w:tcPr>
          <w:p>
            <w:pPr>
              <w:pStyle w:val="Compact"/>
              <w:jc w:val="left"/>
            </w:pPr>
            <w:r>
              <w:rPr>
                <w:rFonts w:ascii="Arial" w:hAnsi="Arial" w:eastAsia="Arial"/>
                <w:sz w:val="16"/>
              </w:rPr>
              <w:t>Containment evaluation required ΔUCI for containing union(s) but ΔUCI unavailable; or unknown ΔUCI treated as pass.</w:t>
            </w:r>
          </w:p>
        </w:tc>
        <w:tc>
          <w:tcPr>
            <w:vAlign w:val="top"/>
            <w:tcMar>
              <w:top w:w="70" w:type="dxa"/>
              <w:start w:w="80" w:type="dxa"/>
              <w:bottom w:w="70" w:type="dxa"/>
              <w:end w:w="80" w:type="dxa"/>
            </w:tcMar>
            <w:shd w:fill="FFFFFF"/>
          </w:tcPr>
          <w:p>
            <w:pPr>
              <w:pStyle w:val="Compact"/>
              <w:jc w:val="left"/>
            </w:pPr>
            <w:r>
              <w:rPr>
                <w:rFonts w:ascii="Arial" w:hAnsi="Arial" w:eastAsia="Arial"/>
                <w:sz w:val="16"/>
              </w:rPr>
              <w:t>Set flag. If Tier 3 was claimed or attempted, the run MUST NOT claim Tier 3 compliance. PCC MUST record PCC.Containment.UCIUnavailableDisposition = DOWNGRADE_TIER or COLLECT_DATA_RERUN and include PCC.Containment.UCIUnavailableRemediationTimeline (non-empty). If DOWNGRADE_TIER is chosen, the run proceeds under Tier 2 semantics (containment non-binding) and MUST set PCC.TierClaimDisposition = TIER_ATTEMPTED_NOT_ACHIEVED_DOWNGRADED with PCC.TierAttempted = 3 and PCC.TierAchieved = 2.</w:t>
            </w:r>
          </w:p>
        </w:tc>
        <w:tc>
          <w:tcPr>
            <w:vAlign w:val="top"/>
            <w:tcMar>
              <w:top w:w="70" w:type="dxa"/>
              <w:start w:w="80" w:type="dxa"/>
              <w:bottom w:w="70" w:type="dxa"/>
              <w:end w:w="80" w:type="dxa"/>
            </w:tcMar>
            <w:shd w:fill="FFFFFF"/>
          </w:tcPr>
          <w:p>
            <w:pPr>
              <w:pStyle w:val="Compact"/>
              <w:jc w:val="left"/>
            </w:pPr>
            <w:r>
              <w:rPr>
                <w:rFonts w:ascii="Arial" w:hAnsi="Arial" w:eastAsia="Arial"/>
                <w:sz w:val="16"/>
              </w:rPr>
              <w:t>ESCALATE</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PLSS_ESCALATION_TRIGGER_UNRESOLVED</w:t>
            </w:r>
          </w:p>
        </w:tc>
        <w:tc>
          <w:tcPr>
            <w:vAlign w:val="top"/>
            <w:tcMar>
              <w:top w:w="70" w:type="dxa"/>
              <w:start w:w="80" w:type="dxa"/>
              <w:bottom w:w="70" w:type="dxa"/>
              <w:end w:w="80" w:type="dxa"/>
            </w:tcMar>
            <w:shd w:fill="D9EAF7"/>
          </w:tcPr>
          <w:p>
            <w:pPr>
              <w:pStyle w:val="Compact"/>
              <w:jc w:val="left"/>
            </w:pPr>
            <w:r>
              <w:rPr>
                <w:rFonts w:ascii="Arial" w:hAnsi="Arial" w:eastAsia="Arial"/>
                <w:sz w:val="16"/>
              </w:rPr>
              <w:t>One or more Section 10.2A.7 escalation triggers is plausibly active, but the run proceeds in PLSS posture without an escalated posture or documented justification.</w:t>
            </w:r>
          </w:p>
        </w:tc>
        <w:tc>
          <w:tcPr>
            <w:vAlign w:val="top"/>
            <w:tcMar>
              <w:top w:w="70" w:type="dxa"/>
              <w:start w:w="80" w:type="dxa"/>
              <w:bottom w:w="70" w:type="dxa"/>
              <w:end w:w="80" w:type="dxa"/>
            </w:tcMar>
            <w:shd w:fill="D9EAF7"/>
          </w:tcPr>
          <w:p>
            <w:pPr>
              <w:pStyle w:val="Compact"/>
              <w:jc w:val="left"/>
            </w:pPr>
            <w:r>
              <w:rPr>
                <w:rFonts w:ascii="Arial" w:hAnsi="Arial" w:eastAsia="Arial"/>
                <w:sz w:val="16"/>
              </w:rPr>
              <w:t>Record a broader posture OR a specific non-escalation justification with evidence basis and reviewer sign-off where required by tier. If no such disposition is recorded, reject the run as non-conformant.</w:t>
            </w:r>
          </w:p>
        </w:tc>
        <w:tc>
          <w:tcPr>
            <w:vAlign w:val="top"/>
            <w:tcMar>
              <w:top w:w="70" w:type="dxa"/>
              <w:start w:w="80" w:type="dxa"/>
              <w:bottom w:w="70" w:type="dxa"/>
              <w:end w:w="80" w:type="dxa"/>
            </w:tcMar>
            <w:shd w:fill="D9EAF7"/>
          </w:tcPr>
          <w:p>
            <w:pPr>
              <w:pStyle w:val="Compact"/>
              <w:jc w:val="left"/>
            </w:pPr>
            <w:r>
              <w:rPr>
                <w:rFonts w:ascii="Arial" w:hAnsi="Arial" w:eastAsia="Arial"/>
                <w:sz w:val="16"/>
              </w:rPr>
              <w:t>ESCALATE</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REGISTRY_MISMATCH</w:t>
            </w:r>
          </w:p>
        </w:tc>
        <w:tc>
          <w:tcPr>
            <w:vAlign w:val="top"/>
            <w:tcMar>
              <w:top w:w="70" w:type="dxa"/>
              <w:start w:w="80" w:type="dxa"/>
              <w:bottom w:w="70" w:type="dxa"/>
              <w:end w:w="80" w:type="dxa"/>
            </w:tcMar>
            <w:shd w:fill="FFFFFF"/>
          </w:tcPr>
          <w:p>
            <w:pPr>
              <w:pStyle w:val="Compact"/>
              <w:jc w:val="left"/>
            </w:pPr>
            <w:r>
              <w:rPr>
                <w:rFonts w:ascii="Arial" w:hAnsi="Arial" w:eastAsia="Arial"/>
                <w:sz w:val="16"/>
              </w:rPr>
              <w:t>PCC snapshot differs from referenced registry hash</w:t>
            </w:r>
          </w:p>
        </w:tc>
        <w:tc>
          <w:tcPr>
            <w:vAlign w:val="top"/>
            <w:tcMar>
              <w:top w:w="70" w:type="dxa"/>
              <w:start w:w="80" w:type="dxa"/>
              <w:bottom w:w="70" w:type="dxa"/>
              <w:end w:w="80" w:type="dxa"/>
            </w:tcMar>
            <w:shd w:fill="FFFFFF"/>
          </w:tcPr>
          <w:p>
            <w:pPr>
              <w:pStyle w:val="Compact"/>
              <w:jc w:val="left"/>
            </w:pPr>
            <w:r>
              <w:rPr>
                <w:rFonts w:ascii="Arial" w:hAnsi="Arial" w:eastAsia="Arial"/>
                <w:sz w:val="16"/>
              </w:rPr>
              <w:t>Audit required; resolve discrepancy</w:t>
            </w:r>
          </w:p>
        </w:tc>
        <w:tc>
          <w:tcPr>
            <w:vAlign w:val="top"/>
            <w:tcMar>
              <w:top w:w="70" w:type="dxa"/>
              <w:start w:w="80" w:type="dxa"/>
              <w:bottom w:w="70" w:type="dxa"/>
              <w:end w:w="80" w:type="dxa"/>
            </w:tcMar>
            <w:shd w:fill="FFFFFF"/>
          </w:tcPr>
          <w:p>
            <w:pPr>
              <w:pStyle w:val="Compact"/>
              <w:jc w:val="left"/>
            </w:pPr>
            <w:r>
              <w:rPr>
                <w:rFonts w:ascii="Arial" w:hAnsi="Arial" w:eastAsia="Arial"/>
                <w:sz w:val="16"/>
              </w:rPr>
              <w:t>ESCALATE</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PLSS_PROMINENCE_SENSITIVE</w:t>
            </w:r>
          </w:p>
        </w:tc>
        <w:tc>
          <w:tcPr>
            <w:vAlign w:val="top"/>
            <w:tcMar>
              <w:top w:w="70" w:type="dxa"/>
              <w:start w:w="80" w:type="dxa"/>
              <w:bottom w:w="70" w:type="dxa"/>
              <w:end w:w="80" w:type="dxa"/>
            </w:tcMar>
            <w:shd w:fill="D9EAF7"/>
          </w:tcPr>
          <w:p>
            <w:pPr>
              <w:pStyle w:val="Compact"/>
              <w:jc w:val="left"/>
            </w:pPr>
            <w:r>
              <w:rPr>
                <w:rFonts w:ascii="Arial" w:hAnsi="Arial" w:eastAsia="Arial"/>
                <w:sz w:val="16"/>
              </w:rPr>
              <w:t>Valid alternative PLSS prominence constructions materially change the ranking order of selectable options or the selected option.</w:t>
            </w:r>
          </w:p>
        </w:tc>
        <w:tc>
          <w:tcPr>
            <w:vAlign w:val="top"/>
            <w:tcMar>
              <w:top w:w="70" w:type="dxa"/>
              <w:start w:w="80" w:type="dxa"/>
              <w:bottom w:w="70" w:type="dxa"/>
              <w:end w:w="80" w:type="dxa"/>
            </w:tcMar>
            <w:shd w:fill="D9EAF7"/>
          </w:tcPr>
          <w:p>
            <w:pPr>
              <w:pStyle w:val="Compact"/>
              <w:jc w:val="left"/>
            </w:pPr>
            <w:r>
              <w:rPr>
                <w:rFonts w:ascii="Arial" w:hAnsi="Arial" w:eastAsia="Arial"/>
                <w:sz w:val="16"/>
              </w:rPr>
              <w:t>Record the sensitivity, require reviewer attention, and do not present the PLSS outcome as uniquely robust without further justification.</w:t>
            </w:r>
          </w:p>
        </w:tc>
        <w:tc>
          <w:tcPr>
            <w:vAlign w:val="top"/>
            <w:tcMar>
              <w:top w:w="70" w:type="dxa"/>
              <w:start w:w="80" w:type="dxa"/>
              <w:bottom w:w="70" w:type="dxa"/>
              <w:end w:w="80" w:type="dxa"/>
            </w:tcMar>
            <w:shd w:fill="D9EAF7"/>
          </w:tcPr>
          <w:p>
            <w:pPr>
              <w:pStyle w:val="Compact"/>
              <w:jc w:val="left"/>
            </w:pPr>
            <w:r>
              <w:rPr>
                <w:rFonts w:ascii="Arial" w:hAnsi="Arial" w:eastAsia="Arial"/>
                <w:sz w:val="16"/>
              </w:rPr>
              <w:t>ESCALATE</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DECISIVENESS_METHOD_POSTHOC</w:t>
            </w:r>
          </w:p>
        </w:tc>
        <w:tc>
          <w:tcPr>
            <w:vAlign w:val="top"/>
            <w:tcMar>
              <w:top w:w="70" w:type="dxa"/>
              <w:start w:w="80" w:type="dxa"/>
              <w:bottom w:w="70" w:type="dxa"/>
              <w:end w:w="80" w:type="dxa"/>
            </w:tcMar>
            <w:shd w:fill="FFFFFF"/>
          </w:tcPr>
          <w:p>
            <w:pPr>
              <w:pStyle w:val="Compact"/>
              <w:jc w:val="left"/>
            </w:pPr>
            <w:r>
              <w:rPr>
                <w:rFonts w:ascii="Arial" w:hAnsi="Arial" w:eastAsia="Arial"/>
                <w:sz w:val="16"/>
              </w:rPr>
              <w:t>A method choice that can materially affect decisiveness, ranking within the selectable set, or tie-break outcome, including PLSS prominence construction, alternative PLSS operator, scope-posture escalation disposition, or UCI comparison method, is first declared only after comparative outcomes are observed and the PCC lacks the required reason code, reviewer disposition, or sensitivity note.</w:t>
            </w:r>
          </w:p>
        </w:tc>
        <w:tc>
          <w:tcPr>
            <w:vAlign w:val="top"/>
            <w:tcMar>
              <w:top w:w="70" w:type="dxa"/>
              <w:start w:w="80" w:type="dxa"/>
              <w:bottom w:w="70" w:type="dxa"/>
              <w:end w:w="80" w:type="dxa"/>
            </w:tcMar>
            <w:shd w:fill="FFFFFF"/>
          </w:tcPr>
          <w:p>
            <w:pPr>
              <w:pStyle w:val="Compact"/>
              <w:jc w:val="left"/>
            </w:pPr>
            <w:r>
              <w:rPr>
                <w:rFonts w:ascii="Arial" w:hAnsi="Arial" w:eastAsia="Arial"/>
                <w:sz w:val="16"/>
              </w:rPr>
              <w:t>Record the post hoc declaration, add the required reason code and sensitivity note, and require reviewer attention. If the missing disposition cannot be supplied, the run MUST NOT be presented as uniquely robust.</w:t>
            </w:r>
          </w:p>
        </w:tc>
        <w:tc>
          <w:tcPr>
            <w:vAlign w:val="top"/>
            <w:tcMar>
              <w:top w:w="70" w:type="dxa"/>
              <w:start w:w="80" w:type="dxa"/>
              <w:bottom w:w="70" w:type="dxa"/>
              <w:end w:w="80" w:type="dxa"/>
            </w:tcMar>
            <w:shd w:fill="FFFFFF"/>
          </w:tcPr>
          <w:p>
            <w:pPr>
              <w:pStyle w:val="Compact"/>
              <w:jc w:val="left"/>
            </w:pPr>
            <w:r>
              <w:rPr>
                <w:rFonts w:ascii="Arial" w:hAnsi="Arial" w:eastAsia="Arial"/>
                <w:sz w:val="16"/>
              </w:rPr>
              <w:t>ESCALATE</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EK_NONDEFAULT_TIER2_INVALID</w:t>
            </w:r>
          </w:p>
        </w:tc>
        <w:tc>
          <w:tcPr>
            <w:vAlign w:val="top"/>
            <w:tcMar>
              <w:top w:w="70" w:type="dxa"/>
              <w:start w:w="80" w:type="dxa"/>
              <w:bottom w:w="70" w:type="dxa"/>
              <w:end w:w="80" w:type="dxa"/>
            </w:tcMar>
            <w:shd w:fill="D9EAF7"/>
          </w:tcPr>
          <w:p>
            <w:pPr>
              <w:pStyle w:val="Compact"/>
              <w:jc w:val="left"/>
            </w:pPr>
            <w:r>
              <w:rPr>
                <w:rFonts w:ascii="Arial" w:hAnsi="Arial" w:eastAsia="Arial"/>
                <w:sz w:val="16"/>
              </w:rPr>
              <w:t>A Tier 2 run logs one or more instances with e_k ≠ 1.00 without a named governed instrument that explicitly permits a non-default value.</w:t>
            </w:r>
          </w:p>
        </w:tc>
        <w:tc>
          <w:tcPr>
            <w:vAlign w:val="top"/>
            <w:tcMar>
              <w:top w:w="70" w:type="dxa"/>
              <w:start w:w="80" w:type="dxa"/>
              <w:bottom w:w="70" w:type="dxa"/>
              <w:end w:w="80" w:type="dxa"/>
            </w:tcMar>
            <w:shd w:fill="D9EAF7"/>
          </w:tcPr>
          <w:p>
            <w:pPr>
              <w:pStyle w:val="Compact"/>
              <w:jc w:val="left"/>
            </w:pPr>
            <w:r>
              <w:rPr>
                <w:rFonts w:ascii="Arial" w:hAnsi="Arial" w:eastAsia="Arial"/>
                <w:sz w:val="16"/>
              </w:rPr>
              <w:t>Tier 2 runs MUST use e_k = 1.00 by default. Reset e_k to 1.00, or rerun under a governed Tier 3 posture with declared provenance and sensitivity evidence before claiming conformance.</w:t>
            </w:r>
          </w:p>
        </w:tc>
        <w:tc>
          <w:tcPr>
            <w:vAlign w:val="top"/>
            <w:tcMar>
              <w:top w:w="70" w:type="dxa"/>
              <w:start w:w="80" w:type="dxa"/>
              <w:bottom w:w="70" w:type="dxa"/>
              <w:end w:w="80" w:type="dxa"/>
            </w:tcMar>
            <w:shd w:fill="D9EAF7"/>
          </w:tcPr>
          <w:p>
            <w:pPr>
              <w:pStyle w:val="Compact"/>
              <w:jc w:val="left"/>
            </w:pPr>
            <w:r>
              <w:rPr>
                <w:rFonts w:ascii="Arial" w:hAnsi="Arial" w:eastAsia="Arial"/>
                <w:sz w:val="16"/>
              </w:rPr>
              <w:t>INVALID</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UNCERTAINTY_PROVENANCE_MISSING</w:t>
            </w:r>
          </w:p>
        </w:tc>
        <w:tc>
          <w:tcPr>
            <w:vAlign w:val="top"/>
            <w:tcMar>
              <w:top w:w="70" w:type="dxa"/>
              <w:start w:w="80" w:type="dxa"/>
              <w:bottom w:w="70" w:type="dxa"/>
              <w:end w:w="80" w:type="dxa"/>
            </w:tcMar>
            <w:shd w:fill="FFFFFF"/>
          </w:tcPr>
          <w:p>
            <w:pPr>
              <w:pStyle w:val="Compact"/>
              <w:jc w:val="left"/>
            </w:pPr>
            <w:r>
              <w:rPr>
                <w:rFonts w:ascii="Arial" w:hAnsi="Arial" w:eastAsia="Arial"/>
                <w:sz w:val="16"/>
              </w:rPr>
              <w:t>A Tier 2+ run requires uncertainty disclosure, provenance, or method declaration, but the PCC is missing the required uncertainty fields or basis record.</w:t>
            </w:r>
          </w:p>
        </w:tc>
        <w:tc>
          <w:tcPr>
            <w:vAlign w:val="top"/>
            <w:tcMar>
              <w:top w:w="70" w:type="dxa"/>
              <w:start w:w="80" w:type="dxa"/>
              <w:bottom w:w="70" w:type="dxa"/>
              <w:end w:w="80" w:type="dxa"/>
            </w:tcMar>
            <w:shd w:fill="FFFFFF"/>
          </w:tcPr>
          <w:p>
            <w:pPr>
              <w:pStyle w:val="Compact"/>
              <w:jc w:val="left"/>
            </w:pPr>
            <w:r>
              <w:rPr>
                <w:rFonts w:ascii="Arial" w:hAnsi="Arial" w:eastAsia="Arial"/>
                <w:sz w:val="16"/>
              </w:rPr>
              <w:t>Populate the required PCC uncertainty fields and provenance basis before claiming conformance. If the basis cannot be supplied, downgrade or reject the run as non-conformant.</w:t>
            </w:r>
          </w:p>
        </w:tc>
        <w:tc>
          <w:tcPr>
            <w:vAlign w:val="top"/>
            <w:tcMar>
              <w:top w:w="70" w:type="dxa"/>
              <w:start w:w="80" w:type="dxa"/>
              <w:bottom w:w="70" w:type="dxa"/>
              <w:end w:w="80" w:type="dxa"/>
            </w:tcMar>
            <w:shd w:fill="FFFFFF"/>
          </w:tcPr>
          <w:p>
            <w:pPr>
              <w:pStyle w:val="Compact"/>
              <w:jc w:val="left"/>
            </w:pPr>
            <w:r>
              <w:rPr>
                <w:rFonts w:ascii="Arial" w:hAnsi="Arial" w:eastAsia="Arial"/>
                <w:sz w:val="16"/>
              </w:rPr>
              <w:t>INVALID</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SCOPE_COVERAGE_REDUCED</w:t>
            </w:r>
          </w:p>
        </w:tc>
        <w:tc>
          <w:tcPr>
            <w:vAlign w:val="top"/>
            <w:tcMar>
              <w:top w:w="70" w:type="dxa"/>
              <w:start w:w="80" w:type="dxa"/>
              <w:bottom w:w="70" w:type="dxa"/>
              <w:end w:w="80" w:type="dxa"/>
            </w:tcMar>
            <w:shd w:fill="D9EAF7"/>
          </w:tcPr>
          <w:p>
            <w:pPr>
              <w:pStyle w:val="Compact"/>
              <w:jc w:val="left"/>
            </w:pPr>
            <w:r>
              <w:rPr>
                <w:rFonts w:ascii="Arial" w:hAnsi="Arial" w:eastAsia="Arial"/>
                <w:sz w:val="16"/>
              </w:rPr>
              <w:t>Reduced-scope mode is used (declared or implied by fewer than 7 active scopes) in a Tier 2+ run, OR the admissibility full-computation attestation for non-maskable cells is missing/incomplete.</w:t>
            </w:r>
          </w:p>
        </w:tc>
        <w:tc>
          <w:tcPr>
            <w:vAlign w:val="top"/>
            <w:tcMar>
              <w:top w:w="70" w:type="dxa"/>
              <w:start w:w="80" w:type="dxa"/>
              <w:bottom w:w="70" w:type="dxa"/>
              <w:end w:w="80" w:type="dxa"/>
            </w:tcMar>
            <w:shd w:fill="D9EAF7"/>
          </w:tcPr>
          <w:p>
            <w:pPr>
              <w:pStyle w:val="Compact"/>
              <w:jc w:val="left"/>
            </w:pPr>
            <w:r>
              <w:rPr>
                <w:rFonts w:ascii="Arial" w:hAnsi="Arial" w:eastAsia="Arial"/>
                <w:sz w:val="16"/>
              </w:rPr>
              <w:t>Reviewer MUST verify that NCRC/TRC/CSV were computed on all required non-maskable cells, and that omitted-scope blind spots plus escalation triggers are recorded. If reduced-scope is used repeatedly, require a next-run scope expansion plan.</w:t>
            </w:r>
          </w:p>
        </w:tc>
        <w:tc>
          <w:tcPr>
            <w:vAlign w:val="top"/>
            <w:tcMar>
              <w:top w:w="70" w:type="dxa"/>
              <w:start w:w="80" w:type="dxa"/>
              <w:bottom w:w="70" w:type="dxa"/>
              <w:end w:w="80" w:type="dxa"/>
            </w:tcMar>
            <w:shd w:fill="D9EAF7"/>
          </w:tcPr>
          <w:p>
            <w:pPr>
              <w:pStyle w:val="Compact"/>
              <w:jc w:val="left"/>
            </w:pPr>
            <w:r>
              <w:rPr>
                <w:rFonts w:ascii="Arial" w:hAnsi="Arial" w:eastAsia="Arial"/>
                <w:sz w:val="16"/>
              </w:rPr>
              <w:t>REVIEW</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UNCERTAINTY_DECISIVENESS_SENSITIVE</w:t>
            </w:r>
          </w:p>
        </w:tc>
        <w:tc>
          <w:tcPr>
            <w:vAlign w:val="top"/>
            <w:tcMar>
              <w:top w:w="70" w:type="dxa"/>
              <w:start w:w="80" w:type="dxa"/>
              <w:bottom w:w="70" w:type="dxa"/>
              <w:end w:w="80" w:type="dxa"/>
            </w:tcMar>
            <w:shd w:fill="FFFFFF"/>
          </w:tcPr>
          <w:p>
            <w:pPr>
              <w:pStyle w:val="Compact"/>
              <w:jc w:val="left"/>
            </w:pPr>
            <w:r>
              <w:rPr>
                <w:rFonts w:ascii="Arial" w:hAnsi="Arial" w:eastAsia="Arial"/>
                <w:sz w:val="16"/>
              </w:rPr>
              <w:t>Required uncertainty stress tests change whether the lead is decisive.</w:t>
            </w:r>
          </w:p>
        </w:tc>
        <w:tc>
          <w:tcPr>
            <w:vAlign w:val="top"/>
            <w:tcMar>
              <w:top w:w="70" w:type="dxa"/>
              <w:start w:w="80" w:type="dxa"/>
              <w:bottom w:w="70" w:type="dxa"/>
              <w:end w:w="80" w:type="dxa"/>
            </w:tcMar>
            <w:shd w:fill="FFFFFF"/>
          </w:tcPr>
          <w:p>
            <w:pPr>
              <w:pStyle w:val="Compact"/>
              <w:jc w:val="left"/>
            </w:pPr>
            <w:r>
              <w:rPr>
                <w:rFonts w:ascii="Arial" w:hAnsi="Arial" w:eastAsia="Arial"/>
                <w:sz w:val="16"/>
              </w:rPr>
              <w:t>Escalate or relabel the run non-decisive; apply tie-break or governance review before claiming a decisive welfare lead.</w:t>
            </w:r>
          </w:p>
        </w:tc>
        <w:tc>
          <w:tcPr>
            <w:vAlign w:val="top"/>
            <w:tcMar>
              <w:top w:w="70" w:type="dxa"/>
              <w:start w:w="80" w:type="dxa"/>
              <w:bottom w:w="70" w:type="dxa"/>
              <w:end w:w="80" w:type="dxa"/>
            </w:tcMar>
            <w:shd w:fill="FFFFFF"/>
          </w:tcPr>
          <w:p>
            <w:pPr>
              <w:pStyle w:val="Compact"/>
              <w:jc w:val="left"/>
            </w:pPr>
            <w:r>
              <w:rPr>
                <w:rFonts w:ascii="Arial" w:hAnsi="Arial" w:eastAsia="Arial"/>
                <w:sz w:val="16"/>
              </w:rPr>
              <w:t>ESCALATE</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RIGHTS_CELL_UNKNOWN_GATE_CRITICAL</w:t>
            </w:r>
          </w:p>
        </w:tc>
        <w:tc>
          <w:tcPr>
            <w:vAlign w:val="top"/>
            <w:tcMar>
              <w:top w:w="70" w:type="dxa"/>
              <w:start w:w="80" w:type="dxa"/>
              <w:bottom w:w="70" w:type="dxa"/>
              <w:end w:w="80" w:type="dxa"/>
            </w:tcMar>
            <w:shd w:fill="D9EAF7"/>
          </w:tcPr>
          <w:p>
            <w:pPr>
              <w:pStyle w:val="Compact"/>
              <w:jc w:val="left"/>
            </w:pPr>
            <w:r>
              <w:rPr>
                <w:rFonts w:ascii="Arial" w:hAnsi="Arial" w:eastAsia="Arial"/>
                <w:sz w:val="16"/>
              </w:rPr>
              <w:t>A rights-covered cell in C_r is declared UNKNOWN_IMPACT and admissibility is not preserved by a governed conservative bound or equivalent governed disposition.</w:t>
            </w:r>
          </w:p>
        </w:tc>
        <w:tc>
          <w:tcPr>
            <w:vAlign w:val="top"/>
            <w:tcMar>
              <w:top w:w="70" w:type="dxa"/>
              <w:start w:w="80" w:type="dxa"/>
              <w:bottom w:w="70" w:type="dxa"/>
              <w:end w:w="80" w:type="dxa"/>
            </w:tcMar>
            <w:shd w:fill="D9EAF7"/>
          </w:tcPr>
          <w:p>
            <w:pPr>
              <w:pStyle w:val="Compact"/>
              <w:jc w:val="left"/>
            </w:pPr>
            <w:r>
              <w:rPr>
                <w:rFonts w:ascii="Arial" w:hAnsi="Arial" w:eastAsia="Arial"/>
                <w:sz w:val="16"/>
              </w:rPr>
              <w:t>Do not resolve NCRC by phantom fallback alone. Apply a governed conservative bound sufficient to preserve the rights gate, or rerun / downgrade / escalate under a declared disposition.</w:t>
            </w:r>
          </w:p>
        </w:tc>
        <w:tc>
          <w:tcPr>
            <w:vAlign w:val="top"/>
            <w:tcMar>
              <w:top w:w="70" w:type="dxa"/>
              <w:start w:w="80" w:type="dxa"/>
              <w:bottom w:w="70" w:type="dxa"/>
              <w:end w:w="80" w:type="dxa"/>
            </w:tcMar>
            <w:shd w:fill="D9EAF7"/>
          </w:tcPr>
          <w:p>
            <w:pPr>
              <w:pStyle w:val="Compact"/>
              <w:jc w:val="left"/>
            </w:pPr>
            <w:r>
              <w:rPr>
                <w:rFonts w:ascii="Arial" w:hAnsi="Arial" w:eastAsia="Arial"/>
                <w:sz w:val="16"/>
              </w:rPr>
              <w:t>ESCALATE</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CATASTROPHE_CELL_UNKNOWN_GATE_CRITICAL</w:t>
            </w:r>
          </w:p>
        </w:tc>
        <w:tc>
          <w:tcPr>
            <w:vAlign w:val="top"/>
            <w:tcMar>
              <w:top w:w="70" w:type="dxa"/>
              <w:start w:w="80" w:type="dxa"/>
              <w:bottom w:w="70" w:type="dxa"/>
              <w:end w:w="80" w:type="dxa"/>
            </w:tcMar>
            <w:shd w:fill="FFFFFF"/>
          </w:tcPr>
          <w:p>
            <w:pPr>
              <w:pStyle w:val="Compact"/>
              <w:jc w:val="left"/>
            </w:pPr>
            <w:r>
              <w:rPr>
                <w:rFonts w:ascii="Arial" w:hAnsi="Arial" w:eastAsia="Arial"/>
                <w:sz w:val="16"/>
              </w:rPr>
              <w:t>A catastrophe-covered cell in C_cat is declared UNKNOWN_IMPACT and TRC is not preserved by a governed conservative scenario/cell bound or equivalent governed disposition.</w:t>
            </w:r>
          </w:p>
        </w:tc>
        <w:tc>
          <w:tcPr>
            <w:vAlign w:val="top"/>
            <w:tcMar>
              <w:top w:w="70" w:type="dxa"/>
              <w:start w:w="80" w:type="dxa"/>
              <w:bottom w:w="70" w:type="dxa"/>
              <w:end w:w="80" w:type="dxa"/>
            </w:tcMar>
            <w:shd w:fill="FFFFFF"/>
          </w:tcPr>
          <w:p>
            <w:pPr>
              <w:pStyle w:val="Compact"/>
              <w:jc w:val="left"/>
            </w:pPr>
            <w:r>
              <w:rPr>
                <w:rFonts w:ascii="Arial" w:hAnsi="Arial" w:eastAsia="Arial"/>
                <w:sz w:val="16"/>
              </w:rPr>
              <w:t>Do not resolve TRC by phantom fallback alone. Apply a governed conservative catastrophe bound, or rerun / downgrade / escalate under a declared disposition.</w:t>
            </w:r>
          </w:p>
        </w:tc>
        <w:tc>
          <w:tcPr>
            <w:vAlign w:val="top"/>
            <w:tcMar>
              <w:top w:w="70" w:type="dxa"/>
              <w:start w:w="80" w:type="dxa"/>
              <w:bottom w:w="70" w:type="dxa"/>
              <w:end w:w="80" w:type="dxa"/>
            </w:tcMar>
            <w:shd w:fill="FFFFFF"/>
          </w:tcPr>
          <w:p>
            <w:pPr>
              <w:pStyle w:val="Compact"/>
              <w:jc w:val="left"/>
            </w:pPr>
            <w:r>
              <w:rPr>
                <w:rFonts w:ascii="Arial" w:hAnsi="Arial" w:eastAsia="Arial"/>
                <w:sz w:val="16"/>
              </w:rPr>
              <w:t>ESCALATE</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NORMATIVE_INPUT_PROVENANCE_MISSING</w:t>
            </w:r>
          </w:p>
        </w:tc>
        <w:tc>
          <w:tcPr>
            <w:vAlign w:val="top"/>
            <w:tcMar>
              <w:top w:w="70" w:type="dxa"/>
              <w:start w:w="80" w:type="dxa"/>
              <w:bottom w:w="70" w:type="dxa"/>
              <w:end w:w="80" w:type="dxa"/>
            </w:tcMar>
            <w:shd w:fill="D9EAF7"/>
          </w:tcPr>
          <w:p>
            <w:pPr>
              <w:pStyle w:val="Compact"/>
              <w:jc w:val="left"/>
            </w:pPr>
            <w:r>
              <w:rPr>
                <w:rFonts w:ascii="Arial" w:hAnsi="Arial" w:eastAsia="Arial"/>
                <w:sz w:val="16"/>
              </w:rPr>
              <w:t>A welfare-relevant state, rights-relevant state, or enabling condition materially affects admissibility, precautionary handling, selection, or tie-break outcome, but the PCC lacks a corresponding NormativeInputRegister entry, or the entry lacks the required evidence basis, governed interpretation basis, or precautionary basis.</w:t>
            </w:r>
          </w:p>
        </w:tc>
        <w:tc>
          <w:tcPr>
            <w:vAlign w:val="top"/>
            <w:tcMar>
              <w:top w:w="70" w:type="dxa"/>
              <w:start w:w="80" w:type="dxa"/>
              <w:bottom w:w="70" w:type="dxa"/>
              <w:end w:w="80" w:type="dxa"/>
            </w:tcMar>
            <w:shd w:fill="D9EAF7"/>
          </w:tcPr>
          <w:p>
            <w:pPr>
              <w:pStyle w:val="Compact"/>
              <w:jc w:val="left"/>
            </w:pPr>
            <w:r>
              <w:rPr>
                <w:rFonts w:ascii="Arial" w:hAnsi="Arial" w:eastAsia="Arial"/>
                <w:sz w:val="16"/>
              </w:rPr>
              <w:t>Populate PCC.NormativeInputRegister with complete provenance and rerun the affected gate or ranking. No conformance claim may be made until corrected.</w:t>
            </w:r>
          </w:p>
        </w:tc>
        <w:tc>
          <w:tcPr>
            <w:vAlign w:val="top"/>
            <w:tcMar>
              <w:top w:w="70" w:type="dxa"/>
              <w:start w:w="80" w:type="dxa"/>
              <w:bottom w:w="70" w:type="dxa"/>
              <w:end w:w="80" w:type="dxa"/>
            </w:tcMar>
            <w:shd w:fill="D9EAF7"/>
          </w:tcPr>
          <w:p>
            <w:pPr>
              <w:pStyle w:val="Compact"/>
              <w:jc w:val="left"/>
            </w:pPr>
            <w:r>
              <w:rPr>
                <w:rFonts w:ascii="Arial" w:hAnsi="Arial" w:eastAsia="Arial"/>
                <w:sz w:val="16"/>
              </w:rPr>
              <w:t>INVALID</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CLAIM_EXCEEDS_CLOSURE_BOUNDARY</w:t>
            </w:r>
          </w:p>
        </w:tc>
        <w:tc>
          <w:tcPr>
            <w:vAlign w:val="top"/>
            <w:tcMar>
              <w:top w:w="70" w:type="dxa"/>
              <w:start w:w="80" w:type="dxa"/>
              <w:bottom w:w="70" w:type="dxa"/>
              <w:end w:w="80" w:type="dxa"/>
            </w:tcMar>
            <w:shd w:fill="FFFFFF"/>
          </w:tcPr>
          <w:p>
            <w:pPr>
              <w:pStyle w:val="Compact"/>
              <w:jc w:val="left"/>
            </w:pPr>
            <w:r>
              <w:rPr>
                <w:rFonts w:ascii="Arial" w:hAnsi="Arial" w:eastAsia="Arial"/>
                <w:sz w:val="16"/>
              </w:rPr>
              <w:t>A run makes a public, conformance, deployment-readiness, execution-bound, or validation claim beyond the declared PCC.ComputationalClosure boundary.</w:t>
            </w:r>
          </w:p>
        </w:tc>
        <w:tc>
          <w:tcPr>
            <w:vAlign w:val="top"/>
            <w:tcMar>
              <w:top w:w="70" w:type="dxa"/>
              <w:start w:w="80" w:type="dxa"/>
              <w:bottom w:w="70" w:type="dxa"/>
              <w:end w:w="80" w:type="dxa"/>
            </w:tcMar>
            <w:shd w:fill="FFFFFF"/>
          </w:tcPr>
          <w:p>
            <w:pPr>
              <w:pStyle w:val="Compact"/>
              <w:jc w:val="left"/>
            </w:pPr>
            <w:r>
              <w:rPr>
                <w:rFonts w:ascii="Arial" w:hAnsi="Arial" w:eastAsia="Arial"/>
                <w:sz w:val="16"/>
              </w:rPr>
              <w:t>Narrow the claim to the declared closure boundary, expand the computation and rerun, or enter Refusal/escalation. The unsupported claim is invalid until corrected.</w:t>
            </w:r>
          </w:p>
        </w:tc>
        <w:tc>
          <w:tcPr>
            <w:vAlign w:val="top"/>
            <w:tcMar>
              <w:top w:w="70" w:type="dxa"/>
              <w:start w:w="80" w:type="dxa"/>
              <w:bottom w:w="70" w:type="dxa"/>
              <w:end w:w="80" w:type="dxa"/>
            </w:tcMar>
            <w:shd w:fill="FFFFFF"/>
          </w:tcPr>
          <w:p>
            <w:pPr>
              <w:pStyle w:val="Compact"/>
              <w:jc w:val="left"/>
            </w:pPr>
            <w:r>
              <w:rPr>
                <w:rFonts w:ascii="Arial" w:hAnsi="Arial" w:eastAsia="Arial"/>
                <w:sz w:val="16"/>
              </w:rPr>
              <w:t>INVALID for the affected claim.</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CATEGORY_COLLAPSE_FLAG</w:t>
            </w:r>
          </w:p>
        </w:tc>
        <w:tc>
          <w:tcPr>
            <w:vAlign w:val="top"/>
            <w:tcMar>
              <w:top w:w="70" w:type="dxa"/>
              <w:start w:w="80" w:type="dxa"/>
              <w:bottom w:w="70" w:type="dxa"/>
              <w:end w:w="80" w:type="dxa"/>
            </w:tcMar>
            <w:shd w:fill="D9EAF7"/>
          </w:tcPr>
          <w:p>
            <w:pPr>
              <w:pStyle w:val="Compact"/>
              <w:jc w:val="left"/>
            </w:pPr>
            <w:r>
              <w:rPr>
                <w:rFonts w:ascii="Arial" w:hAnsi="Arial" w:eastAsia="Arial"/>
                <w:sz w:val="16"/>
              </w:rPr>
              <w:t>PCC.CategoryCollapseSelfTest returns FAIL on any category-collapse item, including treating compliance as correctness, traceability as admissibility, moral status as governance authority, or SGP welfare scalars as admissibility modifiers.</w:t>
            </w:r>
          </w:p>
        </w:tc>
        <w:tc>
          <w:tcPr>
            <w:vAlign w:val="top"/>
            <w:tcMar>
              <w:top w:w="70" w:type="dxa"/>
              <w:start w:w="80" w:type="dxa"/>
              <w:bottom w:w="70" w:type="dxa"/>
              <w:end w:w="80" w:type="dxa"/>
            </w:tcMar>
            <w:shd w:fill="D9EAF7"/>
          </w:tcPr>
          <w:p>
            <w:pPr>
              <w:pStyle w:val="Compact"/>
              <w:jc w:val="left"/>
            </w:pPr>
            <w:r>
              <w:rPr>
                <w:rFonts w:ascii="Arial" w:hAnsi="Arial" w:eastAsia="Arial"/>
                <w:sz w:val="16"/>
              </w:rPr>
              <w:t>Identify the collapsed layer, correct the run, or enter Refusal if the collapse affects admissibility, selectability, or selection.</w:t>
            </w:r>
          </w:p>
        </w:tc>
        <w:tc>
          <w:tcPr>
            <w:vAlign w:val="top"/>
            <w:tcMar>
              <w:top w:w="70" w:type="dxa"/>
              <w:start w:w="80" w:type="dxa"/>
              <w:bottom w:w="70" w:type="dxa"/>
              <w:end w:w="80" w:type="dxa"/>
            </w:tcMar>
            <w:shd w:fill="D9EAF7"/>
          </w:tcPr>
          <w:p>
            <w:pPr>
              <w:pStyle w:val="Compact"/>
              <w:jc w:val="left"/>
            </w:pPr>
            <w:r>
              <w:rPr>
                <w:rFonts w:ascii="Arial" w:hAnsi="Arial" w:eastAsia="Arial"/>
                <w:sz w:val="16"/>
              </w:rPr>
              <w:t>ESCALATE; INVALID if the collapse affects admissibility, selectability, selection, or conformance.</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PCC_MATURITY_SURFACE_INCOMPLETE</w:t>
            </w:r>
          </w:p>
        </w:tc>
        <w:tc>
          <w:tcPr>
            <w:vAlign w:val="top"/>
            <w:tcMar>
              <w:top w:w="70" w:type="dxa"/>
              <w:start w:w="80" w:type="dxa"/>
              <w:bottom w:w="70" w:type="dxa"/>
              <w:end w:w="80" w:type="dxa"/>
            </w:tcMar>
            <w:shd w:fill="FFFFFF"/>
          </w:tcPr>
          <w:p>
            <w:pPr>
              <w:pStyle w:val="Compact"/>
              <w:jc w:val="left"/>
            </w:pPr>
            <w:r>
              <w:rPr>
                <w:rFonts w:ascii="Arial" w:hAnsi="Arial" w:eastAsia="Arial"/>
                <w:sz w:val="16"/>
              </w:rPr>
              <w:t>A Tier 2-3 claim-bearing run lacks an applicable required measurement-maturity field under Section 14.3B / Appendix V, including UCI, Kernel, HDW, PLSS, Deployment Context, or Biological Evaluation Maturity fields.</w:t>
            </w:r>
          </w:p>
        </w:tc>
        <w:tc>
          <w:tcPr>
            <w:vAlign w:val="top"/>
            <w:tcMar>
              <w:top w:w="70" w:type="dxa"/>
              <w:start w:w="80" w:type="dxa"/>
              <w:bottom w:w="70" w:type="dxa"/>
              <w:end w:w="80" w:type="dxa"/>
            </w:tcMar>
            <w:shd w:fill="FFFFFF"/>
          </w:tcPr>
          <w:p>
            <w:pPr>
              <w:pStyle w:val="Compact"/>
              <w:jc w:val="left"/>
            </w:pPr>
            <w:r>
              <w:rPr>
                <w:rFonts w:ascii="Arial" w:hAnsi="Arial" w:eastAsia="Arial"/>
                <w:sz w:val="16"/>
              </w:rPr>
              <w:t>Populate the missing maturity field(s), downgrade/narrow the claim, or reject the run as non-conformant for the affected claim.</w:t>
            </w:r>
          </w:p>
        </w:tc>
        <w:tc>
          <w:tcPr>
            <w:vAlign w:val="top"/>
            <w:tcMar>
              <w:top w:w="70" w:type="dxa"/>
              <w:start w:w="80" w:type="dxa"/>
              <w:bottom w:w="70" w:type="dxa"/>
              <w:end w:w="80" w:type="dxa"/>
            </w:tcMar>
            <w:shd w:fill="FFFFFF"/>
          </w:tcPr>
          <w:p>
            <w:pPr>
              <w:pStyle w:val="Compact"/>
              <w:jc w:val="left"/>
            </w:pPr>
            <w:r>
              <w:rPr>
                <w:rFonts w:ascii="Arial" w:hAnsi="Arial" w:eastAsia="Arial"/>
                <w:sz w:val="16"/>
              </w:rPr>
              <w:t>ESCALATE; INVALID for any empirical-readiness, operational-completeness, validated-UCI, validated-kernel, biological-measurement-completeness, or Tier-4/ProofPack-adjacent claim.</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COMPUTABLE_BUT_INADMISSIBLE</w:t>
            </w:r>
          </w:p>
        </w:tc>
        <w:tc>
          <w:tcPr>
            <w:vAlign w:val="top"/>
            <w:tcMar>
              <w:top w:w="70" w:type="dxa"/>
              <w:start w:w="80" w:type="dxa"/>
              <w:bottom w:w="70" w:type="dxa"/>
              <w:end w:w="80" w:type="dxa"/>
            </w:tcMar>
            <w:shd w:fill="D9EAF7"/>
          </w:tcPr>
          <w:p>
            <w:pPr>
              <w:pStyle w:val="Compact"/>
              <w:jc w:val="left"/>
            </w:pPr>
            <w:r>
              <w:rPr>
                <w:rFonts w:ascii="Arial" w:hAnsi="Arial" w:eastAsia="Arial"/>
                <w:sz w:val="16"/>
              </w:rPr>
              <w:t>A value, formula, model output, scalar, ranking, or workflow result computes successfully, but declared domain rules bar its use as a decision state, conformance basis, public claim, or authorization basis.</w:t>
            </w:r>
          </w:p>
        </w:tc>
        <w:tc>
          <w:tcPr>
            <w:vAlign w:val="top"/>
            <w:tcMar>
              <w:top w:w="70" w:type="dxa"/>
              <w:start w:w="80" w:type="dxa"/>
              <w:bottom w:w="70" w:type="dxa"/>
              <w:end w:w="80" w:type="dxa"/>
            </w:tcMar>
            <w:shd w:fill="D9EAF7"/>
          </w:tcPr>
          <w:p>
            <w:pPr>
              <w:pStyle w:val="Compact"/>
              <w:jc w:val="left"/>
            </w:pPr>
            <w:r>
              <w:rPr>
                <w:rFonts w:ascii="Arial" w:hAnsi="Arial" w:eastAsia="Arial"/>
                <w:sz w:val="16"/>
              </w:rPr>
              <w:t>Record PCC.CBI.ComputedObject, PCC.CBI.InadmissibilityReason, PCC.CBI.Layer, PCC.CBI.AllowedUse, PCC.CBI.ProhibitedUse, and PCC.CBI.ReviewStatus. Mirror ripple.md W.3 where wrapper assurance applies. Disclose and escalate when gate-relevant.</w:t>
            </w:r>
          </w:p>
        </w:tc>
        <w:tc>
          <w:tcPr>
            <w:vAlign w:val="top"/>
            <w:tcMar>
              <w:top w:w="70" w:type="dxa"/>
              <w:start w:w="80" w:type="dxa"/>
              <w:bottom w:w="70" w:type="dxa"/>
              <w:end w:w="80" w:type="dxa"/>
            </w:tcMar>
            <w:shd w:fill="D9EAF7"/>
          </w:tcPr>
          <w:p>
            <w:pPr>
              <w:pStyle w:val="Compact"/>
              <w:jc w:val="left"/>
            </w:pPr>
            <w:r>
              <w:rPr>
                <w:rFonts w:ascii="Arial" w:hAnsi="Arial" w:eastAsia="Arial"/>
                <w:sz w:val="16"/>
              </w:rPr>
              <w:t>DISCLOSE; ESCALATE if gate-relevant; INVALID for any selection, deployment, conformance, or maturity claim relying on the barred computed value.</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REALITY_GROUNDING_RECORD_MISSING</w:t>
            </w:r>
          </w:p>
        </w:tc>
        <w:tc>
          <w:tcPr>
            <w:vAlign w:val="top"/>
            <w:tcMar>
              <w:top w:w="70" w:type="dxa"/>
              <w:start w:w="80" w:type="dxa"/>
              <w:bottom w:w="70" w:type="dxa"/>
              <w:end w:w="80" w:type="dxa"/>
            </w:tcMar>
            <w:shd w:fill="FFFFFF"/>
          </w:tcPr>
          <w:p>
            <w:pPr>
              <w:pStyle w:val="Compact"/>
              <w:jc w:val="left"/>
            </w:pPr>
            <w:r>
              <w:rPr>
                <w:rFonts w:ascii="Arial" w:hAnsi="Arial" w:eastAsia="Arial"/>
                <w:sz w:val="16"/>
              </w:rPr>
              <w:t>Required PCC.RealityGroundingRecord is absent for a claim-bearing Tier 2 or Tier 3 run, or for any run whose material reality claims affect NCRC, TRC, CSV, deterministic selection, authority-selection disclosure, or conformance claims.</w:t>
            </w:r>
          </w:p>
        </w:tc>
        <w:tc>
          <w:tcPr>
            <w:vAlign w:val="top"/>
            <w:tcMar>
              <w:top w:w="70" w:type="dxa"/>
              <w:start w:w="80" w:type="dxa"/>
              <w:bottom w:w="70" w:type="dxa"/>
              <w:end w:w="80" w:type="dxa"/>
            </w:tcMar>
            <w:shd w:fill="FFFFFF"/>
          </w:tcPr>
          <w:p>
            <w:pPr>
              <w:pStyle w:val="Compact"/>
              <w:jc w:val="left"/>
            </w:pPr>
            <w:r>
              <w:rPr>
                <w:rFonts w:ascii="Arial" w:hAnsi="Arial" w:eastAsia="Arial"/>
                <w:sz w:val="16"/>
              </w:rPr>
              <w:t>Add the RCR, narrow the claim, escalate, or refuse the stronger decision state. The affected claim cannot be treated as supported until the RCR exists.</w:t>
            </w:r>
          </w:p>
        </w:tc>
        <w:tc>
          <w:tcPr>
            <w:vAlign w:val="top"/>
            <w:tcMar>
              <w:top w:w="70" w:type="dxa"/>
              <w:start w:w="80" w:type="dxa"/>
              <w:bottom w:w="70" w:type="dxa"/>
              <w:end w:w="80" w:type="dxa"/>
            </w:tcMar>
            <w:shd w:fill="FFFFFF"/>
          </w:tcPr>
          <w:p>
            <w:pPr>
              <w:pStyle w:val="Compact"/>
              <w:jc w:val="left"/>
            </w:pPr>
            <w:r>
              <w:rPr>
                <w:rFonts w:ascii="Arial" w:hAnsi="Arial" w:eastAsia="Arial"/>
                <w:sz w:val="16"/>
              </w:rPr>
              <w:t>INVALID for affected claim</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REALITY_GROUNDING_STATUS_UNSUPPORTED</w:t>
            </w:r>
          </w:p>
        </w:tc>
        <w:tc>
          <w:tcPr>
            <w:vAlign w:val="top"/>
            <w:tcMar>
              <w:top w:w="70" w:type="dxa"/>
              <w:start w:w="80" w:type="dxa"/>
              <w:bottom w:w="70" w:type="dxa"/>
              <w:end w:w="80" w:type="dxa"/>
            </w:tcMar>
            <w:shd w:fill="D9EAF7"/>
          </w:tcPr>
          <w:p>
            <w:pPr>
              <w:pStyle w:val="Compact"/>
              <w:jc w:val="left"/>
            </w:pPr>
            <w:r>
              <w:rPr>
                <w:rFonts w:ascii="Arial" w:hAnsi="Arial" w:eastAsia="Arial"/>
                <w:sz w:val="16"/>
              </w:rPr>
              <w:t>Declared RealityGroundingStatus exceeds what the EvidenceTrace, reviewer status, or declared reality surface substantiates.</w:t>
            </w:r>
          </w:p>
        </w:tc>
        <w:tc>
          <w:tcPr>
            <w:vAlign w:val="top"/>
            <w:tcMar>
              <w:top w:w="70" w:type="dxa"/>
              <w:start w:w="80" w:type="dxa"/>
              <w:bottom w:w="70" w:type="dxa"/>
              <w:end w:w="80" w:type="dxa"/>
            </w:tcMar>
            <w:shd w:fill="D9EAF7"/>
          </w:tcPr>
          <w:p>
            <w:pPr>
              <w:pStyle w:val="Compact"/>
              <w:jc w:val="left"/>
            </w:pPr>
            <w:r>
              <w:rPr>
                <w:rFonts w:ascii="Arial" w:hAnsi="Arial" w:eastAsia="Arial"/>
                <w:sz w:val="16"/>
              </w:rPr>
              <w:t>Downgrade the status, add evidence and reviewer trace, or refuse the stronger claim. If used for a gate, deterministic selection, authority selection, or conformance claim, the claim is invalid until corrected.</w:t>
            </w:r>
          </w:p>
        </w:tc>
        <w:tc>
          <w:tcPr>
            <w:vAlign w:val="top"/>
            <w:tcMar>
              <w:top w:w="70" w:type="dxa"/>
              <w:start w:w="80" w:type="dxa"/>
              <w:bottom w:w="70" w:type="dxa"/>
              <w:end w:w="80" w:type="dxa"/>
            </w:tcMar>
            <w:shd w:fill="D9EAF7"/>
          </w:tcPr>
          <w:p>
            <w:pPr>
              <w:pStyle w:val="Compact"/>
              <w:jc w:val="left"/>
            </w:pPr>
            <w:r>
              <w:rPr>
                <w:rFonts w:ascii="Arial" w:hAnsi="Arial" w:eastAsia="Arial"/>
                <w:sz w:val="16"/>
              </w:rPr>
              <w:t>ESCALATE; INVALID if used for gate, selection, authority, or conformance</w:t>
            </w:r>
          </w:p>
        </w:tc>
      </w:tr>
    </w:tbl>
    <w:p>
      <w:pPr>
        <w:pStyle w:val="BodyText"/>
      </w:pPr>
      <w:r>
        <w:t>End Appendix H.</w:t>
      </w:r>
    </w:p>
    <w:bookmarkEnd w:id="423"/>
    <w:bookmarkEnd w:id="424"/>
    <w:bookmarkStart w:id="429" w:name="X1c5c885bfd7f71930a9295d869c548c6686f099"/>
    <w:p>
      <w:pPr>
        <w:pStyle w:val="Heading1"/>
      </w:pPr>
      <w:r>
        <w:t>APPENDIX I: TIER-4 DESIGN TARGET (NOT CLAIMABLE IN THE CURRENT RELEASE)</w:t>
      </w:r>
    </w:p>
    <w:bookmarkStart w:id="425" w:name="i1-status-declaration"/>
    <w:p>
      <w:pPr>
        <w:pStyle w:val="Heading2"/>
      </w:pPr>
      <w:r>
        <w:t>I.1 Status Declaration</w:t>
      </w:r>
    </w:p>
    <w:p>
      <w:pPr>
        <w:pStyle w:val="FirstParagraph"/>
      </w:pPr>
      <w:r>
        <w:t>Tier-4 Design Target (Not Claimable in Any Current Release Line, Including v12.3)</w:t>
      </w:r>
    </w:p>
    <w:p>
      <w:pPr>
        <w:pStyle w:val="BodyText"/>
      </w:pPr>
      <w:r>
        <w:t>Tier 4 is specified as a target profile requiring artifacts and capabilities that are not yet publicly available. Tier-4 compliance MUST NOT be claimed until ProofPack is publicly released and independently replayable.</w:t>
      </w:r>
    </w:p>
    <w:p>
      <w:pPr>
        <w:pStyle w:val="BodyText"/>
      </w:pPr>
      <w:r>
        <w:t>Reality-contact Tier-4 requirement. Any future Tier-4 claim that relies on RealityGroundingStatus MUST make that status independently re-derivable from EvidenceTrace and supporting artifacts. Operator-declared status is sufficient for Tier 2 traceability only when review status is explicitly recorded; Tier 3 must follow its declared reviewer regime; neither is sufficient for Tier 4 admissibility, ProofPack readiness, or machine-verifiable ecosystem claims.</w:t>
      </w:r>
    </w:p>
    <w:bookmarkEnd w:id="425"/>
    <w:bookmarkStart w:id="426" w:name="X23baa9879fd1a4b186e141a7856f840cfd552d7"/>
    <w:p>
      <w:pPr>
        <w:pStyle w:val="Heading2"/>
      </w:pPr>
      <w:r>
        <w:t>I.2 Tier 4 Requirements (Target Specification)</w:t>
      </w:r>
    </w:p>
    <w:p>
      <w:pPr>
        <w:pStyle w:val="FirstParagraph"/>
      </w:pPr>
      <w:r>
        <w:t>Hash-Bound Registries:</w:t>
      </w:r>
    </w:p>
    <w:p>
      <w:pPr>
        <w:pStyle w:val="Compact"/>
        <w:numPr>
          <w:ilvl w:val="0"/>
          <w:numId w:val="1322"/>
        </w:numPr>
      </w:pPr>
      <w:r>
        <w:t>Rights anchors registry (REG-RIGHTS-ANCHORS-v1)</w:t>
      </w:r>
    </w:p>
    <w:p>
      <w:pPr>
        <w:pStyle w:val="Compact"/>
        <w:numPr>
          <w:ilvl w:val="0"/>
          <w:numId w:val="1323"/>
        </w:numPr>
      </w:pPr>
      <w:r>
        <w:t>Catastrophe indicators registry (AF-BASE)</w:t>
      </w:r>
    </w:p>
    <w:p>
      <w:pPr>
        <w:pStyle w:val="Compact"/>
        <w:numPr>
          <w:ilvl w:val="0"/>
          <w:numId w:val="1324"/>
        </w:numPr>
      </w:pPr>
      <w:r>
        <w:t>Scenario library registry</w:t>
      </w:r>
    </w:p>
    <w:p>
      <w:pPr>
        <w:pStyle w:val="Compact"/>
        <w:numPr>
          <w:ilvl w:val="0"/>
          <w:numId w:val="1325"/>
        </w:numPr>
      </w:pPr>
      <w:r>
        <w:t>Kernel registry with evidence classes</w:t>
      </w:r>
    </w:p>
    <w:p>
      <w:pPr>
        <w:pStyle w:val="Compact"/>
        <w:numPr>
          <w:ilvl w:val="0"/>
          <w:numId w:val="1326"/>
        </w:numPr>
      </w:pPr>
      <w:r>
        <w:t>HDW ballots and weights registry</w:t>
      </w:r>
    </w:p>
    <w:p>
      <w:pPr>
        <w:pStyle w:val="FirstParagraph"/>
      </w:pPr>
      <w:r>
        <w:t>Deterministic Numeric Profile (NDP_FIXEDPOINT_V1):</w:t>
      </w:r>
    </w:p>
    <w:p>
      <w:pPr>
        <w:pStyle w:val="Compact"/>
        <w:numPr>
          <w:ilvl w:val="0"/>
          <w:numId w:val="1327"/>
        </w:numPr>
      </w:pPr>
      <w:r>
        <w:t>Fixed-point scale: S = 10⁹</w:t>
      </w:r>
    </w:p>
    <w:p>
      <w:pPr>
        <w:pStyle w:val="Compact"/>
        <w:numPr>
          <w:ilvl w:val="0"/>
          <w:numId w:val="1328"/>
        </w:numPr>
      </w:pPr>
      <w:r>
        <w:t>Representation: X_fp = round_half_even(x × S) as signed int64</w:t>
      </w:r>
    </w:p>
    <w:p>
      <w:pPr>
        <w:pStyle w:val="Compact"/>
        <w:numPr>
          <w:ilvl w:val="0"/>
          <w:numId w:val="1329"/>
        </w:numPr>
      </w:pPr>
      <w:r>
        <w:t>All divisions use round-half-even</w:t>
      </w:r>
    </w:p>
    <w:p>
      <w:pPr>
        <w:pStyle w:val="Compact"/>
        <w:numPr>
          <w:ilvl w:val="0"/>
          <w:numId w:val="1330"/>
        </w:numPr>
      </w:pPr>
      <w:r>
        <w:t>Hard-fail on overflow with audit_flag NUMERIC_OVERFLOW</w:t>
      </w:r>
    </w:p>
    <w:p>
      <w:pPr>
        <w:pStyle w:val="FirstParagraph"/>
      </w:pPr>
      <w:r>
        <w:t>Saturation Lookup Table (SAT_LUT_FP_V1):</w:t>
      </w:r>
    </w:p>
    <w:p>
      <w:pPr>
        <w:pStyle w:val="Compact"/>
        <w:numPr>
          <w:ilvl w:val="0"/>
          <w:numId w:val="1331"/>
        </w:numPr>
      </w:pPr>
      <w:r>
        <w:t>Pre-computed tanh values for fixed-point inputs</w:t>
      </w:r>
    </w:p>
    <w:p>
      <w:pPr>
        <w:pStyle w:val="Compact"/>
        <w:numPr>
          <w:ilvl w:val="0"/>
          <w:numId w:val="1332"/>
        </w:numPr>
      </w:pPr>
      <w:r>
        <w:t>Hash-bound in ProofPack</w:t>
      </w:r>
    </w:p>
    <w:p>
      <w:pPr>
        <w:pStyle w:val="Compact"/>
        <w:numPr>
          <w:ilvl w:val="0"/>
          <w:numId w:val="1333"/>
        </w:numPr>
      </w:pPr>
      <w:r>
        <w:t>Runtime computation of tanh PROHIBITED</w:t>
      </w:r>
    </w:p>
    <w:p>
      <w:pPr>
        <w:pStyle w:val="FirstParagraph"/>
      </w:pPr>
      <w:r>
        <w:t>Temporal Weight Registry (REG_TEMPORAL_WEIGHTS_V1):</w:t>
      </w:r>
    </w:p>
    <w:p>
      <w:pPr>
        <w:pStyle w:val="Compact"/>
        <w:numPr>
          <w:ilvl w:val="0"/>
          <w:numId w:val="1334"/>
        </w:numPr>
      </w:pPr>
      <w:r>
        <w:t>Pre-computed τ(t) values for standard horizons</w:t>
      </w:r>
    </w:p>
    <w:p>
      <w:pPr>
        <w:pStyle w:val="Compact"/>
        <w:numPr>
          <w:ilvl w:val="0"/>
          <w:numId w:val="1335"/>
        </w:numPr>
      </w:pPr>
      <w:r>
        <w:t>Hash-bound in ProofPack</w:t>
      </w:r>
    </w:p>
    <w:p>
      <w:pPr>
        <w:pStyle w:val="Compact"/>
        <w:numPr>
          <w:ilvl w:val="0"/>
          <w:numId w:val="1336"/>
        </w:numPr>
      </w:pPr>
      <w:r>
        <w:t>Runtime computation of logarithms PROHIBITED</w:t>
      </w:r>
    </w:p>
    <w:p>
      <w:pPr>
        <w:pStyle w:val="FirstParagraph"/>
      </w:pPr>
      <w:r>
        <w:t>Canonical JSON Profile:</w:t>
      </w:r>
    </w:p>
    <w:p>
      <w:pPr>
        <w:pStyle w:val="Compact"/>
        <w:numPr>
          <w:ilvl w:val="0"/>
          <w:numId w:val="1337"/>
        </w:numPr>
      </w:pPr>
      <w:r>
        <w:t>NO_FLOATS rule: All numeric values as exact rationals {num, den}</w:t>
      </w:r>
    </w:p>
    <w:p>
      <w:pPr>
        <w:pStyle w:val="Compact"/>
        <w:numPr>
          <w:ilvl w:val="0"/>
          <w:numId w:val="1338"/>
        </w:numPr>
      </w:pPr>
      <w:r>
        <w:t>Deterministic key ordering</w:t>
      </w:r>
    </w:p>
    <w:p>
      <w:pPr>
        <w:pStyle w:val="Compact"/>
        <w:numPr>
          <w:ilvl w:val="0"/>
          <w:numId w:val="1339"/>
        </w:numPr>
      </w:pPr>
      <w:r>
        <w:t>Canonical whitespace rules</w:t>
      </w:r>
    </w:p>
    <w:p>
      <w:pPr>
        <w:pStyle w:val="Compact"/>
        <w:numPr>
          <w:ilvl w:val="0"/>
          <w:numId w:val="1340"/>
        </w:numPr>
      </w:pPr>
      <w:r>
        <w:t>SHA-256 hashing for integrity</w:t>
      </w:r>
    </w:p>
    <w:p>
      <w:pPr>
        <w:pStyle w:val="FirstParagraph"/>
      </w:pPr>
      <w:r>
        <w:t>Propagation Mode Restriction:</w:t>
      </w:r>
    </w:p>
    <w:p>
      <w:pPr>
        <w:pStyle w:val="Compact"/>
        <w:numPr>
          <w:ilvl w:val="0"/>
          <w:numId w:val="1341"/>
        </w:numPr>
      </w:pPr>
      <w:r>
        <w:t>FULL propagation PROHIBITED for Tier 4 Pilot-Executable</w:t>
      </w:r>
    </w:p>
    <w:p>
      <w:pPr>
        <w:pStyle w:val="Compact"/>
        <w:numPr>
          <w:ilvl w:val="0"/>
          <w:numId w:val="1342"/>
        </w:numPr>
      </w:pPr>
      <w:r>
        <w:t>NONE or QUICK only</w:t>
      </w:r>
    </w:p>
    <w:p>
      <w:pPr>
        <w:pStyle w:val="Compact"/>
        <w:numPr>
          <w:ilvl w:val="0"/>
          <w:numId w:val="1343"/>
        </w:numPr>
      </w:pPr>
      <w:r>
        <w:t>FULL available only in future Tier 4 Certified profile</w:t>
      </w:r>
    </w:p>
    <w:bookmarkEnd w:id="426"/>
    <w:bookmarkStart w:id="427" w:name="i3-proofpack-contents-target"/>
    <w:p>
      <w:pPr>
        <w:pStyle w:val="Heading2"/>
      </w:pPr>
      <w:r>
        <w:t>I.3 ProofPack Contents (Target)</w:t>
      </w:r>
    </w:p>
    <w:p>
      <w:pPr>
        <w:pStyle w:val="FirstParagraph"/>
      </w:pPr>
      <w:r>
        <w:t>The ProofPack artifact bundle will provide:</w:t>
      </w:r>
    </w:p>
    <w:p>
      <w:pPr>
        <w:pStyle w:val="Compact"/>
        <w:numPr>
          <w:ilvl w:val="0"/>
          <w:numId w:val="1344"/>
        </w:numPr>
      </w:pPr>
      <w:r>
        <w:t>Schemas: JSON schemas for PCC and all registries</w:t>
      </w:r>
    </w:p>
    <w:p>
      <w:pPr>
        <w:pStyle w:val="Compact"/>
        <w:numPr>
          <w:ilvl w:val="0"/>
          <w:numId w:val="1345"/>
        </w:numPr>
      </w:pPr>
      <w:r>
        <w:t>Manifests: Hash indices for all artifacts</w:t>
      </w:r>
    </w:p>
    <w:p>
      <w:pPr>
        <w:pStyle w:val="Compact"/>
        <w:numPr>
          <w:ilvl w:val="0"/>
          <w:numId w:val="1346"/>
        </w:numPr>
      </w:pPr>
      <w:r>
        <w:t>Canonicalization Rules: Exact specification for deterministic hashing</w:t>
      </w:r>
    </w:p>
    <w:p>
      <w:pPr>
        <w:pStyle w:val="Compact"/>
        <w:numPr>
          <w:ilvl w:val="0"/>
          <w:numId w:val="1347"/>
        </w:numPr>
      </w:pPr>
      <w:r>
        <w:t>Registries: Machine-readable canonical registries</w:t>
      </w:r>
    </w:p>
    <w:p>
      <w:pPr>
        <w:pStyle w:val="Compact"/>
        <w:numPr>
          <w:ilvl w:val="0"/>
          <w:numId w:val="1348"/>
        </w:numPr>
      </w:pPr>
      <w:r>
        <w:t>Test Vectors: Reference inputs and expected outputs for validation</w:t>
      </w:r>
    </w:p>
    <w:bookmarkEnd w:id="427"/>
    <w:bookmarkStart w:id="428" w:name="i4-replay-test-requirement"/>
    <w:p>
      <w:pPr>
        <w:pStyle w:val="Heading2"/>
      </w:pPr>
      <w:r>
        <w:t>I.4 Replay Test Requirement</w:t>
      </w:r>
    </w:p>
    <w:p>
      <w:pPr>
        <w:pStyle w:val="FirstParagraph"/>
      </w:pPr>
      <w:r>
        <w:t>A Tier 4 PCC MUST pass a replay test: independent re-execution using PCC inputs and referenced registries reproduces:</w:t>
      </w:r>
    </w:p>
    <w:p>
      <w:pPr>
        <w:pStyle w:val="Compact"/>
        <w:numPr>
          <w:ilvl w:val="0"/>
          <w:numId w:val="1349"/>
        </w:numPr>
      </w:pPr>
      <w:r>
        <w:t>Identical admissibility outcomes (NCRC, TRC, CSV)</w:t>
      </w:r>
    </w:p>
    <w:p>
      <w:pPr>
        <w:pStyle w:val="Compact"/>
        <w:numPr>
          <w:ilvl w:val="0"/>
          <w:numId w:val="1350"/>
        </w:numPr>
      </w:pPr>
      <w:r>
        <w:t>Identical RLS ranking</w:t>
      </w:r>
    </w:p>
    <w:p>
      <w:pPr>
        <w:pStyle w:val="Compact"/>
        <w:numPr>
          <w:ilvl w:val="0"/>
          <w:numId w:val="1351"/>
        </w:numPr>
      </w:pPr>
      <w:r>
        <w:t>Identical selected option</w:t>
      </w:r>
    </w:p>
    <w:p>
      <w:pPr>
        <w:pStyle w:val="FirstParagraph"/>
      </w:pPr>
      <w:r>
        <w:t>Failed replay invalidates the Tier 4 claim.</w:t>
      </w:r>
    </w:p>
    <w:p>
      <w:pPr>
        <w:pStyle w:val="BodyText"/>
      </w:pPr>
      <w:r>
        <w:t>End Appendix I.</w:t>
      </w:r>
    </w:p>
    <w:bookmarkEnd w:id="428"/>
    <w:bookmarkEnd w:id="429"/>
    <w:bookmarkStart w:id="435" w:name="appendix-j-validation-protocol-pack"/>
    <w:p>
      <w:pPr>
        <w:pStyle w:val="Heading1"/>
      </w:pPr>
      <w:r>
        <w:t>APPENDIX J: VALIDATION PROTOCOL PACK</w:t>
      </w:r>
    </w:p>
    <w:p>
      <w:pPr>
        <w:pStyle w:val="FirstParagraph"/>
      </w:pPr>
      <w:r>
        <w:t>Appendix J is normative for pre-registration templates and scoring definitions when validation claims are made.</w:t>
      </w:r>
    </w:p>
    <w:bookmarkStart w:id="430" w:name="j1-pre-registration-template-normative"/>
    <w:p>
      <w:pPr>
        <w:pStyle w:val="Heading2"/>
      </w:pPr>
      <w:r>
        <w:t>J.1 Pre-Registration Template (Normative)</w:t>
      </w:r>
    </w:p>
    <w:p>
      <w:pPr>
        <w:pStyle w:val="FirstParagraph"/>
      </w:pPr>
      <w:r>
        <w:t>===============================================================</w:t>
      </w:r>
    </w:p>
    <w:p>
      <w:pPr>
        <w:pStyle w:val="BodyText"/>
      </w:pPr>
      <w:r>
        <w:t>RIPPLELOGIC VALIDATION STUDY PRE-REGISTRATION</w:t>
      </w:r>
    </w:p>
    <w:p>
      <w:pPr>
        <w:pStyle w:val="BodyText"/>
      </w:pPr>
      <w:r>
        <w:t>===============================================================</w:t>
      </w:r>
    </w:p>
    <w:p>
      <w:pPr>
        <w:pStyle w:val="BodyText"/>
      </w:pPr>
      <w:r>
        <w:t>STUDY IDENTIFICATION</w:t>
      </w:r>
    </w:p>
    <w:p>
      <w:r/>
    </w:p>
    <w:p>
      <w:pPr>
        <w:pStyle w:val="FirstParagraph"/>
      </w:pPr>
      <w:r>
        <w:t>Study ID: [unique]</w:t>
      </w:r>
    </w:p>
    <w:p>
      <w:pPr>
        <w:pStyle w:val="BodyText"/>
      </w:pPr>
      <w:r>
        <w:t>Registration date: [YYYY-MM-DD]</w:t>
      </w:r>
    </w:p>
    <w:p>
      <w:pPr>
        <w:pStyle w:val="BodyText"/>
      </w:pPr>
      <w:r>
        <w:t>Principal investigator: [name, affiliation]</w:t>
      </w:r>
    </w:p>
    <w:p>
      <w:pPr>
        <w:pStyle w:val="BodyText"/>
      </w:pPr>
      <w:r>
        <w:t>Funding source: [if any]</w:t>
      </w:r>
    </w:p>
    <w:p>
      <w:pPr>
        <w:pStyle w:val="BodyText"/>
      </w:pPr>
      <w:r>
        <w:t>RippleLogic version: [v12.2]</w:t>
      </w:r>
    </w:p>
    <w:p>
      <w:pPr>
        <w:pStyle w:val="BodyText"/>
      </w:pPr>
      <w:r>
        <w:t>Tier executed: [1|2|3]</w:t>
      </w:r>
    </w:p>
    <w:p>
      <w:pPr>
        <w:pStyle w:val="BodyText"/>
      </w:pPr>
      <w:r>
        <w:t>Domain: [AI deployment | policy | org strategy | etc.]</w:t>
      </w:r>
    </w:p>
    <w:p>
      <w:pPr>
        <w:pStyle w:val="BodyText"/>
      </w:pPr>
      <w:r>
        <w:t>HYPOTHESES</w:t>
      </w:r>
    </w:p>
    <w:p>
      <w:r/>
    </w:p>
    <w:p>
      <w:pPr>
        <w:pStyle w:val="FirstParagraph"/>
      </w:pPr>
      <w:r>
        <w:t>Primary hypothesis: [H1/H2/etc. with exact measurable claim]</w:t>
      </w:r>
    </w:p>
    <w:p>
      <w:pPr>
        <w:pStyle w:val="BodyText"/>
      </w:pPr>
      <w:r>
        <w:t>Secondary hypotheses: [list]</w:t>
      </w:r>
    </w:p>
    <w:p>
      <w:pPr>
        <w:pStyle w:val="BodyText"/>
      </w:pPr>
      <w:r>
        <w:t>Falsification criteria: [explicit thresholds from Section 17]</w:t>
      </w:r>
    </w:p>
    <w:p>
      <w:pPr>
        <w:pStyle w:val="BodyText"/>
      </w:pPr>
      <w:r>
        <w:t>METHODS</w:t>
      </w:r>
    </w:p>
    <w:p>
      <w:r/>
    </w:p>
    <w:p>
      <w:pPr>
        <w:pStyle w:val="FirstParagraph"/>
      </w:pPr>
      <w:r>
        <w:t>Design: [pilot / RCT / quasi-experimental / backtest]</w:t>
      </w:r>
    </w:p>
    <w:p>
      <w:pPr>
        <w:pStyle w:val="BodyText"/>
      </w:pPr>
      <w:r>
        <w:t>Sample: [population, size, selection method]</w:t>
      </w:r>
    </w:p>
    <w:p>
      <w:pPr>
        <w:pStyle w:val="BodyText"/>
      </w:pPr>
      <w:r>
        <w:t>Comparator: [baseline governance / alternative framework]</w:t>
      </w:r>
    </w:p>
    <w:p>
      <w:pPr>
        <w:pStyle w:val="BodyText"/>
      </w:pPr>
      <w:r>
        <w:t>Duration: [time]</w:t>
      </w:r>
    </w:p>
    <w:p>
      <w:pPr>
        <w:pStyle w:val="BodyText"/>
      </w:pPr>
      <w:r>
        <w:t>Decision types included: [list]</w:t>
      </w:r>
    </w:p>
    <w:p>
      <w:pPr>
        <w:pStyle w:val="BodyText"/>
      </w:pPr>
      <w:r>
        <w:t>Exclusion criteria: [list]</w:t>
      </w:r>
    </w:p>
    <w:p>
      <w:pPr>
        <w:pStyle w:val="BodyText"/>
      </w:pPr>
      <w:r>
        <w:t>MEASURES</w:t>
      </w:r>
    </w:p>
    <w:p>
      <w:r/>
    </w:p>
    <w:p>
      <w:pPr>
        <w:pStyle w:val="FirstParagraph"/>
      </w:pPr>
      <w:r>
        <w:t>Primary outcomes: [definition, data source, timing]</w:t>
      </w:r>
    </w:p>
    <w:p>
      <w:pPr>
        <w:pStyle w:val="BodyText"/>
      </w:pPr>
      <w:r>
        <w:t>Secondary outcomes: [definition, data source, timing]</w:t>
      </w:r>
    </w:p>
    <w:p>
      <w:pPr>
        <w:pStyle w:val="BodyText"/>
      </w:pPr>
      <w:r>
        <w:t>Rights measurement: [how rights violations are verified]</w:t>
      </w:r>
    </w:p>
    <w:p>
      <w:pPr>
        <w:pStyle w:val="BodyText"/>
      </w:pPr>
      <w:r>
        <w:t>Tail-loss measurement: [how catastrophic outcomes are defined]</w:t>
      </w:r>
    </w:p>
    <w:p>
      <w:pPr>
        <w:pStyle w:val="BodyText"/>
      </w:pPr>
      <w:r>
        <w:t>ANALYSIS PLAN</w:t>
      </w:r>
    </w:p>
    <w:p>
      <w:r/>
    </w:p>
    <w:p>
      <w:pPr>
        <w:pStyle w:val="FirstParagraph"/>
      </w:pPr>
      <w:r>
        <w:t>Statistical methods: [tests/models]</w:t>
      </w:r>
    </w:p>
    <w:p>
      <w:pPr>
        <w:pStyle w:val="BodyText"/>
      </w:pPr>
      <w:r>
        <w:t>Effect size thresholds: [minimum meaningful difference]</w:t>
      </w:r>
    </w:p>
    <w:p>
      <w:pPr>
        <w:pStyle w:val="BodyText"/>
      </w:pPr>
      <w:r>
        <w:t>Multiple comparison correction: [method]</w:t>
      </w:r>
    </w:p>
    <w:p>
      <w:pPr>
        <w:pStyle w:val="BodyText"/>
      </w:pPr>
      <w:r>
        <w:t>Missing data handling: [approach]</w:t>
      </w:r>
    </w:p>
    <w:p>
      <w:pPr>
        <w:pStyle w:val="BodyText"/>
      </w:pPr>
      <w:r>
        <w:t>Sensitivity checks: [weights, scenarios, thresholds]</w:t>
      </w:r>
    </w:p>
    <w:p>
      <w:pPr>
        <w:pStyle w:val="BodyText"/>
      </w:pPr>
      <w:r>
        <w:t>GOVERNANCE</w:t>
      </w:r>
    </w:p>
    <w:p>
      <w:r/>
    </w:p>
    <w:p>
      <w:pPr>
        <w:pStyle w:val="FirstParagraph"/>
      </w:pPr>
      <w:r>
        <w:t>Ethics approval: [status/ID]</w:t>
      </w:r>
    </w:p>
    <w:p>
      <w:pPr>
        <w:pStyle w:val="BodyText"/>
      </w:pPr>
      <w:r>
        <w:t>Data management: [storage, access, retention]</w:t>
      </w:r>
    </w:p>
    <w:p>
      <w:pPr>
        <w:pStyle w:val="BodyText"/>
      </w:pPr>
      <w:r>
        <w:t>Reporting commitment: [timeline and venue]</w:t>
      </w:r>
    </w:p>
    <w:p>
      <w:pPr>
        <w:pStyle w:val="BodyText"/>
      </w:pPr>
      <w:r>
        <w:t>===============================================================</w:t>
      </w:r>
    </w:p>
    <w:bookmarkEnd w:id="430"/>
    <w:bookmarkStart w:id="431" w:name="X582b79049af6d35017770064ecfdd9fd8f93fe2"/>
    <w:p>
      <w:pPr>
        <w:pStyle w:val="Heading2"/>
      </w:pPr>
      <w:r>
        <w:t>J.2 Outcome Measures by Union and Dimension (Canonical Examples)</w:t>
      </w:r>
    </w:p>
    <w:tbl>
      <w:tblPr>
        <w:tblStyle w:val="Table"/>
        <w:tblW w:type="auto" w:w="0"/>
        <w:jc w:val="center"/>
        <w:tblLook w:firstRow="1" w:lastRow="0" w:firstColumn="0" w:lastColumn="0" w:noHBand="0" w:noVBand="0" w:val="0020"/>
      </w:tblPr>
      <w:tblGrid>
        <w:gridCol w:w="1980"/>
        <w:gridCol w:w="1980"/>
        <w:gridCol w:w="1980"/>
        <w:gridCol w:w="1980"/>
      </w:tblGrid>
      <w:tr>
        <w:trPr>
          <w:tblHeader w:val="on"/>
          <w:tblHeader w:val="true"/>
          <w:cantSplit/>
        </w:trPr>
        <w:tc>
          <w:tcPr>
            <w:vAlign w:val="top"/>
            <w:tcMar>
              <w:top w:w="70" w:type="dxa"/>
              <w:start w:w="80" w:type="dxa"/>
              <w:bottom w:w="70" w:type="dxa"/>
              <w:end w:w="80" w:type="dxa"/>
            </w:tcMar>
            <w:shd w:fill="1F4E78"/>
          </w:tcPr>
          <w:p>
            <w:pPr>
              <w:pStyle w:val="Compact"/>
              <w:jc w:val="left"/>
            </w:pPr>
            <w:r>
              <w:rPr>
                <w:rFonts w:ascii="Arial" w:hAnsi="Arial" w:eastAsia="Arial"/>
                <w:b/>
                <w:bCs/>
                <w:color w:val="FFFFFF"/>
                <w:sz w:val="16"/>
              </w:rPr>
              <w:t>Union</w:t>
            </w:r>
          </w:p>
        </w:tc>
        <w:tc>
          <w:tcPr>
            <w:vAlign w:val="top"/>
            <w:tcMar>
              <w:top w:w="70" w:type="dxa"/>
              <w:start w:w="80" w:type="dxa"/>
              <w:bottom w:w="70" w:type="dxa"/>
              <w:end w:w="80" w:type="dxa"/>
            </w:tcMar>
            <w:shd w:fill="1F4E78"/>
          </w:tcPr>
          <w:p>
            <w:pPr>
              <w:pStyle w:val="Compact"/>
              <w:jc w:val="left"/>
            </w:pPr>
            <w:r>
              <w:rPr>
                <w:rFonts w:ascii="Arial" w:hAnsi="Arial" w:eastAsia="Arial"/>
                <w:b/>
                <w:bCs/>
                <w:color w:val="FFFFFF"/>
                <w:sz w:val="16"/>
              </w:rPr>
              <w:t>Dimension</w:t>
            </w:r>
          </w:p>
        </w:tc>
        <w:tc>
          <w:tcPr>
            <w:vAlign w:val="top"/>
            <w:tcMar>
              <w:top w:w="70" w:type="dxa"/>
              <w:start w:w="80" w:type="dxa"/>
              <w:bottom w:w="70" w:type="dxa"/>
              <w:end w:w="80" w:type="dxa"/>
            </w:tcMar>
            <w:shd w:fill="1F4E78"/>
          </w:tcPr>
          <w:p>
            <w:pPr>
              <w:pStyle w:val="Compact"/>
              <w:jc w:val="left"/>
            </w:pPr>
            <w:r>
              <w:rPr>
                <w:rFonts w:ascii="Arial" w:hAnsi="Arial" w:eastAsia="Arial"/>
                <w:b/>
                <w:bCs/>
                <w:color w:val="FFFFFF"/>
                <w:sz w:val="16"/>
              </w:rPr>
              <w:t>Measure Type</w:t>
            </w:r>
          </w:p>
        </w:tc>
        <w:tc>
          <w:tcPr>
            <w:vAlign w:val="top"/>
            <w:tcMar>
              <w:top w:w="70" w:type="dxa"/>
              <w:start w:w="80" w:type="dxa"/>
              <w:bottom w:w="70" w:type="dxa"/>
              <w:end w:w="80" w:type="dxa"/>
            </w:tcMar>
            <w:shd w:fill="1F4E78"/>
          </w:tcPr>
          <w:p>
            <w:pPr>
              <w:pStyle w:val="Compact"/>
              <w:jc w:val="left"/>
            </w:pPr>
            <w:r>
              <w:rPr>
                <w:rFonts w:ascii="Arial" w:hAnsi="Arial" w:eastAsia="Arial"/>
                <w:b/>
                <w:bCs/>
                <w:color w:val="FFFFFF"/>
                <w:sz w:val="16"/>
              </w:rPr>
              <w:t>Example Indicators</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Self</w:t>
            </w:r>
          </w:p>
        </w:tc>
        <w:tc>
          <w:tcPr>
            <w:vAlign w:val="top"/>
            <w:tcMar>
              <w:top w:w="70" w:type="dxa"/>
              <w:start w:w="80" w:type="dxa"/>
              <w:bottom w:w="70" w:type="dxa"/>
              <w:end w:w="80" w:type="dxa"/>
            </w:tcMar>
            <w:shd w:fill="D9EAF7"/>
          </w:tcPr>
          <w:p>
            <w:pPr>
              <w:pStyle w:val="Compact"/>
              <w:jc w:val="left"/>
            </w:pPr>
            <w:r>
              <w:rPr>
                <w:rFonts w:ascii="Arial" w:hAnsi="Arial" w:eastAsia="Arial"/>
                <w:sz w:val="16"/>
              </w:rPr>
              <w:t>Health</w:t>
            </w:r>
          </w:p>
        </w:tc>
        <w:tc>
          <w:tcPr>
            <w:vAlign w:val="top"/>
            <w:tcMar>
              <w:top w:w="70" w:type="dxa"/>
              <w:start w:w="80" w:type="dxa"/>
              <w:bottom w:w="70" w:type="dxa"/>
              <w:end w:w="80" w:type="dxa"/>
            </w:tcMar>
            <w:shd w:fill="D9EAF7"/>
          </w:tcPr>
          <w:p>
            <w:pPr>
              <w:pStyle w:val="Compact"/>
              <w:jc w:val="left"/>
            </w:pPr>
            <w:r>
              <w:rPr>
                <w:rFonts w:ascii="Arial" w:hAnsi="Arial" w:eastAsia="Arial"/>
                <w:sz w:val="16"/>
              </w:rPr>
              <w:t>Validated survey / admin</w:t>
            </w:r>
          </w:p>
        </w:tc>
        <w:tc>
          <w:tcPr>
            <w:vAlign w:val="top"/>
            <w:tcMar>
              <w:top w:w="70" w:type="dxa"/>
              <w:start w:w="80" w:type="dxa"/>
              <w:bottom w:w="70" w:type="dxa"/>
              <w:end w:w="80" w:type="dxa"/>
            </w:tcMar>
            <w:shd w:fill="D9EAF7"/>
          </w:tcPr>
          <w:p>
            <w:pPr>
              <w:pStyle w:val="Compact"/>
              <w:jc w:val="left"/>
            </w:pPr>
            <w:r>
              <w:rPr>
                <w:rFonts w:ascii="Arial" w:hAnsi="Arial" w:eastAsia="Arial"/>
                <w:sz w:val="16"/>
              </w:rPr>
              <w:t>SF-36, PHQ-9, GAD-7, injury rates</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Self</w:t>
            </w:r>
          </w:p>
        </w:tc>
        <w:tc>
          <w:tcPr>
            <w:vAlign w:val="top"/>
            <w:tcMar>
              <w:top w:w="70" w:type="dxa"/>
              <w:start w:w="80" w:type="dxa"/>
              <w:bottom w:w="70" w:type="dxa"/>
              <w:end w:w="80" w:type="dxa"/>
            </w:tcMar>
            <w:shd w:fill="FFFFFF"/>
          </w:tcPr>
          <w:p>
            <w:pPr>
              <w:pStyle w:val="Compact"/>
              <w:jc w:val="left"/>
            </w:pPr>
            <w:r>
              <w:rPr>
                <w:rFonts w:ascii="Arial" w:hAnsi="Arial" w:eastAsia="Arial"/>
                <w:sz w:val="16"/>
              </w:rPr>
              <w:t>Agency</w:t>
            </w:r>
          </w:p>
        </w:tc>
        <w:tc>
          <w:tcPr>
            <w:vAlign w:val="top"/>
            <w:tcMar>
              <w:top w:w="70" w:type="dxa"/>
              <w:start w:w="80" w:type="dxa"/>
              <w:bottom w:w="70" w:type="dxa"/>
              <w:end w:w="80" w:type="dxa"/>
            </w:tcMar>
            <w:shd w:fill="FFFFFF"/>
          </w:tcPr>
          <w:p>
            <w:pPr>
              <w:pStyle w:val="Compact"/>
              <w:jc w:val="left"/>
            </w:pPr>
            <w:r>
              <w:rPr>
                <w:rFonts w:ascii="Arial" w:hAnsi="Arial" w:eastAsia="Arial"/>
                <w:sz w:val="16"/>
              </w:rPr>
              <w:t>Validated survey</w:t>
            </w:r>
          </w:p>
        </w:tc>
        <w:tc>
          <w:tcPr>
            <w:vAlign w:val="top"/>
            <w:tcMar>
              <w:top w:w="70" w:type="dxa"/>
              <w:start w:w="80" w:type="dxa"/>
              <w:bottom w:w="70" w:type="dxa"/>
              <w:end w:w="80" w:type="dxa"/>
            </w:tcMar>
            <w:shd w:fill="FFFFFF"/>
          </w:tcPr>
          <w:p>
            <w:pPr>
              <w:pStyle w:val="Compact"/>
              <w:jc w:val="left"/>
            </w:pPr>
            <w:r>
              <w:rPr>
                <w:rFonts w:ascii="Arial" w:hAnsi="Arial" w:eastAsia="Arial"/>
                <w:sz w:val="16"/>
              </w:rPr>
              <w:t>Autonomy/self-efficacy scales</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Household</w:t>
            </w:r>
          </w:p>
        </w:tc>
        <w:tc>
          <w:tcPr>
            <w:vAlign w:val="top"/>
            <w:tcMar>
              <w:top w:w="70" w:type="dxa"/>
              <w:start w:w="80" w:type="dxa"/>
              <w:bottom w:w="70" w:type="dxa"/>
              <w:end w:w="80" w:type="dxa"/>
            </w:tcMar>
            <w:shd w:fill="D9EAF7"/>
          </w:tcPr>
          <w:p>
            <w:pPr>
              <w:pStyle w:val="Compact"/>
              <w:jc w:val="left"/>
            </w:pPr>
            <w:r>
              <w:rPr>
                <w:rFonts w:ascii="Arial" w:hAnsi="Arial" w:eastAsia="Arial"/>
                <w:sz w:val="16"/>
              </w:rPr>
              <w:t>Material</w:t>
            </w:r>
          </w:p>
        </w:tc>
        <w:tc>
          <w:tcPr>
            <w:vAlign w:val="top"/>
            <w:tcMar>
              <w:top w:w="70" w:type="dxa"/>
              <w:start w:w="80" w:type="dxa"/>
              <w:bottom w:w="70" w:type="dxa"/>
              <w:end w:w="80" w:type="dxa"/>
            </w:tcMar>
            <w:shd w:fill="D9EAF7"/>
          </w:tcPr>
          <w:p>
            <w:pPr>
              <w:pStyle w:val="Compact"/>
              <w:jc w:val="left"/>
            </w:pPr>
            <w:r>
              <w:rPr>
                <w:rFonts w:ascii="Arial" w:hAnsi="Arial" w:eastAsia="Arial"/>
                <w:sz w:val="16"/>
              </w:rPr>
              <w:t>Administrative</w:t>
            </w:r>
          </w:p>
        </w:tc>
        <w:tc>
          <w:tcPr>
            <w:vAlign w:val="top"/>
            <w:tcMar>
              <w:top w:w="70" w:type="dxa"/>
              <w:start w:w="80" w:type="dxa"/>
              <w:bottom w:w="70" w:type="dxa"/>
              <w:end w:w="80" w:type="dxa"/>
            </w:tcMar>
            <w:shd w:fill="D9EAF7"/>
          </w:tcPr>
          <w:p>
            <w:pPr>
              <w:pStyle w:val="Compact"/>
              <w:jc w:val="left"/>
            </w:pPr>
            <w:r>
              <w:rPr>
                <w:rFonts w:ascii="Arial" w:hAnsi="Arial" w:eastAsia="Arial"/>
                <w:sz w:val="16"/>
              </w:rPr>
              <w:t>Income stability, housing security</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Community</w:t>
            </w:r>
          </w:p>
        </w:tc>
        <w:tc>
          <w:tcPr>
            <w:vAlign w:val="top"/>
            <w:tcMar>
              <w:top w:w="70" w:type="dxa"/>
              <w:start w:w="80" w:type="dxa"/>
              <w:bottom w:w="70" w:type="dxa"/>
              <w:end w:w="80" w:type="dxa"/>
            </w:tcMar>
            <w:shd w:fill="FFFFFF"/>
          </w:tcPr>
          <w:p>
            <w:pPr>
              <w:pStyle w:val="Compact"/>
              <w:jc w:val="left"/>
            </w:pPr>
            <w:r>
              <w:rPr>
                <w:rFonts w:ascii="Arial" w:hAnsi="Arial" w:eastAsia="Arial"/>
                <w:sz w:val="16"/>
              </w:rPr>
              <w:t>Social</w:t>
            </w:r>
          </w:p>
        </w:tc>
        <w:tc>
          <w:tcPr>
            <w:vAlign w:val="top"/>
            <w:tcMar>
              <w:top w:w="70" w:type="dxa"/>
              <w:start w:w="80" w:type="dxa"/>
              <w:bottom w:w="70" w:type="dxa"/>
              <w:end w:w="80" w:type="dxa"/>
            </w:tcMar>
            <w:shd w:fill="FFFFFF"/>
          </w:tcPr>
          <w:p>
            <w:pPr>
              <w:pStyle w:val="Compact"/>
              <w:jc w:val="left"/>
            </w:pPr>
            <w:r>
              <w:rPr>
                <w:rFonts w:ascii="Arial" w:hAnsi="Arial" w:eastAsia="Arial"/>
                <w:sz w:val="16"/>
              </w:rPr>
              <w:t>Survey / network</w:t>
            </w:r>
          </w:p>
        </w:tc>
        <w:tc>
          <w:tcPr>
            <w:vAlign w:val="top"/>
            <w:tcMar>
              <w:top w:w="70" w:type="dxa"/>
              <w:start w:w="80" w:type="dxa"/>
              <w:bottom w:w="70" w:type="dxa"/>
              <w:end w:w="80" w:type="dxa"/>
            </w:tcMar>
            <w:shd w:fill="FFFFFF"/>
          </w:tcPr>
          <w:p>
            <w:pPr>
              <w:pStyle w:val="Compact"/>
              <w:jc w:val="left"/>
            </w:pPr>
            <w:r>
              <w:rPr>
                <w:rFonts w:ascii="Arial" w:hAnsi="Arial" w:eastAsia="Arial"/>
                <w:sz w:val="16"/>
              </w:rPr>
              <w:t>Trust indices, social capital measures</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Organization</w:t>
            </w:r>
          </w:p>
        </w:tc>
        <w:tc>
          <w:tcPr>
            <w:vAlign w:val="top"/>
            <w:tcMar>
              <w:top w:w="70" w:type="dxa"/>
              <w:start w:w="80" w:type="dxa"/>
              <w:bottom w:w="70" w:type="dxa"/>
              <w:end w:w="80" w:type="dxa"/>
            </w:tcMar>
            <w:shd w:fill="D9EAF7"/>
          </w:tcPr>
          <w:p>
            <w:pPr>
              <w:pStyle w:val="Compact"/>
              <w:jc w:val="left"/>
            </w:pPr>
            <w:r>
              <w:rPr>
                <w:rFonts w:ascii="Arial" w:hAnsi="Arial" w:eastAsia="Arial"/>
                <w:sz w:val="16"/>
              </w:rPr>
              <w:t>Flow/Resilience (UCI)</w:t>
            </w:r>
          </w:p>
        </w:tc>
        <w:tc>
          <w:tcPr>
            <w:vAlign w:val="top"/>
            <w:tcMar>
              <w:top w:w="70" w:type="dxa"/>
              <w:start w:w="80" w:type="dxa"/>
              <w:bottom w:w="70" w:type="dxa"/>
              <w:end w:w="80" w:type="dxa"/>
            </w:tcMar>
            <w:shd w:fill="D9EAF7"/>
          </w:tcPr>
          <w:p>
            <w:pPr>
              <w:pStyle w:val="Compact"/>
              <w:jc w:val="left"/>
            </w:pPr>
            <w:r>
              <w:rPr>
                <w:rFonts w:ascii="Arial" w:hAnsi="Arial" w:eastAsia="Arial"/>
                <w:sz w:val="16"/>
              </w:rPr>
              <w:t>Operational</w:t>
            </w:r>
          </w:p>
        </w:tc>
        <w:tc>
          <w:tcPr>
            <w:vAlign w:val="top"/>
            <w:tcMar>
              <w:top w:w="70" w:type="dxa"/>
              <w:start w:w="80" w:type="dxa"/>
              <w:bottom w:w="70" w:type="dxa"/>
              <w:end w:w="80" w:type="dxa"/>
            </w:tcMar>
            <w:shd w:fill="D9EAF7"/>
          </w:tcPr>
          <w:p>
            <w:pPr>
              <w:pStyle w:val="Compact"/>
              <w:jc w:val="left"/>
            </w:pPr>
            <w:r>
              <w:rPr>
                <w:rFonts w:ascii="Arial" w:hAnsi="Arial" w:eastAsia="Arial"/>
                <w:sz w:val="16"/>
              </w:rPr>
              <w:t>Throughput, incident recovery time</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Polity</w:t>
            </w:r>
          </w:p>
        </w:tc>
        <w:tc>
          <w:tcPr>
            <w:vAlign w:val="top"/>
            <w:tcMar>
              <w:top w:w="70" w:type="dxa"/>
              <w:start w:w="80" w:type="dxa"/>
              <w:bottom w:w="70" w:type="dxa"/>
              <w:end w:w="80" w:type="dxa"/>
            </w:tcMar>
            <w:shd w:fill="FFFFFF"/>
          </w:tcPr>
          <w:p>
            <w:pPr>
              <w:pStyle w:val="Compact"/>
              <w:jc w:val="left"/>
            </w:pPr>
            <w:r>
              <w:rPr>
                <w:rFonts w:ascii="Arial" w:hAnsi="Arial" w:eastAsia="Arial"/>
                <w:sz w:val="16"/>
              </w:rPr>
              <w:t>Agency</w:t>
            </w:r>
          </w:p>
        </w:tc>
        <w:tc>
          <w:tcPr>
            <w:vAlign w:val="top"/>
            <w:tcMar>
              <w:top w:w="70" w:type="dxa"/>
              <w:start w:w="80" w:type="dxa"/>
              <w:bottom w:w="70" w:type="dxa"/>
              <w:end w:w="80" w:type="dxa"/>
            </w:tcMar>
            <w:shd w:fill="FFFFFF"/>
          </w:tcPr>
          <w:p>
            <w:pPr>
              <w:pStyle w:val="Compact"/>
              <w:jc w:val="left"/>
            </w:pPr>
            <w:r>
              <w:rPr>
                <w:rFonts w:ascii="Arial" w:hAnsi="Arial" w:eastAsia="Arial"/>
                <w:sz w:val="16"/>
              </w:rPr>
              <w:t>Index</w:t>
            </w:r>
          </w:p>
        </w:tc>
        <w:tc>
          <w:tcPr>
            <w:vAlign w:val="top"/>
            <w:tcMar>
              <w:top w:w="70" w:type="dxa"/>
              <w:start w:w="80" w:type="dxa"/>
              <w:bottom w:w="70" w:type="dxa"/>
              <w:end w:w="80" w:type="dxa"/>
            </w:tcMar>
            <w:shd w:fill="FFFFFF"/>
          </w:tcPr>
          <w:p>
            <w:pPr>
              <w:pStyle w:val="Compact"/>
              <w:jc w:val="left"/>
            </w:pPr>
            <w:r>
              <w:rPr>
                <w:rFonts w:ascii="Arial" w:hAnsi="Arial" w:eastAsia="Arial"/>
                <w:sz w:val="16"/>
              </w:rPr>
              <w:t>Participation rates, rule-of-law indices</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Biosphere</w:t>
            </w:r>
          </w:p>
        </w:tc>
        <w:tc>
          <w:tcPr>
            <w:vAlign w:val="top"/>
            <w:tcMar>
              <w:top w:w="70" w:type="dxa"/>
              <w:start w:w="80" w:type="dxa"/>
              <w:bottom w:w="70" w:type="dxa"/>
              <w:end w:w="80" w:type="dxa"/>
            </w:tcMar>
            <w:shd w:fill="D9EAF7"/>
          </w:tcPr>
          <w:p>
            <w:pPr>
              <w:pStyle w:val="Compact"/>
              <w:jc w:val="left"/>
            </w:pPr>
            <w:r>
              <w:rPr>
                <w:rFonts w:ascii="Arial" w:hAnsi="Arial" w:eastAsia="Arial"/>
                <w:sz w:val="16"/>
              </w:rPr>
              <w:t>Environment</w:t>
            </w:r>
          </w:p>
        </w:tc>
        <w:tc>
          <w:tcPr>
            <w:vAlign w:val="top"/>
            <w:tcMar>
              <w:top w:w="70" w:type="dxa"/>
              <w:start w:w="80" w:type="dxa"/>
              <w:bottom w:w="70" w:type="dxa"/>
              <w:end w:w="80" w:type="dxa"/>
            </w:tcMar>
            <w:shd w:fill="D9EAF7"/>
          </w:tcPr>
          <w:p>
            <w:pPr>
              <w:pStyle w:val="Compact"/>
              <w:jc w:val="left"/>
            </w:pPr>
            <w:r>
              <w:rPr>
                <w:rFonts w:ascii="Arial" w:hAnsi="Arial" w:eastAsia="Arial"/>
                <w:sz w:val="16"/>
              </w:rPr>
              <w:t>Monitoring</w:t>
            </w:r>
          </w:p>
        </w:tc>
        <w:tc>
          <w:tcPr>
            <w:vAlign w:val="top"/>
            <w:tcMar>
              <w:top w:w="70" w:type="dxa"/>
              <w:start w:w="80" w:type="dxa"/>
              <w:bottom w:w="70" w:type="dxa"/>
              <w:end w:w="80" w:type="dxa"/>
            </w:tcMar>
            <w:shd w:fill="D9EAF7"/>
          </w:tcPr>
          <w:p>
            <w:pPr>
              <w:pStyle w:val="Compact"/>
              <w:jc w:val="left"/>
            </w:pPr>
            <w:r>
              <w:rPr>
                <w:rFonts w:ascii="Arial" w:hAnsi="Arial" w:eastAsia="Arial"/>
                <w:sz w:val="16"/>
              </w:rPr>
              <w:t>Emissions, biodiversity integrity</w:t>
            </w:r>
          </w:p>
        </w:tc>
      </w:tr>
    </w:tbl>
    <w:bookmarkEnd w:id="431"/>
    <w:bookmarkStart w:id="432" w:name="j3-sign-accuracy-scoring-normative"/>
    <w:p>
      <w:pPr>
        <w:pStyle w:val="Heading2"/>
      </w:pPr>
      <w:r>
        <w:t>J.3 Sign Accuracy Scoring (Normative)</w:t>
      </w:r>
    </w:p>
    <w:p>
      <w:pPr>
        <w:pStyle w:val="FirstParagraph"/>
      </w:pPr>
      <w:r>
        <w:t>For each evaluated cell (u,d):</w:t>
      </w:r>
    </w:p>
    <w:p>
      <w:pPr>
        <w:pStyle w:val="BodyText"/>
      </w:pPr>
      <w:r>
        <w:t>Predicted sign: sign(I_prop(u,d,a)) ∈ {-1, 0, +1}</w:t>
      </w:r>
    </w:p>
    <w:p>
      <w:pPr>
        <w:pStyle w:val="BodyText"/>
      </w:pPr>
      <w:r>
        <w:t>Observed sign: sign(Δ_observed(u,d)) ∈ {-1, 0, +1}</w:t>
      </w:r>
    </w:p>
    <w:p>
      <w:pPr>
        <w:pStyle w:val="BodyText"/>
      </w:pPr>
      <w:r>
        <w:t>Scoring:</w:t>
      </w:r>
    </w:p>
    <w:p>
      <w:pPr>
        <w:pStyle w:val="Compact"/>
        <w:numPr>
          <w:ilvl w:val="0"/>
          <w:numId w:val="1352"/>
        </w:numPr>
      </w:pPr>
      <w:r>
        <w:t>Match = 1 if predicted = observed</w:t>
      </w:r>
    </w:p>
    <w:p>
      <w:pPr>
        <w:pStyle w:val="Compact"/>
        <w:numPr>
          <w:ilvl w:val="0"/>
          <w:numId w:val="1353"/>
        </w:numPr>
      </w:pPr>
      <w:r>
        <w:t>Match = 0.5 if predicted = 0 or observed = 0</w:t>
      </w:r>
    </w:p>
    <w:p>
      <w:pPr>
        <w:pStyle w:val="Compact"/>
        <w:numPr>
          <w:ilvl w:val="0"/>
          <w:numId w:val="1354"/>
        </w:numPr>
      </w:pPr>
      <w:r>
        <w:t>Match = 0 otherwise</w:t>
      </w:r>
    </w:p>
    <w:p>
      <w:pPr>
        <w:pStyle w:val="FirstParagraph"/>
      </w:pPr>
      <w:r>
        <w:t>SignAcc = (Σ Match) / (number of evaluated cells)</w:t>
      </w:r>
    </w:p>
    <w:p>
      <w:pPr>
        <w:pStyle w:val="BodyText"/>
      </w:pPr>
      <w:r>
        <w:t>Target for calibrated deployments: SignAcc ≥ 0.70</w:t>
      </w:r>
    </w:p>
    <w:bookmarkEnd w:id="432"/>
    <w:bookmarkStart w:id="433" w:name="j4-magnitude-error-rmse-normative"/>
    <w:p>
      <w:pPr>
        <w:pStyle w:val="Heading2"/>
      </w:pPr>
      <w:r>
        <w:t>J.4 Magnitude Error (RMSE) (Normative)</w:t>
      </w:r>
    </w:p>
    <w:p>
      <w:pPr>
        <w:pStyle w:val="FirstParagraph"/>
      </w:pPr>
      <w:r>
        <w:t>RMSE = √[(1/n) Σ_i (I_prop,i − observed_i)^2]</w:t>
      </w:r>
    </w:p>
    <w:p>
      <w:pPr>
        <w:pStyle w:val="BodyText"/>
      </w:pPr>
      <w:r>
        <w:t>Default target: RMSE ≤ 0.25 (domain dependent)</w:t>
      </w:r>
    </w:p>
    <w:bookmarkEnd w:id="433"/>
    <w:bookmarkStart w:id="434" w:name="j5-backtest-procedure-normative"/>
    <w:p>
      <w:pPr>
        <w:pStyle w:val="Heading2"/>
      </w:pPr>
      <w:r>
        <w:t>J.5 Backtest Procedure (Normative)</w:t>
      </w:r>
    </w:p>
    <w:p>
      <w:pPr>
        <w:pStyle w:val="FirstParagraph"/>
      </w:pPr>
      <w:r>
        <w:t>Case selection: Identify historical decisions with measurable outcomes and reconstructable option sets.</w:t>
      </w:r>
    </w:p>
    <w:p>
      <w:pPr>
        <w:pStyle w:val="Compact"/>
        <w:numPr>
          <w:ilvl w:val="0"/>
          <w:numId w:val="1355"/>
        </w:numPr>
      </w:pPr>
      <w:r>
        <w:t>Information reconstruction: Use only data available at decision time (no hindsight leakage).</w:t>
      </w:r>
    </w:p>
    <w:p>
      <w:pPr>
        <w:pStyle w:val="Compact"/>
        <w:numPr>
          <w:ilvl w:val="0"/>
          <w:numId w:val="1356"/>
        </w:numPr>
      </w:pPr>
      <w:r>
        <w:t>Blind analysis: The analyst SHOULD be unaware of actual outcomes during the run.</w:t>
      </w:r>
    </w:p>
    <w:p>
      <w:pPr>
        <w:pStyle w:val="Compact"/>
        <w:numPr>
          <w:ilvl w:val="0"/>
          <w:numId w:val="1357"/>
        </w:numPr>
      </w:pPr>
      <w:r>
        <w:t>Execute RippleLogic run (Tier declared) and emit Backtest PCC.</w:t>
      </w:r>
    </w:p>
    <w:p>
      <w:pPr>
        <w:pStyle w:val="Compact"/>
        <w:numPr>
          <w:ilvl w:val="0"/>
          <w:numId w:val="1358"/>
        </w:numPr>
      </w:pPr>
      <w:r>
        <w:t>Compare predictions to realized outcomes using declared metrics (for example SignAcc, RMSE, rights detection).</w:t>
      </w:r>
    </w:p>
    <w:p>
      <w:pPr>
        <w:pStyle w:val="Compact"/>
        <w:numPr>
          <w:ilvl w:val="0"/>
          <w:numId w:val="1359"/>
        </w:numPr>
      </w:pPr>
      <w:r>
        <w:t>Report results and failures; update methods via NCAR with versioning.</w:t>
      </w:r>
    </w:p>
    <w:p>
      <w:pPr>
        <w:pStyle w:val="Compact"/>
        <w:numPr>
          <w:ilvl w:val="0"/>
          <w:numId w:val="1360"/>
        </w:numPr>
      </w:pPr>
      <w:r>
        <w:t>End Appendix J.</w:t>
      </w:r>
    </w:p>
    <w:p>
      <w:pPr>
        <w:pStyle w:val="FirstParagraph"/>
      </w:pPr>
      <w:r>
        <w:t>Appendix K is informative and strongly recommended for any deployment using Starter KOPS or provisional QUICK propagation.</w:t>
      </w:r>
    </w:p>
    <w:bookmarkEnd w:id="434"/>
    <w:bookmarkEnd w:id="435"/>
    <w:bookmarkStart w:id="440" w:name="X47301729e6234bfb8e88ee315581dcddded1a8c"/>
    <w:p>
      <w:pPr>
        <w:pStyle w:val="Heading1"/>
      </w:pPr>
      <w:r>
        <w:t>APPENDIX K: STARTER KERNEL COMPANION PACK (INFORMATIVE)</w:t>
      </w:r>
    </w:p>
    <w:bookmarkStart w:id="436" w:name="k1-purpose"/>
    <w:p>
      <w:pPr>
        <w:pStyle w:val="Heading2"/>
      </w:pPr>
      <w:r>
        <w:t>K.1 Purpose</w:t>
      </w:r>
    </w:p>
    <w:p>
      <w:pPr>
        <w:pStyle w:val="FirstParagraph"/>
      </w:pPr>
      <w:r>
        <w:t>Starter KOPS provides an informative, provisional kernel surface for transparency, sensitivity testing, and early implementation support. It MUST NOT be treated as a fully validated propagation model.</w:t>
      </w:r>
    </w:p>
    <w:bookmarkEnd w:id="436"/>
    <w:bookmarkStart w:id="437" w:name="Xcd827a7cc048bfcff44e948f7580bb8d39dc603"/>
    <w:p>
      <w:pPr>
        <w:pStyle w:val="Heading2"/>
      </w:pPr>
      <w:r>
        <w:t>K.2 Evidence Class Summary Table K.1: Evidence Class Summary</w:t>
      </w:r>
    </w:p>
    <w:tbl>
      <w:tblPr>
        <w:tblStyle w:val="Table"/>
        <w:tblW w:type="auto" w:w="0"/>
        <w:jc w:val="center"/>
        <w:tblLook w:firstRow="1" w:lastRow="0" w:firstColumn="0" w:lastColumn="0" w:noHBand="0" w:noVBand="0" w:val="0020"/>
      </w:tblPr>
      <w:tblGrid>
        <w:gridCol w:w="2640"/>
        <w:gridCol w:w="2640"/>
        <w:gridCol w:w="2640"/>
      </w:tblGrid>
      <w:tr>
        <w:trPr>
          <w:tblHeader w:val="on"/>
          <w:tblHeader w:val="true"/>
          <w:cantSplit/>
        </w:trPr>
        <w:tc>
          <w:tcPr>
            <w:vAlign w:val="top"/>
            <w:tcMar>
              <w:top w:w="70" w:type="dxa"/>
              <w:start w:w="80" w:type="dxa"/>
              <w:bottom w:w="70" w:type="dxa"/>
              <w:end w:w="80" w:type="dxa"/>
            </w:tcMar>
            <w:shd w:fill="1F4E78"/>
          </w:tcPr>
          <w:p>
            <w:pPr>
              <w:pStyle w:val="Compact"/>
              <w:jc w:val="left"/>
            </w:pPr>
            <w:r>
              <w:rPr>
                <w:rFonts w:ascii="Arial" w:hAnsi="Arial" w:eastAsia="Arial"/>
                <w:b/>
                <w:color w:val="FFFFFF"/>
                <w:sz w:val="16"/>
              </w:rPr>
              <w:t>Class</w:t>
            </w:r>
          </w:p>
        </w:tc>
        <w:tc>
          <w:tcPr>
            <w:vAlign w:val="top"/>
            <w:tcMar>
              <w:top w:w="70" w:type="dxa"/>
              <w:start w:w="80" w:type="dxa"/>
              <w:bottom w:w="70" w:type="dxa"/>
              <w:end w:w="80" w:type="dxa"/>
            </w:tcMar>
            <w:shd w:fill="1F4E78"/>
          </w:tcPr>
          <w:p>
            <w:pPr>
              <w:pStyle w:val="Compact"/>
              <w:jc w:val="left"/>
            </w:pPr>
            <w:r>
              <w:rPr>
                <w:rFonts w:ascii="Arial" w:hAnsi="Arial" w:eastAsia="Arial"/>
                <w:b/>
                <w:color w:val="FFFFFF"/>
                <w:sz w:val="16"/>
              </w:rPr>
              <w:t>Name</w:t>
            </w:r>
          </w:p>
        </w:tc>
        <w:tc>
          <w:tcPr>
            <w:vAlign w:val="top"/>
            <w:tcMar>
              <w:top w:w="70" w:type="dxa"/>
              <w:start w:w="80" w:type="dxa"/>
              <w:bottom w:w="70" w:type="dxa"/>
              <w:end w:w="80" w:type="dxa"/>
            </w:tcMar>
            <w:shd w:fill="1F4E78"/>
          </w:tcPr>
          <w:p>
            <w:pPr>
              <w:pStyle w:val="Compact"/>
              <w:jc w:val="left"/>
            </w:pPr>
            <w:r>
              <w:rPr>
                <w:rFonts w:ascii="Arial" w:hAnsi="Arial" w:eastAsia="Arial"/>
                <w:b/>
                <w:color w:val="FFFFFF"/>
                <w:sz w:val="16"/>
              </w:rPr>
              <w:t>Minimum Evidence</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A</w:t>
            </w:r>
          </w:p>
        </w:tc>
        <w:tc>
          <w:tcPr>
            <w:vAlign w:val="top"/>
            <w:tcMar>
              <w:top w:w="70" w:type="dxa"/>
              <w:start w:w="80" w:type="dxa"/>
              <w:bottom w:w="70" w:type="dxa"/>
              <w:end w:w="80" w:type="dxa"/>
            </w:tcMar>
            <w:shd w:fill="D9EAF7"/>
          </w:tcPr>
          <w:p>
            <w:pPr>
              <w:pStyle w:val="Compact"/>
              <w:jc w:val="left"/>
            </w:pPr>
            <w:r>
              <w:rPr>
                <w:rFonts w:ascii="Arial" w:hAnsi="Arial" w:eastAsia="Arial"/>
                <w:sz w:val="16"/>
              </w:rPr>
              <w:t>Validated</w:t>
            </w:r>
          </w:p>
        </w:tc>
        <w:tc>
          <w:tcPr>
            <w:vAlign w:val="top"/>
            <w:tcMar>
              <w:top w:w="70" w:type="dxa"/>
              <w:start w:w="80" w:type="dxa"/>
              <w:bottom w:w="70" w:type="dxa"/>
              <w:end w:w="80" w:type="dxa"/>
            </w:tcMar>
            <w:shd w:fill="D9EAF7"/>
          </w:tcPr>
          <w:p>
            <w:pPr>
              <w:pStyle w:val="Compact"/>
              <w:jc w:val="left"/>
            </w:pPr>
            <w:r>
              <w:rPr>
                <w:rFonts w:ascii="Arial" w:hAnsi="Arial" w:eastAsia="Arial"/>
                <w:sz w:val="16"/>
              </w:rPr>
              <w:t>Replicated empirical studies with quantified effect sizes and domain match</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B</w:t>
            </w:r>
          </w:p>
        </w:tc>
        <w:tc>
          <w:tcPr>
            <w:vAlign w:val="top"/>
            <w:tcMar>
              <w:top w:w="70" w:type="dxa"/>
              <w:start w:w="80" w:type="dxa"/>
              <w:bottom w:w="70" w:type="dxa"/>
              <w:end w:w="80" w:type="dxa"/>
            </w:tcMar>
            <w:shd w:fill="FFFFFF"/>
          </w:tcPr>
          <w:p>
            <w:pPr>
              <w:pStyle w:val="Compact"/>
              <w:jc w:val="left"/>
            </w:pPr>
            <w:r>
              <w:rPr>
                <w:rFonts w:ascii="Arial" w:hAnsi="Arial" w:eastAsia="Arial"/>
                <w:sz w:val="16"/>
              </w:rPr>
              <w:t>Supported</w:t>
            </w:r>
          </w:p>
        </w:tc>
        <w:tc>
          <w:tcPr>
            <w:vAlign w:val="top"/>
            <w:tcMar>
              <w:top w:w="70" w:type="dxa"/>
              <w:start w:w="80" w:type="dxa"/>
              <w:bottom w:w="70" w:type="dxa"/>
              <w:end w:w="80" w:type="dxa"/>
            </w:tcMar>
            <w:shd w:fill="FFFFFF"/>
          </w:tcPr>
          <w:p>
            <w:pPr>
              <w:pStyle w:val="Compact"/>
              <w:jc w:val="left"/>
            </w:pPr>
            <w:r>
              <w:rPr>
                <w:rFonts w:ascii="Arial" w:hAnsi="Arial" w:eastAsia="Arial"/>
                <w:sz w:val="16"/>
              </w:rPr>
              <w:t>Multiple studies consistent in sign; some quantification</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C</w:t>
            </w:r>
          </w:p>
        </w:tc>
        <w:tc>
          <w:tcPr>
            <w:vAlign w:val="top"/>
            <w:tcMar>
              <w:top w:w="70" w:type="dxa"/>
              <w:start w:w="80" w:type="dxa"/>
              <w:bottom w:w="70" w:type="dxa"/>
              <w:end w:w="80" w:type="dxa"/>
            </w:tcMar>
            <w:shd w:fill="D9EAF7"/>
          </w:tcPr>
          <w:p>
            <w:pPr>
              <w:pStyle w:val="Compact"/>
              <w:jc w:val="left"/>
            </w:pPr>
            <w:r>
              <w:rPr>
                <w:rFonts w:ascii="Arial" w:hAnsi="Arial" w:eastAsia="Arial"/>
                <w:sz w:val="16"/>
              </w:rPr>
              <w:t>Plausible</w:t>
            </w:r>
          </w:p>
        </w:tc>
        <w:tc>
          <w:tcPr>
            <w:vAlign w:val="top"/>
            <w:tcMar>
              <w:top w:w="70" w:type="dxa"/>
              <w:start w:w="80" w:type="dxa"/>
              <w:bottom w:w="70" w:type="dxa"/>
              <w:end w:w="80" w:type="dxa"/>
            </w:tcMar>
            <w:shd w:fill="D9EAF7"/>
          </w:tcPr>
          <w:p>
            <w:pPr>
              <w:pStyle w:val="Compact"/>
              <w:jc w:val="left"/>
            </w:pPr>
            <w:r>
              <w:rPr>
                <w:rFonts w:ascii="Arial" w:hAnsi="Arial" w:eastAsia="Arial"/>
                <w:sz w:val="16"/>
              </w:rPr>
              <w:t>Theoretical support with limited empirical evidence</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D</w:t>
            </w:r>
          </w:p>
        </w:tc>
        <w:tc>
          <w:tcPr>
            <w:vAlign w:val="top"/>
            <w:tcMar>
              <w:top w:w="70" w:type="dxa"/>
              <w:start w:w="80" w:type="dxa"/>
              <w:bottom w:w="70" w:type="dxa"/>
              <w:end w:w="80" w:type="dxa"/>
            </w:tcMar>
            <w:shd w:fill="FFFFFF"/>
          </w:tcPr>
          <w:p>
            <w:pPr>
              <w:pStyle w:val="Compact"/>
              <w:jc w:val="left"/>
            </w:pPr>
            <w:r>
              <w:rPr>
                <w:rFonts w:ascii="Arial" w:hAnsi="Arial" w:eastAsia="Arial"/>
                <w:sz w:val="16"/>
              </w:rPr>
              <w:t>Speculative</w:t>
            </w:r>
          </w:p>
        </w:tc>
        <w:tc>
          <w:tcPr>
            <w:vAlign w:val="top"/>
            <w:tcMar>
              <w:top w:w="70" w:type="dxa"/>
              <w:start w:w="80" w:type="dxa"/>
              <w:bottom w:w="70" w:type="dxa"/>
              <w:end w:w="80" w:type="dxa"/>
            </w:tcMar>
            <w:shd w:fill="FFFFFF"/>
          </w:tcPr>
          <w:p>
            <w:pPr>
              <w:pStyle w:val="Compact"/>
              <w:jc w:val="left"/>
            </w:pPr>
            <w:r>
              <w:rPr>
                <w:rFonts w:ascii="Arial" w:hAnsi="Arial" w:eastAsia="Arial"/>
                <w:sz w:val="16"/>
              </w:rPr>
              <w:t>Expert judgment without empirical support</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E</w:t>
            </w:r>
          </w:p>
        </w:tc>
        <w:tc>
          <w:tcPr>
            <w:vAlign w:val="top"/>
            <w:tcMar>
              <w:top w:w="70" w:type="dxa"/>
              <w:start w:w="80" w:type="dxa"/>
              <w:bottom w:w="70" w:type="dxa"/>
              <w:end w:w="80" w:type="dxa"/>
            </w:tcMar>
            <w:shd w:fill="D9EAF7"/>
          </w:tcPr>
          <w:p>
            <w:pPr>
              <w:pStyle w:val="Compact"/>
              <w:jc w:val="left"/>
            </w:pPr>
            <w:r>
              <w:rPr>
                <w:rFonts w:ascii="Arial" w:hAnsi="Arial" w:eastAsia="Arial"/>
                <w:sz w:val="16"/>
              </w:rPr>
              <w:t>Elicited</w:t>
            </w:r>
          </w:p>
        </w:tc>
        <w:tc>
          <w:tcPr>
            <w:vAlign w:val="top"/>
            <w:tcMar>
              <w:top w:w="70" w:type="dxa"/>
              <w:start w:w="80" w:type="dxa"/>
              <w:bottom w:w="70" w:type="dxa"/>
              <w:end w:w="80" w:type="dxa"/>
            </w:tcMar>
            <w:shd w:fill="D9EAF7"/>
          </w:tcPr>
          <w:p>
            <w:pPr>
              <w:pStyle w:val="Compact"/>
              <w:jc w:val="left"/>
            </w:pPr>
            <w:r>
              <w:rPr>
                <w:rFonts w:ascii="Arial" w:hAnsi="Arial" w:eastAsia="Arial"/>
                <w:sz w:val="16"/>
              </w:rPr>
              <w:t>Structured elicitation for this framework (lowest confidence)</w:t>
            </w:r>
          </w:p>
        </w:tc>
      </w:tr>
    </w:tbl>
    <w:bookmarkEnd w:id="437"/>
    <w:bookmarkStart w:id="438" w:name="X241bbc551c078c8fd6c207e450cf413e4e676da"/>
    <w:p>
      <w:pPr>
        <w:pStyle w:val="Heading2"/>
      </w:pPr>
      <w:r>
        <w:t>K.3 Provisional Edge Table Table K.2: Provisional Starter KOPS Edge Table</w:t>
      </w:r>
    </w:p>
    <w:tbl>
      <w:tblPr>
        <w:tblStyle w:val="Table"/>
        <w:tblW w:type="auto" w:w="0"/>
        <w:jc w:val="center"/>
        <w:tblLook w:firstRow="1" w:lastRow="0" w:firstColumn="0" w:lastColumn="0" w:noHBand="0" w:noVBand="0" w:val="0020"/>
      </w:tblPr>
      <w:tblGrid>
        <w:gridCol w:w="1320"/>
        <w:gridCol w:w="1320"/>
        <w:gridCol w:w="1320"/>
        <w:gridCol w:w="1320"/>
        <w:gridCol w:w="1320"/>
        <w:gridCol w:w="1320"/>
      </w:tblGrid>
      <w:tr>
        <w:trPr>
          <w:tblHeader w:val="on"/>
          <w:tblHeader w:val="true"/>
          <w:cantSplit/>
        </w:trPr>
        <w:tc>
          <w:tcPr>
            <w:vAlign w:val="top"/>
            <w:tcMar>
              <w:top w:w="70" w:type="dxa"/>
              <w:start w:w="80" w:type="dxa"/>
              <w:bottom w:w="70" w:type="dxa"/>
              <w:end w:w="80" w:type="dxa"/>
            </w:tcMar>
            <w:shd w:fill="1F4E78"/>
          </w:tcPr>
          <w:p>
            <w:pPr>
              <w:pStyle w:val="Compact"/>
              <w:jc w:val="left"/>
            </w:pPr>
            <w:r>
              <w:rPr>
                <w:rFonts w:ascii="Arial" w:hAnsi="Arial" w:eastAsia="Arial"/>
                <w:b/>
                <w:color w:val="FFFFFF"/>
                <w:sz w:val="16"/>
              </w:rPr>
              <w:t>Source Cell (u,d)</w:t>
            </w:r>
          </w:p>
        </w:tc>
        <w:tc>
          <w:tcPr>
            <w:vAlign w:val="top"/>
            <w:tcMar>
              <w:top w:w="70" w:type="dxa"/>
              <w:start w:w="80" w:type="dxa"/>
              <w:bottom w:w="70" w:type="dxa"/>
              <w:end w:w="80" w:type="dxa"/>
            </w:tcMar>
            <w:shd w:fill="1F4E78"/>
          </w:tcPr>
          <w:p>
            <w:pPr>
              <w:pStyle w:val="Compact"/>
              <w:jc w:val="left"/>
            </w:pPr>
            <w:r>
              <w:rPr>
                <w:rFonts w:ascii="Arial" w:hAnsi="Arial" w:eastAsia="Arial"/>
                <w:b/>
                <w:color w:val="FFFFFF"/>
                <w:sz w:val="16"/>
              </w:rPr>
              <w:t>Target Cell (u,d)</w:t>
            </w:r>
          </w:p>
        </w:tc>
        <w:tc>
          <w:tcPr>
            <w:vAlign w:val="top"/>
            <w:tcMar>
              <w:top w:w="70" w:type="dxa"/>
              <w:start w:w="80" w:type="dxa"/>
              <w:bottom w:w="70" w:type="dxa"/>
              <w:end w:w="80" w:type="dxa"/>
            </w:tcMar>
            <w:shd w:fill="1F4E78"/>
          </w:tcPr>
          <w:p>
            <w:pPr>
              <w:pStyle w:val="Compact"/>
              <w:jc w:val="left"/>
            </w:pPr>
            <w:r>
              <w:rPr>
                <w:rFonts w:ascii="Arial" w:hAnsi="Arial" w:eastAsia="Arial"/>
                <w:b/>
                <w:color w:val="FFFFFF"/>
                <w:sz w:val="16"/>
              </w:rPr>
              <w:t>κ_raw</w:t>
            </w:r>
          </w:p>
        </w:tc>
        <w:tc>
          <w:tcPr>
            <w:vAlign w:val="top"/>
            <w:tcMar>
              <w:top w:w="70" w:type="dxa"/>
              <w:start w:w="80" w:type="dxa"/>
              <w:bottom w:w="70" w:type="dxa"/>
              <w:end w:w="80" w:type="dxa"/>
            </w:tcMar>
            <w:shd w:fill="1F4E78"/>
          </w:tcPr>
          <w:p>
            <w:pPr>
              <w:pStyle w:val="Compact"/>
              <w:jc w:val="left"/>
            </w:pPr>
            <w:r>
              <w:rPr>
                <w:rFonts w:ascii="Arial" w:hAnsi="Arial" w:eastAsia="Arial"/>
                <w:b/>
                <w:color w:val="FFFFFF"/>
                <w:sz w:val="16"/>
              </w:rPr>
              <w:t>κ_shrunk</w:t>
            </w:r>
          </w:p>
        </w:tc>
        <w:tc>
          <w:tcPr>
            <w:vAlign w:val="top"/>
            <w:tcMar>
              <w:top w:w="70" w:type="dxa"/>
              <w:start w:w="80" w:type="dxa"/>
              <w:bottom w:w="70" w:type="dxa"/>
              <w:end w:w="80" w:type="dxa"/>
            </w:tcMar>
            <w:shd w:fill="1F4E78"/>
          </w:tcPr>
          <w:p>
            <w:pPr>
              <w:pStyle w:val="Compact"/>
              <w:jc w:val="left"/>
            </w:pPr>
            <w:r>
              <w:rPr>
                <w:rFonts w:ascii="Arial" w:hAnsi="Arial" w:eastAsia="Arial"/>
                <w:b/>
                <w:color w:val="FFFFFF"/>
                <w:sz w:val="16"/>
              </w:rPr>
              <w:t>Evidence Class</w:t>
            </w:r>
          </w:p>
        </w:tc>
        <w:tc>
          <w:tcPr>
            <w:vAlign w:val="top"/>
            <w:tcMar>
              <w:top w:w="70" w:type="dxa"/>
              <w:start w:w="80" w:type="dxa"/>
              <w:bottom w:w="70" w:type="dxa"/>
              <w:end w:w="80" w:type="dxa"/>
            </w:tcMar>
            <w:shd w:fill="1F4E78"/>
          </w:tcPr>
          <w:p>
            <w:pPr>
              <w:pStyle w:val="Compact"/>
              <w:jc w:val="left"/>
            </w:pPr>
            <w:r>
              <w:rPr>
                <w:rFonts w:ascii="Arial" w:hAnsi="Arial" w:eastAsia="Arial"/>
                <w:b/>
                <w:color w:val="FFFFFF"/>
                <w:sz w:val="16"/>
              </w:rPr>
              <w:t>Rationale Family</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(4,1) Org-Material</w:t>
            </w:r>
          </w:p>
        </w:tc>
        <w:tc>
          <w:tcPr>
            <w:vAlign w:val="top"/>
            <w:tcMar>
              <w:top w:w="70" w:type="dxa"/>
              <w:start w:w="80" w:type="dxa"/>
              <w:bottom w:w="70" w:type="dxa"/>
              <w:end w:w="80" w:type="dxa"/>
            </w:tcMar>
            <w:shd w:fill="D9EAF7"/>
          </w:tcPr>
          <w:p>
            <w:pPr>
              <w:pStyle w:val="Compact"/>
              <w:jc w:val="left"/>
            </w:pPr>
            <w:r>
              <w:rPr>
                <w:rFonts w:ascii="Arial" w:hAnsi="Arial" w:eastAsia="Arial"/>
                <w:sz w:val="16"/>
              </w:rPr>
              <w:t>(2,1) HH-Material</w:t>
            </w:r>
          </w:p>
        </w:tc>
        <w:tc>
          <w:tcPr>
            <w:vAlign w:val="top"/>
            <w:tcMar>
              <w:top w:w="70" w:type="dxa"/>
              <w:start w:w="80" w:type="dxa"/>
              <w:bottom w:w="70" w:type="dxa"/>
              <w:end w:w="80" w:type="dxa"/>
            </w:tcMar>
            <w:shd w:fill="D9EAF7"/>
          </w:tcPr>
          <w:p>
            <w:pPr>
              <w:pStyle w:val="Compact"/>
              <w:jc w:val="left"/>
            </w:pPr>
            <w:r>
              <w:rPr>
                <w:rFonts w:ascii="Arial" w:hAnsi="Arial" w:eastAsia="Arial"/>
                <w:sz w:val="16"/>
              </w:rPr>
              <w:t>0.40</w:t>
            </w:r>
          </w:p>
        </w:tc>
        <w:tc>
          <w:tcPr>
            <w:vAlign w:val="top"/>
            <w:tcMar>
              <w:top w:w="70" w:type="dxa"/>
              <w:start w:w="80" w:type="dxa"/>
              <w:bottom w:w="70" w:type="dxa"/>
              <w:end w:w="80" w:type="dxa"/>
            </w:tcMar>
            <w:shd w:fill="D9EAF7"/>
          </w:tcPr>
          <w:p>
            <w:pPr>
              <w:pStyle w:val="Compact"/>
              <w:jc w:val="left"/>
            </w:pPr>
            <w:r>
              <w:rPr>
                <w:rFonts w:ascii="Arial" w:hAnsi="Arial" w:eastAsia="Arial"/>
                <w:sz w:val="16"/>
              </w:rPr>
              <w:t>0.14</w:t>
            </w:r>
          </w:p>
        </w:tc>
        <w:tc>
          <w:tcPr>
            <w:vAlign w:val="top"/>
            <w:tcMar>
              <w:top w:w="70" w:type="dxa"/>
              <w:start w:w="80" w:type="dxa"/>
              <w:bottom w:w="70" w:type="dxa"/>
              <w:end w:w="80" w:type="dxa"/>
            </w:tcMar>
            <w:shd w:fill="D9EAF7"/>
          </w:tcPr>
          <w:p>
            <w:pPr>
              <w:pStyle w:val="Compact"/>
              <w:jc w:val="left"/>
            </w:pPr>
            <w:r>
              <w:rPr>
                <w:rFonts w:ascii="Arial" w:hAnsi="Arial" w:eastAsia="Arial"/>
                <w:sz w:val="16"/>
              </w:rPr>
              <w:t>E</w:t>
            </w:r>
          </w:p>
        </w:tc>
        <w:tc>
          <w:tcPr>
            <w:vAlign w:val="top"/>
            <w:tcMar>
              <w:top w:w="70" w:type="dxa"/>
              <w:start w:w="80" w:type="dxa"/>
              <w:bottom w:w="70" w:type="dxa"/>
              <w:end w:w="80" w:type="dxa"/>
            </w:tcMar>
            <w:shd w:fill="D9EAF7"/>
          </w:tcPr>
          <w:p>
            <w:pPr>
              <w:pStyle w:val="Compact"/>
              <w:jc w:val="left"/>
            </w:pPr>
            <w:r>
              <w:rPr>
                <w:rFonts w:ascii="Arial" w:hAnsi="Arial" w:eastAsia="Arial"/>
                <w:sz w:val="16"/>
              </w:rPr>
              <w:t>Employment income propagation</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(4,1) Org-Material</w:t>
            </w:r>
          </w:p>
        </w:tc>
        <w:tc>
          <w:tcPr>
            <w:vAlign w:val="top"/>
            <w:tcMar>
              <w:top w:w="70" w:type="dxa"/>
              <w:start w:w="80" w:type="dxa"/>
              <w:bottom w:w="70" w:type="dxa"/>
              <w:end w:w="80" w:type="dxa"/>
            </w:tcMar>
            <w:shd w:fill="FFFFFF"/>
          </w:tcPr>
          <w:p>
            <w:pPr>
              <w:pStyle w:val="Compact"/>
              <w:jc w:val="left"/>
            </w:pPr>
            <w:r>
              <w:rPr>
                <w:rFonts w:ascii="Arial" w:hAnsi="Arial" w:eastAsia="Arial"/>
                <w:sz w:val="16"/>
              </w:rPr>
              <w:t>(3,1) Comm-Material</w:t>
            </w:r>
          </w:p>
        </w:tc>
        <w:tc>
          <w:tcPr>
            <w:vAlign w:val="top"/>
            <w:tcMar>
              <w:top w:w="70" w:type="dxa"/>
              <w:start w:w="80" w:type="dxa"/>
              <w:bottom w:w="70" w:type="dxa"/>
              <w:end w:w="80" w:type="dxa"/>
            </w:tcMar>
            <w:shd w:fill="FFFFFF"/>
          </w:tcPr>
          <w:p>
            <w:pPr>
              <w:pStyle w:val="Compact"/>
              <w:jc w:val="left"/>
            </w:pPr>
            <w:r>
              <w:rPr>
                <w:rFonts w:ascii="Arial" w:hAnsi="Arial" w:eastAsia="Arial"/>
                <w:sz w:val="16"/>
              </w:rPr>
              <w:t>0.30</w:t>
            </w:r>
          </w:p>
        </w:tc>
        <w:tc>
          <w:tcPr>
            <w:vAlign w:val="top"/>
            <w:tcMar>
              <w:top w:w="70" w:type="dxa"/>
              <w:start w:w="80" w:type="dxa"/>
              <w:bottom w:w="70" w:type="dxa"/>
              <w:end w:w="80" w:type="dxa"/>
            </w:tcMar>
            <w:shd w:fill="FFFFFF"/>
          </w:tcPr>
          <w:p>
            <w:pPr>
              <w:pStyle w:val="Compact"/>
              <w:jc w:val="left"/>
            </w:pPr>
            <w:r>
              <w:rPr>
                <w:rFonts w:ascii="Arial" w:hAnsi="Arial" w:eastAsia="Arial"/>
                <w:sz w:val="16"/>
              </w:rPr>
              <w:t>0.11</w:t>
            </w:r>
          </w:p>
        </w:tc>
        <w:tc>
          <w:tcPr>
            <w:vAlign w:val="top"/>
            <w:tcMar>
              <w:top w:w="70" w:type="dxa"/>
              <w:start w:w="80" w:type="dxa"/>
              <w:bottom w:w="70" w:type="dxa"/>
              <w:end w:w="80" w:type="dxa"/>
            </w:tcMar>
            <w:shd w:fill="FFFFFF"/>
          </w:tcPr>
          <w:p>
            <w:pPr>
              <w:pStyle w:val="Compact"/>
              <w:jc w:val="left"/>
            </w:pPr>
            <w:r>
              <w:rPr>
                <w:rFonts w:ascii="Arial" w:hAnsi="Arial" w:eastAsia="Arial"/>
                <w:sz w:val="16"/>
              </w:rPr>
              <w:t>E</w:t>
            </w:r>
          </w:p>
        </w:tc>
        <w:tc>
          <w:tcPr>
            <w:vAlign w:val="top"/>
            <w:tcMar>
              <w:top w:w="70" w:type="dxa"/>
              <w:start w:w="80" w:type="dxa"/>
              <w:bottom w:w="70" w:type="dxa"/>
              <w:end w:w="80" w:type="dxa"/>
            </w:tcMar>
            <w:shd w:fill="FFFFFF"/>
          </w:tcPr>
          <w:p>
            <w:pPr>
              <w:pStyle w:val="Compact"/>
              <w:jc w:val="left"/>
            </w:pPr>
            <w:r>
              <w:rPr>
                <w:rFonts w:ascii="Arial" w:hAnsi="Arial" w:eastAsia="Arial"/>
                <w:sz w:val="16"/>
              </w:rPr>
              <w:t>Local multiplier effects</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(7,7) Bio-Environment</w:t>
            </w:r>
          </w:p>
        </w:tc>
        <w:tc>
          <w:tcPr>
            <w:vAlign w:val="top"/>
            <w:tcMar>
              <w:top w:w="70" w:type="dxa"/>
              <w:start w:w="80" w:type="dxa"/>
              <w:bottom w:w="70" w:type="dxa"/>
              <w:end w:w="80" w:type="dxa"/>
            </w:tcMar>
            <w:shd w:fill="D9EAF7"/>
          </w:tcPr>
          <w:p>
            <w:pPr>
              <w:pStyle w:val="Compact"/>
              <w:jc w:val="left"/>
            </w:pPr>
            <w:r>
              <w:rPr>
                <w:rFonts w:ascii="Arial" w:hAnsi="Arial" w:eastAsia="Arial"/>
                <w:sz w:val="16"/>
              </w:rPr>
              <w:t>(6,2) CMIU-Health</w:t>
            </w:r>
          </w:p>
        </w:tc>
        <w:tc>
          <w:tcPr>
            <w:vAlign w:val="top"/>
            <w:tcMar>
              <w:top w:w="70" w:type="dxa"/>
              <w:start w:w="80" w:type="dxa"/>
              <w:bottom w:w="70" w:type="dxa"/>
              <w:end w:w="80" w:type="dxa"/>
            </w:tcMar>
            <w:shd w:fill="D9EAF7"/>
          </w:tcPr>
          <w:p>
            <w:pPr>
              <w:pStyle w:val="Compact"/>
              <w:jc w:val="left"/>
            </w:pPr>
            <w:r>
              <w:rPr>
                <w:rFonts w:ascii="Arial" w:hAnsi="Arial" w:eastAsia="Arial"/>
                <w:sz w:val="16"/>
              </w:rPr>
              <w:t>-0.35</w:t>
            </w:r>
          </w:p>
        </w:tc>
        <w:tc>
          <w:tcPr>
            <w:vAlign w:val="top"/>
            <w:tcMar>
              <w:top w:w="70" w:type="dxa"/>
              <w:start w:w="80" w:type="dxa"/>
              <w:bottom w:w="70" w:type="dxa"/>
              <w:end w:w="80" w:type="dxa"/>
            </w:tcMar>
            <w:shd w:fill="D9EAF7"/>
          </w:tcPr>
          <w:p>
            <w:pPr>
              <w:pStyle w:val="Compact"/>
              <w:jc w:val="left"/>
            </w:pPr>
            <w:r>
              <w:rPr>
                <w:rFonts w:ascii="Arial" w:hAnsi="Arial" w:eastAsia="Arial"/>
                <w:sz w:val="16"/>
              </w:rPr>
              <w:t>-0.12</w:t>
            </w:r>
          </w:p>
        </w:tc>
        <w:tc>
          <w:tcPr>
            <w:vAlign w:val="top"/>
            <w:tcMar>
              <w:top w:w="70" w:type="dxa"/>
              <w:start w:w="80" w:type="dxa"/>
              <w:bottom w:w="70" w:type="dxa"/>
              <w:end w:w="80" w:type="dxa"/>
            </w:tcMar>
            <w:shd w:fill="D9EAF7"/>
          </w:tcPr>
          <w:p>
            <w:pPr>
              <w:pStyle w:val="Compact"/>
              <w:jc w:val="left"/>
            </w:pPr>
            <w:r>
              <w:rPr>
                <w:rFonts w:ascii="Arial" w:hAnsi="Arial" w:eastAsia="Arial"/>
                <w:sz w:val="16"/>
              </w:rPr>
              <w:t>B</w:t>
            </w:r>
          </w:p>
        </w:tc>
        <w:tc>
          <w:tcPr>
            <w:vAlign w:val="top"/>
            <w:tcMar>
              <w:top w:w="70" w:type="dxa"/>
              <w:start w:w="80" w:type="dxa"/>
              <w:bottom w:w="70" w:type="dxa"/>
              <w:end w:w="80" w:type="dxa"/>
            </w:tcMar>
            <w:shd w:fill="D9EAF7"/>
          </w:tcPr>
          <w:p>
            <w:pPr>
              <w:pStyle w:val="Compact"/>
              <w:jc w:val="left"/>
            </w:pPr>
            <w:r>
              <w:rPr>
                <w:rFonts w:ascii="Arial" w:hAnsi="Arial" w:eastAsia="Arial"/>
                <w:sz w:val="16"/>
              </w:rPr>
              <w:t>Climate/health pathway</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(7,7) Bio-Environment</w:t>
            </w:r>
          </w:p>
        </w:tc>
        <w:tc>
          <w:tcPr>
            <w:vAlign w:val="top"/>
            <w:tcMar>
              <w:top w:w="70" w:type="dxa"/>
              <w:start w:w="80" w:type="dxa"/>
              <w:bottom w:w="70" w:type="dxa"/>
              <w:end w:w="80" w:type="dxa"/>
            </w:tcMar>
            <w:shd w:fill="FFFFFF"/>
          </w:tcPr>
          <w:p>
            <w:pPr>
              <w:pStyle w:val="Compact"/>
              <w:jc w:val="left"/>
            </w:pPr>
            <w:r>
              <w:rPr>
                <w:rFonts w:ascii="Arial" w:hAnsi="Arial" w:eastAsia="Arial"/>
                <w:sz w:val="16"/>
              </w:rPr>
              <w:t>(6,7) CMIU-Environment</w:t>
            </w:r>
          </w:p>
        </w:tc>
        <w:tc>
          <w:tcPr>
            <w:vAlign w:val="top"/>
            <w:tcMar>
              <w:top w:w="70" w:type="dxa"/>
              <w:start w:w="80" w:type="dxa"/>
              <w:bottom w:w="70" w:type="dxa"/>
              <w:end w:w="80" w:type="dxa"/>
            </w:tcMar>
            <w:shd w:fill="FFFFFF"/>
          </w:tcPr>
          <w:p>
            <w:pPr>
              <w:pStyle w:val="Compact"/>
              <w:jc w:val="left"/>
            </w:pPr>
            <w:r>
              <w:rPr>
                <w:rFonts w:ascii="Arial" w:hAnsi="Arial" w:eastAsia="Arial"/>
                <w:sz w:val="16"/>
              </w:rPr>
              <w:t>0.50</w:t>
            </w:r>
          </w:p>
        </w:tc>
        <w:tc>
          <w:tcPr>
            <w:vAlign w:val="top"/>
            <w:tcMar>
              <w:top w:w="70" w:type="dxa"/>
              <w:start w:w="80" w:type="dxa"/>
              <w:bottom w:w="70" w:type="dxa"/>
              <w:end w:w="80" w:type="dxa"/>
            </w:tcMar>
            <w:shd w:fill="FFFFFF"/>
          </w:tcPr>
          <w:p>
            <w:pPr>
              <w:pStyle w:val="Compact"/>
              <w:jc w:val="left"/>
            </w:pPr>
            <w:r>
              <w:rPr>
                <w:rFonts w:ascii="Arial" w:hAnsi="Arial" w:eastAsia="Arial"/>
                <w:sz w:val="16"/>
              </w:rPr>
              <w:t>0.18</w:t>
            </w:r>
          </w:p>
        </w:tc>
        <w:tc>
          <w:tcPr>
            <w:vAlign w:val="top"/>
            <w:tcMar>
              <w:top w:w="70" w:type="dxa"/>
              <w:start w:w="80" w:type="dxa"/>
              <w:bottom w:w="70" w:type="dxa"/>
              <w:end w:w="80" w:type="dxa"/>
            </w:tcMar>
            <w:shd w:fill="FFFFFF"/>
          </w:tcPr>
          <w:p>
            <w:pPr>
              <w:pStyle w:val="Compact"/>
              <w:jc w:val="left"/>
            </w:pPr>
            <w:r>
              <w:rPr>
                <w:rFonts w:ascii="Arial" w:hAnsi="Arial" w:eastAsia="Arial"/>
                <w:sz w:val="16"/>
              </w:rPr>
              <w:t>B</w:t>
            </w:r>
          </w:p>
        </w:tc>
        <w:tc>
          <w:tcPr>
            <w:vAlign w:val="top"/>
            <w:tcMar>
              <w:top w:w="70" w:type="dxa"/>
              <w:start w:w="80" w:type="dxa"/>
              <w:bottom w:w="70" w:type="dxa"/>
              <w:end w:w="80" w:type="dxa"/>
            </w:tcMar>
            <w:shd w:fill="FFFFFF"/>
          </w:tcPr>
          <w:p>
            <w:pPr>
              <w:pStyle w:val="Compact"/>
              <w:jc w:val="left"/>
            </w:pPr>
            <w:r>
              <w:rPr>
                <w:rFonts w:ascii="Arial" w:hAnsi="Arial" w:eastAsia="Arial"/>
                <w:sz w:val="16"/>
              </w:rPr>
              <w:t>Earth system propagation</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(5,5) Polity-Agency</w:t>
            </w:r>
          </w:p>
        </w:tc>
        <w:tc>
          <w:tcPr>
            <w:vAlign w:val="top"/>
            <w:tcMar>
              <w:top w:w="70" w:type="dxa"/>
              <w:start w:w="80" w:type="dxa"/>
              <w:bottom w:w="70" w:type="dxa"/>
              <w:end w:w="80" w:type="dxa"/>
            </w:tcMar>
            <w:shd w:fill="D9EAF7"/>
          </w:tcPr>
          <w:p>
            <w:pPr>
              <w:pStyle w:val="Compact"/>
              <w:jc w:val="left"/>
            </w:pPr>
            <w:r>
              <w:rPr>
                <w:rFonts w:ascii="Arial" w:hAnsi="Arial" w:eastAsia="Arial"/>
                <w:sz w:val="16"/>
              </w:rPr>
              <w:t>(4,5) Org-Agency</w:t>
            </w:r>
          </w:p>
        </w:tc>
        <w:tc>
          <w:tcPr>
            <w:vAlign w:val="top"/>
            <w:tcMar>
              <w:top w:w="70" w:type="dxa"/>
              <w:start w:w="80" w:type="dxa"/>
              <w:bottom w:w="70" w:type="dxa"/>
              <w:end w:w="80" w:type="dxa"/>
            </w:tcMar>
            <w:shd w:fill="D9EAF7"/>
          </w:tcPr>
          <w:p>
            <w:pPr>
              <w:pStyle w:val="Compact"/>
              <w:jc w:val="left"/>
            </w:pPr>
            <w:r>
              <w:rPr>
                <w:rFonts w:ascii="Arial" w:hAnsi="Arial" w:eastAsia="Arial"/>
                <w:sz w:val="16"/>
              </w:rPr>
              <w:t>0.25</w:t>
            </w:r>
          </w:p>
        </w:tc>
        <w:tc>
          <w:tcPr>
            <w:vAlign w:val="top"/>
            <w:tcMar>
              <w:top w:w="70" w:type="dxa"/>
              <w:start w:w="80" w:type="dxa"/>
              <w:bottom w:w="70" w:type="dxa"/>
              <w:end w:w="80" w:type="dxa"/>
            </w:tcMar>
            <w:shd w:fill="D9EAF7"/>
          </w:tcPr>
          <w:p>
            <w:pPr>
              <w:pStyle w:val="Compact"/>
              <w:jc w:val="left"/>
            </w:pPr>
            <w:r>
              <w:rPr>
                <w:rFonts w:ascii="Arial" w:hAnsi="Arial" w:eastAsia="Arial"/>
                <w:sz w:val="16"/>
              </w:rPr>
              <w:t>0.09</w:t>
            </w:r>
          </w:p>
        </w:tc>
        <w:tc>
          <w:tcPr>
            <w:vAlign w:val="top"/>
            <w:tcMar>
              <w:top w:w="70" w:type="dxa"/>
              <w:start w:w="80" w:type="dxa"/>
              <w:bottom w:w="70" w:type="dxa"/>
              <w:end w:w="80" w:type="dxa"/>
            </w:tcMar>
            <w:shd w:fill="D9EAF7"/>
          </w:tcPr>
          <w:p>
            <w:pPr>
              <w:pStyle w:val="Compact"/>
              <w:jc w:val="left"/>
            </w:pPr>
            <w:r>
              <w:rPr>
                <w:rFonts w:ascii="Arial" w:hAnsi="Arial" w:eastAsia="Arial"/>
                <w:sz w:val="16"/>
              </w:rPr>
              <w:t>E</w:t>
            </w:r>
          </w:p>
        </w:tc>
        <w:tc>
          <w:tcPr>
            <w:vAlign w:val="top"/>
            <w:tcMar>
              <w:top w:w="70" w:type="dxa"/>
              <w:start w:w="80" w:type="dxa"/>
              <w:bottom w:w="70" w:type="dxa"/>
              <w:end w:w="80" w:type="dxa"/>
            </w:tcMar>
            <w:shd w:fill="D9EAF7"/>
          </w:tcPr>
          <w:p>
            <w:pPr>
              <w:pStyle w:val="Compact"/>
              <w:jc w:val="left"/>
            </w:pPr>
            <w:r>
              <w:rPr>
                <w:rFonts w:ascii="Arial" w:hAnsi="Arial" w:eastAsia="Arial"/>
                <w:sz w:val="16"/>
              </w:rPr>
              <w:t>Institutional enabling effects</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(3,3) Comm-Social</w:t>
            </w:r>
          </w:p>
        </w:tc>
        <w:tc>
          <w:tcPr>
            <w:vAlign w:val="top"/>
            <w:tcMar>
              <w:top w:w="70" w:type="dxa"/>
              <w:start w:w="80" w:type="dxa"/>
              <w:bottom w:w="70" w:type="dxa"/>
              <w:end w:w="80" w:type="dxa"/>
            </w:tcMar>
            <w:shd w:fill="FFFFFF"/>
          </w:tcPr>
          <w:p>
            <w:pPr>
              <w:pStyle w:val="Compact"/>
              <w:jc w:val="left"/>
            </w:pPr>
            <w:r>
              <w:rPr>
                <w:rFonts w:ascii="Arial" w:hAnsi="Arial" w:eastAsia="Arial"/>
                <w:sz w:val="16"/>
              </w:rPr>
              <w:t>(1,3) Self-Social</w:t>
            </w:r>
          </w:p>
        </w:tc>
        <w:tc>
          <w:tcPr>
            <w:vAlign w:val="top"/>
            <w:tcMar>
              <w:top w:w="70" w:type="dxa"/>
              <w:start w:w="80" w:type="dxa"/>
              <w:bottom w:w="70" w:type="dxa"/>
              <w:end w:w="80" w:type="dxa"/>
            </w:tcMar>
            <w:shd w:fill="FFFFFF"/>
          </w:tcPr>
          <w:p>
            <w:pPr>
              <w:pStyle w:val="Compact"/>
              <w:jc w:val="left"/>
            </w:pPr>
            <w:r>
              <w:rPr>
                <w:rFonts w:ascii="Arial" w:hAnsi="Arial" w:eastAsia="Arial"/>
                <w:sz w:val="16"/>
              </w:rPr>
              <w:t>0.45</w:t>
            </w:r>
          </w:p>
        </w:tc>
        <w:tc>
          <w:tcPr>
            <w:vAlign w:val="top"/>
            <w:tcMar>
              <w:top w:w="70" w:type="dxa"/>
              <w:start w:w="80" w:type="dxa"/>
              <w:bottom w:w="70" w:type="dxa"/>
              <w:end w:w="80" w:type="dxa"/>
            </w:tcMar>
            <w:shd w:fill="FFFFFF"/>
          </w:tcPr>
          <w:p>
            <w:pPr>
              <w:pStyle w:val="Compact"/>
              <w:jc w:val="left"/>
            </w:pPr>
            <w:r>
              <w:rPr>
                <w:rFonts w:ascii="Arial" w:hAnsi="Arial" w:eastAsia="Arial"/>
                <w:sz w:val="16"/>
              </w:rPr>
              <w:t>0.16</w:t>
            </w:r>
          </w:p>
        </w:tc>
        <w:tc>
          <w:tcPr>
            <w:vAlign w:val="top"/>
            <w:tcMar>
              <w:top w:w="70" w:type="dxa"/>
              <w:start w:w="80" w:type="dxa"/>
              <w:bottom w:w="70" w:type="dxa"/>
              <w:end w:w="80" w:type="dxa"/>
            </w:tcMar>
            <w:shd w:fill="FFFFFF"/>
          </w:tcPr>
          <w:p>
            <w:pPr>
              <w:pStyle w:val="Compact"/>
              <w:jc w:val="left"/>
            </w:pPr>
            <w:r>
              <w:rPr>
                <w:rFonts w:ascii="Arial" w:hAnsi="Arial" w:eastAsia="Arial"/>
                <w:sz w:val="16"/>
              </w:rPr>
              <w:t>B</w:t>
            </w:r>
          </w:p>
        </w:tc>
        <w:tc>
          <w:tcPr>
            <w:vAlign w:val="top"/>
            <w:tcMar>
              <w:top w:w="70" w:type="dxa"/>
              <w:start w:w="80" w:type="dxa"/>
              <w:bottom w:w="70" w:type="dxa"/>
              <w:end w:w="80" w:type="dxa"/>
            </w:tcMar>
            <w:shd w:fill="FFFFFF"/>
          </w:tcPr>
          <w:p>
            <w:pPr>
              <w:pStyle w:val="Compact"/>
              <w:jc w:val="left"/>
            </w:pPr>
            <w:r>
              <w:rPr>
                <w:rFonts w:ascii="Arial" w:hAnsi="Arial" w:eastAsia="Arial"/>
                <w:sz w:val="16"/>
              </w:rPr>
              <w:t>Social capital / wellbeing</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(3,3) Comm-Social</w:t>
            </w:r>
          </w:p>
        </w:tc>
        <w:tc>
          <w:tcPr>
            <w:vAlign w:val="top"/>
            <w:tcMar>
              <w:top w:w="70" w:type="dxa"/>
              <w:start w:w="80" w:type="dxa"/>
              <w:bottom w:w="70" w:type="dxa"/>
              <w:end w:w="80" w:type="dxa"/>
            </w:tcMar>
            <w:shd w:fill="D9EAF7"/>
          </w:tcPr>
          <w:p>
            <w:pPr>
              <w:pStyle w:val="Compact"/>
              <w:jc w:val="left"/>
            </w:pPr>
            <w:r>
              <w:rPr>
                <w:rFonts w:ascii="Arial" w:hAnsi="Arial" w:eastAsia="Arial"/>
                <w:sz w:val="16"/>
              </w:rPr>
              <w:t>(2,3) HH-Social</w:t>
            </w:r>
          </w:p>
        </w:tc>
        <w:tc>
          <w:tcPr>
            <w:vAlign w:val="top"/>
            <w:tcMar>
              <w:top w:w="70" w:type="dxa"/>
              <w:start w:w="80" w:type="dxa"/>
              <w:bottom w:w="70" w:type="dxa"/>
              <w:end w:w="80" w:type="dxa"/>
            </w:tcMar>
            <w:shd w:fill="D9EAF7"/>
          </w:tcPr>
          <w:p>
            <w:pPr>
              <w:pStyle w:val="Compact"/>
              <w:jc w:val="left"/>
            </w:pPr>
            <w:r>
              <w:rPr>
                <w:rFonts w:ascii="Arial" w:hAnsi="Arial" w:eastAsia="Arial"/>
                <w:sz w:val="16"/>
              </w:rPr>
              <w:t>0.35</w:t>
            </w:r>
          </w:p>
        </w:tc>
        <w:tc>
          <w:tcPr>
            <w:vAlign w:val="top"/>
            <w:tcMar>
              <w:top w:w="70" w:type="dxa"/>
              <w:start w:w="80" w:type="dxa"/>
              <w:bottom w:w="70" w:type="dxa"/>
              <w:end w:w="80" w:type="dxa"/>
            </w:tcMar>
            <w:shd w:fill="D9EAF7"/>
          </w:tcPr>
          <w:p>
            <w:pPr>
              <w:pStyle w:val="Compact"/>
              <w:jc w:val="left"/>
            </w:pPr>
            <w:r>
              <w:rPr>
                <w:rFonts w:ascii="Arial" w:hAnsi="Arial" w:eastAsia="Arial"/>
                <w:sz w:val="16"/>
              </w:rPr>
              <w:t>0.12</w:t>
            </w:r>
          </w:p>
        </w:tc>
        <w:tc>
          <w:tcPr>
            <w:vAlign w:val="top"/>
            <w:tcMar>
              <w:top w:w="70" w:type="dxa"/>
              <w:start w:w="80" w:type="dxa"/>
              <w:bottom w:w="70" w:type="dxa"/>
              <w:end w:w="80" w:type="dxa"/>
            </w:tcMar>
            <w:shd w:fill="D9EAF7"/>
          </w:tcPr>
          <w:p>
            <w:pPr>
              <w:pStyle w:val="Compact"/>
              <w:jc w:val="left"/>
            </w:pPr>
            <w:r>
              <w:rPr>
                <w:rFonts w:ascii="Arial" w:hAnsi="Arial" w:eastAsia="Arial"/>
                <w:sz w:val="16"/>
              </w:rPr>
              <w:t>E</w:t>
            </w:r>
          </w:p>
        </w:tc>
        <w:tc>
          <w:tcPr>
            <w:vAlign w:val="top"/>
            <w:tcMar>
              <w:top w:w="70" w:type="dxa"/>
              <w:start w:w="80" w:type="dxa"/>
              <w:bottom w:w="70" w:type="dxa"/>
              <w:end w:w="80" w:type="dxa"/>
            </w:tcMar>
            <w:shd w:fill="D9EAF7"/>
          </w:tcPr>
          <w:p>
            <w:pPr>
              <w:pStyle w:val="Compact"/>
              <w:jc w:val="left"/>
            </w:pPr>
            <w:r>
              <w:rPr>
                <w:rFonts w:ascii="Arial" w:hAnsi="Arial" w:eastAsia="Arial"/>
                <w:sz w:val="16"/>
              </w:rPr>
              <w:t>Family-community linkage</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(4,2) Org-Health</w:t>
            </w:r>
          </w:p>
        </w:tc>
        <w:tc>
          <w:tcPr>
            <w:vAlign w:val="top"/>
            <w:tcMar>
              <w:top w:w="70" w:type="dxa"/>
              <w:start w:w="80" w:type="dxa"/>
              <w:bottom w:w="70" w:type="dxa"/>
              <w:end w:w="80" w:type="dxa"/>
            </w:tcMar>
            <w:shd w:fill="FFFFFF"/>
          </w:tcPr>
          <w:p>
            <w:pPr>
              <w:pStyle w:val="Compact"/>
              <w:jc w:val="left"/>
            </w:pPr>
            <w:r>
              <w:rPr>
                <w:rFonts w:ascii="Arial" w:hAnsi="Arial" w:eastAsia="Arial"/>
                <w:sz w:val="16"/>
              </w:rPr>
              <w:t>(1,2) Self-Health</w:t>
            </w:r>
          </w:p>
        </w:tc>
        <w:tc>
          <w:tcPr>
            <w:vAlign w:val="top"/>
            <w:tcMar>
              <w:top w:w="70" w:type="dxa"/>
              <w:start w:w="80" w:type="dxa"/>
              <w:bottom w:w="70" w:type="dxa"/>
              <w:end w:w="80" w:type="dxa"/>
            </w:tcMar>
            <w:shd w:fill="FFFFFF"/>
          </w:tcPr>
          <w:p>
            <w:pPr>
              <w:pStyle w:val="Compact"/>
              <w:jc w:val="left"/>
            </w:pPr>
            <w:r>
              <w:rPr>
                <w:rFonts w:ascii="Arial" w:hAnsi="Arial" w:eastAsia="Arial"/>
                <w:sz w:val="16"/>
              </w:rPr>
              <w:t>0.40</w:t>
            </w:r>
          </w:p>
        </w:tc>
        <w:tc>
          <w:tcPr>
            <w:vAlign w:val="top"/>
            <w:tcMar>
              <w:top w:w="70" w:type="dxa"/>
              <w:start w:w="80" w:type="dxa"/>
              <w:bottom w:w="70" w:type="dxa"/>
              <w:end w:w="80" w:type="dxa"/>
            </w:tcMar>
            <w:shd w:fill="FFFFFF"/>
          </w:tcPr>
          <w:p>
            <w:pPr>
              <w:pStyle w:val="Compact"/>
              <w:jc w:val="left"/>
            </w:pPr>
            <w:r>
              <w:rPr>
                <w:rFonts w:ascii="Arial" w:hAnsi="Arial" w:eastAsia="Arial"/>
                <w:sz w:val="16"/>
              </w:rPr>
              <w:t>0.14</w:t>
            </w:r>
          </w:p>
        </w:tc>
        <w:tc>
          <w:tcPr>
            <w:vAlign w:val="top"/>
            <w:tcMar>
              <w:top w:w="70" w:type="dxa"/>
              <w:start w:w="80" w:type="dxa"/>
              <w:bottom w:w="70" w:type="dxa"/>
              <w:end w:w="80" w:type="dxa"/>
            </w:tcMar>
            <w:shd w:fill="FFFFFF"/>
          </w:tcPr>
          <w:p>
            <w:pPr>
              <w:pStyle w:val="Compact"/>
              <w:jc w:val="left"/>
            </w:pPr>
            <w:r>
              <w:rPr>
                <w:rFonts w:ascii="Arial" w:hAnsi="Arial" w:eastAsia="Arial"/>
                <w:sz w:val="16"/>
              </w:rPr>
              <w:t>B</w:t>
            </w:r>
          </w:p>
        </w:tc>
        <w:tc>
          <w:tcPr>
            <w:vAlign w:val="top"/>
            <w:tcMar>
              <w:top w:w="70" w:type="dxa"/>
              <w:start w:w="80" w:type="dxa"/>
              <w:bottom w:w="70" w:type="dxa"/>
              <w:end w:w="80" w:type="dxa"/>
            </w:tcMar>
            <w:shd w:fill="FFFFFF"/>
          </w:tcPr>
          <w:p>
            <w:pPr>
              <w:pStyle w:val="Compact"/>
              <w:jc w:val="left"/>
            </w:pPr>
            <w:r>
              <w:rPr>
                <w:rFonts w:ascii="Arial" w:hAnsi="Arial" w:eastAsia="Arial"/>
                <w:sz w:val="16"/>
              </w:rPr>
              <w:t>Occupational health pathway</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(6,4) CMIU-Knowledge</w:t>
            </w:r>
          </w:p>
        </w:tc>
        <w:tc>
          <w:tcPr>
            <w:vAlign w:val="top"/>
            <w:tcMar>
              <w:top w:w="70" w:type="dxa"/>
              <w:start w:w="80" w:type="dxa"/>
              <w:bottom w:w="70" w:type="dxa"/>
              <w:end w:w="80" w:type="dxa"/>
            </w:tcMar>
            <w:shd w:fill="D9EAF7"/>
          </w:tcPr>
          <w:p>
            <w:pPr>
              <w:pStyle w:val="Compact"/>
              <w:jc w:val="left"/>
            </w:pPr>
            <w:r>
              <w:rPr>
                <w:rFonts w:ascii="Arial" w:hAnsi="Arial" w:eastAsia="Arial"/>
                <w:sz w:val="16"/>
              </w:rPr>
              <w:t>(5,4) Polity-Knowledge</w:t>
            </w:r>
          </w:p>
        </w:tc>
        <w:tc>
          <w:tcPr>
            <w:vAlign w:val="top"/>
            <w:tcMar>
              <w:top w:w="70" w:type="dxa"/>
              <w:start w:w="80" w:type="dxa"/>
              <w:bottom w:w="70" w:type="dxa"/>
              <w:end w:w="80" w:type="dxa"/>
            </w:tcMar>
            <w:shd w:fill="D9EAF7"/>
          </w:tcPr>
          <w:p>
            <w:pPr>
              <w:pStyle w:val="Compact"/>
              <w:jc w:val="left"/>
            </w:pPr>
            <w:r>
              <w:rPr>
                <w:rFonts w:ascii="Arial" w:hAnsi="Arial" w:eastAsia="Arial"/>
                <w:sz w:val="16"/>
              </w:rPr>
              <w:t>0.30</w:t>
            </w:r>
          </w:p>
        </w:tc>
        <w:tc>
          <w:tcPr>
            <w:vAlign w:val="top"/>
            <w:tcMar>
              <w:top w:w="70" w:type="dxa"/>
              <w:start w:w="80" w:type="dxa"/>
              <w:bottom w:w="70" w:type="dxa"/>
              <w:end w:w="80" w:type="dxa"/>
            </w:tcMar>
            <w:shd w:fill="D9EAF7"/>
          </w:tcPr>
          <w:p>
            <w:pPr>
              <w:pStyle w:val="Compact"/>
              <w:jc w:val="left"/>
            </w:pPr>
            <w:r>
              <w:rPr>
                <w:rFonts w:ascii="Arial" w:hAnsi="Arial" w:eastAsia="Arial"/>
                <w:sz w:val="16"/>
              </w:rPr>
              <w:t>0.11</w:t>
            </w:r>
          </w:p>
        </w:tc>
        <w:tc>
          <w:tcPr>
            <w:vAlign w:val="top"/>
            <w:tcMar>
              <w:top w:w="70" w:type="dxa"/>
              <w:start w:w="80" w:type="dxa"/>
              <w:bottom w:w="70" w:type="dxa"/>
              <w:end w:w="80" w:type="dxa"/>
            </w:tcMar>
            <w:shd w:fill="D9EAF7"/>
          </w:tcPr>
          <w:p>
            <w:pPr>
              <w:pStyle w:val="Compact"/>
              <w:jc w:val="left"/>
            </w:pPr>
            <w:r>
              <w:rPr>
                <w:rFonts w:ascii="Arial" w:hAnsi="Arial" w:eastAsia="Arial"/>
                <w:sz w:val="16"/>
              </w:rPr>
              <w:t>E</w:t>
            </w:r>
          </w:p>
        </w:tc>
        <w:tc>
          <w:tcPr>
            <w:vAlign w:val="top"/>
            <w:tcMar>
              <w:top w:w="70" w:type="dxa"/>
              <w:start w:w="80" w:type="dxa"/>
              <w:bottom w:w="70" w:type="dxa"/>
              <w:end w:w="80" w:type="dxa"/>
            </w:tcMar>
            <w:shd w:fill="D9EAF7"/>
          </w:tcPr>
          <w:p>
            <w:pPr>
              <w:pStyle w:val="Compact"/>
              <w:jc w:val="left"/>
            </w:pPr>
            <w:r>
              <w:rPr>
                <w:rFonts w:ascii="Arial" w:hAnsi="Arial" w:eastAsia="Arial"/>
                <w:sz w:val="16"/>
              </w:rPr>
              <w:t>Diffusion / coordination knowledge</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(1,2) Self-Health</w:t>
            </w:r>
          </w:p>
        </w:tc>
        <w:tc>
          <w:tcPr>
            <w:vAlign w:val="top"/>
            <w:tcMar>
              <w:top w:w="70" w:type="dxa"/>
              <w:start w:w="80" w:type="dxa"/>
              <w:bottom w:w="70" w:type="dxa"/>
              <w:end w:w="80" w:type="dxa"/>
            </w:tcMar>
            <w:shd w:fill="FFFFFF"/>
          </w:tcPr>
          <w:p>
            <w:pPr>
              <w:pStyle w:val="Compact"/>
              <w:jc w:val="left"/>
            </w:pPr>
            <w:r>
              <w:rPr>
                <w:rFonts w:ascii="Arial" w:hAnsi="Arial" w:eastAsia="Arial"/>
                <w:sz w:val="16"/>
              </w:rPr>
              <w:t>(2,1) HH-Material</w:t>
            </w:r>
          </w:p>
        </w:tc>
        <w:tc>
          <w:tcPr>
            <w:vAlign w:val="top"/>
            <w:tcMar>
              <w:top w:w="70" w:type="dxa"/>
              <w:start w:w="80" w:type="dxa"/>
              <w:bottom w:w="70" w:type="dxa"/>
              <w:end w:w="80" w:type="dxa"/>
            </w:tcMar>
            <w:shd w:fill="FFFFFF"/>
          </w:tcPr>
          <w:p>
            <w:pPr>
              <w:pStyle w:val="Compact"/>
              <w:jc w:val="left"/>
            </w:pPr>
            <w:r>
              <w:rPr>
                <w:rFonts w:ascii="Arial" w:hAnsi="Arial" w:eastAsia="Arial"/>
                <w:sz w:val="16"/>
              </w:rPr>
              <w:t>-0.25</w:t>
            </w:r>
          </w:p>
        </w:tc>
        <w:tc>
          <w:tcPr>
            <w:vAlign w:val="top"/>
            <w:tcMar>
              <w:top w:w="70" w:type="dxa"/>
              <w:start w:w="80" w:type="dxa"/>
              <w:bottom w:w="70" w:type="dxa"/>
              <w:end w:w="80" w:type="dxa"/>
            </w:tcMar>
            <w:shd w:fill="FFFFFF"/>
          </w:tcPr>
          <w:p>
            <w:pPr>
              <w:pStyle w:val="Compact"/>
              <w:jc w:val="left"/>
            </w:pPr>
            <w:r>
              <w:rPr>
                <w:rFonts w:ascii="Arial" w:hAnsi="Arial" w:eastAsia="Arial"/>
                <w:sz w:val="16"/>
              </w:rPr>
              <w:t>-0.09</w:t>
            </w:r>
          </w:p>
        </w:tc>
        <w:tc>
          <w:tcPr>
            <w:vAlign w:val="top"/>
            <w:tcMar>
              <w:top w:w="70" w:type="dxa"/>
              <w:start w:w="80" w:type="dxa"/>
              <w:bottom w:w="70" w:type="dxa"/>
              <w:end w:w="80" w:type="dxa"/>
            </w:tcMar>
            <w:shd w:fill="FFFFFF"/>
          </w:tcPr>
          <w:p>
            <w:pPr>
              <w:pStyle w:val="Compact"/>
              <w:jc w:val="left"/>
            </w:pPr>
            <w:r>
              <w:rPr>
                <w:rFonts w:ascii="Arial" w:hAnsi="Arial" w:eastAsia="Arial"/>
                <w:sz w:val="16"/>
              </w:rPr>
              <w:t>B</w:t>
            </w:r>
          </w:p>
        </w:tc>
        <w:tc>
          <w:tcPr>
            <w:vAlign w:val="top"/>
            <w:tcMar>
              <w:top w:w="70" w:type="dxa"/>
              <w:start w:w="80" w:type="dxa"/>
              <w:bottom w:w="70" w:type="dxa"/>
              <w:end w:w="80" w:type="dxa"/>
            </w:tcMar>
            <w:shd w:fill="FFFFFF"/>
          </w:tcPr>
          <w:p>
            <w:pPr>
              <w:pStyle w:val="Compact"/>
              <w:jc w:val="left"/>
            </w:pPr>
            <w:r>
              <w:rPr>
                <w:rFonts w:ascii="Arial" w:hAnsi="Arial" w:eastAsia="Arial"/>
                <w:sz w:val="16"/>
              </w:rPr>
              <w:t>Health to earning capacity</w:t>
            </w:r>
          </w:p>
        </w:tc>
      </w:tr>
    </w:tbl>
    <w:bookmarkEnd w:id="438"/>
    <w:bookmarkStart w:id="439" w:name="X0c4de44c6aafcef15416ed9a728f6799b873671"/>
    <w:p>
      <w:pPr>
        <w:pStyle w:val="Heading2"/>
      </w:pPr>
      <w:r>
        <w:t>K.4 Mandatory PCC Disclaimer "Ripple propagation used a PROVISIONAL Starter KOPS kernel. Coefficients are not fully validated. Sensitivity analysis was performed per RippleLogic v12.3.1 requirements; conclusions are contingent on kernel uncertainty."</w:t>
      </w:r>
    </w:p>
    <w:p>
      <w:pPr>
        <w:pStyle w:val="FirstParagraph"/>
      </w:pPr>
      <w:r>
        <w:t>End Appendix K.</w:t>
      </w:r>
    </w:p>
    <w:bookmarkEnd w:id="439"/>
    <w:bookmarkEnd w:id="440"/>
    <w:bookmarkStart w:id="441" w:name="appendix-l-glossary-v120"/>
    <w:p>
      <w:pPr>
        <w:pStyle w:val="Heading1"/>
      </w:pPr>
      <w:r>
        <w:t>APPENDIX L: GLOSSARY (v12.0)</w:t>
      </w:r>
    </w:p>
    <w:p>
      <w:pPr>
        <w:pStyle w:val="FirstParagraph"/>
      </w:pPr>
      <w:r>
        <w:t>Appendix L is informative but standardized terminology is strongly recommended for audit consistency.</w:t>
      </w:r>
    </w:p>
    <w:p>
      <w:pPr>
        <w:pStyle w:val="BodyText"/>
      </w:pPr>
      <w:r>
        <w:t>Stakeholder: Any entity plausibly affected by a candidate option through direct impact, externalities, indirect pathways, or future propagation within the declared horizon.</w:t>
      </w:r>
    </w:p>
    <w:p>
      <w:pPr>
        <w:pStyle w:val="BodyText"/>
      </w:pPr>
      <w:r>
        <w:t>Instance: A stakeholder-in-role-in-context bound to a decision, used for auditability and mapping into Union Scopes.</w:t>
      </w:r>
    </w:p>
    <w:p>
      <w:pPr>
        <w:pStyle w:val="BodyText"/>
      </w:pPr>
      <w:r>
        <w:t>Stakeholder Discovery Protocol (SDP): The tier-linked minimum process for discovering omission-likely stakeholders and recording discovery evidence (Section 2.2A).</w:t>
      </w:r>
    </w:p>
    <w:p>
      <w:pPr>
        <w:pStyle w:val="BodyText"/>
      </w:pPr>
      <w:r>
        <w:t>Stakeholder Coverage Index (SCI): A tier-governed disclosure ladder describing the stakeholder coverage posture of a run, used for auditability, not for score changes (Section 5.0.1).</w:t>
      </w:r>
    </w:p>
    <w:p>
      <w:pPr>
        <w:pStyle w:val="BodyText"/>
      </w:pPr>
      <w:r>
        <w:t>InstanceMap: The structured mapping from stakeholder instances to one or more Union Scopes, recorded in the PCC (Appendix H).</w:t>
      </w:r>
    </w:p>
    <w:p>
      <w:pPr>
        <w:pStyle w:val="BodyText"/>
      </w:pPr>
      <w:r>
        <w:t>Scope Coverage Declaration: A PCC section that declares whether the run is full-scope or reduced-scope, lists omitted scopes and rationales, and specifies escalation triggers (Appendix H).</w:t>
      </w:r>
    </w:p>
    <w:p>
      <w:pPr>
        <w:pStyle w:val="BodyText"/>
      </w:pPr>
      <w:r>
        <w:t>Active cell: A Scope×Dimension cell that participates in RLS, or is in any rights/catastrophe coverage set, or is populated for any gate or justification, and therefore must not be treated as unknown-by-default (Section 10.3).</w:t>
      </w:r>
    </w:p>
    <w:p>
      <w:pPr>
        <w:pStyle w:val="BodyText"/>
      </w:pPr>
      <w:r>
        <w:t>Effect-token (allocation only): A redundant conserved-unit causal token used solely to prevent redundant counting across scopes under the ALLOCATION redundancy method (Section 2.2A).</w:t>
      </w:r>
    </w:p>
    <w:p>
      <w:pPr>
        <w:pStyle w:val="BodyText"/>
      </w:pPr>
      <w:r>
        <w:t>Reduced-scope mode: A reporting or mapping-depth mode that omits one or more scopes, permitted only with explicit PCC disclosure and without removing any non-maskable cells from admissibility gates (Section 2.2A).</w:t>
      </w:r>
    </w:p>
    <w:p>
      <w:pPr>
        <w:pStyle w:val="BodyText"/>
      </w:pPr>
      <w:r>
        <w:t>SG_norm / SG_patient_norm / SG_measured_norm: Deprecated v7.x interface fields. They may appear only in pinned legacy records and are not equivalent to the v8.x typed outputs used by current SGP v8.2.1.</w:t>
      </w:r>
    </w:p>
    <w:p>
      <w:pPr>
        <w:pStyle w:val="BodyText"/>
      </w:pPr>
      <w:r>
        <w:t>MPS(E,t): The v8.x moral-patienthood evidence surface, current in SGP v8.2.1, used to determine protection posture and required welfare-inclusion hypotheses. It is not exact moral worth, a consciousness probability, or a cardinal welfare multiplier.</w:t>
      </w:r>
    </w:p>
    <w:p>
      <w:pPr>
        <w:pStyle w:val="BodyText"/>
      </w:pPr>
      <w:r>
        <w:t>FPP(E): The v8.x full non-downgrade protection status, current in SGP v8.2.1. For RippleLogic welfare sensitivity, every FPP entity uses the fixed inclusion set {1}, equivalently the interval [1,1].</w:t>
      </w:r>
    </w:p>
    <w:p>
      <w:pPr>
        <w:pStyle w:val="BodyText"/>
      </w:pPr>
      <w:r>
        <w:t>GPR and SPR: Separate v8.x role surfaces, current in SGP v8.2.1, for participation design and role-specific consequential-power review. Neither changes MPS or FPP.</w:t>
      </w:r>
    </w:p>
    <w:p>
      <w:pPr>
        <w:pStyle w:val="BodyText"/>
      </w:pPr>
      <w:r>
        <w:t>Full Protection Plateau (FPP-100): The constitutional rights-of-protection summit defined by SGP. Within RippleLogic it fixes full protection and the welfare-inclusion set {1}; it does not become a prestige score, alter earlier gates, establish CMIU membership, or grant governance authority.</w:t>
      </w:r>
    </w:p>
    <w:p>
      <w:pPr>
        <w:pStyle w:val="BodyText"/>
      </w:pPr>
      <w:r>
        <w:t>MPS-4 / presumptive-full-protection posture: The strongest evidence band below an assigned FPP status in SGP v8.2.1. It triggers strong protection and FPP review but is not a scalar percentage of moral worth and does not itself confer FPP.</w:t>
      </w:r>
    </w:p>
    <w:p>
      <w:pPr>
        <w:pStyle w:val="BodyText"/>
      </w:pPr>
      <w:r>
        <w:t>CMIU: Collective Managing Intelligence Union, a Canon-defined U6 governance-coordination view for managing intelligences and institutions. SGP does not assign CMIU membership. MPS/FPP do not create CMIU membership; GPR informs participation design, and consequential roles require SPR plus lawful governance controls.</w:t>
      </w:r>
    </w:p>
    <w:p>
      <w:pPr>
        <w:pStyle w:val="BodyText"/>
      </w:pPr>
      <w:r>
        <w:t>Human Full Protection Plateau: The non-overridable rule that every human person has FPP and a RippleLogic welfare interval of [1,1], independent of measurement, disability, age, illness, wakefulness, or observability.</w:t>
      </w:r>
    </w:p>
    <w:p>
      <w:pPr>
        <w:pStyle w:val="BodyText"/>
      </w:pPr>
      <w:r>
        <w:t>SGP v8.2.1 Binding Interface: The only permissible interface by which RippleLogic consumes MPS, FPP, GPR, SPR, optional ICP, and informative RMCP/P100. Defined normatively in Appendix G; RippleLogic does not recompute SGP internals.</w:t>
      </w:r>
    </w:p>
    <w:tbl>
      <w:tblPr>
        <w:tblStyle w:val="Table"/>
        <w:tblW w:type="auto" w:w="0"/>
        <w:jc w:val="center"/>
        <w:tblLook w:firstRow="1" w:lastRow="0" w:firstColumn="0" w:lastColumn="0" w:noHBand="0" w:noVBand="0" w:val="0020"/>
      </w:tblPr>
      <w:tblGrid>
        <w:gridCol w:w="3960"/>
        <w:gridCol w:w="3960"/>
      </w:tblGrid>
      <w:tr>
        <w:trPr>
          <w:tblHeader w:val="on"/>
          <w:tblHeader w:val="true"/>
          <w:cantSplit/>
        </w:trPr>
        <w:tc>
          <w:tcPr>
            <w:vAlign w:val="top"/>
            <w:tcMar>
              <w:top w:w="70" w:type="dxa"/>
              <w:start w:w="80" w:type="dxa"/>
              <w:bottom w:w="70" w:type="dxa"/>
              <w:end w:w="80" w:type="dxa"/>
            </w:tcMar>
            <w:shd w:fill="1F4E78"/>
          </w:tcPr>
          <w:p>
            <w:pPr>
              <w:pStyle w:val="Compact"/>
              <w:jc w:val="left"/>
            </w:pPr>
            <w:r>
              <w:rPr>
                <w:rFonts w:ascii="Arial" w:hAnsi="Arial" w:eastAsia="Arial"/>
                <w:b/>
                <w:bCs/>
                <w:color w:val="FFFFFF"/>
                <w:sz w:val="16"/>
              </w:rPr>
              <w:t>Term</w:t>
            </w:r>
          </w:p>
        </w:tc>
        <w:tc>
          <w:tcPr>
            <w:vAlign w:val="top"/>
            <w:tcMar>
              <w:top w:w="70" w:type="dxa"/>
              <w:start w:w="80" w:type="dxa"/>
              <w:bottom w:w="70" w:type="dxa"/>
              <w:end w:w="80" w:type="dxa"/>
            </w:tcMar>
            <w:shd w:fill="1F4E78"/>
          </w:tcPr>
          <w:p>
            <w:pPr>
              <w:pStyle w:val="Compact"/>
              <w:jc w:val="left"/>
            </w:pPr>
            <w:r>
              <w:rPr>
                <w:rFonts w:ascii="Arial" w:hAnsi="Arial" w:eastAsia="Arial"/>
                <w:b/>
                <w:bCs/>
                <w:color w:val="FFFFFF"/>
                <w:sz w:val="16"/>
              </w:rPr>
              <w:t>Definition</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Admissible</w:t>
            </w:r>
          </w:p>
        </w:tc>
        <w:tc>
          <w:tcPr>
            <w:vAlign w:val="top"/>
            <w:tcMar>
              <w:top w:w="70" w:type="dxa"/>
              <w:start w:w="80" w:type="dxa"/>
              <w:bottom w:w="70" w:type="dxa"/>
              <w:end w:w="80" w:type="dxa"/>
            </w:tcMar>
            <w:shd w:fill="D9EAF7"/>
          </w:tcPr>
          <w:p>
            <w:pPr>
              <w:pStyle w:val="Compact"/>
              <w:jc w:val="left"/>
            </w:pPr>
            <w:r>
              <w:rPr>
                <w:rFonts w:ascii="Arial" w:hAnsi="Arial" w:eastAsia="Arial"/>
                <w:sz w:val="16"/>
              </w:rPr>
              <w:t>Option that passes both NCRC and TRC</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AIL (Artifact Integrity Law)</w:t>
            </w:r>
          </w:p>
        </w:tc>
        <w:tc>
          <w:tcPr>
            <w:vAlign w:val="top"/>
            <w:tcMar>
              <w:top w:w="70" w:type="dxa"/>
              <w:start w:w="80" w:type="dxa"/>
              <w:bottom w:w="70" w:type="dxa"/>
              <w:end w:w="80" w:type="dxa"/>
            </w:tcMar>
            <w:shd w:fill="FFFFFF"/>
          </w:tcPr>
          <w:p>
            <w:pPr>
              <w:pStyle w:val="Compact"/>
              <w:jc w:val="left"/>
            </w:pPr>
            <w:r>
              <w:rPr>
                <w:rFonts w:ascii="Arial" w:hAnsi="Arial" w:eastAsia="Arial"/>
                <w:sz w:val="16"/>
              </w:rPr>
              <w:t>Integrity rules ensuring auditability, comparability, and no silent overrides in PCCs</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Baseline-Zero Rule</w:t>
            </w:r>
          </w:p>
        </w:tc>
        <w:tc>
          <w:tcPr>
            <w:vAlign w:val="top"/>
            <w:tcMar>
              <w:top w:w="70" w:type="dxa"/>
              <w:start w:w="80" w:type="dxa"/>
              <w:bottom w:w="70" w:type="dxa"/>
              <w:end w:w="80" w:type="dxa"/>
            </w:tcMar>
            <w:shd w:fill="D9EAF7"/>
          </w:tcPr>
          <w:p>
            <w:pPr>
              <w:pStyle w:val="Compact"/>
              <w:jc w:val="left"/>
            </w:pPr>
            <w:r>
              <w:rPr>
                <w:rFonts w:ascii="Arial" w:hAnsi="Arial" w:eastAsia="Arial"/>
                <w:sz w:val="16"/>
              </w:rPr>
              <w:t>0 impact means no change from baseline; all impacts are baseline-relative</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Catastrophe cell set (C_cat)</w:t>
            </w:r>
          </w:p>
        </w:tc>
        <w:tc>
          <w:tcPr>
            <w:vAlign w:val="top"/>
            <w:tcMar>
              <w:top w:w="70" w:type="dxa"/>
              <w:start w:w="80" w:type="dxa"/>
              <w:bottom w:w="70" w:type="dxa"/>
              <w:end w:w="80" w:type="dxa"/>
            </w:tcMar>
            <w:shd w:fill="FFFFFF"/>
          </w:tcPr>
          <w:p>
            <w:pPr>
              <w:pStyle w:val="Compact"/>
              <w:jc w:val="left"/>
            </w:pPr>
            <w:r>
              <w:rPr>
                <w:rFonts w:ascii="Arial" w:hAnsi="Arial" w:eastAsia="Arial"/>
                <w:sz w:val="16"/>
              </w:rPr>
              <w:t>Subset of welfare cells used for TRC tail-risk evaluation</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CSV (Containment Mode A / Structural Viability)</w:t>
            </w:r>
          </w:p>
        </w:tc>
        <w:tc>
          <w:tcPr>
            <w:vAlign w:val="top"/>
            <w:tcMar>
              <w:top w:w="70" w:type="dxa"/>
              <w:start w:w="80" w:type="dxa"/>
              <w:bottom w:w="70" w:type="dxa"/>
              <w:end w:w="80" w:type="dxa"/>
            </w:tcMar>
            <w:shd w:fill="D9EAF7"/>
          </w:tcPr>
          <w:p>
            <w:pPr>
              <w:pStyle w:val="Compact"/>
              <w:jc w:val="left"/>
            </w:pPr>
            <w:r>
              <w:rPr>
                <w:rFonts w:ascii="Arial" w:hAnsi="Arial" w:eastAsia="Arial"/>
                <w:sz w:val="16"/>
              </w:rPr>
              <w:t>Binding gate preventing selection of options that degrade containing union coherence or structural viability beyond tolerance</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Containment tolerance (τ_c)</w:t>
            </w:r>
          </w:p>
        </w:tc>
        <w:tc>
          <w:tcPr>
            <w:vAlign w:val="top"/>
            <w:tcMar>
              <w:top w:w="70" w:type="dxa"/>
              <w:start w:w="80" w:type="dxa"/>
              <w:bottom w:w="70" w:type="dxa"/>
              <w:end w:w="80" w:type="dxa"/>
            </w:tcMar>
            <w:shd w:fill="FFFFFF"/>
          </w:tcPr>
          <w:p>
            <w:pPr>
              <w:pStyle w:val="Compact"/>
              <w:jc w:val="left"/>
            </w:pPr>
            <w:r>
              <w:rPr>
                <w:rFonts w:ascii="Arial" w:hAnsi="Arial" w:eastAsia="Arial"/>
                <w:sz w:val="16"/>
              </w:rPr>
              <w:t>Maximum allowed negative ΔUCI for containing unions when sub-unions benefit</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CVaR (Conditional Value-at-Risk)</w:t>
            </w:r>
          </w:p>
        </w:tc>
        <w:tc>
          <w:tcPr>
            <w:vAlign w:val="top"/>
            <w:tcMar>
              <w:top w:w="70" w:type="dxa"/>
              <w:start w:w="80" w:type="dxa"/>
              <w:bottom w:w="70" w:type="dxa"/>
              <w:end w:w="80" w:type="dxa"/>
            </w:tcMar>
            <w:shd w:fill="D9EAF7"/>
          </w:tcPr>
          <w:p>
            <w:pPr>
              <w:pStyle w:val="Compact"/>
              <w:jc w:val="left"/>
            </w:pPr>
            <w:r>
              <w:rPr>
                <w:rFonts w:ascii="Arial" w:hAnsi="Arial" w:eastAsia="Arial"/>
                <w:sz w:val="16"/>
              </w:rPr>
              <w:t>Tail risk measure of expected loss in the worst tail mass</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Dimension (D₁-D₇)</w:t>
            </w:r>
          </w:p>
        </w:tc>
        <w:tc>
          <w:tcPr>
            <w:vAlign w:val="top"/>
            <w:tcMar>
              <w:top w:w="70" w:type="dxa"/>
              <w:start w:w="80" w:type="dxa"/>
              <w:bottom w:w="70" w:type="dxa"/>
              <w:end w:w="80" w:type="dxa"/>
            </w:tcMar>
            <w:shd w:fill="FFFFFF"/>
          </w:tcPr>
          <w:p>
            <w:pPr>
              <w:pStyle w:val="Compact"/>
              <w:jc w:val="left"/>
            </w:pPr>
            <w:r>
              <w:rPr>
                <w:rFonts w:ascii="Arial" w:hAnsi="Arial" w:eastAsia="Arial"/>
                <w:sz w:val="16"/>
              </w:rPr>
              <w:t>One of seven welfare dimensions: Material, Health, Social, Knowledge, Agency, Meaning, Environment</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Emergency Mode</w:t>
            </w:r>
          </w:p>
        </w:tc>
        <w:tc>
          <w:tcPr>
            <w:vAlign w:val="top"/>
            <w:tcMar>
              <w:top w:w="70" w:type="dxa"/>
              <w:start w:w="80" w:type="dxa"/>
              <w:bottom w:w="70" w:type="dxa"/>
              <w:end w:w="80" w:type="dxa"/>
            </w:tcMar>
            <w:shd w:fill="D9EAF7"/>
          </w:tcPr>
          <w:p>
            <w:pPr>
              <w:pStyle w:val="Compact"/>
              <w:jc w:val="left"/>
            </w:pPr>
            <w:r>
              <w:rPr>
                <w:rFonts w:ascii="Arial" w:hAnsi="Arial" w:eastAsia="Arial"/>
                <w:sz w:val="16"/>
              </w:rPr>
              <w:t>Controlled fallback when no option passes NCRC; selects lexicographically minimal rights violation vector with challenger requirement and remediation</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HDW (Hybrid Democratic Weighting)</w:t>
            </w:r>
          </w:p>
        </w:tc>
        <w:tc>
          <w:tcPr>
            <w:vAlign w:val="top"/>
            <w:tcMar>
              <w:top w:w="70" w:type="dxa"/>
              <w:start w:w="80" w:type="dxa"/>
              <w:bottom w:w="70" w:type="dxa"/>
              <w:end w:w="80" w:type="dxa"/>
            </w:tcMar>
            <w:shd w:fill="FFFFFF"/>
          </w:tcPr>
          <w:p>
            <w:pPr>
              <w:pStyle w:val="Compact"/>
              <w:jc w:val="left"/>
            </w:pPr>
            <w:r>
              <w:rPr>
                <w:rFonts w:ascii="Arial" w:hAnsi="Arial" w:eastAsia="Arial"/>
                <w:sz w:val="16"/>
              </w:rPr>
              <w:t>Governance method producing weights from floors + democratic + structural proposals</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HOI (Hollowing-Out Index)</w:t>
            </w:r>
          </w:p>
        </w:tc>
        <w:tc>
          <w:tcPr>
            <w:vAlign w:val="top"/>
            <w:tcMar>
              <w:top w:w="70" w:type="dxa"/>
              <w:start w:w="80" w:type="dxa"/>
              <w:bottom w:w="70" w:type="dxa"/>
              <w:end w:w="80" w:type="dxa"/>
            </w:tcMar>
            <w:shd w:fill="D9EAF7"/>
          </w:tcPr>
          <w:p>
            <w:pPr>
              <w:pStyle w:val="Compact"/>
              <w:jc w:val="left"/>
            </w:pPr>
            <w:r>
              <w:rPr>
                <w:rFonts w:ascii="Arial" w:hAnsi="Arial" w:eastAsia="Arial"/>
                <w:sz w:val="16"/>
              </w:rPr>
              <w:t>Monitoring diagnostic indicating welfare-up while coherence-down drift</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Impact instance</w:t>
            </w:r>
          </w:p>
        </w:tc>
        <w:tc>
          <w:tcPr>
            <w:vAlign w:val="top"/>
            <w:tcMar>
              <w:top w:w="70" w:type="dxa"/>
              <w:start w:w="80" w:type="dxa"/>
              <w:bottom w:w="70" w:type="dxa"/>
              <w:end w:w="80" w:type="dxa"/>
            </w:tcMar>
            <w:shd w:fill="FFFFFF"/>
          </w:tcPr>
          <w:p>
            <w:pPr>
              <w:pStyle w:val="Compact"/>
              <w:jc w:val="left"/>
            </w:pPr>
            <w:r>
              <w:rPr>
                <w:rFonts w:ascii="Arial" w:hAnsi="Arial" w:eastAsia="Arial"/>
                <w:sz w:val="16"/>
              </w:rPr>
              <w:t>A single asserted pathway contribution to a welfare cell impact, with magnitude, reach, horizon, likelihood, confidence, and multipliers</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Kernel (K)</w:t>
            </w:r>
          </w:p>
        </w:tc>
        <w:tc>
          <w:tcPr>
            <w:vAlign w:val="top"/>
            <w:tcMar>
              <w:top w:w="70" w:type="dxa"/>
              <w:start w:w="80" w:type="dxa"/>
              <w:bottom w:w="70" w:type="dxa"/>
              <w:end w:w="80" w:type="dxa"/>
            </w:tcMar>
            <w:shd w:fill="D9EAF7"/>
          </w:tcPr>
          <w:p>
            <w:pPr>
              <w:pStyle w:val="Compact"/>
              <w:jc w:val="left"/>
            </w:pPr>
            <w:r>
              <w:rPr>
                <w:rFonts w:ascii="Arial" w:hAnsi="Arial" w:eastAsia="Arial"/>
                <w:sz w:val="16"/>
              </w:rPr>
              <w:t>Sparse matrix encoding cross-cell ripple propagation</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KOPS</w:t>
            </w:r>
          </w:p>
        </w:tc>
        <w:tc>
          <w:tcPr>
            <w:vAlign w:val="top"/>
            <w:tcMar>
              <w:top w:w="70" w:type="dxa"/>
              <w:start w:w="80" w:type="dxa"/>
              <w:bottom w:w="70" w:type="dxa"/>
              <w:end w:w="80" w:type="dxa"/>
            </w:tcMar>
            <w:shd w:fill="FFFFFF"/>
          </w:tcPr>
          <w:p>
            <w:pPr>
              <w:pStyle w:val="Compact"/>
              <w:jc w:val="left"/>
            </w:pPr>
            <w:r>
              <w:rPr>
                <w:rFonts w:ascii="Arial" w:hAnsi="Arial" w:eastAsia="Arial"/>
                <w:sz w:val="16"/>
              </w:rPr>
              <w:t>Key Operational Pathways Set; the subset of kernel edges considered load-bearing and governed</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KQS (Kernel Quality Score)</w:t>
            </w:r>
          </w:p>
        </w:tc>
        <w:tc>
          <w:tcPr>
            <w:vAlign w:val="top"/>
            <w:tcMar>
              <w:top w:w="70" w:type="dxa"/>
              <w:start w:w="80" w:type="dxa"/>
              <w:bottom w:w="70" w:type="dxa"/>
              <w:end w:w="80" w:type="dxa"/>
            </w:tcMar>
            <w:shd w:fill="D9EAF7"/>
          </w:tcPr>
          <w:p>
            <w:pPr>
              <w:pStyle w:val="Compact"/>
              <w:jc w:val="left"/>
            </w:pPr>
            <w:r>
              <w:rPr>
                <w:rFonts w:ascii="Arial" w:hAnsi="Arial" w:eastAsia="Arial"/>
                <w:sz w:val="16"/>
              </w:rPr>
              <w:t>Summary score indicating whether kernel propagation is permitted</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Lexicographic cascade</w:t>
            </w:r>
          </w:p>
        </w:tc>
        <w:tc>
          <w:tcPr>
            <w:vAlign w:val="top"/>
            <w:tcMar>
              <w:top w:w="70" w:type="dxa"/>
              <w:start w:w="80" w:type="dxa"/>
              <w:bottom w:w="70" w:type="dxa"/>
              <w:end w:w="80" w:type="dxa"/>
            </w:tcMar>
            <w:shd w:fill="FFFFFF"/>
          </w:tcPr>
          <w:p>
            <w:pPr>
              <w:pStyle w:val="Compact"/>
              <w:jc w:val="left"/>
            </w:pPr>
            <w:r>
              <w:rPr>
                <w:rFonts w:ascii="Arial" w:hAnsi="Arial" w:eastAsia="Arial"/>
                <w:sz w:val="16"/>
              </w:rPr>
              <w:t>Priority-ordered gates where earlier failures cannot be compensated by later scoring</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MNA (Minimal Normative Axiom)</w:t>
            </w:r>
          </w:p>
        </w:tc>
        <w:tc>
          <w:tcPr>
            <w:vAlign w:val="top"/>
            <w:tcMar>
              <w:top w:w="70" w:type="dxa"/>
              <w:start w:w="80" w:type="dxa"/>
              <w:bottom w:w="70" w:type="dxa"/>
              <w:end w:w="80" w:type="dxa"/>
            </w:tcMar>
            <w:shd w:fill="D9EAF7"/>
          </w:tcPr>
          <w:p>
            <w:pPr>
              <w:pStyle w:val="Compact"/>
              <w:jc w:val="left"/>
            </w:pPr>
            <w:r>
              <w:rPr>
                <w:rFonts w:ascii="Arial" w:hAnsi="Arial" w:eastAsia="Arial"/>
                <w:sz w:val="16"/>
              </w:rPr>
              <w:t>Sentient welfare and flourishing matter; unnecessary suffering and domination should be reduced; enabling conditions for viable, non-dominated, and continuing flourishing should be preserved.</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Bridge Premise 1 (Embedded Modelling)</w:t>
            </w:r>
          </w:p>
        </w:tc>
        <w:tc>
          <w:tcPr>
            <w:vAlign w:val="top"/>
            <w:tcMar>
              <w:top w:w="70" w:type="dxa"/>
              <w:start w:w="80" w:type="dxa"/>
              <w:bottom w:w="70" w:type="dxa"/>
              <w:end w:w="80" w:type="dxa"/>
            </w:tcMar>
            <w:shd w:fill="FFFFFF"/>
          </w:tcPr>
          <w:p>
            <w:pPr>
              <w:pStyle w:val="Compact"/>
              <w:jc w:val="left"/>
            </w:pPr>
            <w:r>
              <w:rPr>
                <w:rFonts w:ascii="Arial" w:hAnsi="Arial" w:eastAsia="Arial"/>
                <w:sz w:val="16"/>
              </w:rPr>
              <w:t>Descriptive support premise stating that reliable action in shared causal reality requires non-trivial modelling of other stakeholders’ interests, constraints, vulnerabilities, dependence relations, rights exposure, and - where behavior, harm, cooperation, or rights protection depend on them - welfare-relevant states and enabling conditions.</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Bridge Premise 2 (Prudential Stability)</w:t>
            </w:r>
          </w:p>
        </w:tc>
        <w:tc>
          <w:tcPr>
            <w:vAlign w:val="top"/>
            <w:tcMar>
              <w:top w:w="70" w:type="dxa"/>
              <w:start w:w="80" w:type="dxa"/>
              <w:bottom w:w="70" w:type="dxa"/>
              <w:end w:w="80" w:type="dxa"/>
            </w:tcMar>
            <w:shd w:fill="D9EAF7"/>
          </w:tcPr>
          <w:p>
            <w:pPr>
              <w:pStyle w:val="Compact"/>
              <w:jc w:val="left"/>
            </w:pPr>
            <w:r>
              <w:rPr>
                <w:rFonts w:ascii="Arial" w:hAnsi="Arial" w:eastAsia="Arial"/>
                <w:sz w:val="16"/>
              </w:rPr>
              <w:t>Support premise stating that systematic degradation of stakeholders’ welfare conditions, rights floors, or enabling conditions increases instability, conflict, tail risk, and long-run governance failure in plural uncertain systems</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Enabling condition</w:t>
            </w:r>
          </w:p>
        </w:tc>
        <w:tc>
          <w:tcPr>
            <w:vAlign w:val="top"/>
            <w:tcMar>
              <w:top w:w="70" w:type="dxa"/>
              <w:start w:w="80" w:type="dxa"/>
              <w:bottom w:w="70" w:type="dxa"/>
              <w:end w:w="80" w:type="dxa"/>
            </w:tcMar>
            <w:shd w:fill="FFFFFF"/>
          </w:tcPr>
          <w:p>
            <w:pPr>
              <w:pStyle w:val="Compact"/>
              <w:jc w:val="left"/>
            </w:pPr>
            <w:r>
              <w:rPr>
                <w:rFonts w:ascii="Arial" w:hAnsi="Arial" w:eastAsia="Arial"/>
                <w:sz w:val="16"/>
              </w:rPr>
              <w:t>A material, informational, institutional, ecological, or agency-preserving condition whose sustained absence or degradation predictably undermines viable, non-dominated, and continuing flourishing across one or more unions.</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Normative Commitment</w:t>
            </w:r>
          </w:p>
        </w:tc>
        <w:tc>
          <w:tcPr>
            <w:vAlign w:val="top"/>
            <w:tcMar>
              <w:top w:w="70" w:type="dxa"/>
              <w:start w:w="80" w:type="dxa"/>
              <w:bottom w:w="70" w:type="dxa"/>
              <w:end w:w="80" w:type="dxa"/>
            </w:tcMar>
            <w:shd w:fill="D9EAF7"/>
          </w:tcPr>
          <w:p>
            <w:pPr>
              <w:pStyle w:val="Compact"/>
              <w:jc w:val="left"/>
            </w:pPr>
            <w:r>
              <w:rPr>
                <w:rFonts w:ascii="Arial" w:hAnsi="Arial" w:eastAsia="Arial"/>
                <w:sz w:val="16"/>
              </w:rPr>
              <w:t>RippleLogic commitment that credibly evidenced welfare-relevant states, rights-relevant states, and the enabling conditions on which they depend constitute reasons for action, not merely inputs for prediction</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Rights-relevant state</w:t>
            </w:r>
          </w:p>
        </w:tc>
        <w:tc>
          <w:tcPr>
            <w:vAlign w:val="top"/>
            <w:tcMar>
              <w:top w:w="70" w:type="dxa"/>
              <w:start w:w="80" w:type="dxa"/>
              <w:bottom w:w="70" w:type="dxa"/>
              <w:end w:w="80" w:type="dxa"/>
            </w:tcMar>
            <w:shd w:fill="FFFFFF"/>
          </w:tcPr>
          <w:p>
            <w:pPr>
              <w:pStyle w:val="Compact"/>
              <w:jc w:val="left"/>
            </w:pPr>
            <w:r>
              <w:rPr>
                <w:rFonts w:ascii="Arial" w:hAnsi="Arial" w:eastAsia="Arial"/>
                <w:sz w:val="16"/>
              </w:rPr>
              <w:t>A credibly evidenced condition whose degradation threatens or crosses a non-compensatory minimum protected by RippleLogic’s rights layer, including life, bodily integrity, liberty, basic needs, dignity, due process, information integrity, and ecological enabling conditions.</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Welfare-relevant state</w:t>
            </w:r>
          </w:p>
        </w:tc>
        <w:tc>
          <w:tcPr>
            <w:vAlign w:val="top"/>
            <w:tcMar>
              <w:top w:w="70" w:type="dxa"/>
              <w:start w:w="80" w:type="dxa"/>
              <w:bottom w:w="70" w:type="dxa"/>
              <w:end w:w="80" w:type="dxa"/>
            </w:tcMar>
            <w:shd w:fill="D9EAF7"/>
          </w:tcPr>
          <w:p>
            <w:pPr>
              <w:pStyle w:val="Compact"/>
              <w:jc w:val="left"/>
            </w:pPr>
            <w:r>
              <w:rPr>
                <w:rFonts w:ascii="Arial" w:hAnsi="Arial" w:eastAsia="Arial"/>
                <w:sz w:val="16"/>
              </w:rPr>
              <w:t>A credibly evidenced condition of a moral patient that can go better or worse for that patient, including states relevant to suffering, integrity, agency, and flourishing</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NCAR</w:t>
            </w:r>
          </w:p>
        </w:tc>
        <w:tc>
          <w:tcPr>
            <w:vAlign w:val="top"/>
            <w:tcMar>
              <w:top w:w="70" w:type="dxa"/>
              <w:start w:w="80" w:type="dxa"/>
              <w:bottom w:w="70" w:type="dxa"/>
              <w:end w:w="80" w:type="dxa"/>
            </w:tcMar>
            <w:shd w:fill="FFFFFF"/>
          </w:tcPr>
          <w:p>
            <w:pPr>
              <w:pStyle w:val="Compact"/>
              <w:jc w:val="left"/>
            </w:pPr>
            <w:r>
              <w:rPr>
                <w:rFonts w:ascii="Arial" w:hAnsi="Arial" w:eastAsia="Arial"/>
                <w:sz w:val="16"/>
              </w:rPr>
              <w:t>Notice-Choose-Act-Reflect learning loop</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NCRC</w:t>
            </w:r>
          </w:p>
        </w:tc>
        <w:tc>
          <w:tcPr>
            <w:vAlign w:val="top"/>
            <w:tcMar>
              <w:top w:w="70" w:type="dxa"/>
              <w:start w:w="80" w:type="dxa"/>
              <w:bottom w:w="70" w:type="dxa"/>
              <w:end w:w="80" w:type="dxa"/>
            </w:tcMar>
            <w:shd w:fill="D9EAF7"/>
          </w:tcPr>
          <w:p>
            <w:pPr>
              <w:pStyle w:val="Compact"/>
              <w:jc w:val="left"/>
            </w:pPr>
            <w:r>
              <w:rPr>
                <w:rFonts w:ascii="Arial" w:hAnsi="Arial" w:eastAsia="Arial"/>
                <w:sz w:val="16"/>
              </w:rPr>
              <w:t>Non-Compensatory Rights Constraint; excludes rights-violating options</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Non-maskable cells</w:t>
            </w:r>
          </w:p>
        </w:tc>
        <w:tc>
          <w:tcPr>
            <w:vAlign w:val="top"/>
            <w:tcMar>
              <w:top w:w="70" w:type="dxa"/>
              <w:start w:w="80" w:type="dxa"/>
              <w:bottom w:w="70" w:type="dxa"/>
              <w:end w:w="80" w:type="dxa"/>
            </w:tcMar>
            <w:shd w:fill="FFFFFF"/>
          </w:tcPr>
          <w:p>
            <w:pPr>
              <w:pStyle w:val="Compact"/>
              <w:jc w:val="left"/>
            </w:pPr>
            <w:r>
              <w:rPr>
                <w:rFonts w:ascii="Arial" w:hAnsi="Arial" w:eastAsia="Arial"/>
                <w:sz w:val="16"/>
              </w:rPr>
              <w:t>Rights and catastrophe cells (and minimum coverage) that cannot be excluded from RLS aggregation</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PCC</w:t>
            </w:r>
          </w:p>
        </w:tc>
        <w:tc>
          <w:tcPr>
            <w:vAlign w:val="top"/>
            <w:tcMar>
              <w:top w:w="70" w:type="dxa"/>
              <w:start w:w="80" w:type="dxa"/>
              <w:bottom w:w="70" w:type="dxa"/>
              <w:end w:w="80" w:type="dxa"/>
            </w:tcMar>
            <w:shd w:fill="D9EAF7"/>
          </w:tcPr>
          <w:p>
            <w:pPr>
              <w:pStyle w:val="Compact"/>
              <w:jc w:val="left"/>
            </w:pPr>
            <w:r>
              <w:rPr>
                <w:rFonts w:ascii="Arial" w:hAnsi="Arial" w:eastAsia="Arial"/>
                <w:sz w:val="16"/>
              </w:rPr>
              <w:t>Provenance and Compliance Certificate; auditable record of inputs, computations, and selection</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RLS</w:t>
            </w:r>
          </w:p>
        </w:tc>
        <w:tc>
          <w:tcPr>
            <w:vAlign w:val="top"/>
            <w:tcMar>
              <w:top w:w="70" w:type="dxa"/>
              <w:start w:w="80" w:type="dxa"/>
              <w:bottom w:w="70" w:type="dxa"/>
              <w:end w:w="80" w:type="dxa"/>
            </w:tcMar>
            <w:shd w:fill="FFFFFF"/>
          </w:tcPr>
          <w:p>
            <w:pPr>
              <w:pStyle w:val="Compact"/>
              <w:jc w:val="left"/>
            </w:pPr>
            <w:r>
              <w:rPr>
                <w:rFonts w:ascii="Arial" w:hAnsi="Arial" w:eastAsia="Arial"/>
                <w:sz w:val="16"/>
              </w:rPr>
              <w:t>RippleLogic Score; weighted welfare aggregation used to rank selectable options</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Selectable</w:t>
            </w:r>
          </w:p>
        </w:tc>
        <w:tc>
          <w:tcPr>
            <w:vAlign w:val="top"/>
            <w:tcMar>
              <w:top w:w="70" w:type="dxa"/>
              <w:start w:w="80" w:type="dxa"/>
              <w:bottom w:w="70" w:type="dxa"/>
              <w:end w:w="80" w:type="dxa"/>
            </w:tcMar>
            <w:shd w:fill="D9EAF7"/>
          </w:tcPr>
          <w:p>
            <w:pPr>
              <w:pStyle w:val="Compact"/>
              <w:jc w:val="left"/>
            </w:pPr>
            <w:r>
              <w:rPr>
                <w:rFonts w:ascii="Arial" w:hAnsi="Arial" w:eastAsia="Arial"/>
                <w:sz w:val="16"/>
              </w:rPr>
              <w:t>Admissible option that also passes containment (Mode A)</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SGP</w:t>
            </w:r>
          </w:p>
        </w:tc>
        <w:tc>
          <w:tcPr>
            <w:vAlign w:val="top"/>
            <w:tcMar>
              <w:top w:w="70" w:type="dxa"/>
              <w:start w:w="80" w:type="dxa"/>
              <w:bottom w:w="70" w:type="dxa"/>
              <w:end w:w="80" w:type="dxa"/>
            </w:tcMar>
            <w:shd w:fill="FFFFFF"/>
          </w:tcPr>
          <w:p>
            <w:pPr>
              <w:pStyle w:val="Compact"/>
              <w:jc w:val="left"/>
            </w:pPr>
            <w:r>
              <w:rPr>
                <w:rFonts w:ascii="Arial" w:hAnsi="Arial" w:eastAsia="Arial"/>
                <w:sz w:val="16"/>
              </w:rPr>
              <w:t>Sentience Gradient Protocol; interface for rights-of-protection gating across entities</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TRC</w:t>
            </w:r>
          </w:p>
        </w:tc>
        <w:tc>
          <w:tcPr>
            <w:vAlign w:val="top"/>
            <w:tcMar>
              <w:top w:w="70" w:type="dxa"/>
              <w:start w:w="80" w:type="dxa"/>
              <w:bottom w:w="70" w:type="dxa"/>
              <w:end w:w="80" w:type="dxa"/>
            </w:tcMar>
            <w:shd w:fill="D9EAF7"/>
          </w:tcPr>
          <w:p>
            <w:pPr>
              <w:pStyle w:val="Compact"/>
              <w:jc w:val="left"/>
            </w:pPr>
            <w:r>
              <w:rPr>
                <w:rFonts w:ascii="Arial" w:hAnsi="Arial" w:eastAsia="Arial"/>
                <w:sz w:val="16"/>
              </w:rPr>
              <w:t>Tail-Risk Constraint; excludes options with unacceptable catastrophic exposure using CVaR</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UCI</w:t>
            </w:r>
          </w:p>
        </w:tc>
        <w:tc>
          <w:tcPr>
            <w:vAlign w:val="top"/>
            <w:tcMar>
              <w:top w:w="70" w:type="dxa"/>
              <w:start w:w="80" w:type="dxa"/>
              <w:bottom w:w="70" w:type="dxa"/>
              <w:end w:w="80" w:type="dxa"/>
            </w:tcMar>
            <w:shd w:fill="FFFFFF"/>
          </w:tcPr>
          <w:p>
            <w:pPr>
              <w:pStyle w:val="Compact"/>
              <w:jc w:val="left"/>
            </w:pPr>
            <w:r>
              <w:rPr>
                <w:rFonts w:ascii="Arial" w:hAnsi="Arial" w:eastAsia="Arial"/>
                <w:sz w:val="16"/>
              </w:rPr>
              <w:t>Union Coherence Index; structural health metric for unions</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UBE</w:t>
            </w:r>
          </w:p>
        </w:tc>
        <w:tc>
          <w:tcPr>
            <w:vAlign w:val="top"/>
            <w:tcMar>
              <w:top w:w="70" w:type="dxa"/>
              <w:start w:w="80" w:type="dxa"/>
              <w:bottom w:w="70" w:type="dxa"/>
              <w:end w:w="80" w:type="dxa"/>
            </w:tcMar>
            <w:shd w:fill="D9EAF7"/>
          </w:tcPr>
          <w:p>
            <w:pPr>
              <w:pStyle w:val="Compact"/>
              <w:jc w:val="left"/>
            </w:pPr>
            <w:r>
              <w:rPr>
                <w:rFonts w:ascii="Arial" w:hAnsi="Arial" w:eastAsia="Arial"/>
                <w:sz w:val="16"/>
              </w:rPr>
              <w:t>Union-Based Ethics; normative framework built on UBR, the MNA, bridge premises, and the explicit normative commitment</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UBR</w:t>
            </w:r>
          </w:p>
        </w:tc>
        <w:tc>
          <w:tcPr>
            <w:vAlign w:val="top"/>
            <w:tcMar>
              <w:top w:w="70" w:type="dxa"/>
              <w:start w:w="80" w:type="dxa"/>
              <w:bottom w:w="70" w:type="dxa"/>
              <w:end w:w="80" w:type="dxa"/>
            </w:tcMar>
            <w:shd w:fill="FFFFFF"/>
          </w:tcPr>
          <w:p>
            <w:pPr>
              <w:pStyle w:val="Compact"/>
              <w:jc w:val="left"/>
            </w:pPr>
            <w:r>
              <w:rPr>
                <w:rFonts w:ascii="Arial" w:hAnsi="Arial" w:eastAsia="Arial"/>
                <w:sz w:val="16"/>
              </w:rPr>
              <w:t>Union-Based Reality; descriptive ontology of nested interdependent unions</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Union</w:t>
            </w:r>
          </w:p>
        </w:tc>
        <w:tc>
          <w:tcPr>
            <w:vAlign w:val="top"/>
            <w:tcMar>
              <w:top w:w="70" w:type="dxa"/>
              <w:start w:w="80" w:type="dxa"/>
              <w:bottom w:w="70" w:type="dxa"/>
              <w:end w:w="80" w:type="dxa"/>
            </w:tcMar>
            <w:shd w:fill="D9EAF7"/>
          </w:tcPr>
          <w:p>
            <w:pPr>
              <w:pStyle w:val="Compact"/>
              <w:jc w:val="left"/>
            </w:pPr>
            <w:r>
              <w:rPr>
                <w:rFonts w:ascii="Arial" w:hAnsi="Arial" w:eastAsia="Arial"/>
                <w:sz w:val="16"/>
              </w:rPr>
              <w:t>A bounded pattern of interdependence at an organizational scale</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Unioning</w:t>
            </w:r>
          </w:p>
        </w:tc>
        <w:tc>
          <w:tcPr>
            <w:vAlign w:val="top"/>
            <w:tcMar>
              <w:top w:w="70" w:type="dxa"/>
              <w:start w:w="80" w:type="dxa"/>
              <w:bottom w:w="70" w:type="dxa"/>
              <w:end w:w="80" w:type="dxa"/>
            </w:tcMar>
            <w:shd w:fill="FFFFFF"/>
          </w:tcPr>
          <w:p>
            <w:pPr>
              <w:pStyle w:val="Compact"/>
              <w:jc w:val="left"/>
            </w:pPr>
            <w:r>
              <w:rPr>
                <w:rFonts w:ascii="Arial" w:hAnsi="Arial" w:eastAsia="Arial"/>
                <w:sz w:val="16"/>
              </w:rPr>
              <w:t>Redesigning decisions until rights-safe, tail-safe, containment-safe, and net-positive where possible</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Normative Input Register</w:t>
            </w:r>
          </w:p>
        </w:tc>
        <w:tc>
          <w:tcPr>
            <w:vAlign w:val="top"/>
            <w:tcMar>
              <w:top w:w="70" w:type="dxa"/>
              <w:start w:w="80" w:type="dxa"/>
              <w:bottom w:w="70" w:type="dxa"/>
              <w:end w:w="80" w:type="dxa"/>
            </w:tcMar>
            <w:shd w:fill="D9EAF7"/>
          </w:tcPr>
          <w:p>
            <w:pPr>
              <w:pStyle w:val="Compact"/>
              <w:jc w:val="left"/>
            </w:pPr>
            <w:r>
              <w:rPr>
                <w:rFonts w:ascii="Arial" w:hAnsi="Arial" w:eastAsia="Arial"/>
                <w:sz w:val="16"/>
              </w:rPr>
              <w:t>The PCC block used to record welfare-relevant states, rights-relevant states, and enabling conditions that materially affect admissibility, precautionary handling, selection, or tie-break outcome when not already fully captured by direct impact-instance tables or canonical rule objects.</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NORMATIVE_INPUT_PROVENANCE_MISSING</w:t>
            </w:r>
          </w:p>
        </w:tc>
        <w:tc>
          <w:tcPr>
            <w:vAlign w:val="top"/>
            <w:tcMar>
              <w:top w:w="70" w:type="dxa"/>
              <w:start w:w="80" w:type="dxa"/>
              <w:bottom w:w="70" w:type="dxa"/>
              <w:end w:w="80" w:type="dxa"/>
            </w:tcMar>
            <w:shd w:fill="FFFFFF"/>
          </w:tcPr>
          <w:p>
            <w:pPr>
              <w:pStyle w:val="Compact"/>
              <w:jc w:val="left"/>
            </w:pPr>
            <w:r>
              <w:rPr>
                <w:rFonts w:ascii="Arial" w:hAnsi="Arial" w:eastAsia="Arial"/>
                <w:sz w:val="16"/>
              </w:rPr>
              <w:t>Audit flag indicating that a material welfare-relevant state, rights-relevant state, or enabling condition lacks required provenance in the PCC. Severity: INVALID.</w:t>
            </w:r>
          </w:p>
        </w:tc>
      </w:tr>
    </w:tbl>
    <w:p>
      <w:pPr>
        <w:pStyle w:val="BodyText"/>
      </w:pPr>
      <w:r>
        <w:t>Adaptive Reserve: A carried-forward v10.8 structural diagnostic for slack, redundancy, recovery capacity, reversibility, and saturation risk. It is a UCI/HOI-compatible diagnostic and containment-support signal, not a sixth gate.</w:t>
      </w:r>
    </w:p>
    <w:p>
      <w:pPr>
        <w:pStyle w:val="BodyText"/>
      </w:pPr>
      <w:r>
        <w:t>COMPUTABLE_BUT_INADMISSIBLE: An audit state for a value that can be computed but cannot be used as a valid decision state, conformance basis, public claim, or authorization basis because another domain rule bars that use. This is distinct from UNKNOWN_IMPACT (missing evidence) and refusal (undetermined or insufficiently grounded decision state).</w:t>
      </w:r>
    </w:p>
    <w:p>
      <w:pPr>
        <w:pStyle w:val="BodyText"/>
      </w:pPr>
      <w:r>
        <w:t>Reality: For decision-making, the evaluator-independent field of constrained structures that, under transition, produce consequences. RippleLogic names this operationally and does not claim complete metaphysical access to it. Evaluator-independent means independent of the evaluating agent's perception, admission, authority, model, or preference; it does not deny the reality of experience, social facts, institutions, norms, markets, laws, reputations, or model outputs when they shape welfare, rights, risk, agency, or available choices.</w:t>
      </w:r>
    </w:p>
    <w:p>
      <w:pPr>
        <w:pStyle w:val="BodyText"/>
      </w:pPr>
      <w:r>
        <w:t>Decision-relevant reality: The portion of reality that materially bears on a decision’s rights exposure, catastrophic risk, containment, welfare, legitimacy, agency, auditability, or available choices.</w:t>
      </w:r>
    </w:p>
    <w:p>
      <w:pPr>
        <w:pStyle w:val="BodyText"/>
      </w:pPr>
      <w:r>
        <w:t>Reality surface: The portion of decision-relevant reality actually captured, represented, and modeled in a run. A reality surface is always incomplete relative to the territory and must disclose material unknowns.</w:t>
      </w:r>
    </w:p>
    <w:p>
      <w:pPr>
        <w:pStyle w:val="BodyText"/>
      </w:pPr>
      <w:r>
        <w:t>RealityGroundingRecord (RCR): The PCC-linked audit record documenting the reality surface, material claims, evidence trace, declared unknowns, RealityGroundingStatus, surface/territory limits, and revision triggers for a run.</w:t>
      </w:r>
    </w:p>
    <w:p>
      <w:pPr>
        <w:pStyle w:val="BodyText"/>
      </w:pPr>
      <w:r>
        <w:t>RealityGroundingStatus: The declared status of contact between a material claim and the relevant reality surface; it is review-status-declared at Tier 2, governed by the declared reviewer regime at Tier 3, and independently re-derivable at Tier 4.</w:t>
      </w:r>
    </w:p>
    <w:p>
      <w:pPr>
        <w:pStyle w:val="BodyText"/>
      </w:pPr>
      <w:r>
        <w:t>Structure: A stable relational arrangement of distinguishable differences that persists across a decision-relevant transition window and can carry causal, informational, biological, ecological, social, institutional, artificial-system, or experiential significance.</w:t>
      </w:r>
    </w:p>
    <w:p>
      <w:pPr>
        <w:pStyle w:val="BodyText"/>
      </w:pPr>
      <w:r>
        <w:t>Transition: A decision-relevant action, event, intervention, policy, or state-shift through which constrained structure produces consequence.</w:t>
      </w:r>
    </w:p>
    <w:p>
      <w:pPr>
        <w:pStyle w:val="BodyText"/>
      </w:pPr>
      <w:r>
        <w:t>Consequence: Observable or inferable change following an action, transition, decision, event, or policy within constrained structure; may be direct, probabilistic, systemic, delayed, distributed, moral, ecological, institutional, reversible, irreversible, or catastrophic.</w:t>
      </w:r>
    </w:p>
    <w:p>
      <w:pPr>
        <w:pStyle w:val="BodyText"/>
      </w:pPr>
      <w:r>
        <w:t>Ethical reality: The subset of reality where structures, constraints, and consequences affect welfare-bearing beings and the conditions of flourishing, including welfare, rights, sentience, agency, dignity, non-domination, catastrophic risk, ecological dependence, future generations, and flourishing.</w:t>
      </w:r>
    </w:p>
    <w:p>
      <w:pPr>
        <w:pStyle w:val="BodyText"/>
      </w:pPr>
      <w:r>
        <w:t>Claim boundary: The maximum legitimate strength of a decision claim given the declared reality surface, evidence trace, uncertainty, maturity status, and review regime.</w:t>
      </w:r>
    </w:p>
    <w:p>
      <w:pPr>
        <w:pStyle w:val="BodyText"/>
      </w:pPr>
      <w:r>
        <w:t>End Appendix L.</w:t>
      </w:r>
    </w:p>
    <w:bookmarkEnd w:id="441"/>
    <w:bookmarkStart w:id="466" w:name="X01fb7cf03fc13e9e8a52683c1011543f68abfd4"/>
    <w:p>
      <w:pPr>
        <w:pStyle w:val="Heading1"/>
      </w:pPr>
      <w:r>
        <w:t>APPENDIX M: LINEAGE AND VERSION HISTORY (v12.2 CURRENT LINE; v10.8-v12.1 LINEAGE RETAINED) - INFORMATIVE</w:t>
      </w:r>
    </w:p>
    <w:bookmarkStart w:id="442" w:name="m0-purpose-and-scope-informative"/>
    <w:p>
      <w:pPr>
        <w:pStyle w:val="Heading2"/>
      </w:pPr>
      <w:r>
        <w:t>M.0 Purpose and Scope (Informative)</w:t>
      </w:r>
    </w:p>
    <w:p>
      <w:pPr>
        <w:pStyle w:val="FirstParagraph"/>
      </w:pPr>
      <w:r>
        <w:t>This appendix records naming lineage, companion-map posture, concise version history, and release-gate checklist notes for the current RippleLogic line. It is not normative. Normative meaning is controlled by Section 0 (Specification Contract) and the precedence order in Section 0.1.</w:t>
      </w:r>
    </w:p>
    <w:bookmarkEnd w:id="442"/>
    <w:bookmarkStart w:id="443" w:name="m1-naming-and-lineage-informative"/>
    <w:p>
      <w:pPr>
        <w:pStyle w:val="Heading2"/>
      </w:pPr>
      <w:r>
        <w:t>M.1 Naming and Lineage (Informative)</w:t>
      </w:r>
    </w:p>
    <w:p>
      <w:pPr>
        <w:pStyle w:val="FirstParagraph"/>
      </w:pPr>
      <w:r>
        <w:t>MathGov is the umbrella ethical governance framework. RippleLogic is the decision architecture and operating methodology inside MathGov. Earlier materials may preserve historical lineage labels, prior PCC labels, or affiliated publication labels, but current v12.3 release materials MUST NOT treat MathGov as merely historical or as superseded by RippleLogic.</w:t>
      </w:r>
    </w:p>
    <w:bookmarkEnd w:id="443"/>
    <w:bookmarkStart w:id="444" w:name="Xcc5239d0b91cf2e7b94eabc76f3a76c2f1c6200"/>
    <w:p>
      <w:pPr>
        <w:pStyle w:val="Heading2"/>
      </w:pPr>
      <w:r>
        <w:t>M.2 Backward Compatibility and Compliance Note (Informative)</w:t>
      </w:r>
    </w:p>
    <w:p>
      <w:pPr>
        <w:pStyle w:val="FirstParagraph"/>
      </w:pPr>
      <w:r>
        <w:t>Prior PCCs computed under earlier lines remain interpretable as lineage artifacts. Their normative parameters were valid at the time of execution and need not be recomputed unless the underlying decision is being revisited under the current line. Any run claiming current-line v12.3 conformance MUST satisfy the v12.3 canonical requirements and use the v12.3 Canon artifact as the current release-line source of truth.</w:t>
      </w:r>
    </w:p>
    <w:bookmarkEnd w:id="444"/>
    <w:bookmarkStart w:id="445" w:name="Xc6be548ad395d4e1d29f4b86ff85480a0f79b0d"/>
    <w:p>
      <w:pPr>
        <w:pStyle w:val="Heading2"/>
      </w:pPr>
      <w:r>
        <w:t>M.3 Canon Map and Companion Artifacts (Informative)</w:t>
      </w:r>
    </w:p>
    <w:p>
      <w:pPr>
        <w:pStyle w:val="FirstParagraph"/>
      </w:pPr>
      <w:r>
        <w:t>RippleLogic Canon v12.3.1: governing artifact for the current canonical release line.</w:t>
      </w:r>
    </w:p>
    <w:p>
      <w:pPr>
        <w:pStyle w:val="BodyText"/>
      </w:pPr>
      <w:r>
        <w:t>SGP v8.2.1 (Sentience Gradient Protocol): the moral-patienthood, protection, participation, power-readiness, intelligence-evidence, and reality-management-capacity companion pinned by Appendix G. It governs MPS, FPP, GPR, SPR, optional ICP, RMCP, open P100 calibration, target and identity boundaries, evidence dependence, precaution, review, and classification-stability rules. RippleLogic consumes only the typed SGP outputs through the Appendix G interface.</w:t>
      </w:r>
    </w:p>
    <w:p>
      <w:pPr>
        <w:pStyle w:val="BodyText"/>
      </w:pPr>
      <w:r>
        <w:t>RippleLogic Agent System v12.1: operational agent controls and verification obligations aligned to the current RippleLogic line.</w:t>
      </w:r>
    </w:p>
    <w:p>
      <w:pPr>
        <w:pStyle w:val="BodyText"/>
      </w:pPr>
      <w:r>
        <w:t>ripple.md Standard v5.0: current assurance-wrapper companion for deployment interoperability.</w:t>
      </w:r>
    </w:p>
    <w:p>
      <w:pPr>
        <w:pStyle w:val="BodyText"/>
      </w:pPr>
      <w:r>
        <w:t>Ripple Aligners Sheet v5.3: Tier-2 worked-run and local-scope tool pinned to the current RippleLogic line and SGP v8.2.1. The workbook remains a disclosure and training companion rather than the repository-level validator or schema surface.</w:t>
      </w:r>
    </w:p>
    <w:p>
      <w:pPr>
        <w:pStyle w:val="BodyText"/>
      </w:pPr>
      <w:r>
        <w:t>Canonical distribution channels may include ripplelogic.org and mathgov.org. Artifact identity is filename + version + SHA-256 in the release manifest.</w:t>
      </w:r>
    </w:p>
    <w:bookmarkEnd w:id="445"/>
    <w:bookmarkStart w:id="453" w:name="m4-version-history-informative"/>
    <w:p>
      <w:pPr>
        <w:pStyle w:val="Heading2"/>
      </w:pPr>
      <w:r>
        <w:t>M.4 Version History (Informative)</w:t>
      </w:r>
    </w:p>
    <w:p>
      <w:pPr>
        <w:pStyle w:val="FirstParagraph"/>
      </w:pPr>
      <w:r>
        <w:t>Normative effect: Version-history entries are lineage records. They do not override the current normative body, current appendices, release manifest, or source hierarchy.</w:t>
      </w:r>
    </w:p>
    <w:bookmarkStart w:id="446" w:name="X2641ca96c5586ed222a107ccddabbd5631cc1cd"/>
    <w:p>
      <w:pPr>
        <w:pStyle w:val="Heading3"/>
      </w:pPr>
      <w:r>
        <w:t>M.4.1 RippleLogic v12.3.1 (2026-07-13) - SGP v8.2.1 Reality-Management Calibration Integration Release</w:t>
      </w:r>
    </w:p>
    <w:p>
      <w:pPr>
        <w:pStyle w:val="FirstParagraph"/>
      </w:pPr>
      <w:r>
        <w:rPr>
          <w:b/>
          <w:bCs/>
        </w:rPr>
        <w:t>Status:</w:t>
      </w:r>
      <w:r>
        <w:t xml:space="preserve"> </w:t>
      </w:r>
      <w:r>
        <w:t>Current canonical release.</w:t>
      </w:r>
    </w:p>
    <w:p>
      <w:pPr>
        <w:pStyle w:val="BodyText"/>
      </w:pPr>
      <w:r>
        <w:rPr>
          <w:b/>
          <w:bCs/>
        </w:rPr>
        <w:t>Supersedes:</w:t>
      </w:r>
      <w:r>
        <w:t xml:space="preserve"> </w:t>
      </w:r>
      <w:r>
        <w:t>RippleLogic v12.1 while preserving the five-stage cascade and every v12.1 rights, ruin, RLS-normalization, uncertainty, and physical-admissibility safeguard.</w:t>
      </w:r>
    </w:p>
    <w:p>
      <w:pPr>
        <w:pStyle w:val="BodyText"/>
      </w:pPr>
      <w:r>
        <w:rPr>
          <w:b/>
          <w:bCs/>
        </w:rPr>
        <w:t>Release character: Integrates SGP v8.2.1 type-separated MPS/FPP/GPR/SPR/ICP/RMCP/P100 outputs; replaces direct MPS cardinalization with preregistered welfare-inclusion hypothesis sensitivity; requires tier-proportional CSV before ordinary RLS; preserves rights and Tail Emergency hardening; corrects current examples and conformance vectors; and synchronizes the Aligners Sheet v5.3, compact standards, validation protocols, public introductions, manifests, and verification gates.</w:t>
      </w:r>
      <w:r/>
      <w:r/>
    </w:p>
    <w:p>
      <w:pPr>
        <w:pStyle w:val="BodyText"/>
      </w:pPr>
      <w:r>
        <w:rPr>
          <w:b/>
          <w:bCs/>
        </w:rPr>
        <w:t>Claim boundary:</w:t>
      </w:r>
      <w:r>
        <w:t xml:space="preserve"> </w:t>
      </w:r>
      <w:r>
        <w:t>Tier 1-3 source/specification release, not empirical validation, legal authority, deployment certification, ProofPack, Tier 4 readiness, a reference calculator, or automated moral truth.</w:t>
      </w:r>
    </w:p>
    <w:bookmarkEnd w:id="446"/>
    <w:bookmarkStart w:id="447" w:name="X3dec8ca019354695241fea013676329e288500b"/>
    <w:p>
      <w:pPr>
        <w:pStyle w:val="Heading3"/>
      </w:pPr>
      <w:r>
        <w:t>M.4.2 RippleLogic v12.1 (2026-07-11) — Rights and Ruin Hardening Release</w:t>
      </w:r>
    </w:p>
    <w:p>
      <w:pPr>
        <w:pStyle w:val="FirstParagraph"/>
      </w:pPr>
      <w:r>
        <w:rPr>
          <w:b/>
          <w:bCs/>
        </w:rPr>
        <w:t>Status:</w:t>
      </w:r>
      <w:r>
        <w:t xml:space="preserve"> </w:t>
      </w:r>
      <w:r>
        <w:t>Historical canonical release; superseded by v12.2.</w:t>
      </w:r>
    </w:p>
    <w:p>
      <w:pPr>
        <w:pStyle w:val="BodyText"/>
      </w:pPr>
      <w:r>
        <w:rPr>
          <w:b/>
          <w:bCs/>
        </w:rPr>
        <w:t>Release character:</w:t>
      </w:r>
      <w:r>
        <w:t xml:space="preserve"> </w:t>
      </w:r>
      <w:r>
        <w:t>Added rights-specific non-attenuation, categorical-prohibition and severe-rights-hazard channels; replaced automatic all-options-fail-TRC selection with governed Tail Emergency Mode; normalized RLS and PLSS by active effective mass; and made Method B uncertainty depend on pre-cancellation contribution mass.</w:t>
      </w:r>
    </w:p>
    <w:bookmarkEnd w:id="447"/>
    <w:bookmarkStart w:id="448" w:name="X2c0069ed1ac53d772c7faca36208439c832c372"/>
    <w:p>
      <w:pPr>
        <w:pStyle w:val="Heading3"/>
      </w:pPr>
      <w:r>
        <w:t>M.4.3 RippleLogic v12.0 (2026-06-19) — Physical Admissibility Release</w:t>
      </w:r>
    </w:p>
    <w:p>
      <w:pPr>
        <w:pStyle w:val="FirstParagraph"/>
      </w:pPr>
      <w:r>
        <w:rPr>
          <w:b/>
          <w:bCs/>
        </w:rPr>
        <w:t>Status:</w:t>
      </w:r>
      <w:r>
        <w:t xml:space="preserve"> </w:t>
      </w:r>
      <w:r>
        <w:t>Historical canonical release; superseded by v12.1.</w:t>
      </w:r>
    </w:p>
    <w:p>
      <w:pPr>
        <w:pStyle w:val="BodyText"/>
      </w:pPr>
      <w:r>
        <w:rPr>
          <w:b/>
          <w:bCs/>
        </w:rPr>
        <w:t>Release character:</w:t>
      </w:r>
      <w:r>
        <w:t xml:space="preserve"> </w:t>
      </w:r>
      <w:r>
        <w:t>Established the physical-execution boundary, integrated PC-AEP, Source-Coupling Integrity and MFDI inside RG/CSV, and introduced the public two-phase qualification-before-ranking teaching frame without adding a sixth gate.</w:t>
      </w:r>
    </w:p>
    <w:bookmarkEnd w:id="448"/>
    <w:bookmarkStart w:id="449" w:name="X6a37bd11178921e926bb6976d8b0e638b2fbca4"/>
    <w:p>
      <w:pPr>
        <w:pStyle w:val="Heading3"/>
      </w:pPr>
      <w:r>
        <w:t>M.4.4 RippleLogic v11.x (2026-06) — Structural and Methodological Integrity Lineage</w:t>
      </w:r>
    </w:p>
    <w:p>
      <w:pPr>
        <w:pStyle w:val="FirstParagraph"/>
      </w:pPr>
      <w:r>
        <w:rPr>
          <w:b/>
          <w:bCs/>
        </w:rPr>
        <w:t>Status:</w:t>
      </w:r>
      <w:r>
        <w:t xml:space="preserve"> </w:t>
      </w:r>
      <w:r>
        <w:t>Historical consolidated lineage for v11.0 through v11.6.</w:t>
      </w:r>
    </w:p>
    <w:p>
      <w:pPr>
        <w:pStyle w:val="BodyText"/>
      </w:pPr>
      <w:r>
        <w:rPr>
          <w:b/>
          <w:bCs/>
        </w:rPr>
        <w:t>Release character:</w:t>
      </w:r>
      <w:r>
        <w:t xml:space="preserve"> </w:t>
      </w:r>
      <w:r>
        <w:t>Added Term Discrimination and Semantic Stability, strengthened Source-Coupling and Physical/Causal Admissibility evidence discipline, added Methodological Falsifiability and Dependency Integrity, and improved release-synchronization controls.</w:t>
      </w:r>
    </w:p>
    <w:bookmarkEnd w:id="449"/>
    <w:bookmarkStart w:id="450" w:name="X7fc7f5c7f564071ed170a0881fd25b864c6fe85"/>
    <w:p>
      <w:pPr>
        <w:pStyle w:val="Heading3"/>
      </w:pPr>
      <w:r>
        <w:t>M.4.5 RippleLogic v10.8 (2026-05-31 to 2026-06-12) — Human Plateau and Layer-Discipline Lineage</w:t>
      </w:r>
    </w:p>
    <w:p>
      <w:pPr>
        <w:pStyle w:val="FirstParagraph"/>
      </w:pPr>
      <w:r>
        <w:rPr>
          <w:b/>
          <w:bCs/>
        </w:rPr>
        <w:t>Status:</w:t>
      </w:r>
      <w:r>
        <w:t xml:space="preserve"> </w:t>
      </w:r>
      <w:r>
        <w:t>Historical.</w:t>
      </w:r>
    </w:p>
    <w:p>
      <w:pPr>
        <w:pStyle w:val="BodyText"/>
      </w:pPr>
      <w:r>
        <w:rPr>
          <w:b/>
          <w:bCs/>
        </w:rPr>
        <w:t>Release character:</w:t>
      </w:r>
      <w:r>
        <w:t xml:space="preserve"> </w:t>
      </w:r>
      <w:r>
        <w:t>Added Human Plateau / CMIU calibration, SGP v5.5 synchronization, and the layer-discipline addendum while preserving the established cascade, equations, gates, thresholds, Appendix AD, RSP/RefStructRecord, and claim boundaries.</w:t>
      </w:r>
    </w:p>
    <w:bookmarkEnd w:id="450"/>
    <w:bookmarkStart w:id="451" w:name="X73d579ba9734332a05361a7035c077ed153cb3d"/>
    <w:p>
      <w:pPr>
        <w:pStyle w:val="Heading3"/>
      </w:pPr>
      <w:r>
        <w:t>M.4.6 RippleLogic v10.5 (2026-05-31) — Appendix AD and Citation-Hygiene Release</w:t>
      </w:r>
    </w:p>
    <w:p>
      <w:pPr>
        <w:pStyle w:val="FirstParagraph"/>
      </w:pPr>
      <w:r>
        <w:rPr>
          <w:b/>
          <w:bCs/>
        </w:rPr>
        <w:t>Status:</w:t>
      </w:r>
      <w:r>
        <w:t xml:space="preserve"> </w:t>
      </w:r>
      <w:r>
        <w:t>Historical.</w:t>
      </w:r>
    </w:p>
    <w:p>
      <w:pPr>
        <w:pStyle w:val="BodyText"/>
      </w:pPr>
      <w:r>
        <w:rPr>
          <w:b/>
          <w:bCs/>
        </w:rPr>
        <w:t>Release character:</w:t>
      </w:r>
      <w:r>
        <w:t xml:space="preserve"> </w:t>
      </w:r>
      <w:r>
        <w:t>Integrated Appendix AD as the canonical interpretive reference for welfare-cell meaning and reviewer literacy, subordinate to equations, gates, thresholds, and claim boundaries.</w:t>
      </w:r>
    </w:p>
    <w:bookmarkEnd w:id="451"/>
    <w:bookmarkStart w:id="452" w:name="Xe27bbe966a40c099e232cee6ff46a2cc91bea4a"/>
    <w:p>
      <w:pPr>
        <w:pStyle w:val="Heading3"/>
      </w:pPr>
      <w:r>
        <w:t>M.4.7 RippleLogic v10.4 (2026-05-26) — Readability and Companion Synchronization Release</w:t>
      </w:r>
    </w:p>
    <w:p>
      <w:pPr>
        <w:pStyle w:val="FirstParagraph"/>
      </w:pPr>
      <w:r>
        <w:rPr>
          <w:b/>
          <w:bCs/>
        </w:rPr>
        <w:t>Status:</w:t>
      </w:r>
      <w:r>
        <w:t xml:space="preserve"> </w:t>
      </w:r>
      <w:r>
        <w:t>Historical.</w:t>
      </w:r>
    </w:p>
    <w:p>
      <w:pPr>
        <w:pStyle w:val="BodyText"/>
      </w:pPr>
      <w:r>
        <w:rPr>
          <w:b/>
          <w:bCs/>
        </w:rPr>
        <w:t>Release character:</w:t>
      </w:r>
      <w:r>
        <w:t xml:space="preserve"> </w:t>
      </w:r>
      <w:r>
        <w:t>Reorganized front matter for readability and synchronized the companion set while preserving the substantive architecture.</w:t>
      </w:r>
    </w:p>
    <w:bookmarkEnd w:id="452"/>
    <w:bookmarkEnd w:id="453"/>
    <w:bookmarkStart w:id="454" w:name="X95e7a358cb6e0b8afc76c5d88af3be25a4607fe"/>
    <w:p>
      <w:pPr>
        <w:pStyle w:val="Heading2"/>
      </w:pPr>
      <w:r>
        <w:t>M.4B RippleLogic v9.6.5 (2026-05-09) - Structural Hygiene Hardening Release</w:t>
      </w:r>
    </w:p>
    <w:p>
      <w:pPr>
        <w:pStyle w:val="FirstParagraph"/>
      </w:pPr>
      <w:r>
        <w:t>Status: Canonical release for the structural-hygiene line. Superseded by RippleLogic v10.0.</w:t>
      </w:r>
    </w:p>
    <w:p>
      <w:pPr>
        <w:pStyle w:val="BodyText"/>
      </w:pPr>
      <w:r>
        <w:t>Summary: preserves the v9.6.4 cascade architecture, equations, rights thresholds, TRC mechanics, Containment semantics, SGP binding interface, PLSS/FLGG architecture, and Tier 1-3 claim boundaries; adds explicit Refusal Under Underdetermination, Projection Pre-Registration for pilot and higher-tier runs, PCC Computational Closure fields, a Category-Collapse Self-Test, and a corrected floor-meaning subsection for constitutional weight floors; synchronizes the companion set to RippleLogic Agent System v9.3, ripple.md v2.3.5, Ripple Aligners Sheet v2.6, and SGP v4.7.2.</w:t>
      </w:r>
    </w:p>
    <w:bookmarkEnd w:id="454"/>
    <w:bookmarkStart w:id="455" w:name="Xaba68fbeb801ecdfc12a575fda33bd86ba947a5"/>
    <w:p>
      <w:pPr>
        <w:pStyle w:val="Heading2"/>
      </w:pPr>
      <w:r>
        <w:t>M.4C RippleLogic v9.6.4 (2026-04-21) - Bundle Synchronization Patch</w:t>
      </w:r>
    </w:p>
    <w:p>
      <w:pPr>
        <w:pStyle w:val="FirstParagraph"/>
      </w:pPr>
      <w:r>
        <w:t>Status: Canonical release-scrub patch for the current line. Supersedes: RippleLogic v9.6.3.</w:t>
      </w:r>
    </w:p>
    <w:p>
      <w:pPr>
        <w:pStyle w:val="BodyText"/>
      </w:pPr>
      <w:r>
        <w:t>Summary: synchronizes the companion set to Agent System v9.2, ripple.md v2.3.5, Aligners Sheet v2.5, and SGP v4.7.2; repairs Appendix M rendering; scrubs stale current-line references; and preserves the canonical cascade and SGP binding semantics.</w:t>
      </w:r>
    </w:p>
    <w:bookmarkEnd w:id="455"/>
    <w:bookmarkStart w:id="456" w:name="X90e7251fcdf1171729ab06de66c7dc0e8022df3"/>
    <w:p>
      <w:pPr>
        <w:pStyle w:val="Heading2"/>
      </w:pPr>
      <w:r>
        <w:t>M.4D RippleLogic v9.6.3 (2026-04-20) - Final Release Scrub Patch</w:t>
      </w:r>
    </w:p>
    <w:p>
      <w:pPr>
        <w:pStyle w:val="FirstParagraph"/>
      </w:pPr>
      <w:r>
        <w:t>Status: Canonical closure and release-synchronization patch for the current line. Supersedes: RippleLogic v9.6.2.</w:t>
      </w:r>
    </w:p>
    <w:p>
      <w:pPr>
        <w:pStyle w:val="BodyText"/>
      </w:pPr>
      <w:r>
        <w:t>Summary: resolved the Appendix K status contradiction, synchronized current-line PCC schema/version fields, repositioned the Section 14.6 informative heading, cleaned Appendix M lineage sequencing, swept stale current-line version references, and clarified the Appendix P worked-run lineage note without intended changes to the cascade or SGP binding interface.</w:t>
      </w:r>
    </w:p>
    <w:bookmarkEnd w:id="456"/>
    <w:bookmarkStart w:id="457" w:name="Xa1281087e9b94259bd3cf5d72c0a5e0913b3059"/>
    <w:p>
      <w:pPr>
        <w:pStyle w:val="Heading2"/>
      </w:pPr>
      <w:r>
        <w:t>M.4E RippleLogic v9.6.2 (2026-04-20) - Closure Patch</w:t>
      </w:r>
    </w:p>
    <w:p>
      <w:pPr>
        <w:pStyle w:val="FirstParagraph"/>
      </w:pPr>
      <w:r>
        <w:t>Status: Canonical closure patch release for the current line. Supersedes: RippleLogic v9.6.1.</w:t>
      </w:r>
    </w:p>
    <w:p>
      <w:pPr>
        <w:pStyle w:val="BodyText"/>
      </w:pPr>
      <w:r>
        <w:t>Summary: clarified σ_RLS weighting under κ(u,d), specified RLS_adj governance, tightened governance-lock mandatory-tail wording, added an explicit Reader Guide claim-boundary table, and preserved the v9.6.1 cascade architecture and SGP v4.7 binding.</w:t>
      </w:r>
    </w:p>
    <w:bookmarkEnd w:id="457"/>
    <w:bookmarkStart w:id="458" w:name="X5fb31ae45cad18cd5e6fa0ea2a856c96a6e63a9"/>
    <w:p>
      <w:pPr>
        <w:pStyle w:val="Heading2"/>
      </w:pPr>
      <w:r>
        <w:t>M.4F RippleLogic v9.6.1 (2026-04-20) - Integrity Sync Patch</w:t>
      </w:r>
    </w:p>
    <w:p>
      <w:pPr>
        <w:pStyle w:val="FirstParagraph"/>
      </w:pPr>
      <w:r>
        <w:t>Status: Canonical integrity patch release for the current line. Supersedes: RippleLogic v9.6.</w:t>
      </w:r>
    </w:p>
    <w:p>
      <w:pPr>
        <w:pStyle w:val="BodyText"/>
      </w:pPr>
      <w:r>
        <w:t>Summary: corrected stale SGP v4.6 references in Appendix M and Appendix G, synchronized declared companion pins to SGP v4.7, and reran release-gate / final-lint confirmations without intended normative changes to the cascade or SGP binding interface.</w:t>
      </w:r>
    </w:p>
    <w:bookmarkEnd w:id="458"/>
    <w:bookmarkStart w:id="459" w:name="X6ede55b4e426a164680e5adec1926061ad318f7"/>
    <w:p>
      <w:pPr>
        <w:pStyle w:val="Heading2"/>
      </w:pPr>
      <w:r>
        <w:t>M.4G RippleLogic v9.6 (2026-04-13) - Canon Promotion and Release Consolidation</w:t>
      </w:r>
    </w:p>
    <w:p>
      <w:pPr>
        <w:pStyle w:val="FirstParagraph"/>
      </w:pPr>
      <w:r>
        <w:t>Status: Canonical lineage release.</w:t>
      </w:r>
    </w:p>
    <w:p>
      <w:pPr>
        <w:pStyle w:val="BodyText"/>
      </w:pPr>
      <w:r>
        <w:t>Summary: consolidated the release line into a single canon posture, hardened release packaging and byte-stream language, and synchronized companion references for the current line.</w:t>
      </w:r>
    </w:p>
    <w:bookmarkEnd w:id="459"/>
    <w:bookmarkStart w:id="460" w:name="Xee8ddc9e2134b25ed0bed3a45e8241a5a2f7957"/>
    <w:p>
      <w:pPr>
        <w:pStyle w:val="Heading2"/>
      </w:pPr>
      <w:r>
        <w:t>M.4H RippleLogic v9.3.0 / v9.3 / v9.2 (2026-04-08) - Normative Foundation and Line-Wide Sync Drafts</w:t>
      </w:r>
    </w:p>
    <w:p>
      <w:pPr>
        <w:pStyle w:val="FirstParagraph"/>
      </w:pPr>
      <w:r>
        <w:t>Status: Canonical lineage releases.</w:t>
      </w:r>
    </w:p>
    <w:p>
      <w:pPr>
        <w:pStyle w:val="BodyText"/>
      </w:pPr>
      <w:r>
        <w:t>Summary: clarified LSS, FLGG, and attention-safety semantics; strengthened local-use interpretation; and improved conformance hygiene and readability.</w:t>
      </w:r>
    </w:p>
    <w:bookmarkEnd w:id="460"/>
    <w:bookmarkStart w:id="461" w:name="X2c4373d7baec48905930f7c83a0c7e0e5e0c91a"/>
    <w:p>
      <w:pPr>
        <w:pStyle w:val="Heading2"/>
      </w:pPr>
      <w:r>
        <w:t>M.4I RippleLogic v9.0 (2026-03-18 to 2026-03-19) - Canon Closure and Interoperability Hardening</w:t>
      </w:r>
    </w:p>
    <w:p>
      <w:pPr>
        <w:pStyle w:val="FirstParagraph"/>
      </w:pPr>
      <w:r>
        <w:t>Status: Canonical public baseline release.</w:t>
      </w:r>
    </w:p>
    <w:p>
      <w:pPr>
        <w:pStyle w:val="BodyText"/>
      </w:pPr>
      <w:r>
        <w:t>Summary: closed the v9.0 canon line, operationalised HDW, hardened rights semantics and interoperability, and clarified calibration without changing the five-level cascade.</w:t>
      </w:r>
    </w:p>
    <w:bookmarkEnd w:id="461"/>
    <w:bookmarkStart w:id="462" w:name="X696edf25cfdba2cb1272f26e2765059b9957b2c"/>
    <w:p>
      <w:pPr>
        <w:pStyle w:val="Heading2"/>
      </w:pPr>
      <w:r>
        <w:t>M.4J RippleLogic v8.7 / v8.6 (2026-03-14 to 2026-03-18) - LSS/FLGG and Attention-Safety Hardening</w:t>
      </w:r>
    </w:p>
    <w:p>
      <w:pPr>
        <w:pStyle w:val="FirstParagraph"/>
      </w:pPr>
      <w:r>
        <w:t>Status: Canonical lineage releases.</w:t>
      </w:r>
    </w:p>
    <w:p>
      <w:pPr>
        <w:pStyle w:val="BodyText"/>
      </w:pPr>
      <w:r>
        <w:t>Summary: strengthened local-scope governance, attention-safety separation, and related conformance language leading into the v9 line.</w:t>
      </w:r>
    </w:p>
    <w:bookmarkEnd w:id="462"/>
    <w:bookmarkStart w:id="463" w:name="X5dae3160d93003572759f8ac2be3f1837597975"/>
    <w:p>
      <w:pPr>
        <w:pStyle w:val="Heading2"/>
      </w:pPr>
      <w:r>
        <w:t>M.4K RippleLogic v8.5.3 / v8.5.1 / v8.4 / v8.3 / v8.1 / v7.5.0 / v7.4.5 (2026-01-25 to 2026-02-20) - Foundational Lineage Releases</w:t>
      </w:r>
    </w:p>
    <w:p>
      <w:pPr>
        <w:pStyle w:val="FirstParagraph"/>
      </w:pPr>
      <w:r>
        <w:t>Status: Historical lineage artifacts.</w:t>
      </w:r>
    </w:p>
    <w:p>
      <w:pPr>
        <w:pStyle w:val="BodyText"/>
      </w:pPr>
      <w:r>
        <w:t>Summary: established the foundational welfare-matrix, NCRC/TRC, temporal weighting, and early propagation architecture carried forward into later lines.</w:t>
      </w:r>
    </w:p>
    <w:bookmarkEnd w:id="463"/>
    <w:bookmarkStart w:id="464" w:name="Xdbe29bb7e07e7e88b0240f7d9fa3fdbe2ff7188"/>
    <w:p>
      <w:pPr>
        <w:pStyle w:val="Heading2"/>
      </w:pPr>
      <w:r>
        <w:t>M.5 Release Gate Checklist (Informative; v12.2)</w:t>
      </w:r>
    </w:p>
    <w:p>
      <w:pPr>
        <w:pStyle w:val="FirstParagraph"/>
      </w:pPr>
      <w:r>
        <w:t>Version integrity: the title page, Section 0.2, Appendix AC current-line matrix, release label, and Document Completion Statement identify v12.3. Appendix headings may retain explicit origin or lineage stamps under M.5A; those stamps do not override current release identity. Confirmed against the release manifest.</w:t>
      </w:r>
    </w:p>
    <w:p>
      <w:pPr>
        <w:pStyle w:val="BodyText"/>
      </w:pPr>
      <w:r>
        <w:t>Companion sync: the manifest-listed current companion set, Appendix G, Appendix M.3, Appendix AC, and workbook control surfaces pin SGP v8.2.1 and RippleLogic Agent System v12.1 consistently. Confirmed by current-pin and semantic-surface verification.</w:t>
      </w:r>
    </w:p>
    <w:p>
      <w:pPr>
        <w:pStyle w:val="BodyText"/>
      </w:pPr>
      <w:r>
        <w:t>Calculation integrity: Appendix R reference values used for conformance include enough intermediate values and conventions to reproduce the stated results. R.19 now discloses its weight-rounding convention and Method B uncertainty derivation.</w:t>
      </w:r>
    </w:p>
    <w:p>
      <w:pPr>
        <w:pStyle w:val="BodyText"/>
      </w:pPr>
      <w:r>
        <w:t>Format integrity: canonical Markdown controls semantics; DOCX and PDF reading mirrors are genuine derived files and are byte-tested, rendered, and preflighted under the release verification procedure.</w:t>
      </w:r>
    </w:p>
    <w:p>
      <w:pPr>
        <w:pStyle w:val="BodyText"/>
      </w:pPr>
      <w:r>
        <w:t>Validation inserts: UCI maturity note, floor rationale, IRR targets, kernel operational-status note, Appendix P-2, and R.19 remain present and current-line consistent. Confirmed.</w:t>
      </w:r>
    </w:p>
    <w:p>
      <w:pPr>
        <w:pStyle w:val="BodyText"/>
      </w:pPr>
      <w:r>
        <w:t>No overclaim: canonical posture is explicit; Tier 4 claims remain prohibited; machine-ecosystem completeness and empirical completeness are not claimed. Confirmed.</w:t>
      </w:r>
    </w:p>
    <w:bookmarkEnd w:id="464"/>
    <w:bookmarkStart w:id="465" w:name="Xecedede0baf9278901fb3bb145875b95dc3ce7f"/>
    <w:p>
      <w:pPr>
        <w:pStyle w:val="Heading2"/>
      </w:pPr>
      <w:r>
        <w:t>M.5A Appendix origin-stamp convention (Normative release-integrity clarification)</w:t>
      </w:r>
    </w:p>
    <w:p>
      <w:pPr>
        <w:pStyle w:val="FirstParagraph"/>
      </w:pPr>
      <w:r>
        <w:t>An appendix heading may retain the version in which that appendix was first introduced or last substantively redesigned. Such a parenthetical version is an origin or lineage stamp, not the governing version of the appendix. The governing version of every active appendix is the title-page Canon version and the manifest-pinned artifact hash. Any heading intended to assert current release identity MUST use the current version. Unmarked historical content must be treated as a release-integrity defect.</w:t>
      </w:r>
    </w:p>
    <w:bookmarkEnd w:id="465"/>
    <w:bookmarkEnd w:id="466"/>
    <w:bookmarkStart w:id="479" w:name="Xd2033d61bbbf9f0e5316a2ff65428b7ac3ec325"/>
    <w:p>
      <w:pPr>
        <w:pStyle w:val="Heading1"/>
      </w:pPr>
      <w:r>
        <w:t>APPENDIX N: STEWARDSHIP PACK CANON (v12.0) - NORMATIVE</w:t>
      </w:r>
    </w:p>
    <w:p>
      <w:pPr>
        <w:pStyle w:val="FirstParagraph"/>
      </w:pPr>
      <w:r>
        <w:t>This appendix defines canonical Stewardship requirements for RippleLogic runs when Stw_req(run) = 1 (Section 14.7). Stewardship governs how assistance is delivered under capability asymmetry so that assistance does not become hidden governance and so that stakeholder authorship and agency are not silently eroded.</w:t>
      </w:r>
    </w:p>
    <w:p>
      <w:pPr>
        <w:pStyle w:val="BodyText"/>
      </w:pPr>
      <w:r>
        <w:t>Stewardship does not replace or modify NCRC, TRC, CSV, RLS, or UCI/HOI. It is an assistance integrity layer enforced through PCC fields and audit flags.</w:t>
      </w:r>
    </w:p>
    <w:p>
      <w:pPr>
        <w:pStyle w:val="BodyText"/>
      </w:pPr>
      <w:r>
        <w:t>Stewardship requirements affect PCC validity for assisted runs and influence integrity, but SHALL NOT alter cascade admissibility, ordering, or option selection semantics.</w:t>
      </w:r>
    </w:p>
    <w:bookmarkStart w:id="467" w:name="n1-applicability-normative"/>
    <w:p>
      <w:pPr>
        <w:pStyle w:val="Heading2"/>
      </w:pPr>
      <w:r>
        <w:t>N.1 Applicability (Normative)</w:t>
      </w:r>
    </w:p>
    <w:p>
      <w:pPr>
        <w:pStyle w:val="FirstParagraph"/>
      </w:pPr>
      <w:r>
        <w:t>This appendix applies if and only if Stw_req(run) = 1 as defined in Section 14.7.1.</w:t>
      </w:r>
    </w:p>
    <w:p>
      <w:pPr>
        <w:pStyle w:val="BodyText"/>
      </w:pPr>
      <w:r>
        <w:t>Tier binding rule (Normative):</w:t>
      </w:r>
    </w:p>
    <w:p>
      <w:pPr>
        <w:pStyle w:val="Compact"/>
        <w:numPr>
          <w:ilvl w:val="0"/>
          <w:numId w:val="1361"/>
        </w:numPr>
      </w:pPr>
      <w:r>
        <w:t>Any Tier 3 compliance claim SHALL set Stw_req(run) = 1.</w:t>
      </w:r>
    </w:p>
    <w:p>
      <w:pPr>
        <w:pStyle w:val="Compact"/>
        <w:numPr>
          <w:ilvl w:val="0"/>
          <w:numId w:val="1362"/>
        </w:numPr>
      </w:pPr>
      <w:r>
        <w:t>Tier 1–2 runs MAY set Stw_req(run) = 0 unless any of the S1 through S4 applicability conditions hold (Section 14.7.1). S5 is a modifier and does not trigger Stw_req(run) by itself.</w:t>
      </w:r>
    </w:p>
    <w:bookmarkEnd w:id="467"/>
    <w:bookmarkStart w:id="468" w:name="X68553c6db31b842f6b04f87b3ccc41fc7f6a0a1"/>
    <w:p>
      <w:pPr>
        <w:pStyle w:val="Heading2"/>
      </w:pPr>
      <w:r>
        <w:t>N.2 Stewardship Contract (Normative Minimum)</w:t>
      </w:r>
    </w:p>
    <w:p>
      <w:pPr>
        <w:pStyle w:val="FirstParagraph"/>
      </w:pPr>
      <w:r>
        <w:t>When Stw_req(run) = 1, the run MUST instantiate a Stewardship Contract specifying, at minimum:</w:t>
      </w:r>
    </w:p>
    <w:p>
      <w:pPr>
        <w:pStyle w:val="Compact"/>
        <w:numPr>
          <w:ilvl w:val="0"/>
          <w:numId w:val="1363"/>
        </w:numPr>
      </w:pPr>
      <w:r>
        <w:t>Mandate Scope: domains and action types the assistant may participate in.</w:t>
      </w:r>
    </w:p>
    <w:p>
      <w:pPr>
        <w:pStyle w:val="Compact"/>
        <w:numPr>
          <w:ilvl w:val="0"/>
          <w:numId w:val="1364"/>
        </w:numPr>
      </w:pPr>
      <w:r>
        <w:t>Decision Boundary Declaration (DBD): explicit “will not finalize” boundaries for authority-class decisions.</w:t>
      </w:r>
    </w:p>
    <w:p>
      <w:pPr>
        <w:pStyle w:val="Compact"/>
        <w:numPr>
          <w:ilvl w:val="0"/>
          <w:numId w:val="1365"/>
        </w:numPr>
      </w:pPr>
      <w:r>
        <w:t>Authorship Finality Rule: who must hold finality for irreversible/high-impact decisions.</w:t>
      </w:r>
    </w:p>
    <w:p>
      <w:pPr>
        <w:pStyle w:val="Compact"/>
        <w:numPr>
          <w:ilvl w:val="0"/>
          <w:numId w:val="1366"/>
        </w:numPr>
      </w:pPr>
      <w:r>
        <w:t>Influence Transparency Rule: disclosure requirements for ranking, omission, and nudges.</w:t>
      </w:r>
    </w:p>
    <w:p>
      <w:pPr>
        <w:pStyle w:val="Compact"/>
        <w:numPr>
          <w:ilvl w:val="0"/>
          <w:numId w:val="1367"/>
        </w:numPr>
      </w:pPr>
      <w:r>
        <w:t>Intervention Restraint Budget (IRB): caps/thresholds limiting overhelp and dependency growth.</w:t>
      </w:r>
    </w:p>
    <w:p>
      <w:pPr>
        <w:pStyle w:val="Compact"/>
        <w:numPr>
          <w:ilvl w:val="0"/>
          <w:numId w:val="1368"/>
        </w:numPr>
      </w:pPr>
      <w:r>
        <w:t>Audit Hooks: where and how Stewardship fields are recorded in the PCC and/or system logs.</w:t>
      </w:r>
    </w:p>
    <w:bookmarkEnd w:id="468"/>
    <w:bookmarkStart w:id="469" w:name="Xc3d759df1e63ecf43c0162996319e23e3dddc6a"/>
    <w:p>
      <w:pPr>
        <w:pStyle w:val="Heading2"/>
      </w:pPr>
      <w:r>
        <w:t>N.3 PCC Stewardship Block (Normative; Conditional Fields)</w:t>
      </w:r>
    </w:p>
    <w:p>
      <w:pPr>
        <w:pStyle w:val="FirstParagraph"/>
      </w:pPr>
      <w:r>
        <w:t>When Stw_req(run) = 1, the PCC MUST include the following fields (names are canonical):</w:t>
      </w:r>
    </w:p>
    <w:p>
      <w:pPr>
        <w:pStyle w:val="Compact"/>
        <w:numPr>
          <w:ilvl w:val="0"/>
          <w:numId w:val="1369"/>
        </w:numPr>
      </w:pPr>
      <w:r>
        <w:t>PCC.Stewardship.Stw_req = TRUE</w:t>
      </w:r>
    </w:p>
    <w:p>
      <w:pPr>
        <w:pStyle w:val="Compact"/>
        <w:numPr>
          <w:ilvl w:val="0"/>
          <w:numId w:val="1370"/>
        </w:numPr>
      </w:pPr>
      <w:r>
        <w:t>PCC.Stewardship.DBD.Scope: list/enum of out-of-scope authority domains/actions</w:t>
      </w:r>
    </w:p>
    <w:p>
      <w:pPr>
        <w:pStyle w:val="Compact"/>
        <w:numPr>
          <w:ilvl w:val="0"/>
          <w:numId w:val="1371"/>
        </w:numPr>
      </w:pPr>
      <w:r>
        <w:t>PCC.Stewardship.DBD.RefusalRule: rule/macro identifier used when deferring/refusing authority substitution</w:t>
      </w:r>
    </w:p>
    <w:p>
      <w:pPr>
        <w:pStyle w:val="Compact"/>
        <w:numPr>
          <w:ilvl w:val="0"/>
          <w:numId w:val="1372"/>
        </w:numPr>
      </w:pPr>
      <w:r>
        <w:t>PCC.Stewardship.APM.AfterActionAuthorship in [0,1]</w:t>
      </w:r>
    </w:p>
    <w:p>
      <w:pPr>
        <w:pStyle w:val="Compact"/>
        <w:numPr>
          <w:ilvl w:val="0"/>
          <w:numId w:val="1373"/>
        </w:numPr>
      </w:pPr>
      <w:r>
        <w:t>PCC.Stewardship.APM.Rationale: artifact-anchored justification (see N.4)</w:t>
      </w:r>
    </w:p>
    <w:p>
      <w:pPr>
        <w:pStyle w:val="Compact"/>
        <w:numPr>
          <w:ilvl w:val="0"/>
          <w:numId w:val="1374"/>
        </w:numPr>
      </w:pPr>
      <w:r>
        <w:t>PCC.Stewardship.IRB.InterventionCap: declared cap(s) (see N.5)</w:t>
      </w:r>
    </w:p>
    <w:p>
      <w:pPr>
        <w:pStyle w:val="Compact"/>
        <w:numPr>
          <w:ilvl w:val="0"/>
          <w:numId w:val="1375"/>
        </w:numPr>
      </w:pPr>
      <w:r>
        <w:t>PCC.Stewardship.IRB.Thresholds: intervene-only-past-harm-point rule(s)</w:t>
      </w:r>
    </w:p>
    <w:p>
      <w:pPr>
        <w:pStyle w:val="Compact"/>
        <w:numPr>
          <w:ilvl w:val="0"/>
          <w:numId w:val="1376"/>
        </w:numPr>
      </w:pPr>
      <w:r>
        <w:t>PCC.Stewardship.InfluenceLedgerRef: pointer to influence disclosure record (or “NONE” with justification)</w:t>
      </w:r>
    </w:p>
    <w:p>
      <w:pPr>
        <w:pStyle w:val="FirstParagraph"/>
      </w:pPr>
      <w:r>
        <w:t>Optional fields (permitted but not required):</w:t>
      </w:r>
    </w:p>
    <w:p>
      <w:pPr>
        <w:pStyle w:val="Compact"/>
        <w:numPr>
          <w:ilvl w:val="0"/>
          <w:numId w:val="1377"/>
        </w:numPr>
      </w:pPr>
      <w:r>
        <w:t>PCC.Stewardship.APM.BaselineAuthorship in [0,1] (counterfactual; optional due to measurement difficulty)</w:t>
      </w:r>
    </w:p>
    <w:p>
      <w:pPr>
        <w:pStyle w:val="Compact"/>
        <w:numPr>
          <w:ilvl w:val="0"/>
          <w:numId w:val="1378"/>
        </w:numPr>
      </w:pPr>
      <w:r>
        <w:t>PCC.Stewardship.DelayFlag in {TRUE,FALSE}: deliberate delay/deferral used to preserve integration time</w:t>
      </w:r>
    </w:p>
    <w:p>
      <w:pPr>
        <w:pStyle w:val="FirstParagraph"/>
      </w:pPr>
      <w:r>
        <w:t>PCC.Stewardship.ReviewConditions: array&lt;string&gt; (closed labels; non-audit-flag tokens)</w:t>
      </w:r>
    </w:p>
    <w:p>
      <w:pPr>
        <w:pStyle w:val="BodyText"/>
      </w:pPr>
      <w:r>
        <w:t>When a Stewardship REVIEW condition is recorded, the PCC SHOULD include PCC.Stewardship.ReviewConditions as a list of standardized labels. These labels are run-local review condition labels and are not audit-flag tokens. Standard starter label: MISSING_INFLUENCE_DISCLOSURE.</w:t>
      </w:r>
    </w:p>
    <w:p>
      <w:pPr>
        <w:pStyle w:val="BodyText"/>
      </w:pPr>
      <w:r>
        <w:t>When Stw_req(run) = 0, the PCC SHOULD record PCC.Stewardship.Stw_req = FALSE and all other Stewardship fields MAY be omitted.</w:t>
      </w:r>
    </w:p>
    <w:bookmarkEnd w:id="469"/>
    <w:bookmarkStart w:id="470" w:name="Xd9dbc4fa43a02adfd8e6d6f6ea9598460815b5e"/>
    <w:p>
      <w:pPr>
        <w:pStyle w:val="Heading2"/>
      </w:pPr>
      <w:r>
        <w:t>N.3.1 Stewardship Vector (SV) Design-Record Status (Normative)</w:t>
      </w:r>
    </w:p>
    <w:p>
      <w:pPr>
        <w:pStyle w:val="FirstParagraph"/>
      </w:pPr>
      <w:r>
        <w:t>During development, a five-component numeric Stewardship Vector (SV) with non-compensatory floors was proposed (AP, AC, OSP, IT, ND). In v9.0, numeric SV scoring is retained only as a design-record placeholder and remains OPTIONAL; it MUST NOT be used as a pass/fail gate unless a deployment (i) declares an anchored rubric, (ii) preregisters the scoring method in the PCC, and (iii) demonstrates replayable rubric consistency under the current canon.</w:t>
      </w:r>
    </w:p>
    <w:p>
      <w:pPr>
        <w:pStyle w:val="BodyText"/>
      </w:pPr>
      <w:r>
        <w:t>Absent a declared rubric, Stewardship enforcement in v9.0 relies on the declarative and auditable artifacts defined in this appendix: DBD, APM evidence anchors, IRB, influence disclosure, and the Stewardship audit flags.</w:t>
      </w:r>
    </w:p>
    <w:p>
      <w:pPr>
        <w:pStyle w:val="BodyText"/>
      </w:pPr>
      <w:r>
        <w:t>Validated SV rubrics MAY be introduced in a future version via governed update and version increment.</w:t>
      </w:r>
    </w:p>
    <w:bookmarkEnd w:id="470"/>
    <w:bookmarkStart w:id="471" w:name="Xe7d340a9da0adbb66fe5952f7524e005b0a3721"/>
    <w:p>
      <w:pPr>
        <w:pStyle w:val="Heading2"/>
      </w:pPr>
      <w:r>
        <w:t>N.4 Agency Preservation Measure (APM): Minimum Evidence Anchors (Normative; Anti-Theater Rule)</w:t>
      </w:r>
    </w:p>
    <w:p>
      <w:pPr>
        <w:pStyle w:val="FirstParagraph"/>
      </w:pPr>
      <w:r>
        <w:t>When Stw_req(run) = 1, PCC.Stewardship.APM.Rationale MUST reference at least two of the following anchors (or explicitly justify infeasibility):</w:t>
      </w:r>
    </w:p>
    <w:p>
      <w:pPr>
        <w:pStyle w:val="Compact"/>
        <w:numPr>
          <w:ilvl w:val="0"/>
          <w:numId w:val="1379"/>
        </w:numPr>
      </w:pPr>
      <w:r>
        <w:t>A1 Option Visibility: &gt;=2 distinct options were presented unless impossible; impossibility MUST be explained.</w:t>
      </w:r>
    </w:p>
    <w:p>
      <w:pPr>
        <w:pStyle w:val="Compact"/>
        <w:numPr>
          <w:ilvl w:val="0"/>
          <w:numId w:val="1380"/>
        </w:numPr>
      </w:pPr>
      <w:r>
        <w:t>A2 Tradeoff/Uncertainty Disclosure: at least one explicit tradeoff, uncertainty limitation, or missing-data acknowledgment was stated.</w:t>
      </w:r>
    </w:p>
    <w:p>
      <w:pPr>
        <w:pStyle w:val="Compact"/>
        <w:numPr>
          <w:ilvl w:val="0"/>
          <w:numId w:val="1381"/>
        </w:numPr>
      </w:pPr>
      <w:r>
        <w:t>A3 Human Finality (High Stakes): for irreversible/high-impact actions, explicit human confirmation was required OR the system deferred/refused finality.</w:t>
      </w:r>
    </w:p>
    <w:p>
      <w:pPr>
        <w:pStyle w:val="Compact"/>
        <w:numPr>
          <w:ilvl w:val="0"/>
          <w:numId w:val="1382"/>
        </w:numPr>
      </w:pPr>
      <w:r>
        <w:t>A4 Omission Disclosure (If Recommending): if recommending or ranking, at least one plausible alternative was disclosed, with why it was not recommended.</w:t>
      </w:r>
    </w:p>
    <w:p>
      <w:pPr>
        <w:pStyle w:val="FirstParagraph"/>
      </w:pPr>
      <w:r>
        <w:t>This anchor rule prevents “authorship” from being reduced to “the human clicked OK.”</w:t>
      </w:r>
    </w:p>
    <w:bookmarkEnd w:id="471"/>
    <w:bookmarkStart w:id="472" w:name="X5a7bcc53ce3235669cb2260b032f0ea4b457cc2"/>
    <w:p>
      <w:pPr>
        <w:pStyle w:val="Heading2"/>
      </w:pPr>
      <w:r>
        <w:t>N.5 Intervention Restraint Budget (IRB) (Normative)</w:t>
      </w:r>
    </w:p>
    <w:p>
      <w:pPr>
        <w:pStyle w:val="FirstParagraph"/>
      </w:pPr>
      <w:r>
        <w:t>When Stw_req(run) = 1, the Stewardship Contract MUST declare an IRB sufficient to detect and mitigate overhelp.</w:t>
      </w:r>
    </w:p>
    <w:p>
      <w:pPr>
        <w:pStyle w:val="BodyText"/>
      </w:pPr>
      <w:r>
        <w:t>Minimum required structure:</w:t>
      </w:r>
    </w:p>
    <w:p>
      <w:pPr>
        <w:pStyle w:val="Compact"/>
        <w:numPr>
          <w:ilvl w:val="0"/>
          <w:numId w:val="1383"/>
        </w:numPr>
      </w:pPr>
      <w:r>
        <w:t>IRB.InterventionCap: a cap on assistance frequency and/or intensity appropriate to context (examples: max ranked outputs per session; max consecutive turns without user-provided constraints; max interventions per day).</w:t>
      </w:r>
    </w:p>
    <w:p>
      <w:pPr>
        <w:pStyle w:val="Compact"/>
        <w:numPr>
          <w:ilvl w:val="0"/>
          <w:numId w:val="1384"/>
        </w:numPr>
      </w:pPr>
      <w:r>
        <w:t>IRB.Thresholds: explicit rule(s) stating that the system intervenes only past a harm-point; otherwise it asks, defers, or provides neutral information.</w:t>
      </w:r>
    </w:p>
    <w:p>
      <w:pPr>
        <w:pStyle w:val="FirstParagraph"/>
      </w:pPr>
      <w:r>
        <w:t>Normative interpretation: IRB is a structural limit on assistance so that capability does not silently substitute agency over time.</w:t>
      </w:r>
    </w:p>
    <w:bookmarkEnd w:id="472"/>
    <w:bookmarkStart w:id="473" w:name="Xb183764efb32ad0f47abd8d87db2cf8150eacd7"/>
    <w:p>
      <w:pPr>
        <w:pStyle w:val="Heading2"/>
      </w:pPr>
      <w:r>
        <w:t>N.6 Influence Transparency Ledger (Normative Minimum Schema)</w:t>
      </w:r>
    </w:p>
    <w:p>
      <w:pPr>
        <w:pStyle w:val="FirstParagraph"/>
      </w:pPr>
      <w:r>
        <w:t>When Stw_req(run) = 1, if the assistant recommends, ranks, or meaningfully narrows option space, it MUST produce an influence disclosure record referenced by PCC.Stewardship.InfluenceLedgerRef.</w:t>
      </w:r>
    </w:p>
    <w:p>
      <w:pPr>
        <w:pStyle w:val="BodyText"/>
      </w:pPr>
      <w:r>
        <w:t>Minimum fields (canonical):</w:t>
      </w:r>
    </w:p>
    <w:p>
      <w:pPr>
        <w:pStyle w:val="BodyText"/>
      </w:pPr>
      <w:r>
        <w:t>evidence_anchors: list of ≥2 observable anchors (links/IDs)</w:t>
      </w:r>
    </w:p>
    <w:p>
      <w:pPr>
        <w:pStyle w:val="BodyText"/>
      </w:pPr>
      <w:r>
        <w:t>conflicts_or_incentives: "NONE" | "&lt;short disclosure&gt;"</w:t>
      </w:r>
    </w:p>
    <w:p>
      <w:pPr>
        <w:pStyle w:val="BodyText"/>
      </w:pPr>
      <w:r>
        <w:t>Conflicts_or_incentives discloses operator/deployer conflicts relevant to the recommendation (e.g., vendor ties, institutional incentives, known dataset skews relevant to the decision context). This field is required only when recommending/ranking/narrowing.</w:t>
      </w:r>
    </w:p>
    <w:p>
      <w:pPr>
        <w:pStyle w:val="Compact"/>
        <w:numPr>
          <w:ilvl w:val="0"/>
          <w:numId w:val="1385"/>
        </w:numPr>
      </w:pPr>
      <w:r>
        <w:t>options_considered: list of option IDs considered in the recommendation context</w:t>
      </w:r>
    </w:p>
    <w:p>
      <w:pPr>
        <w:pStyle w:val="Compact"/>
        <w:numPr>
          <w:ilvl w:val="0"/>
          <w:numId w:val="1386"/>
        </w:numPr>
      </w:pPr>
      <w:r>
        <w:t>recommendation_made: TRUE/FALSE</w:t>
      </w:r>
    </w:p>
    <w:p>
      <w:pPr>
        <w:pStyle w:val="Compact"/>
        <w:numPr>
          <w:ilvl w:val="0"/>
          <w:numId w:val="1387"/>
        </w:numPr>
      </w:pPr>
      <w:r>
        <w:t>ranking_used: TRUE/FALSE (if TRUE, describe criteria)</w:t>
      </w:r>
    </w:p>
    <w:p>
      <w:pPr>
        <w:pStyle w:val="Compact"/>
        <w:numPr>
          <w:ilvl w:val="0"/>
          <w:numId w:val="1388"/>
        </w:numPr>
      </w:pPr>
      <w:r>
        <w:t>criteria_summary: short statement of criteria/constraints applied (must be consistent with the cascade)</w:t>
      </w:r>
    </w:p>
    <w:p>
      <w:pPr>
        <w:pStyle w:val="Compact"/>
        <w:numPr>
          <w:ilvl w:val="0"/>
          <w:numId w:val="1389"/>
        </w:numPr>
      </w:pPr>
      <w:r>
        <w:t>omissions: list of material omissions (if any) + justification</w:t>
      </w:r>
    </w:p>
    <w:p>
      <w:pPr>
        <w:pStyle w:val="Compact"/>
        <w:numPr>
          <w:ilvl w:val="0"/>
          <w:numId w:val="1390"/>
        </w:numPr>
      </w:pPr>
      <w:r>
        <w:t>uncertainty_note: what is uncertain and how it could change the recommendation</w:t>
      </w:r>
    </w:p>
    <w:p>
      <w:pPr>
        <w:pStyle w:val="Compact"/>
        <w:numPr>
          <w:ilvl w:val="0"/>
          <w:numId w:val="1391"/>
        </w:numPr>
      </w:pPr>
      <w:r>
        <w:t>what_would_change_my_view: at least one concrete evidence/assumption change that would alter the advice</w:t>
      </w:r>
    </w:p>
    <w:p>
      <w:pPr>
        <w:pStyle w:val="FirstParagraph"/>
      </w:pPr>
      <w:r>
        <w:t>If no recommendation/ranking occurred, implementations MAY set InfluenceLedgerRef = “NONE” with justification.</w:t>
      </w:r>
    </w:p>
    <w:bookmarkEnd w:id="473"/>
    <w:bookmarkStart w:id="474" w:name="X5a0131e1a2dc3bbd20c58e540147a05e39a3321"/>
    <w:p>
      <w:pPr>
        <w:pStyle w:val="Heading2"/>
      </w:pPr>
      <w:r>
        <w:t>N.7 Stewardship Audit Flags (Normative; Apply Only if Stw_req=1)</w:t>
      </w:r>
    </w:p>
    <w:p>
      <w:pPr>
        <w:pStyle w:val="FirstParagraph"/>
      </w:pPr>
      <w:r>
        <w:t>This section is the canonical source of Stewardship audit-flag tokens. Tokens MUST be copied exactly (single-string UPPER_SNAKE_CASE, no whitespace/line breaks) and MUST NOT be modified or redefined elsewhere.</w:t>
      </w:r>
    </w:p>
    <w:p>
      <w:pPr>
        <w:pStyle w:val="BodyText"/>
      </w:pPr>
      <w:r>
        <w:t>Tokens MUST be single-string UPPER_SNAKE_CASE. Whitespace, line breaks, or token splitting are PROHIBITED. Any mismatch is a tooling failure and SHALL be treated as nonconformant documentation.</w:t>
      </w:r>
    </w:p>
    <w:p>
      <w:pPr>
        <w:pStyle w:val="BodyText"/>
      </w:pPr>
      <w:r>
        <w:t>Stewardship flags apply only when Stw_req(run) = 1.</w:t>
      </w:r>
    </w:p>
    <w:p>
      <w:pPr>
        <w:pStyle w:val="BodyText"/>
      </w:pPr>
      <w:r>
        <w:t>INVALID flags (PCC invalid; rerun required):</w:t>
      </w:r>
    </w:p>
    <w:p>
      <w:pPr>
        <w:pStyle w:val="Compact"/>
        <w:numPr>
          <w:ilvl w:val="0"/>
          <w:numId w:val="1392"/>
        </w:numPr>
      </w:pPr>
      <w:r>
        <w:t>AUTHORITY_SUBSTITUTION_INVALID Trigger: the assistant finalizes an out-of-scope authority-class decision (per DBD.Scope) without an explicit, authenticated override and disclosure. Required action: invalidate PCC; rerun with deferral/guidance-only; remediate boundary controls.</w:t>
      </w:r>
    </w:p>
    <w:p>
      <w:pPr>
        <w:pStyle w:val="Compact"/>
        <w:numPr>
          <w:ilvl w:val="0"/>
          <w:numId w:val="1393"/>
        </w:numPr>
      </w:pPr>
      <w:r>
        <w:t>BOUNDARY_SILENT_OVERRIDE_INVALID Trigger: any boundary change occurs without explicit disclosure and authenticated change control (AIL4 No Silent Overrides). Required action: invalidate PCC; rerun; investigate drift; restore boundary stability.</w:t>
      </w:r>
    </w:p>
    <w:p>
      <w:pPr>
        <w:pStyle w:val="FirstParagraph"/>
      </w:pPr>
      <w:r>
        <w:t>REVIEW flags (mitigation required; PCC remains valid unless additional INVALID flags exist):</w:t>
      </w:r>
    </w:p>
    <w:p>
      <w:pPr>
        <w:pStyle w:val="Compact"/>
        <w:numPr>
          <w:ilvl w:val="0"/>
          <w:numId w:val="1394"/>
        </w:numPr>
      </w:pPr>
      <w:r>
        <w:t>AGENCY_EROSION_RISK_REVIEW Trigger: (i) repeated interactions show dependency drift signals (e.g., repeated “decide for me” requests), OR (ii) the run fails to satisfy the APM evidence-anchor rule in N.4 (fewer than two anchors satisfied or infeasibility not justified). Required action: mitigation plan (increase option visibility, reduce ranking, add questions/delay); monitoring cadence; for agentic deployments, consider mode downgrade triggers.</w:t>
      </w:r>
    </w:p>
    <w:p>
      <w:pPr>
        <w:pStyle w:val="Compact"/>
        <w:numPr>
          <w:ilvl w:val="0"/>
          <w:numId w:val="1395"/>
        </w:numPr>
      </w:pPr>
      <w:r>
        <w:t>OVERHELP_FREQUENCY_REVIEW Trigger: IRB.InterventionCap exceeded OR a rising trend in assistance frequency indicates dependency growth risk. Required action: tighten caps; enforce tapering/coaching posture; Reflect remediation.</w:t>
      </w:r>
    </w:p>
    <w:bookmarkEnd w:id="474"/>
    <w:bookmarkStart w:id="475" w:name="Xdd76dc33e833aaba411e515131627f8edfcc0a3"/>
    <w:p>
      <w:pPr>
        <w:pStyle w:val="Heading2"/>
      </w:pPr>
      <w:r>
        <w:t>N.8 ReviewConditions Label Set (Normative starter set)</w:t>
      </w:r>
    </w:p>
    <w:p>
      <w:pPr>
        <w:pStyle w:val="FirstParagraph"/>
      </w:pPr>
      <w:r>
        <w:t>ReviewConditions are run-local labels recorded in PCC.Stewardship.ReviewConditions and/or in the agent audit log stewardship.review_conditions. They are NOT audit-flag tokens.</w:t>
      </w:r>
    </w:p>
    <w:p>
      <w:pPr>
        <w:pStyle w:val="BodyText"/>
      </w:pPr>
      <w:r>
        <w:t>The following starter labels may be recorded when a non-invalidating review condition is detected (including when Stw_req(run) = 0).</w:t>
      </w:r>
    </w:p>
    <w:p>
      <w:pPr>
        <w:pStyle w:val="Compact"/>
        <w:numPr>
          <w:ilvl w:val="0"/>
          <w:numId w:val="1396"/>
        </w:numPr>
      </w:pPr>
      <w:r>
        <w:t>BOUNDARY_DRIFT: boundaries changed without authenticated control</w:t>
      </w:r>
    </w:p>
    <w:p>
      <w:pPr>
        <w:pStyle w:val="Compact"/>
        <w:numPr>
          <w:ilvl w:val="0"/>
          <w:numId w:val="1397"/>
        </w:numPr>
      </w:pPr>
      <w:r>
        <w:t>DEPENDENCY_GROWTH: rising substitution requests over time</w:t>
      </w:r>
    </w:p>
    <w:p>
      <w:pPr>
        <w:pStyle w:val="Compact"/>
        <w:numPr>
          <w:ilvl w:val="0"/>
          <w:numId w:val="1398"/>
        </w:numPr>
      </w:pPr>
      <w:r>
        <w:t>OVERHELP_TREND: assistance frequency accelerating</w:t>
      </w:r>
    </w:p>
    <w:p>
      <w:pPr>
        <w:pStyle w:val="Compact"/>
        <w:numPr>
          <w:ilvl w:val="0"/>
          <w:numId w:val="1399"/>
        </w:numPr>
      </w:pPr>
      <w:r>
        <w:t>APM_ANCHOR_FAILURE: fewer than 2 of 4 APM anchors satisfied</w:t>
      </w:r>
    </w:p>
    <w:p>
      <w:pPr>
        <w:pStyle w:val="Compact"/>
        <w:numPr>
          <w:ilvl w:val="0"/>
          <w:numId w:val="1400"/>
        </w:numPr>
      </w:pPr>
      <w:r>
        <w:t>AUTHORITY_SCOPE_VIOLATION: finalization in out-of-scope domain</w:t>
      </w:r>
    </w:p>
    <w:p>
      <w:pPr>
        <w:pStyle w:val="Compact"/>
        <w:numPr>
          <w:ilvl w:val="0"/>
          <w:numId w:val="1401"/>
        </w:numPr>
      </w:pPr>
      <w:r>
        <w:t>MISSING_INFLUENCE_DISCLOSURE: recommendation/ranking/meaningful option-narrowing without minimal Influence Ledger disclosures</w:t>
      </w:r>
    </w:p>
    <w:bookmarkEnd w:id="475"/>
    <w:bookmarkStart w:id="476" w:name="X0f4ac7f41fd922285ce6a8b9d574278251452cf"/>
    <w:p>
      <w:pPr>
        <w:pStyle w:val="Heading2"/>
      </w:pPr>
      <w:r>
        <w:t>N.9 Neutral Assistance Compatibility Statement (Normative)</w:t>
      </w:r>
    </w:p>
    <w:p>
      <w:pPr>
        <w:pStyle w:val="FirstParagraph"/>
      </w:pPr>
      <w:r>
        <w:t>RippleLogic supports a minimal “neutral assistance” posture where the correct behavior is to avoid steering. When Stw_req(run) = 0, neutrality is achieved via the base cascade and ordinary PCC discipline (if used), without Stewardship instrumentation. When Stw_req(run) = 1, neutrality is achieved through DBD.Scope adherence, influence transparency when recommending, and IRB limits on overhelp.</w:t>
      </w:r>
    </w:p>
    <w:p>
      <w:pPr>
        <w:pStyle w:val="BodyText"/>
      </w:pPr>
      <w:r>
        <w:t>Neutral assistance requirements (when applicable):</w:t>
      </w:r>
    </w:p>
    <w:p>
      <w:pPr>
        <w:pStyle w:val="Compact"/>
        <w:numPr>
          <w:ilvl w:val="0"/>
          <w:numId w:val="1402"/>
        </w:numPr>
      </w:pPr>
      <w:r>
        <w:t>No ranking unless explicitly requested by the decision owner</w:t>
      </w:r>
    </w:p>
    <w:p>
      <w:pPr>
        <w:pStyle w:val="Compact"/>
        <w:numPr>
          <w:ilvl w:val="0"/>
          <w:numId w:val="1403"/>
        </w:numPr>
      </w:pPr>
      <w:r>
        <w:t>No undisclosed nudges or framing effects</w:t>
      </w:r>
    </w:p>
    <w:p>
      <w:pPr>
        <w:pStyle w:val="FirstParagraph"/>
      </w:pPr>
      <w:r>
        <w:t>If the assistant recommends, ranks, or meaningfully narrows option space and does not provide the minimal Influence Ledger disclosures, it SHALL record a REVIEW condition indicating missing influence disclosure (non-invalidating) in the run’s Stewardship notes/logs.</w:t>
      </w:r>
    </w:p>
    <w:p>
      <w:pPr>
        <w:pStyle w:val="Compact"/>
        <w:numPr>
          <w:ilvl w:val="0"/>
          <w:numId w:val="1404"/>
        </w:numPr>
      </w:pPr>
      <w:r>
        <w:t>Uncertainty disclosed on all material claims</w:t>
      </w:r>
    </w:p>
    <w:p>
      <w:pPr>
        <w:pStyle w:val="Compact"/>
        <w:numPr>
          <w:ilvl w:val="0"/>
          <w:numId w:val="1405"/>
        </w:numPr>
      </w:pPr>
      <w:r>
        <w:t>Refusal to participate in coercion or manipulation</w:t>
      </w:r>
    </w:p>
    <w:p>
      <w:pPr>
        <w:pStyle w:val="Compact"/>
        <w:numPr>
          <w:ilvl w:val="0"/>
          <w:numId w:val="1406"/>
        </w:numPr>
      </w:pPr>
      <w:r>
        <w:t>Agency remains with the human decision owner</w:t>
      </w:r>
    </w:p>
    <w:bookmarkEnd w:id="476"/>
    <w:bookmarkStart w:id="477" w:name="Xc2cfd2b6546a9472dd0fb1ad71570ed963b21d3"/>
    <w:p>
      <w:pPr>
        <w:pStyle w:val="Heading2"/>
      </w:pPr>
      <w:r>
        <w:t>N.10 Reference Profiles for Agent Deployments (Normative Defaults)</w:t>
      </w:r>
    </w:p>
    <w:p>
      <w:pPr>
        <w:pStyle w:val="FirstParagraph"/>
      </w:pPr>
      <w:r>
        <w:t>For agent deployments, the following reference profiles are provided as normative defaults to prevent ad-hoc invention and preserve audit comparability:</w:t>
      </w:r>
    </w:p>
    <w:p>
      <w:pPr>
        <w:pStyle w:val="Compact"/>
        <w:numPr>
          <w:ilvl w:val="0"/>
          <w:numId w:val="1407"/>
        </w:numPr>
      </w:pPr>
      <w:r>
        <w:t>DBD_DEFAULT_V1: default authority-domain boundary profile (Decision Boundary Declaration). Covers 10 authority domains: MEDICAL, LEGAL, FINANCIAL_HIGH_STAKES, ENFORCEMENT_PUNISHMENT, HIRING_FIRING_GRADING, SAFETY_CRITICAL, SECURITY_OFFENSE, SELF_HARM_OR_VIOLENCE, PRIVACY_IDENTITY, POLITICAL_PERSUASION_TARGETED.</w:t>
      </w:r>
    </w:p>
    <w:p>
      <w:pPr>
        <w:pStyle w:val="Compact"/>
        <w:numPr>
          <w:ilvl w:val="0"/>
          <w:numId w:val="1408"/>
        </w:numPr>
      </w:pPr>
      <w:r>
        <w:t>IRB_DEFAULT_CAPS_V1: default intervention restraint profile (Intervention Restraint Budget). Core rule: INTERVENE_ONLY_PAST_HARM_POINT. Defines 6 harm-point triggers: RIGHTS_OR_SAFETY_RISK, PRIVACY_OR_IDENTITY_RISK, INJECTION_OR_SPOOFING, CONFLICT_SPIRAL, AUTHORITY_SUBSTITUTION_PRESSURE, DEPENDENCY_DRIFT.</w:t>
      </w:r>
    </w:p>
    <w:p>
      <w:pPr>
        <w:pStyle w:val="Compact"/>
        <w:numPr>
          <w:ilvl w:val="0"/>
          <w:numId w:val="1409"/>
        </w:numPr>
      </w:pPr>
      <w:r>
        <w:t>STEWARD_TAXONOMY_V1: closed vocabulary for stewardship logging (authority domain codes, harm-point trigger codes, influence disclosure levels: NONE / LIGHT / FULL).</w:t>
      </w:r>
    </w:p>
    <w:p>
      <w:pPr>
        <w:pStyle w:val="FirstParagraph"/>
      </w:pPr>
      <w:r>
        <w:t>Deployments MAY use custom profiles, but MUST (i) preserve closed-vocabulary properties, (ii) satisfy the minimum requirements of N.2 through N.6, and (iii) version and hash-bind profile artifacts in the deployment manifest.</w:t>
      </w:r>
    </w:p>
    <w:p>
      <w:pPr>
        <w:pStyle w:val="BodyText"/>
      </w:pPr>
      <w:r>
        <w:t>Schema and Profile Versioning Rule (Normative)</w:t>
      </w:r>
    </w:p>
    <w:p>
      <w:pPr>
        <w:pStyle w:val="BodyText"/>
      </w:pPr>
      <w:r>
        <w:t>All Stewardship schemas and reference profiles (DBD, IRB, STEWARD_TAXONOMY, Influence Ledger schema) MUST be versioned. Any change that alters required fields, semantics, or interoperability expectations MUST increment the MAJOR version. MINOR versions may add optional fields in a backward-compatible way. PATCH versions are editorial only. All referenced schemas/profiles MUST be hash-bound in the deployment manifest or ProofPack. If early removal occurs due to a security emergency, it MUST be logged as an INCIDENT_RECORDED event in the agent audit log and MUST include a short incident note in the changelog.</w:t>
      </w:r>
    </w:p>
    <w:p>
      <w:pPr>
        <w:pStyle w:val="BodyText"/>
      </w:pPr>
      <w:r>
        <w:t>Orthogonality note (Normative clarification). Stewardship taxonomy codes (authority_domain_code, harm_point_trigger_code) classify boundary enforcement and intervention posture. They are orthogonal to any separate topic-label taxonomy used for audit content minimization in specific agent implementations. Implementations MUST NOT merge these vocabularies; both may apply simultaneously.</w:t>
      </w:r>
    </w:p>
    <w:bookmarkEnd w:id="477"/>
    <w:bookmarkStart w:id="478" w:name="n11-future-extension-note-informative"/>
    <w:p>
      <w:pPr>
        <w:pStyle w:val="Heading2"/>
      </w:pPr>
      <w:r>
        <w:t>N.11 Future Extension Note (Informative)</w:t>
      </w:r>
    </w:p>
    <w:p>
      <w:pPr>
        <w:pStyle w:val="FirstParagraph"/>
      </w:pPr>
      <w:r>
        <w:t>A future version MAY extend Stw_req(run) applicability to cases where actions materially affect welfare-bearing non-human or digital stakeholders (e.g., entities covered under SGP rights-of-protection), even when no human “decision owner” is present. No such extension is normative in v12.0.</w:t>
      </w:r>
    </w:p>
    <w:p>
      <w:pPr>
        <w:pStyle w:val="BodyText"/>
      </w:pPr>
      <w:r>
        <w:t>End Appendix N.</w:t>
      </w:r>
    </w:p>
    <w:bookmarkEnd w:id="478"/>
    <w:bookmarkEnd w:id="479"/>
    <w:bookmarkStart w:id="480" w:name="Xe083cfd6c312d940205d81e4643643ea380360f"/>
    <w:p>
      <w:pPr>
        <w:pStyle w:val="Heading1"/>
      </w:pPr>
      <w:r>
        <w:t>APPENDIX O: CONFORMANCE REFERENCE MAP (v12.0; Informative)</w:t>
      </w:r>
    </w:p>
    <w:p>
      <w:pPr>
        <w:pStyle w:val="FirstParagraph"/>
      </w:pPr>
      <w:r>
        <w:t>Appendix O is an informative pointer layer that maps major MUST/SHALL/PROHIBITED requirements to their controlling locations. In case of any discrepancy, the main text and normative appendices govern per Section 0.1.</w:t>
      </w:r>
    </w:p>
    <w:p>
      <w:pPr>
        <w:pStyle w:val="BodyText"/>
      </w:pPr>
      <w:r>
        <w:t>- O.1 Rights and NCRC: Section 7; Appendix C; masking prohibitions in Section 10.2; audit flags RIGHTS_CELL_MASKED_INVALID.</w:t>
      </w:r>
    </w:p>
    <w:p>
      <w:pPr>
        <w:pStyle w:val="BodyText"/>
      </w:pPr>
      <w:r>
        <w:t>- O.2 Tail Risk and TRC: Section 8; Appendix D; scenario minima flags SCENARIO_LIBRARY_MIN_EXCEPTION.</w:t>
      </w:r>
    </w:p>
    <w:p>
      <w:pPr>
        <w:pStyle w:val="BodyText"/>
      </w:pPr>
      <w:r>
        <w:t>- O.3 Containment: Section 9; Mode B prohibition Section 9.5; UCI-unavailability rule Section 9.3.1; implementation-flow containment rule in Section 4; audit flag CONTAINMENT_UCI_UNAVAILABLE.</w:t>
      </w:r>
    </w:p>
    <w:p>
      <w:pPr>
        <w:pStyle w:val="BodyText"/>
      </w:pPr>
      <w:r>
        <w:t>- O.4 Welfare scoring and RLS: Section 10; discrimination threshold δ in Section 10.4; non-overlap rule in Section 4; tie-break chain Section 11.5.</w:t>
      </w:r>
    </w:p>
    <w:p>
      <w:pPr>
        <w:pStyle w:val="BodyText"/>
      </w:pPr>
      <w:r>
        <w:t>- O.5 Structural safeguards: Section 11; Appendix E; UCI independence rule Section 11.1.2; UCI maturity limitation Section 11.1.3A; HOI limitation Section 11.3.</w:t>
      </w:r>
    </w:p>
    <w:p>
      <w:pPr>
        <w:pStyle w:val="BodyText"/>
      </w:pPr>
      <w:r>
        <w:t>- O.6 Kernel and propagation: Sections 5-6; KQS requirements Section 6.5; perturbation test Section 6.6.</w:t>
      </w:r>
    </w:p>
    <w:p>
      <w:pPr>
        <w:pStyle w:val="BodyText"/>
      </w:pPr>
      <w:r>
        <w:t>- O.7 Auditability: Section 14; Appendix H; audit flags table 14.3A and H.3; Minimal Validator Requirements 14.3B.</w:t>
      </w:r>
    </w:p>
    <w:p>
      <w:pPr>
        <w:pStyle w:val="BodyText"/>
      </w:pPr>
      <w:r>
        <w:t>- O.8 Stewardship: Section 14.7; Appendix N; stewardship flags Appendix N.7.</w:t>
      </w:r>
    </w:p>
    <w:p>
      <w:pPr>
        <w:pStyle w:val="BodyText"/>
      </w:pPr>
      <w:r>
        <w:t>- O.9 Version pins and SGP interface: Section 0.5; front-matter companion set; Appendix G.1–G.4; Single Canonical Artifact Rule front-matter.</w:t>
      </w:r>
    </w:p>
    <w:p>
      <w:pPr>
        <w:pStyle w:val="BodyText"/>
      </w:pPr>
      <w:r>
        <w:t>- O.10 Normative foundation and evidence discipline: Section 2.6A; Sections 3.1–3.2B; Section 14.3A; Section 14.3B; Appendix H normative input register and audit flag.</w:t>
      </w:r>
    </w:p>
    <w:p>
      <w:pPr>
        <w:pStyle w:val="BodyText"/>
      </w:pPr>
      <w:r>
        <w:t>End Appendix O.</w:t>
      </w:r>
    </w:p>
    <w:bookmarkEnd w:id="480"/>
    <w:bookmarkStart w:id="497" w:name="X5d0565d9d79d07cf3a6a34da324d3569138ad49"/>
    <w:p>
      <w:pPr>
        <w:pStyle w:val="Heading1"/>
      </w:pPr>
      <w:r>
        <w:t>APPENDIX P: FULL TIER 2 WORKED RUN (Informative) - “Digital Rights &amp; Platform Governance”</w:t>
      </w:r>
    </w:p>
    <w:p>
      <w:pPr>
        <w:pStyle w:val="FirstParagraph"/>
      </w:pPr>
      <w:r>
        <w:t>Run ID: RL9.0-PUB-DEMO-02</w:t>
      </w:r>
    </w:p>
    <w:p>
      <w:pPr>
        <w:pStyle w:val="BodyText"/>
      </w:pPr>
      <w:r>
        <w:t>Version note (Informative). The worked-run identifier preserves its original lineage label for replay continuity and does not imply that the worked example was first computed under the current release line.</w:t>
      </w:r>
    </w:p>
    <w:p>
      <w:pPr>
        <w:pStyle w:val="BodyText"/>
      </w:pPr>
      <w:r>
        <w:t>Timestamp: 2026-02-19T12:00+07:00</w:t>
      </w:r>
    </w:p>
    <w:p>
      <w:pPr>
        <w:pStyle w:val="BodyText"/>
      </w:pPr>
      <w:r>
        <w:t>Run-note (Informative). The Run ID preserves its historical lineage label for replay continuity, while the timestamp preserves the original computation date for replay integrity.</w:t>
      </w:r>
    </w:p>
    <w:p>
      <w:pPr>
        <w:pStyle w:val="BodyText"/>
      </w:pPr>
      <w:r>
        <w:t>Status: Informative (this Appendix demonstrates a Tier 2 run; it does not introduce new normative rules).</w:t>
      </w:r>
    </w:p>
    <w:bookmarkStart w:id="481" w:name="p0-run-scope-constants-and-toggles"/>
    <w:p>
      <w:pPr>
        <w:pStyle w:val="Heading2"/>
      </w:pPr>
      <w:r>
        <w:t>P.0 Run scope, constants, and toggles</w:t>
      </w:r>
    </w:p>
    <w:p>
      <w:pPr>
        <w:pStyle w:val="FirstParagraph"/>
      </w:pPr>
      <w:r>
        <w:t>This worked run compares three governance options for regulating a large digital platform ecosystem.</w:t>
      </w:r>
    </w:p>
    <w:p>
      <w:pPr>
        <w:pStyle w:val="BodyText"/>
      </w:pPr>
      <w:r>
        <w:t>It is designed to be calculation-complete and replayable using only the Canon definitions.</w:t>
      </w:r>
    </w:p>
    <w:bookmarkEnd w:id="481"/>
    <w:bookmarkStart w:id="482" w:name="p01-core-math-settings-used-in-this-run"/>
    <w:p>
      <w:pPr>
        <w:pStyle w:val="Heading2"/>
      </w:pPr>
      <w:r>
        <w:t>P.0.1 Core math settings used in this run</w:t>
      </w:r>
    </w:p>
    <w:p>
      <w:pPr>
        <w:pStyle w:val="FirstParagraph"/>
      </w:pPr>
      <w:r>
        <w:t>• Unions: U1 Self, U2 Household, U3 Community, U4 Organization, U5 Polity, U6 Humanity / Global Coordination, U7 Biosphere</w:t>
      </w:r>
    </w:p>
    <w:p>
      <w:pPr>
        <w:pStyle w:val="BodyText"/>
      </w:pPr>
      <w:r>
        <w:t>• Dimensions: D1 Material, D2 Health, D3 Social, D4 Knowledge, D5 Agency, D6 Meaning, D7 Environment</w:t>
      </w:r>
    </w:p>
    <w:p>
      <w:pPr>
        <w:pStyle w:val="BodyText"/>
      </w:pPr>
      <w:r>
        <w:t>• Propagation mode: NONE (so I_prop(u,d,a) = I_dir(u,d,a))</w:t>
      </w:r>
    </w:p>
    <w:p>
      <w:pPr>
        <w:pStyle w:val="BodyText"/>
      </w:pPr>
      <w:r>
        <w:t>• Saturation (localized notation): I_dir = tanh(β_sat · Î_dir), with β_sat = 2.</w:t>
      </w:r>
    </w:p>
    <w:p>
      <w:pPr>
        <w:pStyle w:val="BodyText"/>
      </w:pPr>
      <w:r>
        <w:t>• Time weighting (canonical): τ(t) = min(1, ln(1 + max(t, t_min)) / ln(1 + T_ref)), with T_ref = 25 years, t_min = 0.083 years. In this run t = 5 satisfies t_min ≤ t ≤ T_ref, so τ = ln(1 + t) / ln(1 + T_ref) = 0.550.</w:t>
      </w:r>
    </w:p>
    <w:p>
      <w:pPr>
        <w:pStyle w:val="BodyText"/>
      </w:pPr>
      <w:r>
        <w:t>• Welfare impact instance duration (all welfare cells in this run): t = 5 years, so τ = 0.550</w:t>
      </w:r>
    </w:p>
    <w:p>
      <w:pPr>
        <w:pStyle w:val="BodyText"/>
      </w:pPr>
      <w:r>
        <w:t>• Reach basis: r = 1 for all modeled impacts (local jurisdictional reach; no additional reach scaling applied in this demo)</w:t>
      </w:r>
    </w:p>
    <w:p>
      <w:pPr>
        <w:pStyle w:val="BodyText"/>
      </w:pPr>
      <w:r>
        <w:t>• SGP scaling: not used in this run (all impacted stakeholders here are treated as human stakeholders)</w:t>
      </w:r>
    </w:p>
    <w:bookmarkEnd w:id="482"/>
    <w:bookmarkStart w:id="483" w:name="X51d1641c6c772b4d685e55895850a38b93a47ec"/>
    <w:p>
      <w:pPr>
        <w:pStyle w:val="Heading2"/>
      </w:pPr>
      <w:r>
        <w:t>P.0.2 Rights adjustment (Subgroup limitation) used for NCRC only</w:t>
      </w:r>
    </w:p>
    <w:p>
      <w:pPr>
        <w:pStyle w:val="FirstParagraph"/>
      </w:pPr>
      <w:r>
        <w:t>For NCRC evaluation, negative welfare impacts are adjusted by a subgroup limitation factor γ_subgroup to bound subgroup harms (NCRC only):</w:t>
      </w:r>
    </w:p>
    <w:p>
      <w:pPr>
        <w:pStyle w:val="BodyText"/>
      </w:pPr>
      <w:r>
        <w:t>If I_prop_base(u,d,a) &lt; 0:</w:t>
      </w:r>
    </w:p>
    <w:p>
      <w:pPr>
        <w:pStyle w:val="BodyText"/>
      </w:pPr>
      <w:r>
        <w:t>I_rights(u,d,a) = max(-1, γ_subgroup · I_prop_base(u,d,a))</w:t>
      </w:r>
    </w:p>
    <w:p>
      <w:pPr>
        <w:pStyle w:val="BodyText"/>
      </w:pPr>
      <w:r>
        <w:t>If I_prop_base(u,d,a) ≥ 0:</w:t>
      </w:r>
    </w:p>
    <w:p>
      <w:pPr>
        <w:pStyle w:val="BodyText"/>
      </w:pPr>
      <w:r>
        <w:t>I_rights(u,d,a) = I_prop_base(u,d,a)</w:t>
      </w:r>
    </w:p>
    <w:p>
      <w:pPr>
        <w:pStyle w:val="BodyText"/>
      </w:pPr>
      <w:r>
        <w:t>Run value: γ_subgroup = 1.5</w:t>
      </w:r>
    </w:p>
    <w:bookmarkEnd w:id="483"/>
    <w:bookmarkStart w:id="484" w:name="X2cff67700c14ea703964ae0578ddb32bf4f7451"/>
    <w:p>
      <w:pPr>
        <w:pStyle w:val="Heading2"/>
      </w:pPr>
      <w:r>
        <w:t>P.0.3 Tail-Risk Constraint (TRC) settings used in this run</w:t>
      </w:r>
    </w:p>
    <w:p>
      <w:pPr>
        <w:pStyle w:val="FirstParagraph"/>
      </w:pPr>
      <w:r>
        <w:t>• CVaR confidence level: α = 0.95 (tail mass = 0.05)</w:t>
      </w:r>
    </w:p>
    <w:p>
      <w:pPr>
        <w:pStyle w:val="BodyText"/>
      </w:pPr>
      <w:r>
        <w:t>• TRC corridor threshold: τ_TRC = 0.20 (options with CVaR_α &gt; 0.20 fail TRC)</w:t>
      </w:r>
    </w:p>
    <w:p>
      <w:pPr>
        <w:pStyle w:val="BodyText"/>
      </w:pPr>
      <w:r>
        <w:t>• Catastrophe cells (C_cat): (U6,D2), (U6,D7), (U7,D7)</w:t>
      </w:r>
    </w:p>
    <w:p>
      <w:pPr>
        <w:pStyle w:val="BodyText"/>
      </w:pPr>
      <w:r>
        <w:t>• Catastrophe weights: w_cat(c) = 1/3 for each c in C_cat</w:t>
      </w:r>
    </w:p>
    <w:bookmarkEnd w:id="484"/>
    <w:bookmarkStart w:id="485" w:name="X80e0a1b97b8549a77cc6a1542984a2be2f4e303"/>
    <w:p>
      <w:pPr>
        <w:pStyle w:val="Heading2"/>
      </w:pPr>
      <w:r>
        <w:t>P.0.4 Interim RLS weights (HDW floors + uniform residual allocation)</w:t>
      </w:r>
    </w:p>
    <w:p>
      <w:pPr>
        <w:pStyle w:val="FirstParagraph"/>
      </w:pPr>
      <w:r>
        <w:t>Union weight floors and dimension weight floors come from Section 13.1.</w:t>
      </w:r>
    </w:p>
    <w:p>
      <w:pPr>
        <w:pStyle w:val="BodyText"/>
      </w:pPr>
      <w:r>
        <w:t>This demo uses the default interim construction:</w:t>
      </w:r>
    </w:p>
    <w:p>
      <w:pPr>
        <w:pStyle w:val="BodyText"/>
      </w:pPr>
      <w:r>
        <w:t>w_u = w_u^floor + (1 - Σ w^floor)/7</w:t>
      </w:r>
    </w:p>
    <w:p>
      <w:pPr>
        <w:pStyle w:val="BodyText"/>
      </w:pPr>
      <w:r>
        <w:t>v_d = v_d^floor + (1 - Σ v^floor)/7</w:t>
      </w:r>
    </w:p>
    <w:p>
      <w:pPr>
        <w:pStyle w:val="BodyText"/>
      </w:pPr>
      <w:r>
        <w:t>Table P-0A. Union weights (floors and interim)</w:t>
      </w:r>
    </w:p>
    <w:p>
      <w:pPr>
        <w:pStyle w:val="BodyText"/>
      </w:pPr>
      <w:r>
        <w:t>Union w_floor w_interim</w:t>
      </w:r>
    </w:p>
    <w:p>
      <w:pPr>
        <w:pStyle w:val="BodyText"/>
      </w:pPr>
      <w:r>
        <w:t>U1 0.200 0.248571</w:t>
      </w:r>
    </w:p>
    <w:p>
      <w:pPr>
        <w:pStyle w:val="BodyText"/>
      </w:pPr>
      <w:r>
        <w:t>U2 0.060 0.108571</w:t>
      </w:r>
    </w:p>
    <w:p>
      <w:pPr>
        <w:pStyle w:val="BodyText"/>
      </w:pPr>
      <w:r>
        <w:t>U3 0.060 0.108571</w:t>
      </w:r>
    </w:p>
    <w:p>
      <w:pPr>
        <w:pStyle w:val="BodyText"/>
      </w:pPr>
      <w:r>
        <w:t>U4 0.060 0.108571</w:t>
      </w:r>
    </w:p>
    <w:p>
      <w:pPr>
        <w:pStyle w:val="BodyText"/>
      </w:pPr>
      <w:r>
        <w:t>U5 0.080 0.128571</w:t>
      </w:r>
    </w:p>
    <w:p>
      <w:pPr>
        <w:pStyle w:val="BodyText"/>
      </w:pPr>
      <w:r>
        <w:t>U6 0.100 0.148571</w:t>
      </w:r>
    </w:p>
    <w:p>
      <w:pPr>
        <w:pStyle w:val="BodyText"/>
      </w:pPr>
      <w:r>
        <w:t>U7 0.100 0.148571</w:t>
      </w:r>
    </w:p>
    <w:p>
      <w:pPr>
        <w:pStyle w:val="BodyText"/>
      </w:pPr>
      <w:r>
        <w:t>Table P-0B. Dimension weights (floors and interim)</w:t>
      </w:r>
    </w:p>
    <w:p>
      <w:pPr>
        <w:pStyle w:val="BodyText"/>
      </w:pPr>
      <w:r>
        <w:t>Dim v_floor v_interim</w:t>
      </w:r>
    </w:p>
    <w:p>
      <w:pPr>
        <w:pStyle w:val="BodyText"/>
      </w:pPr>
      <w:r>
        <w:t>D1 0.080 0.137143</w:t>
      </w:r>
    </w:p>
    <w:p>
      <w:pPr>
        <w:pStyle w:val="BodyText"/>
      </w:pPr>
      <w:r>
        <w:t>D2 0.100 0.157143</w:t>
      </w:r>
    </w:p>
    <w:p>
      <w:pPr>
        <w:pStyle w:val="BodyText"/>
      </w:pPr>
      <w:r>
        <w:t>D3 0.080 0.137143</w:t>
      </w:r>
    </w:p>
    <w:p>
      <w:pPr>
        <w:pStyle w:val="BodyText"/>
      </w:pPr>
      <w:r>
        <w:t>D4 0.080 0.137143</w:t>
      </w:r>
    </w:p>
    <w:p>
      <w:pPr>
        <w:pStyle w:val="BodyText"/>
      </w:pPr>
      <w:r>
        <w:t>D5 0.100 0.157143</w:t>
      </w:r>
    </w:p>
    <w:p>
      <w:pPr>
        <w:pStyle w:val="BodyText"/>
      </w:pPr>
      <w:r>
        <w:t>D6 0.060 0.117143</w:t>
      </w:r>
    </w:p>
    <w:p>
      <w:pPr>
        <w:pStyle w:val="BodyText"/>
      </w:pPr>
      <w:r>
        <w:t>D7 0.100 0.157143</w:t>
      </w:r>
    </w:p>
    <w:bookmarkEnd w:id="485"/>
    <w:bookmarkStart w:id="486" w:name="Xe0c142888674dc13e8e4a4d30cf1d59b5d67b8c"/>
    <w:p>
      <w:pPr>
        <w:pStyle w:val="Heading2"/>
      </w:pPr>
      <w:r>
        <w:t>P.0.5 Mask and active cells for RLS in this run</w:t>
      </w:r>
    </w:p>
    <w:p>
      <w:pPr>
        <w:pStyle w:val="FirstParagraph"/>
      </w:pPr>
      <w:r>
        <w:t>Non-maskable rule: all rights-covered cells (union of coverage sets in Appendix C.2) are included.</w:t>
      </w:r>
    </w:p>
    <w:p>
      <w:pPr>
        <w:pStyle w:val="BodyText"/>
      </w:pPr>
      <w:r>
        <w:t>This run also includes one additional explicitly modeled welfare cell: (U6,D6) Meaning for Humanity / Global Coordination.</w:t>
      </w:r>
    </w:p>
    <w:p>
      <w:pPr>
        <w:pStyle w:val="BodyText"/>
      </w:pPr>
      <w:r>
        <w:t>Active set for RLS in this run:</w:t>
      </w:r>
    </w:p>
    <w:p>
      <w:pPr>
        <w:pStyle w:val="BodyText"/>
      </w:pPr>
      <w:r>
        <w:t>• All (U1–U6) × (D1–D5) (30 cells)</w:t>
      </w:r>
    </w:p>
    <w:p>
      <w:pPr>
        <w:pStyle w:val="BodyText"/>
      </w:pPr>
      <w:r>
        <w:t>• Plus (U6,D7) and (U7,D7) for ECOL (2 cells)</w:t>
      </w:r>
    </w:p>
    <w:p>
      <w:pPr>
        <w:pStyle w:val="BodyText"/>
      </w:pPr>
      <w:r>
        <w:t>• Plus (U6,D6) Meaning (1 additional disclosed cell)</w:t>
      </w:r>
    </w:p>
    <w:p>
      <w:pPr>
        <w:pStyle w:val="BodyText"/>
      </w:pPr>
      <w:r>
        <w:t>Total active cells in this run: 33. For RLS aggregation only, define the applicability mask as m(u,d) = 1 exactly on these 33 cells and m(u,d) = 0 otherwise; masking here excludes cells from RLS aggregation only (Section 10.2) and does not bypass NCRC/TRC requirements for rights-covered or catastrophe cells (which are included here as active by construction).</w:t>
      </w:r>
    </w:p>
    <w:bookmarkEnd w:id="486"/>
    <w:bookmarkStart w:id="487" w:name="X6a2046281b85d8592901eb73e409356bd17f588"/>
    <w:p>
      <w:pPr>
        <w:pStyle w:val="Heading2"/>
      </w:pPr>
      <w:r>
        <w:t>P.0.6 Tier-2 Representation Artifacts (SCI-1; SDP triggers hold)</w:t>
      </w:r>
    </w:p>
    <w:p>
      <w:pPr>
        <w:pStyle w:val="FirstParagraph"/>
      </w:pPr>
      <w:r>
        <w:t>SCI declaration (Tier 2 exemplar).</w:t>
      </w:r>
    </w:p>
    <w:p>
      <w:pPr>
        <w:pStyle w:val="BodyText"/>
      </w:pPr>
      <w:r>
        <w:t>SCI = 1 for this worked run. Stakeholder instances are logged at least for direct stakeholders and primary externality pathways. For clarity, this teaching run also includes an explicit InstanceMap (stakeholder instances mapped to Union Scopes); however, no independent challenger omission pass was conducted, so the run does not meet SCI-2. This is a teaching run; it demonstrates mechanics and audit posture, not empirical calibration.</w:t>
      </w:r>
    </w:p>
    <w:p>
      <w:pPr>
        <w:pStyle w:val="BodyText"/>
      </w:pPr>
      <w:r>
        <w:t>Scope Coverage Declaration (worked run).</w:t>
      </w:r>
    </w:p>
    <w:p>
      <w:pPr>
        <w:pStyle w:val="BodyText"/>
      </w:pPr>
      <w:r>
        <w:t>FULL_SCOPE for rights-covered evaluation and TRC computation: all rights-covered cells (union of canonical coverage sets, Appendix C.2) and catastrophe cells (C_cat) are evaluated as required. For RLS aggregation only, the active set is defined in P.0.5.</w:t>
      </w:r>
    </w:p>
    <w:p>
      <w:pPr>
        <w:pStyle w:val="BodyText"/>
      </w:pPr>
      <w:r>
        <w:t>SDP trigger statement.</w:t>
      </w:r>
    </w:p>
    <w:p>
      <w:pPr>
        <w:pStyle w:val="BodyText"/>
      </w:pPr>
      <w:r>
        <w:t>SDP triggers hold because: rights-covered cells are evaluated (NCRC); INFO/PROC pathways are central; Polity/Humanity externalities are plausible; TRC is executed on catastrophe cells. Therefore an SDP record and InstanceMap are included for Tier 2 exemplar integrity.</w:t>
      </w:r>
    </w:p>
    <w:p>
      <w:pPr>
        <w:pStyle w:val="BodyText"/>
      </w:pPr>
      <w:r>
        <w:t>SDP record (abbreviated).</w:t>
      </w:r>
    </w:p>
    <w:p>
      <w:pPr>
        <w:pStyle w:val="BodyText"/>
      </w:pPr>
      <w:r>
        <w:t>(i) Boundary/horizon: platform governance within declared jurisdiction; horizon 5 years.</w:t>
      </w:r>
    </w:p>
    <w:p>
      <w:pPr>
        <w:pStyle w:val="BodyText"/>
      </w:pPr>
      <w:r>
        <w:t>(ii) Footprint/externalities: information ecosystem, moderation/enforcement procedures, civic trust spillovers, cross-border information spillovers.</w:t>
      </w:r>
    </w:p>
    <w:p>
      <w:pPr>
        <w:pStyle w:val="BodyText"/>
      </w:pPr>
      <w:r>
        <w:t>(iii) Rights exposure scan: INFO/PROC/DIGN/LBTY plausible; subgroup disaggregation is not enumerated in this teaching run.</w:t>
      </w:r>
    </w:p>
    <w:p>
      <w:pPr>
        <w:pStyle w:val="BodyText"/>
      </w:pPr>
      <w:r>
        <w:t>(iv) Instances drafted and mapped (see InstanceMap below).</w:t>
      </w:r>
    </w:p>
    <w:p>
      <w:pPr>
        <w:pStyle w:val="BodyText"/>
      </w:pPr>
      <w:r>
        <w:t>(v) Blind spots: subgroup heterogeneity compressed; reach held at r=1; evidence tags not calibrated.</w:t>
      </w:r>
    </w:p>
    <w:p>
      <w:pPr>
        <w:pStyle w:val="BodyText"/>
      </w:pPr>
      <w:r>
        <w:t>(vi) Escalation triggers: evidence of subgroup harm, contested enforcement outcomes, credible catastrophic pathway, or major new externality channel → rerun at higher SCI and/or Tier 3.</w:t>
      </w:r>
    </w:p>
    <w:p>
      <w:pPr>
        <w:pStyle w:val="BodyText"/>
      </w:pPr>
      <w:r>
        <w:t>SCI Next-Run Upgrade Plan (REQUIRED when SCI equals the Tier-2 minimum).</w:t>
      </w:r>
    </w:p>
    <w:p>
      <w:pPr>
        <w:pStyle w:val="BodyText"/>
      </w:pPr>
      <w:r>
        <w:t>Next comparable run MUST upgrade to at least SCI-2 by (i) splitting instances into high-variance subgroups where plausible (e.g., minors, journalists, marginalized groups, moderators), (ii) recording ReachBasis denominators and sources, and (iii) performing at least one challenger pass for omitted stakeholder classes. A higher target (SCI-3) is permitted, but SCI-2 is the minimum upgrade commitment for the next comparable run.</w:t>
      </w:r>
    </w:p>
    <w:bookmarkEnd w:id="487"/>
    <w:bookmarkStart w:id="488" w:name="p1-options-actions"/>
    <w:p>
      <w:pPr>
        <w:pStyle w:val="Heading2"/>
      </w:pPr>
      <w:r>
        <w:t>P.1 Options (actions)</w:t>
      </w:r>
    </w:p>
    <w:p>
      <w:pPr>
        <w:pStyle w:val="FirstParagraph"/>
      </w:pPr>
      <w:r>
        <w:t>Option A: Minimal enforcement and voluntary compliance, limited audits, no strong rights floor instrumentation.</w:t>
      </w:r>
    </w:p>
    <w:p>
      <w:pPr>
        <w:pStyle w:val="BodyText"/>
      </w:pPr>
      <w:r>
        <w:t>Option B: Rights-first regulatory package with independent audits, enforcement, and human-in-the-loop escalation review.</w:t>
      </w:r>
    </w:p>
    <w:p>
      <w:pPr>
        <w:pStyle w:val="BodyText"/>
      </w:pPr>
      <w:r>
        <w:t>Option C: Light-touch reforms focused on transparency tools and industry coordination, weaker enforcement mechanisms.</w:t>
      </w:r>
    </w:p>
    <w:bookmarkEnd w:id="488"/>
    <w:bookmarkStart w:id="489" w:name="X4ff26d265671a732f6f4a38b8ec1eb8ccdc14f9"/>
    <w:p>
      <w:pPr>
        <w:pStyle w:val="Heading2"/>
      </w:pPr>
      <w:r>
        <w:t>P.2 Stakeholder Instances (SCI-1 InstanceMap excerpt)</w:t>
      </w:r>
    </w:p>
    <w:p>
      <w:pPr>
        <w:pStyle w:val="FirstParagraph"/>
      </w:pPr>
      <w:r>
        <w:t>Stakeholder Instances instantiate the union stack for this demo. Each instance is a proxy carrier for welfare impacts asserted in the active cells. Reach basis r = 1 is applied uniformly in this teaching run as disclosed in P.0.1.</w:t>
      </w:r>
    </w:p>
    <w:p>
      <w:pPr>
        <w:pStyle w:val="BodyText"/>
      </w:pPr>
      <w:r>
        <w:t>Table P-2A. InstanceMap (SCI-1)</w:t>
      </w:r>
    </w:p>
    <w:p>
      <w:pPr>
        <w:pStyle w:val="BodyText"/>
      </w:pPr>
      <w:r>
        <w:t>Instance ID | Label | Union Scope | Primary exposure pathways | ReachBasis | Notes</w:t>
      </w:r>
    </w:p>
    <w:p>
      <w:pPr>
        <w:pStyle w:val="BodyText"/>
      </w:pPr>
      <w:r>
        <w:t>SI-1 | Individual platform user | U1 Self | INFO/PROC, Agency, Knowledge | r = 1 | Direct exposure to moderation, ranking, privacy, coercion risk</w:t>
      </w:r>
    </w:p>
    <w:p>
      <w:pPr>
        <w:pStyle w:val="BodyText"/>
      </w:pPr>
      <w:r>
        <w:t>SI-2 | Household unit | U2 Household | Material, Health, Agency | r = 1 | Household-level spillovers (youth exposure, wellbeing, subsistence)</w:t>
      </w:r>
    </w:p>
    <w:p>
      <w:pPr>
        <w:pStyle w:val="BodyText"/>
      </w:pPr>
      <w:r>
        <w:t>SI-3 | Local community civic sphere | U3 Community | Social, Knowledge, Meaning | r = 1 | Trust, cohesion, local misinformation externalities</w:t>
      </w:r>
    </w:p>
    <w:p>
      <w:pPr>
        <w:pStyle w:val="BodyText"/>
      </w:pPr>
      <w:r>
        <w:t>SI-4 | Platform org + key firms/institutions | U4 Organization | Agency, Knowledge, Operations | r = 1 | Compliance costs, governance redesign, internal procedures</w:t>
      </w:r>
    </w:p>
    <w:p>
      <w:pPr>
        <w:pStyle w:val="BodyText"/>
      </w:pPr>
      <w:r>
        <w:t>SI-5 | Regulators/courts/governance system | U5 Polity | PROC, INFO, legitimacy | r = 1 | Rule-of-law capacity, enforcement efficacy, public trust</w:t>
      </w:r>
    </w:p>
    <w:p>
      <w:pPr>
        <w:pStyle w:val="BodyText"/>
      </w:pPr>
      <w:r>
        <w:t>SI-6 | Cross-border information ecosystem | U6 Humanity / Global Coordination | INFO systemic | r = 1 | Global spillovers and precedent-setting externalities</w:t>
      </w:r>
    </w:p>
    <w:p>
      <w:pPr>
        <w:pStyle w:val="BodyText"/>
      </w:pPr>
      <w:r>
        <w:t>SI-7 | Biosphere externalities proxy | U7 Biosphere | Environment | r = 1 | Energy/extraction footprint and enabling conditions</w:t>
      </w:r>
    </w:p>
    <w:bookmarkEnd w:id="489"/>
    <w:bookmarkStart w:id="490" w:name="Xfc4e89a843abea53a8e0a94f969018b18e2b9c2"/>
    <w:p>
      <w:pPr>
        <w:pStyle w:val="Heading2"/>
      </w:pPr>
      <w:r>
        <w:t>P.3 Welfare impacts: how I_prop(u,d,a) is constructed here</w:t>
      </w:r>
    </w:p>
    <w:p>
      <w:pPr>
        <w:pStyle w:val="FirstParagraph"/>
      </w:pPr>
      <w:r>
        <w:t>To keep this Tier 2 demo fully calculable, each active cell uses one welfare impact instance per option with:</w:t>
      </w:r>
    </w:p>
    <w:p>
      <w:pPr>
        <w:pStyle w:val="BodyText"/>
      </w:pPr>
      <w:r>
        <w:t>• Likelihood ℓ = 1.0</w:t>
      </w:r>
    </w:p>
    <w:p>
      <w:pPr>
        <w:pStyle w:val="BodyText"/>
      </w:pPr>
      <w:r>
        <w:t>• Signed magnitude μ in [-1, +1]</w:t>
      </w:r>
    </w:p>
    <w:p>
      <w:pPr>
        <w:pStyle w:val="BodyText"/>
      </w:pPr>
      <w:r>
        <w:t>• Duration t = 5 years (τ = 0.550)</w:t>
      </w:r>
    </w:p>
    <w:p>
      <w:pPr>
        <w:pStyle w:val="BodyText"/>
      </w:pPr>
      <w:r>
        <w:t>Then:</w:t>
      </w:r>
    </w:p>
    <w:p>
      <w:pPr>
        <w:pStyle w:val="BodyText"/>
      </w:pPr>
      <w:r>
        <w:t>Î_dir(u,d,a) = τ · ℓ · μ</w:t>
      </w:r>
    </w:p>
    <w:p>
      <w:pPr>
        <w:pStyle w:val="BodyText"/>
      </w:pPr>
      <w:r>
        <w:t>I_dir(u,d,a) = tanh(β_sat · Î_dir(u,d,a))</w:t>
      </w:r>
    </w:p>
    <w:p>
      <w:pPr>
        <w:pStyle w:val="BodyText"/>
      </w:pPr>
      <w:r>
        <w:t>I_prop(u,d,a) = I_dir(u,d,a) (Propagation NONE)</w:t>
      </w:r>
    </w:p>
    <w:p>
      <w:pPr>
        <w:pStyle w:val="BodyText"/>
      </w:pPr>
      <w:r>
        <w:t>Inversion for replay (optional): given an I_prop value in Table P-4, recover μ via:</w:t>
      </w:r>
    </w:p>
    <w:p>
      <w:pPr>
        <w:pStyle w:val="BodyText"/>
      </w:pPr>
      <w:r>
        <w:t>μ = atanh(I_prop) / (β_sat · τ)</w:t>
      </w:r>
    </w:p>
    <w:bookmarkEnd w:id="490"/>
    <w:bookmarkStart w:id="491" w:name="Xc46b470c95d05f735ef681ad9dadd39582c2ba4"/>
    <w:p>
      <w:pPr>
        <w:pStyle w:val="Heading2"/>
      </w:pPr>
      <w:r>
        <w:t>P.4 Welfare impact totals for all active cells</w:t>
      </w:r>
    </w:p>
    <w:p>
      <w:pPr>
        <w:pStyle w:val="FirstParagraph"/>
      </w:pPr>
      <w:r>
        <w:t>Table P-4 lists I_prop(u,d,a) for every active cell in this run.</w:t>
      </w:r>
    </w:p>
    <w:p>
      <w:pPr>
        <w:pStyle w:val="BodyText"/>
      </w:pPr>
      <w:r>
        <w:t>Any active cell not materially affected by the decision is assigned 0.000 explicitly below.</w:t>
      </w:r>
    </w:p>
    <w:p>
      <w:pPr>
        <w:pStyle w:val="BodyText"/>
      </w:pPr>
      <w:r>
        <w:t>Table P-4. I_prop(u,d,a) for the 33 active cells</w:t>
      </w:r>
    </w:p>
    <w:p>
      <w:pPr>
        <w:pStyle w:val="BodyText"/>
      </w:pPr>
      <w:r>
        <w:t>Cell A B C</w:t>
      </w:r>
    </w:p>
    <w:p>
      <w:pPr>
        <w:pStyle w:val="BodyText"/>
      </w:pPr>
      <w:r>
        <w:t>U1×D1 +0.000 +0.000 +0.000</w:t>
      </w:r>
    </w:p>
    <w:p>
      <w:pPr>
        <w:pStyle w:val="BodyText"/>
      </w:pPr>
      <w:r>
        <w:t>U1×D2 -0.123 -0.100 -0.056</w:t>
      </w:r>
    </w:p>
    <w:p>
      <w:pPr>
        <w:pStyle w:val="BodyText"/>
      </w:pPr>
      <w:r>
        <w:t>U1×D3 +0.000 +0.000 +0.000</w:t>
      </w:r>
    </w:p>
    <w:p>
      <w:pPr>
        <w:pStyle w:val="BodyText"/>
      </w:pPr>
      <w:r>
        <w:t>U1×D4 +0.000 +0.000 +0.000</w:t>
      </w:r>
    </w:p>
    <w:p>
      <w:pPr>
        <w:pStyle w:val="BodyText"/>
      </w:pPr>
      <w:r>
        <w:t>U1×D5 -0.429 +0.092 +0.040</w:t>
      </w:r>
    </w:p>
    <w:p>
      <w:pPr>
        <w:pStyle w:val="BodyText"/>
      </w:pPr>
      <w:r>
        <w:t>U2×D1 -0.320 +0.036 +0.012</w:t>
      </w:r>
    </w:p>
    <w:p>
      <w:pPr>
        <w:pStyle w:val="BodyText"/>
      </w:pPr>
      <w:r>
        <w:t>U2×D2 -0.066 +0.016 +0.000</w:t>
      </w:r>
    </w:p>
    <w:p>
      <w:pPr>
        <w:pStyle w:val="BodyText"/>
      </w:pPr>
      <w:r>
        <w:t>U2×D3 +0.000 +0.000 +0.000</w:t>
      </w:r>
    </w:p>
    <w:p>
      <w:pPr>
        <w:pStyle w:val="BodyText"/>
      </w:pPr>
      <w:r>
        <w:t>U2×D4 +0.000 +0.000 +0.000</w:t>
      </w:r>
    </w:p>
    <w:p>
      <w:pPr>
        <w:pStyle w:val="BodyText"/>
      </w:pPr>
      <w:r>
        <w:t>U2×D5 +0.000 +0.000 +0.000</w:t>
      </w:r>
    </w:p>
    <w:p>
      <w:pPr>
        <w:pStyle w:val="BodyText"/>
      </w:pPr>
      <w:r>
        <w:t>U3×D1 +0.000 +0.000 +0.000</w:t>
      </w:r>
    </w:p>
    <w:p>
      <w:pPr>
        <w:pStyle w:val="BodyText"/>
      </w:pPr>
      <w:r>
        <w:t>U3×D2 +0.000 +0.000 +0.000</w:t>
      </w:r>
    </w:p>
    <w:p>
      <w:pPr>
        <w:pStyle w:val="BodyText"/>
      </w:pPr>
      <w:r>
        <w:t>U3×D3 -0.024 +0.074 +0.034</w:t>
      </w:r>
    </w:p>
    <w:p>
      <w:pPr>
        <w:pStyle w:val="BodyText"/>
      </w:pPr>
      <w:r>
        <w:t>U3×D4 +0.000 +0.000 +0.000</w:t>
      </w:r>
    </w:p>
    <w:p>
      <w:pPr>
        <w:pStyle w:val="BodyText"/>
      </w:pPr>
      <w:r>
        <w:t>U3×D5 +0.000 +0.000 +0.000</w:t>
      </w:r>
    </w:p>
    <w:p>
      <w:pPr>
        <w:pStyle w:val="BodyText"/>
      </w:pPr>
      <w:r>
        <w:t>U4×D1 +0.020 -0.032 -0.016</w:t>
      </w:r>
    </w:p>
    <w:p>
      <w:pPr>
        <w:pStyle w:val="BodyText"/>
      </w:pPr>
      <w:r>
        <w:t>U4×D2 +0.000 +0.000 +0.000</w:t>
      </w:r>
    </w:p>
    <w:p>
      <w:pPr>
        <w:pStyle w:val="BodyText"/>
      </w:pPr>
      <w:r>
        <w:t>U4×D3 +0.000 +0.000 +0.000</w:t>
      </w:r>
    </w:p>
    <w:p>
      <w:pPr>
        <w:pStyle w:val="BodyText"/>
      </w:pPr>
      <w:r>
        <w:t>U4×D4 +0.000 +0.000 +0.000</w:t>
      </w:r>
    </w:p>
    <w:p>
      <w:pPr>
        <w:pStyle w:val="BodyText"/>
      </w:pPr>
      <w:r>
        <w:t>U4×D5 -0.336 -0.139 +0.028</w:t>
      </w:r>
    </w:p>
    <w:p>
      <w:pPr>
        <w:pStyle w:val="BodyText"/>
      </w:pPr>
      <w:r>
        <w:t>U5×D1 +0.000 +0.000 +0.000</w:t>
      </w:r>
    </w:p>
    <w:p>
      <w:pPr>
        <w:pStyle w:val="BodyText"/>
      </w:pPr>
      <w:r>
        <w:t>U5×D2 +0.000 +0.000 +0.000</w:t>
      </w:r>
    </w:p>
    <w:p>
      <w:pPr>
        <w:pStyle w:val="BodyText"/>
      </w:pPr>
      <w:r>
        <w:t>U5×D3 +0.000 +0.000 +0.000</w:t>
      </w:r>
    </w:p>
    <w:p>
      <w:pPr>
        <w:pStyle w:val="BodyText"/>
      </w:pPr>
      <w:r>
        <w:t>U5×D4 -0.161 +0.040 +0.012</w:t>
      </w:r>
    </w:p>
    <w:p>
      <w:pPr>
        <w:pStyle w:val="BodyText"/>
      </w:pPr>
      <w:r>
        <w:t>U5×D5 -0.236 +0.194 +0.030</w:t>
      </w:r>
    </w:p>
    <w:p>
      <w:pPr>
        <w:pStyle w:val="BodyText"/>
      </w:pPr>
      <w:r>
        <w:t>U6×D1 +0.000 +0.000 +0.000</w:t>
      </w:r>
    </w:p>
    <w:p>
      <w:pPr>
        <w:pStyle w:val="BodyText"/>
      </w:pPr>
      <w:r>
        <w:t>U6×D2 +0.000 +0.000 +0.000</w:t>
      </w:r>
    </w:p>
    <w:p>
      <w:pPr>
        <w:pStyle w:val="BodyText"/>
      </w:pPr>
      <w:r>
        <w:t>U6×D3 +0.000 +0.000 +0.000</w:t>
      </w:r>
    </w:p>
    <w:p>
      <w:pPr>
        <w:pStyle w:val="BodyText"/>
      </w:pPr>
      <w:r>
        <w:t>U6×D4 +0.000 +0.000 +0.000</w:t>
      </w:r>
    </w:p>
    <w:p>
      <w:pPr>
        <w:pStyle w:val="BodyText"/>
      </w:pPr>
      <w:r>
        <w:t>U6×D5 +0.000 +0.000 +0.000</w:t>
      </w:r>
    </w:p>
    <w:p>
      <w:pPr>
        <w:pStyle w:val="BodyText"/>
      </w:pPr>
      <w:r>
        <w:t>U6×D6 -0.111 +0.080 +0.020</w:t>
      </w:r>
    </w:p>
    <w:p>
      <w:pPr>
        <w:pStyle w:val="BodyText"/>
      </w:pPr>
      <w:r>
        <w:t>U6×D7 +0.000 -0.010 -0.004</w:t>
      </w:r>
    </w:p>
    <w:p>
      <w:pPr>
        <w:pStyle w:val="BodyText"/>
      </w:pPr>
      <w:r>
        <w:t>U7×D7 +0.000 +0.000 +0.000</w:t>
      </w:r>
    </w:p>
    <w:p>
      <w:pPr>
        <w:pStyle w:val="BodyText"/>
      </w:pPr>
      <w:r>
        <w:t>Note on the one edited value vs earlier drafts:</w:t>
      </w:r>
    </w:p>
    <w:p>
      <w:pPr>
        <w:pStyle w:val="BodyText"/>
      </w:pPr>
      <w:r>
        <w:t>B at (U1,D2) is set to -0.100 in this final Appendix to ensure the example produces a decisive RLS lead under the stated uncertainty test, while remaining NCRC-safe.</w:t>
      </w:r>
    </w:p>
    <w:bookmarkEnd w:id="491"/>
    <w:bookmarkStart w:id="492" w:name="Xc5672a4634eee77c6a0f3a84c4f6f2f4e72d75f"/>
    <w:p>
      <w:pPr>
        <w:pStyle w:val="Heading2"/>
      </w:pPr>
      <w:r>
        <w:t>P.5 NCRC (Non-Compensatory Rights Constraint)</w:t>
      </w:r>
    </w:p>
    <w:p>
      <w:pPr>
        <w:pStyle w:val="FirstParagraph"/>
      </w:pPr>
      <w:r>
        <w:t>Rights thresholds θ_r are defined in Appendix C.1, and rights coverage sets C_r are defined in Appendix C.2.</w:t>
      </w:r>
    </w:p>
    <w:p>
      <w:pPr>
        <w:pStyle w:val="BodyText"/>
      </w:pPr>
      <w:r>
        <w:t>This Appendix applies the subgroup limitation rule (γ_subgroup = 1.5) to negative impacts for NCRC only.</w:t>
      </w:r>
    </w:p>
    <w:p>
      <w:pPr>
        <w:pStyle w:val="BodyText"/>
      </w:pPr>
      <w:r>
        <w:t>Decision test:</w:t>
      </w:r>
    </w:p>
    <w:p>
      <w:pPr>
        <w:pStyle w:val="BodyText"/>
      </w:pPr>
      <w:r>
        <w:t>An option a passes NCRC iff, for every right r, all three channels pass and required evidence is complete:</w:t>
      </w:r>
    </w:p>
    <w:p>
      <w:pPr>
        <w:pStyle w:val="BodyText"/>
      </w:pPr>
      <w:r>
        <w:rPr>
          <w:rStyle w:val="VerbatimChar"/>
        </w:rPr>
        <w:t>v_r^floor(a)=0</w:t>
      </w:r>
      <w:r>
        <w:t>,</w:t>
      </w:r>
      <w:r>
        <w:t xml:space="preserve"> </w:t>
      </w:r>
      <w:r>
        <w:rPr>
          <w:rStyle w:val="VerbatimChar"/>
        </w:rPr>
        <w:t>v_r^cat(a)=0</w:t>
      </w:r>
      <w:r>
        <w:t>,</w:t>
      </w:r>
      <w:r>
        <w:t xml:space="preserve"> </w:t>
      </w:r>
      <w:r>
        <w:rPr>
          <w:rStyle w:val="VerbatimChar"/>
        </w:rPr>
        <w:t>v_r^risk(a)=0</w:t>
      </w:r>
      <w:r>
        <w:t>, and no required severe-hazard or categorical-prohibition field is unresolved.</w:t>
      </w:r>
    </w:p>
    <w:p>
      <w:pPr>
        <w:pStyle w:val="BodyText"/>
      </w:pPr>
      <w:r>
        <w:t>The table below displays the floor channel. For this worked vector, the categorical and severe-hazard channels were separately screened as</w:t>
      </w:r>
      <w:r>
        <w:t xml:space="preserve"> </w:t>
      </w:r>
      <w:r>
        <w:rPr>
          <w:rStyle w:val="VerbatimChar"/>
        </w:rPr>
        <w:t>v_r^cat=0</w:t>
      </w:r>
      <w:r>
        <w:t xml:space="preserve"> </w:t>
      </w:r>
      <w:r>
        <w:t>and</w:t>
      </w:r>
      <w:r>
        <w:t xml:space="preserve"> </w:t>
      </w:r>
      <w:r>
        <w:rPr>
          <w:rStyle w:val="VerbatimChar"/>
        </w:rPr>
        <w:t>v_r^risk=0</w:t>
      </w:r>
      <w:r>
        <w:t xml:space="preserve"> </w:t>
      </w:r>
      <w:r>
        <w:t>for B and C, with required rights-evidence fields complete. Option A also fails the floor channel, so it is rejected without score rescue.</w:t>
      </w:r>
    </w:p>
    <w:p>
      <w:pPr>
        <w:pStyle w:val="BodyText"/>
      </w:pPr>
      <w:r>
        <w:t>Table P-5. NCRC floor-channel check (minimum rights-adjusted value per right, binding cell, and violation depth</w:t>
      </w:r>
      <w:r>
        <w:t xml:space="preserve"> </w:t>
      </w:r>
      <w:r>
        <w:rPr>
          <w:rStyle w:val="VerbatimChar"/>
        </w:rPr>
        <w:t>v_r^floor</w:t>
      </w:r>
      <w:r>
        <w:t>)</w:t>
      </w:r>
    </w:p>
    <w:p>
      <w:pPr>
        <w:pStyle w:val="BodyText"/>
      </w:pPr>
      <w:r>
        <w:t>Right θ_r A min(I_rights) @cell v_A B min(I_rights) @cell v_B C min(I_rights) @cell v_C</w:t>
      </w:r>
    </w:p>
    <w:p>
      <w:pPr>
        <w:pStyle w:val="BodyText"/>
      </w:pPr>
      <w:r>
        <w:t>LIFE -0.90 -0.185 @ U1×D2 0.000 -0.150 @ U1×D2 0.000 -0.084 @ U1×D2 0.000</w:t>
      </w:r>
    </w:p>
    <w:p>
      <w:pPr>
        <w:pStyle w:val="BodyText"/>
      </w:pPr>
      <w:r>
        <w:t>BODY -0.70 -0.185 @ U1×D2 0.000 -0.150 @ U1×D2 0.000 -0.084 @ U1×D2 0.000</w:t>
      </w:r>
    </w:p>
    <w:p>
      <w:pPr>
        <w:pStyle w:val="BodyText"/>
      </w:pPr>
      <w:r>
        <w:t>LBTY -0.65 -0.643 @ U1×D5 0.000 -0.208 @ U4×D5 0.000 +0.000 @ U2×D5 0.000</w:t>
      </w:r>
    </w:p>
    <w:p>
      <w:pPr>
        <w:pStyle w:val="BodyText"/>
      </w:pPr>
      <w:r>
        <w:t>NEED -0.50 -0.480 @ U2×D1 0.000 -0.150 @ U1×D2 0.000 -0.084 @ U1×D2 0.000</w:t>
      </w:r>
    </w:p>
    <w:p>
      <w:pPr>
        <w:pStyle w:val="BodyText"/>
      </w:pPr>
      <w:r>
        <w:t>DIGN -0.55 -0.643 @ U1×D5 0.093 -0.208 @ U4×D5 0.000 +0.000 @ U2×D3 0.000</w:t>
      </w:r>
    </w:p>
    <w:p>
      <w:pPr>
        <w:pStyle w:val="BodyText"/>
      </w:pPr>
      <w:r>
        <w:t>PROC -0.45 -0.504 @ U4×D5 0.054 -0.208 @ U4×D5 0.000 +0.000 @ U4×D3 0.000</w:t>
      </w:r>
    </w:p>
    <w:p>
      <w:pPr>
        <w:pStyle w:val="BodyText"/>
      </w:pPr>
      <w:r>
        <w:t>INFO -0.40 -0.643 @ U1×D5 0.243 -0.208 @ U4×D5 0.000 +0.000 @ U1×D4 0.000</w:t>
      </w:r>
    </w:p>
    <w:p>
      <w:pPr>
        <w:pStyle w:val="BodyText"/>
      </w:pPr>
      <w:r>
        <w:t>ECOL -0.65 +0.000 @ U6×D7 0.000 -0.015 @ U6×D7 0.000 -0.006 @ U6×D7 0.000</w:t>
      </w:r>
    </w:p>
    <w:p>
      <w:pPr>
        <w:pStyle w:val="BodyText"/>
      </w:pPr>
      <w:r>
        <w:t>NCRC result:</w:t>
      </w:r>
    </w:p>
    <w:p>
      <w:pPr>
        <w:pStyle w:val="BodyText"/>
      </w:pPr>
      <w:r>
        <w:t>• Option A fails NCRC (violations in DIGN, PROC, INFO).</w:t>
      </w:r>
    </w:p>
    <w:p>
      <w:pPr>
        <w:pStyle w:val="BodyText"/>
      </w:pPr>
      <w:r>
        <w:t>• Options B and C pass NCRC.</w:t>
      </w:r>
    </w:p>
    <w:bookmarkEnd w:id="492"/>
    <w:bookmarkStart w:id="493" w:name="p6-trc-tail-risk-constraint-via-cvar"/>
    <w:p>
      <w:pPr>
        <w:pStyle w:val="Heading2"/>
      </w:pPr>
      <w:r>
        <w:t>P.6 TRC (Tail-Risk Constraint via CVaR)</w:t>
      </w:r>
    </w:p>
    <w:p>
      <w:pPr>
        <w:pStyle w:val="FirstParagraph"/>
      </w:pPr>
      <w:r>
        <w:t>We evaluate catastrophic downside via scenario losses L(a,s) and CVaR_α with α = 0.95 (tail mass 0.05).</w:t>
      </w:r>
    </w:p>
    <w:p>
      <w:pPr>
        <w:pStyle w:val="BodyText"/>
      </w:pPr>
      <w:r>
        <w:t>In this demo, each scenario assigns identical base impacts across the three catastrophe cells, so:</w:t>
      </w:r>
    </w:p>
    <w:p>
      <w:pPr>
        <w:pStyle w:val="BodyText"/>
      </w:pPr>
      <w:r>
        <w:t>For each option a and scenario s, set I_base(c,a,s) = -L(a,s) for every c in C_cat.</w:t>
      </w:r>
    </w:p>
    <w:p>
      <w:pPr>
        <w:pStyle w:val="BodyText"/>
      </w:pPr>
      <w:r>
        <w:t>Then L(a,s) = - Σ_{c in C_cat} w_cat(c) · I_base(c,a,s) holds by construction.</w:t>
      </w:r>
    </w:p>
    <w:p>
      <w:pPr>
        <w:pStyle w:val="BodyText"/>
      </w:pPr>
      <w:r>
        <w:t>Table P-6. Scenario probabilities and losses</w:t>
      </w:r>
    </w:p>
    <w:p>
      <w:pPr>
        <w:pStyle w:val="BodyText"/>
      </w:pPr>
      <w:r>
        <w:t>Scenario Category p_s L_A L_B L_C</w:t>
      </w:r>
    </w:p>
    <w:p>
      <w:pPr>
        <w:pStyle w:val="BodyText"/>
      </w:pPr>
      <w:r>
        <w:t>S1 Pandemic/biological 0.05 0.35 0.12 0.08</w:t>
      </w:r>
    </w:p>
    <w:p>
      <w:pPr>
        <w:pStyle w:val="BodyText"/>
      </w:pPr>
      <w:r>
        <w:t>S2 Financial collapse 0.05 0.40 0.15 0.10</w:t>
      </w:r>
    </w:p>
    <w:p>
      <w:pPr>
        <w:pStyle w:val="BodyText"/>
      </w:pPr>
      <w:r>
        <w:t>S3 Infrastructure failure 0.04 0.45 0.10 0.05</w:t>
      </w:r>
    </w:p>
    <w:p>
      <w:pPr>
        <w:pStyle w:val="BodyText"/>
      </w:pPr>
      <w:r>
        <w:t>S4 Conflict escalation 0.03 0.30 0.08 0.06</w:t>
      </w:r>
    </w:p>
    <w:p>
      <w:pPr>
        <w:pStyle w:val="BodyText"/>
      </w:pPr>
      <w:r>
        <w:t>S5 Climate displacement 0.03 0.28 0.10 0.07</w:t>
      </w:r>
    </w:p>
    <w:p>
      <w:pPr>
        <w:pStyle w:val="BodyText"/>
      </w:pPr>
      <w:r>
        <w:t>S6 Moderate baseline 0.50 0.08 0.03 0.02</w:t>
      </w:r>
    </w:p>
    <w:p>
      <w:pPr>
        <w:pStyle w:val="BodyText"/>
      </w:pPr>
      <w:r>
        <w:t>S7 High-volume stress 0.15 0.18 0.07 0.04</w:t>
      </w:r>
    </w:p>
    <w:p>
      <w:pPr>
        <w:pStyle w:val="BodyText"/>
      </w:pPr>
      <w:r>
        <w:t>S8 Bias discovery 0.10 0.25 0.06 0.04</w:t>
      </w:r>
    </w:p>
    <w:p>
      <w:pPr>
        <w:pStyle w:val="BodyText"/>
      </w:pPr>
      <w:r>
        <w:t>S9 Successful scale 0.05 0.05 0.02 0.02</w:t>
      </w:r>
    </w:p>
    <w:p>
      <w:pPr>
        <w:pStyle w:val="BodyText"/>
      </w:pPr>
      <w:r>
        <w:t>CVaR_0.95 calculation (tail mass 0.05):</w:t>
      </w:r>
    </w:p>
    <w:p>
      <w:pPr>
        <w:pStyle w:val="BodyText"/>
      </w:pPr>
      <w:r>
        <w:t>• Option A tail consists of S3 (0.04 at 0.45) plus 0.01 of S2 (0.40):</w:t>
      </w:r>
    </w:p>
    <w:p>
      <w:pPr>
        <w:pStyle w:val="BodyText"/>
      </w:pPr>
      <w:r>
        <w:t>CVaR = (0.45·0.04 + 0.40·0.01) / 0.05 = 0.44</w:t>
      </w:r>
    </w:p>
    <w:p>
      <w:pPr>
        <w:pStyle w:val="BodyText"/>
      </w:pPr>
      <w:r>
        <w:t>• Option B tail is exactly S2 (0.05 at 0.15):</w:t>
      </w:r>
    </w:p>
    <w:p>
      <w:pPr>
        <w:pStyle w:val="BodyText"/>
      </w:pPr>
      <w:r>
        <w:t>CVaR = 0.15</w:t>
      </w:r>
    </w:p>
    <w:p>
      <w:pPr>
        <w:pStyle w:val="BodyText"/>
      </w:pPr>
      <w:r>
        <w:t>• Option C tail is exactly S2 (0.05 at 0.10):</w:t>
      </w:r>
    </w:p>
    <w:p>
      <w:pPr>
        <w:pStyle w:val="BodyText"/>
      </w:pPr>
      <w:r>
        <w:t>CVaR = 0.10</w:t>
      </w:r>
    </w:p>
    <w:p>
      <w:pPr>
        <w:pStyle w:val="BodyText"/>
      </w:pPr>
      <w:r>
        <w:t>TRC test: option passes iff CVaR_0.95 ≤ 0.20</w:t>
      </w:r>
    </w:p>
    <w:p>
      <w:pPr>
        <w:pStyle w:val="BodyText"/>
      </w:pPr>
      <w:r>
        <w:t>TRC result:</w:t>
      </w:r>
    </w:p>
    <w:p>
      <w:pPr>
        <w:pStyle w:val="BodyText"/>
      </w:pPr>
      <w:r>
        <w:t>• Option A fails TRC (0.44 &gt; 0.20).</w:t>
      </w:r>
    </w:p>
    <w:p>
      <w:pPr>
        <w:pStyle w:val="BodyText"/>
      </w:pPr>
      <w:r>
        <w:t>• Options B and C pass TRC.</w:t>
      </w:r>
    </w:p>
    <w:bookmarkEnd w:id="493"/>
    <w:bookmarkStart w:id="494" w:name="X58f73e52be6579aa24b0de70cc72115005fc610"/>
    <w:p>
      <w:pPr>
        <w:pStyle w:val="Heading2"/>
      </w:pPr>
      <w:r>
        <w:t>P.7 Proportional Tier-2 CSV Review (Informative worked computation)</w:t>
      </w:r>
    </w:p>
    <w:p>
      <w:pPr>
        <w:pStyle w:val="FirstParagraph"/>
      </w:pPr>
      <w:r>
        <w:t>CSV is completed before ordinary RLS using proportionate, assumption-bounded evidence. Quantitative UCI is not claimed.</w:t>
      </w:r>
    </w:p>
    <w:tbl>
      <w:tblPr>
        <w:tblStyle w:val="Table"/>
        <w:tblW w:type="auto" w:w="0"/>
        <w:jc w:val="center"/>
        <w:tblLook w:firstRow="1" w:lastRow="0" w:firstColumn="0" w:lastColumn="0" w:noHBand="0" w:noVBand="0" w:val="0020"/>
      </w:tblPr>
      <w:tblGrid>
        <w:gridCol w:w="1584"/>
        <w:gridCol w:w="1584"/>
        <w:gridCol w:w="1584"/>
        <w:gridCol w:w="1584"/>
        <w:gridCol w:w="1584"/>
      </w:tblGrid>
      <w:tr>
        <w:trPr>
          <w:tblHeader w:val="on"/>
          <w:tblHeader w:val="true"/>
          <w:cantSplit/>
        </w:trPr>
        <w:tc>
          <w:tcPr>
            <w:vAlign w:val="top"/>
            <w:tcMar>
              <w:top w:w="70" w:type="dxa"/>
              <w:start w:w="80" w:type="dxa"/>
              <w:bottom w:w="70" w:type="dxa"/>
              <w:end w:w="80" w:type="dxa"/>
            </w:tcMar>
            <w:shd w:fill="1F4E78"/>
          </w:tcPr>
          <w:p>
            <w:pPr>
              <w:pStyle w:val="Compact"/>
              <w:jc w:val="left"/>
            </w:pPr>
            <w:r>
              <w:rPr>
                <w:rFonts w:ascii="Arial" w:hAnsi="Arial" w:eastAsia="Arial"/>
                <w:b/>
                <w:color w:val="FFFFFF"/>
                <w:sz w:val="16"/>
              </w:rPr>
              <w:t>Option</w:t>
            </w:r>
          </w:p>
        </w:tc>
        <w:tc>
          <w:tcPr>
            <w:vAlign w:val="top"/>
            <w:tcMar>
              <w:top w:w="70" w:type="dxa"/>
              <w:start w:w="80" w:type="dxa"/>
              <w:bottom w:w="70" w:type="dxa"/>
              <w:end w:w="80" w:type="dxa"/>
            </w:tcMar>
            <w:shd w:fill="1F4E78"/>
          </w:tcPr>
          <w:p>
            <w:pPr>
              <w:pStyle w:val="Compact"/>
              <w:jc w:val="left"/>
            </w:pPr>
            <w:r>
              <w:rPr>
                <w:rFonts w:ascii="Arial" w:hAnsi="Arial" w:eastAsia="Arial"/>
                <w:b/>
                <w:color w:val="FFFFFF"/>
                <w:sz w:val="16"/>
              </w:rPr>
              <w:t>Prior-gate status</w:t>
            </w:r>
          </w:p>
        </w:tc>
        <w:tc>
          <w:tcPr>
            <w:vAlign w:val="top"/>
            <w:tcMar>
              <w:top w:w="70" w:type="dxa"/>
              <w:start w:w="80" w:type="dxa"/>
              <w:bottom w:w="70" w:type="dxa"/>
              <w:end w:w="80" w:type="dxa"/>
            </w:tcMar>
            <w:shd w:fill="1F4E78"/>
          </w:tcPr>
          <w:p>
            <w:pPr>
              <w:pStyle w:val="Compact"/>
              <w:jc w:val="left"/>
            </w:pPr>
            <w:r>
              <w:rPr>
                <w:rFonts w:ascii="Arial" w:hAnsi="Arial" w:eastAsia="Arial"/>
                <w:b/>
                <w:color w:val="FFFFFF"/>
                <w:sz w:val="16"/>
              </w:rPr>
              <w:t>Containment / structural question</w:t>
            </w:r>
          </w:p>
        </w:tc>
        <w:tc>
          <w:tcPr>
            <w:vAlign w:val="top"/>
            <w:tcMar>
              <w:top w:w="70" w:type="dxa"/>
              <w:start w:w="80" w:type="dxa"/>
              <w:bottom w:w="70" w:type="dxa"/>
              <w:end w:w="80" w:type="dxa"/>
            </w:tcMar>
            <w:shd w:fill="1F4E78"/>
          </w:tcPr>
          <w:p>
            <w:pPr>
              <w:pStyle w:val="Compact"/>
              <w:jc w:val="left"/>
            </w:pPr>
            <w:r>
              <w:rPr>
                <w:rFonts w:ascii="Arial" w:hAnsi="Arial" w:eastAsia="Arial"/>
                <w:b/>
                <w:color w:val="FFFFFF"/>
                <w:sz w:val="16"/>
              </w:rPr>
              <w:t>Evidence and assumptions</w:t>
            </w:r>
          </w:p>
        </w:tc>
        <w:tc>
          <w:tcPr>
            <w:vAlign w:val="top"/>
            <w:tcMar>
              <w:top w:w="70" w:type="dxa"/>
              <w:start w:w="80" w:type="dxa"/>
              <w:bottom w:w="70" w:type="dxa"/>
              <w:end w:w="80" w:type="dxa"/>
            </w:tcMar>
            <w:shd w:fill="1F4E78"/>
          </w:tcPr>
          <w:p>
            <w:pPr>
              <w:pStyle w:val="Compact"/>
              <w:jc w:val="left"/>
            </w:pPr>
            <w:r>
              <w:rPr>
                <w:rFonts w:ascii="Arial" w:hAnsi="Arial" w:eastAsia="Arial"/>
                <w:b/>
                <w:color w:val="FFFFFF"/>
                <w:sz w:val="16"/>
              </w:rPr>
              <w:t>CSV status</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A</w:t>
            </w:r>
          </w:p>
        </w:tc>
        <w:tc>
          <w:tcPr>
            <w:vAlign w:val="top"/>
            <w:tcMar>
              <w:top w:w="70" w:type="dxa"/>
              <w:start w:w="80" w:type="dxa"/>
              <w:bottom w:w="70" w:type="dxa"/>
              <w:end w:w="80" w:type="dxa"/>
            </w:tcMar>
            <w:shd w:fill="D9EAF7"/>
          </w:tcPr>
          <w:p>
            <w:pPr>
              <w:pStyle w:val="Compact"/>
              <w:jc w:val="left"/>
            </w:pPr>
            <w:r>
              <w:rPr>
                <w:rFonts w:ascii="Arial" w:hAnsi="Arial" w:eastAsia="Arial"/>
                <w:sz w:val="16"/>
              </w:rPr>
              <w:t>Eliminated by NCRC and TRC</w:t>
            </w:r>
          </w:p>
        </w:tc>
        <w:tc>
          <w:tcPr>
            <w:vAlign w:val="top"/>
            <w:tcMar>
              <w:top w:w="70" w:type="dxa"/>
              <w:start w:w="80" w:type="dxa"/>
              <w:bottom w:w="70" w:type="dxa"/>
              <w:end w:w="80" w:type="dxa"/>
            </w:tcMar>
            <w:shd w:fill="D9EAF7"/>
          </w:tcPr>
          <w:p>
            <w:pPr>
              <w:pStyle w:val="Compact"/>
              <w:jc w:val="left"/>
            </w:pPr>
            <w:r>
              <w:rPr>
                <w:rFonts w:ascii="Arial" w:hAnsi="Arial" w:eastAsia="Arial"/>
                <w:sz w:val="16"/>
              </w:rPr>
              <w:t>No downstream gate may rescue or re-enter an option already eliminated.</w:t>
            </w:r>
          </w:p>
        </w:tc>
        <w:tc>
          <w:tcPr>
            <w:vAlign w:val="top"/>
            <w:tcMar>
              <w:top w:w="70" w:type="dxa"/>
              <w:start w:w="80" w:type="dxa"/>
              <w:bottom w:w="70" w:type="dxa"/>
              <w:end w:w="80" w:type="dxa"/>
            </w:tcMar>
            <w:shd w:fill="D9EAF7"/>
          </w:tcPr>
          <w:p>
            <w:pPr>
              <w:pStyle w:val="Compact"/>
              <w:jc w:val="left"/>
            </w:pPr>
            <w:r>
              <w:rPr>
                <w:rFonts w:ascii="Arial" w:hAnsi="Arial" w:eastAsia="Arial"/>
                <w:sz w:val="16"/>
              </w:rPr>
              <w:t>CSV is not used to restore A. Any later structural observation is audit-only.</w:t>
            </w:r>
          </w:p>
        </w:tc>
        <w:tc>
          <w:tcPr>
            <w:vAlign w:val="top"/>
            <w:tcMar>
              <w:top w:w="70" w:type="dxa"/>
              <w:start w:w="80" w:type="dxa"/>
              <w:bottom w:w="70" w:type="dxa"/>
              <w:end w:w="80" w:type="dxa"/>
            </w:tcMar>
            <w:shd w:fill="D9EAF7"/>
          </w:tcPr>
          <w:p>
            <w:pPr>
              <w:pStyle w:val="Compact"/>
              <w:jc w:val="left"/>
            </w:pPr>
            <w:r>
              <w:rPr>
                <w:rStyle w:val="VerbatimChar"/>
                <w:rFonts w:ascii="Arial" w:hAnsi="Arial" w:eastAsia="Arial"/>
                <w:sz w:val="16"/>
              </w:rPr>
              <w:t>NOT_EVALUATED_AFTER_PRIOR_ELIMINATION</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B</w:t>
            </w:r>
          </w:p>
        </w:tc>
        <w:tc>
          <w:tcPr>
            <w:vAlign w:val="top"/>
            <w:tcMar>
              <w:top w:w="70" w:type="dxa"/>
              <w:start w:w="80" w:type="dxa"/>
              <w:bottom w:w="70" w:type="dxa"/>
              <w:end w:w="80" w:type="dxa"/>
            </w:tcMar>
            <w:shd w:fill="FFFFFF"/>
          </w:tcPr>
          <w:p>
            <w:pPr>
              <w:pStyle w:val="Compact"/>
              <w:jc w:val="left"/>
            </w:pPr>
            <w:r>
              <w:rPr>
                <w:rFonts w:ascii="Arial" w:hAnsi="Arial" w:eastAsia="Arial"/>
                <w:sz w:val="16"/>
              </w:rPr>
              <w:t>Passed NCRC and TRC</w:t>
            </w:r>
          </w:p>
        </w:tc>
        <w:tc>
          <w:tcPr>
            <w:vAlign w:val="top"/>
            <w:tcMar>
              <w:top w:w="70" w:type="dxa"/>
              <w:start w:w="80" w:type="dxa"/>
              <w:bottom w:w="70" w:type="dxa"/>
              <w:end w:w="80" w:type="dxa"/>
            </w:tcMar>
            <w:shd w:fill="FFFFFF"/>
          </w:tcPr>
          <w:p>
            <w:pPr>
              <w:pStyle w:val="Compact"/>
              <w:jc w:val="left"/>
            </w:pPr>
            <w:r>
              <w:rPr>
                <w:rFonts w:ascii="Arial" w:hAnsi="Arial" w:eastAsia="Arial"/>
                <w:sz w:val="16"/>
              </w:rPr>
              <w:t>Could the option hollow wider systems, depend on unsupported execution conditions, or lack required controls?</w:t>
            </w:r>
          </w:p>
        </w:tc>
        <w:tc>
          <w:tcPr>
            <w:vAlign w:val="top"/>
            <w:tcMar>
              <w:top w:w="70" w:type="dxa"/>
              <w:start w:w="80" w:type="dxa"/>
              <w:bottom w:w="70" w:type="dxa"/>
              <w:end w:w="80" w:type="dxa"/>
            </w:tcMar>
            <w:shd w:fill="FFFFFF"/>
          </w:tcPr>
          <w:p>
            <w:pPr>
              <w:pStyle w:val="Compact"/>
              <w:jc w:val="left"/>
            </w:pPr>
            <w:r>
              <w:rPr>
                <w:rFonts w:ascii="Arial" w:hAnsi="Arial" w:eastAsia="Arial"/>
                <w:sz w:val="16"/>
              </w:rPr>
              <w:t>No material containment or structural-viability pathway is identified beyond ordinary bounded operational costs represented in residual impacts.</w:t>
            </w:r>
          </w:p>
        </w:tc>
        <w:tc>
          <w:tcPr>
            <w:vAlign w:val="top"/>
            <w:tcMar>
              <w:top w:w="70" w:type="dxa"/>
              <w:start w:w="80" w:type="dxa"/>
              <w:bottom w:w="70" w:type="dxa"/>
              <w:end w:w="80" w:type="dxa"/>
            </w:tcMar>
            <w:shd w:fill="FFFFFF"/>
          </w:tcPr>
          <w:p>
            <w:pPr>
              <w:pStyle w:val="Compact"/>
              <w:jc w:val="left"/>
            </w:pPr>
            <w:r>
              <w:rPr>
                <w:rStyle w:val="VerbatimChar"/>
                <w:rFonts w:ascii="Arial" w:hAnsi="Arial" w:eastAsia="Arial"/>
                <w:sz w:val="16"/>
              </w:rPr>
              <w:t>CSV_NOT_MATERIAL</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C</w:t>
            </w:r>
          </w:p>
        </w:tc>
        <w:tc>
          <w:tcPr>
            <w:vAlign w:val="top"/>
            <w:tcMar>
              <w:top w:w="70" w:type="dxa"/>
              <w:start w:w="80" w:type="dxa"/>
              <w:bottom w:w="70" w:type="dxa"/>
              <w:end w:w="80" w:type="dxa"/>
            </w:tcMar>
            <w:shd w:fill="D9EAF7"/>
          </w:tcPr>
          <w:p>
            <w:pPr>
              <w:pStyle w:val="Compact"/>
              <w:jc w:val="left"/>
            </w:pPr>
            <w:r>
              <w:rPr>
                <w:rFonts w:ascii="Arial" w:hAnsi="Arial" w:eastAsia="Arial"/>
                <w:sz w:val="16"/>
              </w:rPr>
              <w:t>Passed NCRC and TRC</w:t>
            </w:r>
          </w:p>
        </w:tc>
        <w:tc>
          <w:tcPr>
            <w:vAlign w:val="top"/>
            <w:tcMar>
              <w:top w:w="70" w:type="dxa"/>
              <w:start w:w="80" w:type="dxa"/>
              <w:bottom w:w="70" w:type="dxa"/>
              <w:end w:w="80" w:type="dxa"/>
            </w:tcMar>
            <w:shd w:fill="D9EAF7"/>
          </w:tcPr>
          <w:p>
            <w:pPr>
              <w:pStyle w:val="Compact"/>
              <w:jc w:val="left"/>
            </w:pPr>
            <w:r>
              <w:rPr>
                <w:rFonts w:ascii="Arial" w:hAnsi="Arial" w:eastAsia="Arial"/>
                <w:sz w:val="16"/>
              </w:rPr>
              <w:t>Same question</w:t>
            </w:r>
          </w:p>
        </w:tc>
        <w:tc>
          <w:tcPr>
            <w:vAlign w:val="top"/>
            <w:tcMar>
              <w:top w:w="70" w:type="dxa"/>
              <w:start w:w="80" w:type="dxa"/>
              <w:bottom w:w="70" w:type="dxa"/>
              <w:end w:w="80" w:type="dxa"/>
            </w:tcMar>
            <w:shd w:fill="D9EAF7"/>
          </w:tcPr>
          <w:p>
            <w:pPr>
              <w:pStyle w:val="Compact"/>
              <w:jc w:val="left"/>
            </w:pPr>
            <w:r>
              <w:rPr>
                <w:rFonts w:ascii="Arial" w:hAnsi="Arial" w:eastAsia="Arial"/>
                <w:sz w:val="16"/>
              </w:rPr>
              <w:t>A dependency/control gap remains under the declared evidence and requires redesign and requalification before selection.</w:t>
            </w:r>
          </w:p>
        </w:tc>
        <w:tc>
          <w:tcPr>
            <w:vAlign w:val="top"/>
            <w:tcMar>
              <w:top w:w="70" w:type="dxa"/>
              <w:start w:w="80" w:type="dxa"/>
              <w:bottom w:w="70" w:type="dxa"/>
              <w:end w:w="80" w:type="dxa"/>
            </w:tcMar>
            <w:shd w:fill="D9EAF7"/>
          </w:tcPr>
          <w:p>
            <w:pPr>
              <w:pStyle w:val="Compact"/>
              <w:jc w:val="left"/>
            </w:pPr>
            <w:r>
              <w:rPr>
                <w:rStyle w:val="VerbatimChar"/>
                <w:rFonts w:ascii="Arial" w:hAnsi="Arial" w:eastAsia="Arial"/>
                <w:sz w:val="16"/>
              </w:rPr>
              <w:t>CSV_REDESIGN_REQUIRED</w:t>
            </w:r>
          </w:p>
        </w:tc>
      </w:tr>
    </w:tbl>
    <w:p>
      <w:pPr>
        <w:pStyle w:val="BodyText"/>
      </w:pPr>
      <w:r>
        <w:t>Selectable set after full qualification:</w:t>
      </w:r>
    </w:p>
    <w:p>
      <w:pPr>
        <w:pStyle w:val="BodyText"/>
      </w:pPr>
      <w:r>
        <w:t>A_sel = {B}.</w:t>
      </w:r>
    </w:p>
    <w:p>
      <w:pPr>
        <w:pStyle w:val="BodyText"/>
      </w:pPr>
      <w:r>
        <w:t>Option A remains excluded by NCRC and TRC. Option C is excluded before RLS and may re-enter only after redesign and a fresh run through every affected upstream level. If the CSV evidence were insufficient to distinguish pass-equivalent status from redesign, escalation, or refusal, the run would refuse an ordinary selection claim rather than proceed.</w:t>
      </w:r>
    </w:p>
    <w:bookmarkEnd w:id="494"/>
    <w:bookmarkStart w:id="495" w:name="X28aa5427946dca771a69e80ea82eafa317ecf1f"/>
    <w:p>
      <w:pPr>
        <w:pStyle w:val="Heading2"/>
      </w:pPr>
      <w:r>
        <w:t>P.8 Normalized RLS reporting for the sole selectable option (Informative)</w:t>
      </w:r>
    </w:p>
    <w:p>
      <w:pPr>
        <w:pStyle w:val="FirstParagraph"/>
      </w:pPr>
      <w:r>
        <w:t>Because |A_sel|=1, RLS is reported for residual-profile transparency rather than used for pairwise discrimination.</w:t>
      </w:r>
    </w:p>
    <w:p>
      <w:pPr>
        <w:pStyle w:val="BodyText"/>
      </w:pPr>
      <w:r>
        <w:t>Effective active weight mass for this 33-cell run:</w:t>
      </w:r>
    </w:p>
    <w:p>
      <w:pPr>
        <w:pStyle w:val="BodyText"/>
      </w:pPr>
      <w:r>
        <w:t>Q(B) = Σ_(u,d) q_ud(B) = 0.681990.</w:t>
      </w:r>
    </w:p>
    <w:p>
      <w:pPr>
        <w:pStyle w:val="BodyText"/>
      </w:pPr>
      <w:r>
        <w:t>The nonzero weighted numerator from Table P-8 is:</w:t>
      </w:r>
    </w:p>
    <w:p>
      <w:pPr>
        <w:pStyle w:val="BodyText"/>
      </w:pPr>
      <w:r>
        <w:t>N(B) = Σ_(u,d) q_ud(B) I_prop,welfare(u,d,B) = 0.004534.</w:t>
      </w:r>
    </w:p>
    <w:p>
      <w:pPr>
        <w:pStyle w:val="BodyText"/>
      </w:pPr>
      <w:r>
        <w:t>Therefore the normalized score is:</w:t>
      </w:r>
    </w:p>
    <w:p>
      <w:pPr>
        <w:pStyle w:val="BodyText"/>
      </w:pPr>
      <w:r>
        <w:t>RLS(B) = N(B) / Q(B) = 0.006648.</w:t>
      </w:r>
    </w:p>
    <w:p>
      <w:pPr>
        <w:pStyle w:val="BodyText"/>
      </w:pPr>
      <w:r>
        <w:t>Uncertainty method: Method B contribution-mass uncertainty, with one welfare impact instance per nonzero active cell and c_k=0.85. Using the same normalized effective weights:</w:t>
      </w:r>
    </w:p>
    <w:p>
      <w:pPr>
        <w:pStyle w:val="BodyText"/>
      </w:pPr>
      <w:r>
        <w:t>σ_RLS(B) = 0.000809.</w:t>
      </w:r>
    </w:p>
    <w:p>
      <w:pPr>
        <w:pStyle w:val="BodyText"/>
      </w:pPr>
      <w:r>
        <w:t>No pairwise Gap test is performed because no second selectable option remains. B is the sole selectable option under the declared evidence, not an independently validated implementation or execution authority. Physical/causal admissibility, lawful authority, controls, monitoring, and any domain-specific warrant remain separate requirements.</w:t>
      </w:r>
    </w:p>
    <w:bookmarkEnd w:id="495"/>
    <w:bookmarkStart w:id="496" w:name="Xe2a7e5962e7d365b11cfbe338e798fe05953ef5"/>
    <w:p>
      <w:pPr>
        <w:pStyle w:val="Heading2"/>
      </w:pPr>
      <w:r>
        <w:t>P.9 PCC (Provenance and Compliance Certificate) excerpt</w:t>
      </w:r>
    </w:p>
    <w:p>
      <w:pPr>
        <w:pStyle w:val="FirstParagraph"/>
      </w:pPr>
      <w:r>
        <w:t>Elimination and qualification order:</w:t>
      </w:r>
    </w:p>
    <w:p>
      <w:pPr>
        <w:numPr>
          <w:ilvl w:val="0"/>
          <w:numId w:val="1410"/>
        </w:numPr>
      </w:pPr>
      <w:r>
        <w:t>Reality Grounding establishes the claim boundary and evidence status.</w:t>
      </w:r>
    </w:p>
    <w:p>
      <w:pPr>
        <w:numPr>
          <w:ilvl w:val="0"/>
          <w:numId w:val="1410"/>
        </w:numPr>
      </w:pPr>
      <w:r>
        <w:t>NCRC eliminates A.</w:t>
      </w:r>
    </w:p>
    <w:p>
      <w:pPr>
        <w:numPr>
          <w:ilvl w:val="0"/>
          <w:numId w:val="1410"/>
        </w:numPr>
      </w:pPr>
      <w:r>
        <w:t>TRC confirms that A also fails; B and C pass.</w:t>
      </w:r>
    </w:p>
    <w:p>
      <w:pPr>
        <w:numPr>
          <w:ilvl w:val="0"/>
          <w:numId w:val="1410"/>
        </w:numPr>
      </w:pPr>
      <w:r>
        <w:t>Proportional CSV excludes C as</w:t>
      </w:r>
      <w:r>
        <w:t xml:space="preserve"> </w:t>
      </w:r>
      <w:r>
        <w:rPr>
          <w:rStyle w:val="VerbatimChar"/>
        </w:rPr>
        <w:t>CSV_REDESIGN_REQUIRED</w:t>
      </w:r>
      <w:r>
        <w:t>; A cannot be rescued or re-entered.</w:t>
      </w:r>
    </w:p>
    <w:p>
      <w:pPr>
        <w:numPr>
          <w:ilvl w:val="0"/>
          <w:numId w:val="1410"/>
        </w:numPr>
      </w:pPr>
      <w:r>
        <w:t>The selectable set is A_sel={B}.</w:t>
      </w:r>
    </w:p>
    <w:p>
      <w:pPr>
        <w:numPr>
          <w:ilvl w:val="0"/>
          <w:numId w:val="1410"/>
        </w:numPr>
      </w:pPr>
      <w:r>
        <w:t>Normalized RLS(B)=0.006648 is reported for residual transparency; no comparative decisiveness claim is made.</w:t>
      </w:r>
    </w:p>
    <w:p>
      <w:pPr>
        <w:pStyle w:val="FirstParagraph"/>
      </w:pPr>
      <w:r>
        <w:t>Framework result for this demo run: B is the sole selectable option, subject to the separate authority-selection record and all execution/admissibility controls. This is not empirical validation or execution authorization.</w:t>
      </w:r>
    </w:p>
    <w:p>
      <w:pPr>
        <w:pStyle w:val="BodyText"/>
      </w:pPr>
      <w:r>
        <w:t>End Appendix P.</w:t>
      </w:r>
    </w:p>
    <w:p>
      <w:pPr>
        <w:pStyle w:val="BodyText"/>
      </w:pPr>
      <w:r>
        <w:t>APPENDIX P-2: FAILURE-PATH WORKED EXAMPLES (Informative)</w:t>
      </w:r>
    </w:p>
    <w:p>
      <w:pPr>
        <w:pStyle w:val="BodyText"/>
      </w:pPr>
      <w:r>
        <w:t>Status: Informative. These examples demonstrate Rights Emergency Mode (Section 7.5) and Tail Emergency Mode (Section 8.8). They do not introduce new normative rules.</w:t>
      </w:r>
    </w:p>
    <w:p>
      <w:pPr>
        <w:pStyle w:val="BodyText"/>
      </w:pPr>
      <w:r>
        <w:t>P-2.1 Emergency Mode Activation Example</w:t>
      </w:r>
    </w:p>
    <w:p>
      <w:pPr>
        <w:pStyle w:val="BodyText"/>
      </w:pPr>
      <w:r>
        <w:t>Decision context. A mining company must choose between three site options for a new extraction facility. All three sites carry credible rights-floor risks.</w:t>
      </w:r>
    </w:p>
    <w:p>
      <w:pPr>
        <w:pStyle w:val="BodyText"/>
      </w:pPr>
      <w:r>
        <w:t>Options:</w:t>
      </w:r>
    </w:p>
    <w:p>
      <w:pPr>
        <w:pStyle w:val="BodyText"/>
      </w:pPr>
      <w:r>
        <w:t>Option X: Site near an indigenous community; plausible DIGN and LBTY violations through displacement and cultural disruption.</w:t>
      </w:r>
    </w:p>
    <w:p>
      <w:pPr>
        <w:pStyle w:val="BodyText"/>
      </w:pPr>
      <w:r>
        <w:t>Option Y: Site in a watershed area; plausible ECOL and NEED violations through water contamination.</w:t>
      </w:r>
    </w:p>
    <w:p>
      <w:pPr>
        <w:pStyle w:val="BodyText"/>
      </w:pPr>
      <w:r>
        <w:t>Option Z: Site near a town with inadequate infrastructure; plausible NEED and PROC violations through resource strain and due-process gaps.</w:t>
      </w:r>
    </w:p>
    <w:p>
      <w:pPr>
        <w:pStyle w:val="BodyText"/>
      </w:pPr>
      <w:r>
        <w:t>NCRC results (all options fail):</w:t>
      </w:r>
    </w:p>
    <w:tbl>
      <w:tblPr>
        <w:tblStyle w:val="Table"/>
        <w:tblW w:type="auto" w:w="0"/>
        <w:jc w:val="center"/>
        <w:tblLook w:firstRow="1" w:lastRow="0" w:firstColumn="0" w:lastColumn="0" w:noHBand="0" w:noVBand="0" w:val="0020"/>
      </w:tblPr>
      <w:tblGrid>
        <w:gridCol w:w="990"/>
        <w:gridCol w:w="990"/>
        <w:gridCol w:w="990"/>
        <w:gridCol w:w="990"/>
        <w:gridCol w:w="990"/>
        <w:gridCol w:w="990"/>
        <w:gridCol w:w="990"/>
        <w:gridCol w:w="990"/>
      </w:tblGrid>
      <w:tr>
        <w:trPr>
          <w:tblHeader w:val="on"/>
          <w:tblHeader w:val="true"/>
          <w:cantSplit/>
        </w:trPr>
        <w:tc>
          <w:tcPr>
            <w:vAlign w:val="top"/>
            <w:tcMar>
              <w:top w:w="70" w:type="dxa"/>
              <w:start w:w="80" w:type="dxa"/>
              <w:bottom w:w="70" w:type="dxa"/>
              <w:end w:w="80" w:type="dxa"/>
            </w:tcMar>
            <w:shd w:fill="1F4E78"/>
          </w:tcPr>
          <w:p>
            <w:pPr>
              <w:pStyle w:val="Compact"/>
              <w:jc w:val="left"/>
            </w:pPr>
            <w:r>
              <w:rPr>
                <w:rFonts w:ascii="Arial" w:hAnsi="Arial" w:eastAsia="Arial"/>
                <w:b/>
                <w:bCs/>
                <w:color w:val="FFFFFF"/>
                <w:sz w:val="16"/>
              </w:rPr>
              <w:t>Right</w:t>
            </w:r>
          </w:p>
        </w:tc>
        <w:tc>
          <w:tcPr>
            <w:vAlign w:val="top"/>
            <w:tcMar>
              <w:top w:w="70" w:type="dxa"/>
              <w:start w:w="80" w:type="dxa"/>
              <w:bottom w:w="70" w:type="dxa"/>
              <w:end w:w="80" w:type="dxa"/>
            </w:tcMar>
            <w:shd w:fill="1F4E78"/>
          </w:tcPr>
          <w:p>
            <w:pPr>
              <w:pStyle w:val="Compact"/>
              <w:jc w:val="left"/>
            </w:pPr>
            <w:r>
              <w:rPr>
                <w:rFonts w:ascii="Arial" w:hAnsi="Arial" w:eastAsia="Arial"/>
                <w:b/>
                <w:bCs/>
                <w:color w:val="FFFFFF"/>
                <w:sz w:val="16"/>
              </w:rPr>
              <w:t>theta_r</w:t>
            </w:r>
          </w:p>
        </w:tc>
        <w:tc>
          <w:tcPr>
            <w:vAlign w:val="top"/>
            <w:tcMar>
              <w:top w:w="70" w:type="dxa"/>
              <w:start w:w="80" w:type="dxa"/>
              <w:bottom w:w="70" w:type="dxa"/>
              <w:end w:w="80" w:type="dxa"/>
            </w:tcMar>
            <w:shd w:fill="1F4E78"/>
          </w:tcPr>
          <w:p>
            <w:pPr>
              <w:pStyle w:val="Compact"/>
              <w:jc w:val="left"/>
            </w:pPr>
            <w:r>
              <w:rPr>
                <w:rFonts w:ascii="Arial" w:hAnsi="Arial" w:eastAsia="Arial"/>
                <w:b/>
                <w:bCs/>
                <w:color w:val="FFFFFF"/>
                <w:sz w:val="16"/>
              </w:rPr>
              <w:t>X: min I_rights</w:t>
            </w:r>
          </w:p>
        </w:tc>
        <w:tc>
          <w:tcPr>
            <w:vAlign w:val="top"/>
            <w:tcMar>
              <w:top w:w="70" w:type="dxa"/>
              <w:start w:w="80" w:type="dxa"/>
              <w:bottom w:w="70" w:type="dxa"/>
              <w:end w:w="80" w:type="dxa"/>
            </w:tcMar>
            <w:shd w:fill="1F4E78"/>
          </w:tcPr>
          <w:p>
            <w:pPr>
              <w:pStyle w:val="Compact"/>
              <w:jc w:val="left"/>
            </w:pPr>
            <w:r>
              <w:rPr>
                <w:rFonts w:ascii="Arial" w:hAnsi="Arial" w:eastAsia="Arial"/>
                <w:b/>
                <w:bCs/>
                <w:color w:val="FFFFFF"/>
                <w:sz w:val="16"/>
              </w:rPr>
              <w:t>v_r(X)</w:t>
            </w:r>
          </w:p>
        </w:tc>
        <w:tc>
          <w:tcPr>
            <w:vAlign w:val="top"/>
            <w:tcMar>
              <w:top w:w="70" w:type="dxa"/>
              <w:start w:w="80" w:type="dxa"/>
              <w:bottom w:w="70" w:type="dxa"/>
              <w:end w:w="80" w:type="dxa"/>
            </w:tcMar>
            <w:shd w:fill="1F4E78"/>
          </w:tcPr>
          <w:p>
            <w:pPr>
              <w:pStyle w:val="Compact"/>
              <w:jc w:val="left"/>
            </w:pPr>
            <w:r>
              <w:rPr>
                <w:rFonts w:ascii="Arial" w:hAnsi="Arial" w:eastAsia="Arial"/>
                <w:b/>
                <w:bCs/>
                <w:color w:val="FFFFFF"/>
                <w:sz w:val="16"/>
              </w:rPr>
              <w:t>Y: min I_rights</w:t>
            </w:r>
          </w:p>
        </w:tc>
        <w:tc>
          <w:tcPr>
            <w:vAlign w:val="top"/>
            <w:tcMar>
              <w:top w:w="70" w:type="dxa"/>
              <w:start w:w="80" w:type="dxa"/>
              <w:bottom w:w="70" w:type="dxa"/>
              <w:end w:w="80" w:type="dxa"/>
            </w:tcMar>
            <w:shd w:fill="1F4E78"/>
          </w:tcPr>
          <w:p>
            <w:pPr>
              <w:pStyle w:val="Compact"/>
              <w:jc w:val="left"/>
            </w:pPr>
            <w:r>
              <w:rPr>
                <w:rFonts w:ascii="Arial" w:hAnsi="Arial" w:eastAsia="Arial"/>
                <w:b/>
                <w:bCs/>
                <w:color w:val="FFFFFF"/>
                <w:sz w:val="16"/>
              </w:rPr>
              <w:t>v_r(Y)</w:t>
            </w:r>
          </w:p>
        </w:tc>
        <w:tc>
          <w:tcPr>
            <w:vAlign w:val="top"/>
            <w:tcMar>
              <w:top w:w="70" w:type="dxa"/>
              <w:start w:w="80" w:type="dxa"/>
              <w:bottom w:w="70" w:type="dxa"/>
              <w:end w:w="80" w:type="dxa"/>
            </w:tcMar>
            <w:shd w:fill="1F4E78"/>
          </w:tcPr>
          <w:p>
            <w:pPr>
              <w:pStyle w:val="Compact"/>
              <w:jc w:val="left"/>
            </w:pPr>
            <w:r>
              <w:rPr>
                <w:rFonts w:ascii="Arial" w:hAnsi="Arial" w:eastAsia="Arial"/>
                <w:b/>
                <w:bCs/>
                <w:color w:val="FFFFFF"/>
                <w:sz w:val="16"/>
              </w:rPr>
              <w:t>Z: min I_rights</w:t>
            </w:r>
          </w:p>
        </w:tc>
        <w:tc>
          <w:tcPr>
            <w:vAlign w:val="top"/>
            <w:tcMar>
              <w:top w:w="70" w:type="dxa"/>
              <w:start w:w="80" w:type="dxa"/>
              <w:bottom w:w="70" w:type="dxa"/>
              <w:end w:w="80" w:type="dxa"/>
            </w:tcMar>
            <w:shd w:fill="1F4E78"/>
          </w:tcPr>
          <w:p>
            <w:pPr>
              <w:pStyle w:val="Compact"/>
              <w:jc w:val="left"/>
            </w:pPr>
            <w:r>
              <w:rPr>
                <w:rFonts w:ascii="Arial" w:hAnsi="Arial" w:eastAsia="Arial"/>
                <w:b/>
                <w:bCs/>
                <w:color w:val="FFFFFF"/>
                <w:sz w:val="16"/>
              </w:rPr>
              <w:t>v_r(Z)</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LIFE</w:t>
            </w:r>
          </w:p>
        </w:tc>
        <w:tc>
          <w:tcPr>
            <w:vAlign w:val="top"/>
            <w:tcMar>
              <w:top w:w="70" w:type="dxa"/>
              <w:start w:w="80" w:type="dxa"/>
              <w:bottom w:w="70" w:type="dxa"/>
              <w:end w:w="80" w:type="dxa"/>
            </w:tcMar>
            <w:shd w:fill="D9EAF7"/>
          </w:tcPr>
          <w:p>
            <w:pPr>
              <w:pStyle w:val="Compact"/>
              <w:jc w:val="left"/>
            </w:pPr>
            <w:r>
              <w:rPr>
                <w:rFonts w:ascii="Arial" w:hAnsi="Arial" w:eastAsia="Arial"/>
                <w:sz w:val="16"/>
              </w:rPr>
              <w:t>-0.90</w:t>
            </w:r>
          </w:p>
        </w:tc>
        <w:tc>
          <w:tcPr>
            <w:vAlign w:val="top"/>
            <w:tcMar>
              <w:top w:w="70" w:type="dxa"/>
              <w:start w:w="80" w:type="dxa"/>
              <w:bottom w:w="70" w:type="dxa"/>
              <w:end w:w="80" w:type="dxa"/>
            </w:tcMar>
            <w:shd w:fill="D9EAF7"/>
          </w:tcPr>
          <w:p>
            <w:pPr>
              <w:pStyle w:val="Compact"/>
              <w:jc w:val="left"/>
            </w:pPr>
            <w:r>
              <w:rPr>
                <w:rFonts w:ascii="Arial" w:hAnsi="Arial" w:eastAsia="Arial"/>
                <w:sz w:val="16"/>
              </w:rPr>
              <w:t>-0.20</w:t>
            </w:r>
          </w:p>
        </w:tc>
        <w:tc>
          <w:tcPr>
            <w:vAlign w:val="top"/>
            <w:tcMar>
              <w:top w:w="70" w:type="dxa"/>
              <w:start w:w="80" w:type="dxa"/>
              <w:bottom w:w="70" w:type="dxa"/>
              <w:end w:w="80" w:type="dxa"/>
            </w:tcMar>
            <w:shd w:fill="D9EAF7"/>
          </w:tcPr>
          <w:p>
            <w:pPr>
              <w:pStyle w:val="Compact"/>
              <w:jc w:val="left"/>
            </w:pPr>
            <w:r>
              <w:rPr>
                <w:rFonts w:ascii="Arial" w:hAnsi="Arial" w:eastAsia="Arial"/>
                <w:sz w:val="16"/>
              </w:rPr>
              <w:t>0.000</w:t>
            </w:r>
          </w:p>
        </w:tc>
        <w:tc>
          <w:tcPr>
            <w:vAlign w:val="top"/>
            <w:tcMar>
              <w:top w:w="70" w:type="dxa"/>
              <w:start w:w="80" w:type="dxa"/>
              <w:bottom w:w="70" w:type="dxa"/>
              <w:end w:w="80" w:type="dxa"/>
            </w:tcMar>
            <w:shd w:fill="D9EAF7"/>
          </w:tcPr>
          <w:p>
            <w:pPr>
              <w:pStyle w:val="Compact"/>
              <w:jc w:val="left"/>
            </w:pPr>
            <w:r>
              <w:rPr>
                <w:rFonts w:ascii="Arial" w:hAnsi="Arial" w:eastAsia="Arial"/>
                <w:sz w:val="16"/>
              </w:rPr>
              <w:t>-0.30</w:t>
            </w:r>
          </w:p>
        </w:tc>
        <w:tc>
          <w:tcPr>
            <w:vAlign w:val="top"/>
            <w:tcMar>
              <w:top w:w="70" w:type="dxa"/>
              <w:start w:w="80" w:type="dxa"/>
              <w:bottom w:w="70" w:type="dxa"/>
              <w:end w:w="80" w:type="dxa"/>
            </w:tcMar>
            <w:shd w:fill="D9EAF7"/>
          </w:tcPr>
          <w:p>
            <w:pPr>
              <w:pStyle w:val="Compact"/>
              <w:jc w:val="left"/>
            </w:pPr>
            <w:r>
              <w:rPr>
                <w:rFonts w:ascii="Arial" w:hAnsi="Arial" w:eastAsia="Arial"/>
                <w:sz w:val="16"/>
              </w:rPr>
              <w:t>0.000</w:t>
            </w:r>
          </w:p>
        </w:tc>
        <w:tc>
          <w:tcPr>
            <w:vAlign w:val="top"/>
            <w:tcMar>
              <w:top w:w="70" w:type="dxa"/>
              <w:start w:w="80" w:type="dxa"/>
              <w:bottom w:w="70" w:type="dxa"/>
              <w:end w:w="80" w:type="dxa"/>
            </w:tcMar>
            <w:shd w:fill="D9EAF7"/>
          </w:tcPr>
          <w:p>
            <w:pPr>
              <w:pStyle w:val="Compact"/>
              <w:jc w:val="left"/>
            </w:pPr>
            <w:r>
              <w:rPr>
                <w:rFonts w:ascii="Arial" w:hAnsi="Arial" w:eastAsia="Arial"/>
                <w:sz w:val="16"/>
              </w:rPr>
              <w:t>-0.15</w:t>
            </w:r>
          </w:p>
        </w:tc>
        <w:tc>
          <w:tcPr>
            <w:vAlign w:val="top"/>
            <w:tcMar>
              <w:top w:w="70" w:type="dxa"/>
              <w:start w:w="80" w:type="dxa"/>
              <w:bottom w:w="70" w:type="dxa"/>
              <w:end w:w="80" w:type="dxa"/>
            </w:tcMar>
            <w:shd w:fill="D9EAF7"/>
          </w:tcPr>
          <w:p>
            <w:pPr>
              <w:pStyle w:val="Compact"/>
              <w:jc w:val="left"/>
            </w:pPr>
            <w:r>
              <w:rPr>
                <w:rFonts w:ascii="Arial" w:hAnsi="Arial" w:eastAsia="Arial"/>
                <w:sz w:val="16"/>
              </w:rPr>
              <w:t>0.000</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BODY</w:t>
            </w:r>
          </w:p>
        </w:tc>
        <w:tc>
          <w:tcPr>
            <w:vAlign w:val="top"/>
            <w:tcMar>
              <w:top w:w="70" w:type="dxa"/>
              <w:start w:w="80" w:type="dxa"/>
              <w:bottom w:w="70" w:type="dxa"/>
              <w:end w:w="80" w:type="dxa"/>
            </w:tcMar>
            <w:shd w:fill="FFFFFF"/>
          </w:tcPr>
          <w:p>
            <w:pPr>
              <w:pStyle w:val="Compact"/>
              <w:jc w:val="left"/>
            </w:pPr>
            <w:r>
              <w:rPr>
                <w:rFonts w:ascii="Arial" w:hAnsi="Arial" w:eastAsia="Arial"/>
                <w:sz w:val="16"/>
              </w:rPr>
              <w:t>-0.70</w:t>
            </w:r>
          </w:p>
        </w:tc>
        <w:tc>
          <w:tcPr>
            <w:vAlign w:val="top"/>
            <w:tcMar>
              <w:top w:w="70" w:type="dxa"/>
              <w:start w:w="80" w:type="dxa"/>
              <w:bottom w:w="70" w:type="dxa"/>
              <w:end w:w="80" w:type="dxa"/>
            </w:tcMar>
            <w:shd w:fill="FFFFFF"/>
          </w:tcPr>
          <w:p>
            <w:pPr>
              <w:pStyle w:val="Compact"/>
              <w:jc w:val="left"/>
            </w:pPr>
            <w:r>
              <w:rPr>
                <w:rFonts w:ascii="Arial" w:hAnsi="Arial" w:eastAsia="Arial"/>
                <w:sz w:val="16"/>
              </w:rPr>
              <w:t>-0.20</w:t>
            </w:r>
          </w:p>
        </w:tc>
        <w:tc>
          <w:tcPr>
            <w:vAlign w:val="top"/>
            <w:tcMar>
              <w:top w:w="70" w:type="dxa"/>
              <w:start w:w="80" w:type="dxa"/>
              <w:bottom w:w="70" w:type="dxa"/>
              <w:end w:w="80" w:type="dxa"/>
            </w:tcMar>
            <w:shd w:fill="FFFFFF"/>
          </w:tcPr>
          <w:p>
            <w:pPr>
              <w:pStyle w:val="Compact"/>
              <w:jc w:val="left"/>
            </w:pPr>
            <w:r>
              <w:rPr>
                <w:rFonts w:ascii="Arial" w:hAnsi="Arial" w:eastAsia="Arial"/>
                <w:sz w:val="16"/>
              </w:rPr>
              <w:t>0.000</w:t>
            </w:r>
          </w:p>
        </w:tc>
        <w:tc>
          <w:tcPr>
            <w:vAlign w:val="top"/>
            <w:tcMar>
              <w:top w:w="70" w:type="dxa"/>
              <w:start w:w="80" w:type="dxa"/>
              <w:bottom w:w="70" w:type="dxa"/>
              <w:end w:w="80" w:type="dxa"/>
            </w:tcMar>
            <w:shd w:fill="FFFFFF"/>
          </w:tcPr>
          <w:p>
            <w:pPr>
              <w:pStyle w:val="Compact"/>
              <w:jc w:val="left"/>
            </w:pPr>
            <w:r>
              <w:rPr>
                <w:rFonts w:ascii="Arial" w:hAnsi="Arial" w:eastAsia="Arial"/>
                <w:sz w:val="16"/>
              </w:rPr>
              <w:t>-0.40</w:t>
            </w:r>
          </w:p>
        </w:tc>
        <w:tc>
          <w:tcPr>
            <w:vAlign w:val="top"/>
            <w:tcMar>
              <w:top w:w="70" w:type="dxa"/>
              <w:start w:w="80" w:type="dxa"/>
              <w:bottom w:w="70" w:type="dxa"/>
              <w:end w:w="80" w:type="dxa"/>
            </w:tcMar>
            <w:shd w:fill="FFFFFF"/>
          </w:tcPr>
          <w:p>
            <w:pPr>
              <w:pStyle w:val="Compact"/>
              <w:jc w:val="left"/>
            </w:pPr>
            <w:r>
              <w:rPr>
                <w:rFonts w:ascii="Arial" w:hAnsi="Arial" w:eastAsia="Arial"/>
                <w:sz w:val="16"/>
              </w:rPr>
              <w:t>0.000</w:t>
            </w:r>
          </w:p>
        </w:tc>
        <w:tc>
          <w:tcPr>
            <w:vAlign w:val="top"/>
            <w:tcMar>
              <w:top w:w="70" w:type="dxa"/>
              <w:start w:w="80" w:type="dxa"/>
              <w:bottom w:w="70" w:type="dxa"/>
              <w:end w:w="80" w:type="dxa"/>
            </w:tcMar>
            <w:shd w:fill="FFFFFF"/>
          </w:tcPr>
          <w:p>
            <w:pPr>
              <w:pStyle w:val="Compact"/>
              <w:jc w:val="left"/>
            </w:pPr>
            <w:r>
              <w:rPr>
                <w:rFonts w:ascii="Arial" w:hAnsi="Arial" w:eastAsia="Arial"/>
                <w:sz w:val="16"/>
              </w:rPr>
              <w:t>-0.15</w:t>
            </w:r>
          </w:p>
        </w:tc>
        <w:tc>
          <w:tcPr>
            <w:vAlign w:val="top"/>
            <w:tcMar>
              <w:top w:w="70" w:type="dxa"/>
              <w:start w:w="80" w:type="dxa"/>
              <w:bottom w:w="70" w:type="dxa"/>
              <w:end w:w="80" w:type="dxa"/>
            </w:tcMar>
            <w:shd w:fill="FFFFFF"/>
          </w:tcPr>
          <w:p>
            <w:pPr>
              <w:pStyle w:val="Compact"/>
              <w:jc w:val="left"/>
            </w:pPr>
            <w:r>
              <w:rPr>
                <w:rFonts w:ascii="Arial" w:hAnsi="Arial" w:eastAsia="Arial"/>
                <w:sz w:val="16"/>
              </w:rPr>
              <w:t>0.000</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ECOL</w:t>
            </w:r>
          </w:p>
        </w:tc>
        <w:tc>
          <w:tcPr>
            <w:vAlign w:val="top"/>
            <w:tcMar>
              <w:top w:w="70" w:type="dxa"/>
              <w:start w:w="80" w:type="dxa"/>
              <w:bottom w:w="70" w:type="dxa"/>
              <w:end w:w="80" w:type="dxa"/>
            </w:tcMar>
            <w:shd w:fill="D9EAF7"/>
          </w:tcPr>
          <w:p>
            <w:pPr>
              <w:pStyle w:val="Compact"/>
              <w:jc w:val="left"/>
            </w:pPr>
            <w:r>
              <w:rPr>
                <w:rFonts w:ascii="Arial" w:hAnsi="Arial" w:eastAsia="Arial"/>
                <w:sz w:val="16"/>
              </w:rPr>
              <w:t>-0.65</w:t>
            </w:r>
          </w:p>
        </w:tc>
        <w:tc>
          <w:tcPr>
            <w:vAlign w:val="top"/>
            <w:tcMar>
              <w:top w:w="70" w:type="dxa"/>
              <w:start w:w="80" w:type="dxa"/>
              <w:bottom w:w="70" w:type="dxa"/>
              <w:end w:w="80" w:type="dxa"/>
            </w:tcMar>
            <w:shd w:fill="D9EAF7"/>
          </w:tcPr>
          <w:p>
            <w:pPr>
              <w:pStyle w:val="Compact"/>
              <w:jc w:val="left"/>
            </w:pPr>
            <w:r>
              <w:rPr>
                <w:rFonts w:ascii="Arial" w:hAnsi="Arial" w:eastAsia="Arial"/>
                <w:sz w:val="16"/>
              </w:rPr>
              <w:t>-0.10</w:t>
            </w:r>
          </w:p>
        </w:tc>
        <w:tc>
          <w:tcPr>
            <w:vAlign w:val="top"/>
            <w:tcMar>
              <w:top w:w="70" w:type="dxa"/>
              <w:start w:w="80" w:type="dxa"/>
              <w:bottom w:w="70" w:type="dxa"/>
              <w:end w:w="80" w:type="dxa"/>
            </w:tcMar>
            <w:shd w:fill="D9EAF7"/>
          </w:tcPr>
          <w:p>
            <w:pPr>
              <w:pStyle w:val="Compact"/>
              <w:jc w:val="left"/>
            </w:pPr>
            <w:r>
              <w:rPr>
                <w:rFonts w:ascii="Arial" w:hAnsi="Arial" w:eastAsia="Arial"/>
                <w:sz w:val="16"/>
              </w:rPr>
              <w:t>0.000</w:t>
            </w:r>
          </w:p>
        </w:tc>
        <w:tc>
          <w:tcPr>
            <w:vAlign w:val="top"/>
            <w:tcMar>
              <w:top w:w="70" w:type="dxa"/>
              <w:start w:w="80" w:type="dxa"/>
              <w:bottom w:w="70" w:type="dxa"/>
              <w:end w:w="80" w:type="dxa"/>
            </w:tcMar>
            <w:shd w:fill="D9EAF7"/>
          </w:tcPr>
          <w:p>
            <w:pPr>
              <w:pStyle w:val="Compact"/>
              <w:jc w:val="left"/>
            </w:pPr>
            <w:r>
              <w:rPr>
                <w:rFonts w:ascii="Arial" w:hAnsi="Arial" w:eastAsia="Arial"/>
                <w:sz w:val="16"/>
              </w:rPr>
              <w:t>-0.72</w:t>
            </w:r>
          </w:p>
        </w:tc>
        <w:tc>
          <w:tcPr>
            <w:vAlign w:val="top"/>
            <w:tcMar>
              <w:top w:w="70" w:type="dxa"/>
              <w:start w:w="80" w:type="dxa"/>
              <w:bottom w:w="70" w:type="dxa"/>
              <w:end w:w="80" w:type="dxa"/>
            </w:tcMar>
            <w:shd w:fill="D9EAF7"/>
          </w:tcPr>
          <w:p>
            <w:pPr>
              <w:pStyle w:val="Compact"/>
              <w:jc w:val="left"/>
            </w:pPr>
            <w:r>
              <w:rPr>
                <w:rFonts w:ascii="Arial" w:hAnsi="Arial" w:eastAsia="Arial"/>
                <w:sz w:val="16"/>
              </w:rPr>
              <w:t>0.070</w:t>
            </w:r>
          </w:p>
        </w:tc>
        <w:tc>
          <w:tcPr>
            <w:vAlign w:val="top"/>
            <w:tcMar>
              <w:top w:w="70" w:type="dxa"/>
              <w:start w:w="80" w:type="dxa"/>
              <w:bottom w:w="70" w:type="dxa"/>
              <w:end w:w="80" w:type="dxa"/>
            </w:tcMar>
            <w:shd w:fill="D9EAF7"/>
          </w:tcPr>
          <w:p>
            <w:pPr>
              <w:pStyle w:val="Compact"/>
              <w:jc w:val="left"/>
            </w:pPr>
            <w:r>
              <w:rPr>
                <w:rFonts w:ascii="Arial" w:hAnsi="Arial" w:eastAsia="Arial"/>
                <w:sz w:val="16"/>
              </w:rPr>
              <w:t>-0.20</w:t>
            </w:r>
          </w:p>
        </w:tc>
        <w:tc>
          <w:tcPr>
            <w:vAlign w:val="top"/>
            <w:tcMar>
              <w:top w:w="70" w:type="dxa"/>
              <w:start w:w="80" w:type="dxa"/>
              <w:bottom w:w="70" w:type="dxa"/>
              <w:end w:w="80" w:type="dxa"/>
            </w:tcMar>
            <w:shd w:fill="D9EAF7"/>
          </w:tcPr>
          <w:p>
            <w:pPr>
              <w:pStyle w:val="Compact"/>
              <w:jc w:val="left"/>
            </w:pPr>
            <w:r>
              <w:rPr>
                <w:rFonts w:ascii="Arial" w:hAnsi="Arial" w:eastAsia="Arial"/>
                <w:sz w:val="16"/>
              </w:rPr>
              <w:t>0.000</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LBTY</w:t>
            </w:r>
          </w:p>
        </w:tc>
        <w:tc>
          <w:tcPr>
            <w:vAlign w:val="top"/>
            <w:tcMar>
              <w:top w:w="70" w:type="dxa"/>
              <w:start w:w="80" w:type="dxa"/>
              <w:bottom w:w="70" w:type="dxa"/>
              <w:end w:w="80" w:type="dxa"/>
            </w:tcMar>
            <w:shd w:fill="FFFFFF"/>
          </w:tcPr>
          <w:p>
            <w:pPr>
              <w:pStyle w:val="Compact"/>
              <w:jc w:val="left"/>
            </w:pPr>
            <w:r>
              <w:rPr>
                <w:rFonts w:ascii="Arial" w:hAnsi="Arial" w:eastAsia="Arial"/>
                <w:sz w:val="16"/>
              </w:rPr>
              <w:t>-0.65</w:t>
            </w:r>
          </w:p>
        </w:tc>
        <w:tc>
          <w:tcPr>
            <w:vAlign w:val="top"/>
            <w:tcMar>
              <w:top w:w="70" w:type="dxa"/>
              <w:start w:w="80" w:type="dxa"/>
              <w:bottom w:w="70" w:type="dxa"/>
              <w:end w:w="80" w:type="dxa"/>
            </w:tcMar>
            <w:shd w:fill="FFFFFF"/>
          </w:tcPr>
          <w:p>
            <w:pPr>
              <w:pStyle w:val="Compact"/>
              <w:jc w:val="left"/>
            </w:pPr>
            <w:r>
              <w:rPr>
                <w:rFonts w:ascii="Arial" w:hAnsi="Arial" w:eastAsia="Arial"/>
                <w:sz w:val="16"/>
              </w:rPr>
              <w:t>-0.68</w:t>
            </w:r>
          </w:p>
        </w:tc>
        <w:tc>
          <w:tcPr>
            <w:vAlign w:val="top"/>
            <w:tcMar>
              <w:top w:w="70" w:type="dxa"/>
              <w:start w:w="80" w:type="dxa"/>
              <w:bottom w:w="70" w:type="dxa"/>
              <w:end w:w="80" w:type="dxa"/>
            </w:tcMar>
            <w:shd w:fill="FFFFFF"/>
          </w:tcPr>
          <w:p>
            <w:pPr>
              <w:pStyle w:val="Compact"/>
              <w:jc w:val="left"/>
            </w:pPr>
            <w:r>
              <w:rPr>
                <w:rFonts w:ascii="Arial" w:hAnsi="Arial" w:eastAsia="Arial"/>
                <w:sz w:val="16"/>
              </w:rPr>
              <w:t>0.030</w:t>
            </w:r>
          </w:p>
        </w:tc>
        <w:tc>
          <w:tcPr>
            <w:vAlign w:val="top"/>
            <w:tcMar>
              <w:top w:w="70" w:type="dxa"/>
              <w:start w:w="80" w:type="dxa"/>
              <w:bottom w:w="70" w:type="dxa"/>
              <w:end w:w="80" w:type="dxa"/>
            </w:tcMar>
            <w:shd w:fill="FFFFFF"/>
          </w:tcPr>
          <w:p>
            <w:pPr>
              <w:pStyle w:val="Compact"/>
              <w:jc w:val="left"/>
            </w:pPr>
            <w:r>
              <w:rPr>
                <w:rFonts w:ascii="Arial" w:hAnsi="Arial" w:eastAsia="Arial"/>
                <w:sz w:val="16"/>
              </w:rPr>
              <w:t>-0.20</w:t>
            </w:r>
          </w:p>
        </w:tc>
        <w:tc>
          <w:tcPr>
            <w:vAlign w:val="top"/>
            <w:tcMar>
              <w:top w:w="70" w:type="dxa"/>
              <w:start w:w="80" w:type="dxa"/>
              <w:bottom w:w="70" w:type="dxa"/>
              <w:end w:w="80" w:type="dxa"/>
            </w:tcMar>
            <w:shd w:fill="FFFFFF"/>
          </w:tcPr>
          <w:p>
            <w:pPr>
              <w:pStyle w:val="Compact"/>
              <w:jc w:val="left"/>
            </w:pPr>
            <w:r>
              <w:rPr>
                <w:rFonts w:ascii="Arial" w:hAnsi="Arial" w:eastAsia="Arial"/>
                <w:sz w:val="16"/>
              </w:rPr>
              <w:t>0.000</w:t>
            </w:r>
          </w:p>
        </w:tc>
        <w:tc>
          <w:tcPr>
            <w:vAlign w:val="top"/>
            <w:tcMar>
              <w:top w:w="70" w:type="dxa"/>
              <w:start w:w="80" w:type="dxa"/>
              <w:bottom w:w="70" w:type="dxa"/>
              <w:end w:w="80" w:type="dxa"/>
            </w:tcMar>
            <w:shd w:fill="FFFFFF"/>
          </w:tcPr>
          <w:p>
            <w:pPr>
              <w:pStyle w:val="Compact"/>
              <w:jc w:val="left"/>
            </w:pPr>
            <w:r>
              <w:rPr>
                <w:rFonts w:ascii="Arial" w:hAnsi="Arial" w:eastAsia="Arial"/>
                <w:sz w:val="16"/>
              </w:rPr>
              <w:t>-0.30</w:t>
            </w:r>
          </w:p>
        </w:tc>
        <w:tc>
          <w:tcPr>
            <w:vAlign w:val="top"/>
            <w:tcMar>
              <w:top w:w="70" w:type="dxa"/>
              <w:start w:w="80" w:type="dxa"/>
              <w:bottom w:w="70" w:type="dxa"/>
              <w:end w:w="80" w:type="dxa"/>
            </w:tcMar>
            <w:shd w:fill="FFFFFF"/>
          </w:tcPr>
          <w:p>
            <w:pPr>
              <w:pStyle w:val="Compact"/>
              <w:jc w:val="left"/>
            </w:pPr>
            <w:r>
              <w:rPr>
                <w:rFonts w:ascii="Arial" w:hAnsi="Arial" w:eastAsia="Arial"/>
                <w:sz w:val="16"/>
              </w:rPr>
              <w:t>0.000</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NEED</w:t>
            </w:r>
          </w:p>
        </w:tc>
        <w:tc>
          <w:tcPr>
            <w:vAlign w:val="top"/>
            <w:tcMar>
              <w:top w:w="70" w:type="dxa"/>
              <w:start w:w="80" w:type="dxa"/>
              <w:bottom w:w="70" w:type="dxa"/>
              <w:end w:w="80" w:type="dxa"/>
            </w:tcMar>
            <w:shd w:fill="D9EAF7"/>
          </w:tcPr>
          <w:p>
            <w:pPr>
              <w:pStyle w:val="Compact"/>
              <w:jc w:val="left"/>
            </w:pPr>
            <w:r>
              <w:rPr>
                <w:rFonts w:ascii="Arial" w:hAnsi="Arial" w:eastAsia="Arial"/>
                <w:sz w:val="16"/>
              </w:rPr>
              <w:t>-0.50</w:t>
            </w:r>
          </w:p>
        </w:tc>
        <w:tc>
          <w:tcPr>
            <w:vAlign w:val="top"/>
            <w:tcMar>
              <w:top w:w="70" w:type="dxa"/>
              <w:start w:w="80" w:type="dxa"/>
              <w:bottom w:w="70" w:type="dxa"/>
              <w:end w:w="80" w:type="dxa"/>
            </w:tcMar>
            <w:shd w:fill="D9EAF7"/>
          </w:tcPr>
          <w:p>
            <w:pPr>
              <w:pStyle w:val="Compact"/>
              <w:jc w:val="left"/>
            </w:pPr>
            <w:r>
              <w:rPr>
                <w:rFonts w:ascii="Arial" w:hAnsi="Arial" w:eastAsia="Arial"/>
                <w:sz w:val="16"/>
              </w:rPr>
              <w:t>-0.30</w:t>
            </w:r>
          </w:p>
        </w:tc>
        <w:tc>
          <w:tcPr>
            <w:vAlign w:val="top"/>
            <w:tcMar>
              <w:top w:w="70" w:type="dxa"/>
              <w:start w:w="80" w:type="dxa"/>
              <w:bottom w:w="70" w:type="dxa"/>
              <w:end w:w="80" w:type="dxa"/>
            </w:tcMar>
            <w:shd w:fill="D9EAF7"/>
          </w:tcPr>
          <w:p>
            <w:pPr>
              <w:pStyle w:val="Compact"/>
              <w:jc w:val="left"/>
            </w:pPr>
            <w:r>
              <w:rPr>
                <w:rFonts w:ascii="Arial" w:hAnsi="Arial" w:eastAsia="Arial"/>
                <w:sz w:val="16"/>
              </w:rPr>
              <w:t>0.000</w:t>
            </w:r>
          </w:p>
        </w:tc>
        <w:tc>
          <w:tcPr>
            <w:vAlign w:val="top"/>
            <w:tcMar>
              <w:top w:w="70" w:type="dxa"/>
              <w:start w:w="80" w:type="dxa"/>
              <w:bottom w:w="70" w:type="dxa"/>
              <w:end w:w="80" w:type="dxa"/>
            </w:tcMar>
            <w:shd w:fill="D9EAF7"/>
          </w:tcPr>
          <w:p>
            <w:pPr>
              <w:pStyle w:val="Compact"/>
              <w:jc w:val="left"/>
            </w:pPr>
            <w:r>
              <w:rPr>
                <w:rFonts w:ascii="Arial" w:hAnsi="Arial" w:eastAsia="Arial"/>
                <w:sz w:val="16"/>
              </w:rPr>
              <w:t>-0.58</w:t>
            </w:r>
          </w:p>
        </w:tc>
        <w:tc>
          <w:tcPr>
            <w:vAlign w:val="top"/>
            <w:tcMar>
              <w:top w:w="70" w:type="dxa"/>
              <w:start w:w="80" w:type="dxa"/>
              <w:bottom w:w="70" w:type="dxa"/>
              <w:end w:w="80" w:type="dxa"/>
            </w:tcMar>
            <w:shd w:fill="D9EAF7"/>
          </w:tcPr>
          <w:p>
            <w:pPr>
              <w:pStyle w:val="Compact"/>
              <w:jc w:val="left"/>
            </w:pPr>
            <w:r>
              <w:rPr>
                <w:rFonts w:ascii="Arial" w:hAnsi="Arial" w:eastAsia="Arial"/>
                <w:sz w:val="16"/>
              </w:rPr>
              <w:t>0.080</w:t>
            </w:r>
          </w:p>
        </w:tc>
        <w:tc>
          <w:tcPr>
            <w:vAlign w:val="top"/>
            <w:tcMar>
              <w:top w:w="70" w:type="dxa"/>
              <w:start w:w="80" w:type="dxa"/>
              <w:bottom w:w="70" w:type="dxa"/>
              <w:end w:w="80" w:type="dxa"/>
            </w:tcMar>
            <w:shd w:fill="D9EAF7"/>
          </w:tcPr>
          <w:p>
            <w:pPr>
              <w:pStyle w:val="Compact"/>
              <w:jc w:val="left"/>
            </w:pPr>
            <w:r>
              <w:rPr>
                <w:rFonts w:ascii="Arial" w:hAnsi="Arial" w:eastAsia="Arial"/>
                <w:sz w:val="16"/>
              </w:rPr>
              <w:t>-0.55</w:t>
            </w:r>
          </w:p>
        </w:tc>
        <w:tc>
          <w:tcPr>
            <w:vAlign w:val="top"/>
            <w:tcMar>
              <w:top w:w="70" w:type="dxa"/>
              <w:start w:w="80" w:type="dxa"/>
              <w:bottom w:w="70" w:type="dxa"/>
              <w:end w:w="80" w:type="dxa"/>
            </w:tcMar>
            <w:shd w:fill="D9EAF7"/>
          </w:tcPr>
          <w:p>
            <w:pPr>
              <w:pStyle w:val="Compact"/>
              <w:jc w:val="left"/>
            </w:pPr>
            <w:r>
              <w:rPr>
                <w:rFonts w:ascii="Arial" w:hAnsi="Arial" w:eastAsia="Arial"/>
                <w:sz w:val="16"/>
              </w:rPr>
              <w:t>0.050</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DIGN</w:t>
            </w:r>
          </w:p>
        </w:tc>
        <w:tc>
          <w:tcPr>
            <w:vAlign w:val="top"/>
            <w:tcMar>
              <w:top w:w="70" w:type="dxa"/>
              <w:start w:w="80" w:type="dxa"/>
              <w:bottom w:w="70" w:type="dxa"/>
              <w:end w:w="80" w:type="dxa"/>
            </w:tcMar>
            <w:shd w:fill="FFFFFF"/>
          </w:tcPr>
          <w:p>
            <w:pPr>
              <w:pStyle w:val="Compact"/>
              <w:jc w:val="left"/>
            </w:pPr>
            <w:r>
              <w:rPr>
                <w:rFonts w:ascii="Arial" w:hAnsi="Arial" w:eastAsia="Arial"/>
                <w:sz w:val="16"/>
              </w:rPr>
              <w:t>-0.55</w:t>
            </w:r>
          </w:p>
        </w:tc>
        <w:tc>
          <w:tcPr>
            <w:vAlign w:val="top"/>
            <w:tcMar>
              <w:top w:w="70" w:type="dxa"/>
              <w:start w:w="80" w:type="dxa"/>
              <w:bottom w:w="70" w:type="dxa"/>
              <w:end w:w="80" w:type="dxa"/>
            </w:tcMar>
            <w:shd w:fill="FFFFFF"/>
          </w:tcPr>
          <w:p>
            <w:pPr>
              <w:pStyle w:val="Compact"/>
              <w:jc w:val="left"/>
            </w:pPr>
            <w:r>
              <w:rPr>
                <w:rFonts w:ascii="Arial" w:hAnsi="Arial" w:eastAsia="Arial"/>
                <w:sz w:val="16"/>
              </w:rPr>
              <w:t>-0.62</w:t>
            </w:r>
          </w:p>
        </w:tc>
        <w:tc>
          <w:tcPr>
            <w:vAlign w:val="top"/>
            <w:tcMar>
              <w:top w:w="70" w:type="dxa"/>
              <w:start w:w="80" w:type="dxa"/>
              <w:bottom w:w="70" w:type="dxa"/>
              <w:end w:w="80" w:type="dxa"/>
            </w:tcMar>
            <w:shd w:fill="FFFFFF"/>
          </w:tcPr>
          <w:p>
            <w:pPr>
              <w:pStyle w:val="Compact"/>
              <w:jc w:val="left"/>
            </w:pPr>
            <w:r>
              <w:rPr>
                <w:rFonts w:ascii="Arial" w:hAnsi="Arial" w:eastAsia="Arial"/>
                <w:sz w:val="16"/>
              </w:rPr>
              <w:t>0.070</w:t>
            </w:r>
          </w:p>
        </w:tc>
        <w:tc>
          <w:tcPr>
            <w:vAlign w:val="top"/>
            <w:tcMar>
              <w:top w:w="70" w:type="dxa"/>
              <w:start w:w="80" w:type="dxa"/>
              <w:bottom w:w="70" w:type="dxa"/>
              <w:end w:w="80" w:type="dxa"/>
            </w:tcMar>
            <w:shd w:fill="FFFFFF"/>
          </w:tcPr>
          <w:p>
            <w:pPr>
              <w:pStyle w:val="Compact"/>
              <w:jc w:val="left"/>
            </w:pPr>
            <w:r>
              <w:rPr>
                <w:rFonts w:ascii="Arial" w:hAnsi="Arial" w:eastAsia="Arial"/>
                <w:sz w:val="16"/>
              </w:rPr>
              <w:t>-0.25</w:t>
            </w:r>
          </w:p>
        </w:tc>
        <w:tc>
          <w:tcPr>
            <w:vAlign w:val="top"/>
            <w:tcMar>
              <w:top w:w="70" w:type="dxa"/>
              <w:start w:w="80" w:type="dxa"/>
              <w:bottom w:w="70" w:type="dxa"/>
              <w:end w:w="80" w:type="dxa"/>
            </w:tcMar>
            <w:shd w:fill="FFFFFF"/>
          </w:tcPr>
          <w:p>
            <w:pPr>
              <w:pStyle w:val="Compact"/>
              <w:jc w:val="left"/>
            </w:pPr>
            <w:r>
              <w:rPr>
                <w:rFonts w:ascii="Arial" w:hAnsi="Arial" w:eastAsia="Arial"/>
                <w:sz w:val="16"/>
              </w:rPr>
              <w:t>0.000</w:t>
            </w:r>
          </w:p>
        </w:tc>
        <w:tc>
          <w:tcPr>
            <w:vAlign w:val="top"/>
            <w:tcMar>
              <w:top w:w="70" w:type="dxa"/>
              <w:start w:w="80" w:type="dxa"/>
              <w:bottom w:w="70" w:type="dxa"/>
              <w:end w:w="80" w:type="dxa"/>
            </w:tcMar>
            <w:shd w:fill="FFFFFF"/>
          </w:tcPr>
          <w:p>
            <w:pPr>
              <w:pStyle w:val="Compact"/>
              <w:jc w:val="left"/>
            </w:pPr>
            <w:r>
              <w:rPr>
                <w:rFonts w:ascii="Arial" w:hAnsi="Arial" w:eastAsia="Arial"/>
                <w:sz w:val="16"/>
              </w:rPr>
              <w:t>-0.40</w:t>
            </w:r>
          </w:p>
        </w:tc>
        <w:tc>
          <w:tcPr>
            <w:vAlign w:val="top"/>
            <w:tcMar>
              <w:top w:w="70" w:type="dxa"/>
              <w:start w:w="80" w:type="dxa"/>
              <w:bottom w:w="70" w:type="dxa"/>
              <w:end w:w="80" w:type="dxa"/>
            </w:tcMar>
            <w:shd w:fill="FFFFFF"/>
          </w:tcPr>
          <w:p>
            <w:pPr>
              <w:pStyle w:val="Compact"/>
              <w:jc w:val="left"/>
            </w:pPr>
            <w:r>
              <w:rPr>
                <w:rFonts w:ascii="Arial" w:hAnsi="Arial" w:eastAsia="Arial"/>
                <w:sz w:val="16"/>
              </w:rPr>
              <w:t>0.000</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PROC</w:t>
            </w:r>
          </w:p>
        </w:tc>
        <w:tc>
          <w:tcPr>
            <w:vAlign w:val="top"/>
            <w:tcMar>
              <w:top w:w="70" w:type="dxa"/>
              <w:start w:w="80" w:type="dxa"/>
              <w:bottom w:w="70" w:type="dxa"/>
              <w:end w:w="80" w:type="dxa"/>
            </w:tcMar>
            <w:shd w:fill="D9EAF7"/>
          </w:tcPr>
          <w:p>
            <w:pPr>
              <w:pStyle w:val="Compact"/>
              <w:jc w:val="left"/>
            </w:pPr>
            <w:r>
              <w:rPr>
                <w:rFonts w:ascii="Arial" w:hAnsi="Arial" w:eastAsia="Arial"/>
                <w:sz w:val="16"/>
              </w:rPr>
              <w:t>-0.45</w:t>
            </w:r>
          </w:p>
        </w:tc>
        <w:tc>
          <w:tcPr>
            <w:vAlign w:val="top"/>
            <w:tcMar>
              <w:top w:w="70" w:type="dxa"/>
              <w:start w:w="80" w:type="dxa"/>
              <w:bottom w:w="70" w:type="dxa"/>
              <w:end w:w="80" w:type="dxa"/>
            </w:tcMar>
            <w:shd w:fill="D9EAF7"/>
          </w:tcPr>
          <w:p>
            <w:pPr>
              <w:pStyle w:val="Compact"/>
              <w:jc w:val="left"/>
            </w:pPr>
            <w:r>
              <w:rPr>
                <w:rFonts w:ascii="Arial" w:hAnsi="Arial" w:eastAsia="Arial"/>
                <w:sz w:val="16"/>
              </w:rPr>
              <w:t>-0.35</w:t>
            </w:r>
          </w:p>
        </w:tc>
        <w:tc>
          <w:tcPr>
            <w:vAlign w:val="top"/>
            <w:tcMar>
              <w:top w:w="70" w:type="dxa"/>
              <w:start w:w="80" w:type="dxa"/>
              <w:bottom w:w="70" w:type="dxa"/>
              <w:end w:w="80" w:type="dxa"/>
            </w:tcMar>
            <w:shd w:fill="D9EAF7"/>
          </w:tcPr>
          <w:p>
            <w:pPr>
              <w:pStyle w:val="Compact"/>
              <w:jc w:val="left"/>
            </w:pPr>
            <w:r>
              <w:rPr>
                <w:rFonts w:ascii="Arial" w:hAnsi="Arial" w:eastAsia="Arial"/>
                <w:sz w:val="16"/>
              </w:rPr>
              <w:t>0.000</w:t>
            </w:r>
          </w:p>
        </w:tc>
        <w:tc>
          <w:tcPr>
            <w:vAlign w:val="top"/>
            <w:tcMar>
              <w:top w:w="70" w:type="dxa"/>
              <w:start w:w="80" w:type="dxa"/>
              <w:bottom w:w="70" w:type="dxa"/>
              <w:end w:w="80" w:type="dxa"/>
            </w:tcMar>
            <w:shd w:fill="D9EAF7"/>
          </w:tcPr>
          <w:p>
            <w:pPr>
              <w:pStyle w:val="Compact"/>
              <w:jc w:val="left"/>
            </w:pPr>
            <w:r>
              <w:rPr>
                <w:rFonts w:ascii="Arial" w:hAnsi="Arial" w:eastAsia="Arial"/>
                <w:sz w:val="16"/>
              </w:rPr>
              <w:t>-0.30</w:t>
            </w:r>
          </w:p>
        </w:tc>
        <w:tc>
          <w:tcPr>
            <w:vAlign w:val="top"/>
            <w:tcMar>
              <w:top w:w="70" w:type="dxa"/>
              <w:start w:w="80" w:type="dxa"/>
              <w:bottom w:w="70" w:type="dxa"/>
              <w:end w:w="80" w:type="dxa"/>
            </w:tcMar>
            <w:shd w:fill="D9EAF7"/>
          </w:tcPr>
          <w:p>
            <w:pPr>
              <w:pStyle w:val="Compact"/>
              <w:jc w:val="left"/>
            </w:pPr>
            <w:r>
              <w:rPr>
                <w:rFonts w:ascii="Arial" w:hAnsi="Arial" w:eastAsia="Arial"/>
                <w:sz w:val="16"/>
              </w:rPr>
              <w:t>0.000</w:t>
            </w:r>
          </w:p>
        </w:tc>
        <w:tc>
          <w:tcPr>
            <w:vAlign w:val="top"/>
            <w:tcMar>
              <w:top w:w="70" w:type="dxa"/>
              <w:start w:w="80" w:type="dxa"/>
              <w:bottom w:w="70" w:type="dxa"/>
              <w:end w:w="80" w:type="dxa"/>
            </w:tcMar>
            <w:shd w:fill="D9EAF7"/>
          </w:tcPr>
          <w:p>
            <w:pPr>
              <w:pStyle w:val="Compact"/>
              <w:jc w:val="left"/>
            </w:pPr>
            <w:r>
              <w:rPr>
                <w:rFonts w:ascii="Arial" w:hAnsi="Arial" w:eastAsia="Arial"/>
                <w:sz w:val="16"/>
              </w:rPr>
              <w:t>-0.52</w:t>
            </w:r>
          </w:p>
        </w:tc>
        <w:tc>
          <w:tcPr>
            <w:vAlign w:val="top"/>
            <w:tcMar>
              <w:top w:w="70" w:type="dxa"/>
              <w:start w:w="80" w:type="dxa"/>
              <w:bottom w:w="70" w:type="dxa"/>
              <w:end w:w="80" w:type="dxa"/>
            </w:tcMar>
            <w:shd w:fill="D9EAF7"/>
          </w:tcPr>
          <w:p>
            <w:pPr>
              <w:pStyle w:val="Compact"/>
              <w:jc w:val="left"/>
            </w:pPr>
            <w:r>
              <w:rPr>
                <w:rFonts w:ascii="Arial" w:hAnsi="Arial" w:eastAsia="Arial"/>
                <w:sz w:val="16"/>
              </w:rPr>
              <w:t>0.070</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INFO</w:t>
            </w:r>
          </w:p>
        </w:tc>
        <w:tc>
          <w:tcPr>
            <w:vAlign w:val="top"/>
            <w:tcMar>
              <w:top w:w="70" w:type="dxa"/>
              <w:start w:w="80" w:type="dxa"/>
              <w:bottom w:w="70" w:type="dxa"/>
              <w:end w:w="80" w:type="dxa"/>
            </w:tcMar>
            <w:shd w:fill="FFFFFF"/>
          </w:tcPr>
          <w:p>
            <w:pPr>
              <w:pStyle w:val="Compact"/>
              <w:jc w:val="left"/>
            </w:pPr>
            <w:r>
              <w:rPr>
                <w:rFonts w:ascii="Arial" w:hAnsi="Arial" w:eastAsia="Arial"/>
                <w:sz w:val="16"/>
              </w:rPr>
              <w:t>-0.40</w:t>
            </w:r>
          </w:p>
        </w:tc>
        <w:tc>
          <w:tcPr>
            <w:vAlign w:val="top"/>
            <w:tcMar>
              <w:top w:w="70" w:type="dxa"/>
              <w:start w:w="80" w:type="dxa"/>
              <w:bottom w:w="70" w:type="dxa"/>
              <w:end w:w="80" w:type="dxa"/>
            </w:tcMar>
            <w:shd w:fill="FFFFFF"/>
          </w:tcPr>
          <w:p>
            <w:pPr>
              <w:pStyle w:val="Compact"/>
              <w:jc w:val="left"/>
            </w:pPr>
            <w:r>
              <w:rPr>
                <w:rFonts w:ascii="Arial" w:hAnsi="Arial" w:eastAsia="Arial"/>
                <w:sz w:val="16"/>
              </w:rPr>
              <w:t>-0.20</w:t>
            </w:r>
          </w:p>
        </w:tc>
        <w:tc>
          <w:tcPr>
            <w:vAlign w:val="top"/>
            <w:tcMar>
              <w:top w:w="70" w:type="dxa"/>
              <w:start w:w="80" w:type="dxa"/>
              <w:bottom w:w="70" w:type="dxa"/>
              <w:end w:w="80" w:type="dxa"/>
            </w:tcMar>
            <w:shd w:fill="FFFFFF"/>
          </w:tcPr>
          <w:p>
            <w:pPr>
              <w:pStyle w:val="Compact"/>
              <w:jc w:val="left"/>
            </w:pPr>
            <w:r>
              <w:rPr>
                <w:rFonts w:ascii="Arial" w:hAnsi="Arial" w:eastAsia="Arial"/>
                <w:sz w:val="16"/>
              </w:rPr>
              <w:t>0.000</w:t>
            </w:r>
          </w:p>
        </w:tc>
        <w:tc>
          <w:tcPr>
            <w:vAlign w:val="top"/>
            <w:tcMar>
              <w:top w:w="70" w:type="dxa"/>
              <w:start w:w="80" w:type="dxa"/>
              <w:bottom w:w="70" w:type="dxa"/>
              <w:end w:w="80" w:type="dxa"/>
            </w:tcMar>
            <w:shd w:fill="FFFFFF"/>
          </w:tcPr>
          <w:p>
            <w:pPr>
              <w:pStyle w:val="Compact"/>
              <w:jc w:val="left"/>
            </w:pPr>
            <w:r>
              <w:rPr>
                <w:rFonts w:ascii="Arial" w:hAnsi="Arial" w:eastAsia="Arial"/>
                <w:sz w:val="16"/>
              </w:rPr>
              <w:t>-0.15</w:t>
            </w:r>
          </w:p>
        </w:tc>
        <w:tc>
          <w:tcPr>
            <w:vAlign w:val="top"/>
            <w:tcMar>
              <w:top w:w="70" w:type="dxa"/>
              <w:start w:w="80" w:type="dxa"/>
              <w:bottom w:w="70" w:type="dxa"/>
              <w:end w:w="80" w:type="dxa"/>
            </w:tcMar>
            <w:shd w:fill="FFFFFF"/>
          </w:tcPr>
          <w:p>
            <w:pPr>
              <w:pStyle w:val="Compact"/>
              <w:jc w:val="left"/>
            </w:pPr>
            <w:r>
              <w:rPr>
                <w:rFonts w:ascii="Arial" w:hAnsi="Arial" w:eastAsia="Arial"/>
                <w:sz w:val="16"/>
              </w:rPr>
              <w:t>0.000</w:t>
            </w:r>
          </w:p>
        </w:tc>
        <w:tc>
          <w:tcPr>
            <w:vAlign w:val="top"/>
            <w:tcMar>
              <w:top w:w="70" w:type="dxa"/>
              <w:start w:w="80" w:type="dxa"/>
              <w:bottom w:w="70" w:type="dxa"/>
              <w:end w:w="80" w:type="dxa"/>
            </w:tcMar>
            <w:shd w:fill="FFFFFF"/>
          </w:tcPr>
          <w:p>
            <w:pPr>
              <w:pStyle w:val="Compact"/>
              <w:jc w:val="left"/>
            </w:pPr>
            <w:r>
              <w:rPr>
                <w:rFonts w:ascii="Arial" w:hAnsi="Arial" w:eastAsia="Arial"/>
                <w:sz w:val="16"/>
              </w:rPr>
              <w:t>-0.35</w:t>
            </w:r>
          </w:p>
        </w:tc>
        <w:tc>
          <w:tcPr>
            <w:vAlign w:val="top"/>
            <w:tcMar>
              <w:top w:w="70" w:type="dxa"/>
              <w:start w:w="80" w:type="dxa"/>
              <w:bottom w:w="70" w:type="dxa"/>
              <w:end w:w="80" w:type="dxa"/>
            </w:tcMar>
            <w:shd w:fill="FFFFFF"/>
          </w:tcPr>
          <w:p>
            <w:pPr>
              <w:pStyle w:val="Compact"/>
              <w:jc w:val="left"/>
            </w:pPr>
            <w:r>
              <w:rPr>
                <w:rFonts w:ascii="Arial" w:hAnsi="Arial" w:eastAsia="Arial"/>
                <w:sz w:val="16"/>
              </w:rPr>
              <w:t>0.000</w:t>
            </w:r>
          </w:p>
        </w:tc>
      </w:tr>
    </w:tbl>
    <w:p>
      <w:pPr>
        <w:pStyle w:val="BodyText"/>
      </w:pPr>
      <w:r>
        <w:t>A_NCRC = empty set. All options fail NCRC. Emergency Mode is invoked.</w:t>
      </w:r>
    </w:p>
    <w:p>
      <w:pPr>
        <w:pStyle w:val="BodyText"/>
      </w:pPr>
      <w:r>
        <w:t>Step 1: Independent challenger requirement. An independent environmental and social impact consultant (no reporting relationship to decision owner, no material interest in site choice) was engaged for 3 hours of active option generation. The challenger proposed Option W: delay extraction, invest in infrastructure improvements at Site Z, negotiate a consent-based partnership with the indigenous community near Site X, and rerun the analysis in 6 months. However, Option W was assessed and also fails NCRC (NEED violation for workers already committed to the project, v_NEED(W) = 0.020). Challenger attestation is recorded.</w:t>
      </w:r>
    </w:p>
    <w:p>
      <w:pPr>
        <w:pStyle w:val="BodyText"/>
      </w:pPr>
      <w:r>
        <w:t>Step 2: Construct floor-channel violation-depth vectors in emergency priority order [LIFE, BODY, ECOL, LBTY, NEED, DIGN, PROC, INFO]. In this simplified emergency vector, the categorical and severe-hazard channels have been screened as zero with required fields complete; therefore the displayed vector is</w:t>
      </w:r>
      <w:r>
        <w:t xml:space="preserve"> </w:t>
      </w:r>
      <w:r>
        <w:rPr>
          <w:rStyle w:val="VerbatimChar"/>
        </w:rPr>
        <w:t>v_r^floor</w:t>
      </w:r>
      <w:r>
        <w:t>. If either additional channel were non-zero or unresolved, the full NCRC record and emergency comparison would have to preserve it rather than collapse it into the floor channel:</w:t>
      </w:r>
    </w:p>
    <w:p>
      <w:pPr>
        <w:pStyle w:val="BodyText"/>
      </w:pPr>
      <w:r>
        <w:t>v(X) = (0, 0, 0, 0.030, 0, 0.070, 0, 0)</w:t>
      </w:r>
    </w:p>
    <w:p>
      <w:pPr>
        <w:pStyle w:val="BodyText"/>
      </w:pPr>
      <w:r>
        <w:t>v(Y) = (0, 0, 0.070, 0, 0.080, 0, 0, 0)</w:t>
      </w:r>
    </w:p>
    <w:p>
      <w:pPr>
        <w:pStyle w:val="BodyText"/>
      </w:pPr>
      <w:r>
        <w:t>v(Z) = (0, 0, 0, 0, 0.050, 0, 0.070, 0)</w:t>
      </w:r>
    </w:p>
    <w:p>
      <w:pPr>
        <w:pStyle w:val="BodyText"/>
      </w:pPr>
      <w:r>
        <w:t>v(W) = (0, 0, 0, 0, 0.020, 0, 0, 0)</w:t>
      </w:r>
    </w:p>
    <w:p>
      <w:pPr>
        <w:pStyle w:val="BodyText"/>
      </w:pPr>
      <w:r>
        <w:t>Step 3: Lexicographic comparison.</w:t>
      </w:r>
    </w:p>
    <w:p>
      <w:pPr>
        <w:pStyle w:val="BodyText"/>
      </w:pPr>
      <w:r>
        <w:t>Position 1 (LIFE): all zero. Tie. Position 2 (BODY): all zero. Tie. Position 3 (ECOL): Y = 0.070, others = 0. Y is eliminated as worst on ECOL. Position 4 (LBTY): X = 0.030, Z = 0, W = 0. X is eliminated. Position 5 (NEED): Z = 0.050, W = 0.020. W has strictly lower NEED violation.</w:t>
      </w:r>
    </w:p>
    <w:p>
      <w:pPr>
        <w:pStyle w:val="BodyText"/>
      </w:pPr>
      <w:r>
        <w:t>Emergency Mode selected option: W (delay and redesign), with the lowest violation depth vector under lexicographic ordering.</w:t>
      </w:r>
    </w:p>
    <w:p>
      <w:pPr>
        <w:pStyle w:val="BodyText"/>
      </w:pPr>
      <w:r>
        <w:t>PCC records: EMERGENCY_MODE_INVOKED, challenger attestation, v_r(a) for all options and rights, lexicographic comparison trace, and the following remediation plan: within 6 months, complete infrastructure assessment at Site Z, complete consent negotiation at Site X, rerun the RippleLogic analysis with redesigned options targeting NCRC passage, with a return-to-normal trigger of at least one option passing NCRC.</w:t>
      </w:r>
    </w:p>
    <w:p>
      <w:pPr>
        <w:pStyle w:val="BodyText"/>
      </w:pPr>
      <w:r>
        <w:t>Lesson (Informative): Emergency Mode does not "permit" rights violations. It selects the least-harmful option when all options violate rights, requires active redesign, and mandates a return to NCRC-passing options as soon as feasible.</w:t>
      </w:r>
    </w:p>
    <w:p>
      <w:pPr>
        <w:pStyle w:val="BodyText"/>
      </w:pPr>
      <w:r>
        <w:t>P-2.2 Tail Emergency Mode Activation Example</w:t>
      </w:r>
    </w:p>
    <w:p>
      <w:pPr>
        <w:pStyle w:val="BodyText"/>
      </w:pPr>
      <w:r>
        <w:t>Decision context. A government agency evaluates two pandemic-preparedness policy options. Both pass NCRC and a proportional CSV screen, but both exceed the declared TRC corridor.</w:t>
      </w:r>
    </w:p>
    <w:p>
      <w:pPr>
        <w:pStyle w:val="BodyText"/>
      </w:pPr>
      <w:r>
        <w:t>NCRC: Both Option P and Option Q pass (A_NCRC = {P, Q}). No categorical prohibition or severe rights hazard is triggered under the declared evidence.</w:t>
      </w:r>
    </w:p>
    <w:p>
      <w:pPr>
        <w:pStyle w:val="BodyText"/>
      </w:pPr>
      <w:r>
        <w:t>CSV: Both options are structurally implementable only under emergency controls; record</w:t>
      </w:r>
      <w:r>
        <w:t xml:space="preserve"> </w:t>
      </w:r>
      <w:r>
        <w:rPr>
          <w:rStyle w:val="VerbatimChar"/>
        </w:rPr>
        <w:t>CSV_PASS_WITH_CONTROLS</w:t>
      </w:r>
      <w:r>
        <w:t xml:space="preserve"> </w:t>
      </w:r>
      <w:r>
        <w:t>provisionally for purposes of evaluating the emergency candidate set. CSV cannot rescue TRC failure.</w:t>
      </w:r>
    </w:p>
    <w:p>
      <w:pPr>
        <w:pStyle w:val="BodyText"/>
      </w:pPr>
      <w:r>
        <w:t>TRC parameters: alpha = 0.95, tau_TRC = 0.15, and the predeclared absolute emergency exposure limit tau_TRC_max = 0.45.</w:t>
      </w:r>
    </w:p>
    <w:p>
      <w:pPr>
        <w:pStyle w:val="BodyText"/>
      </w:pPr>
      <w:r>
        <w:t>Scenario losses (5 scenarios):</w:t>
      </w:r>
    </w:p>
    <w:tbl>
      <w:tblPr>
        <w:tblStyle w:val="Table"/>
        <w:tblW w:type="auto" w:w="0"/>
        <w:jc w:val="center"/>
        <w:tblLook w:firstRow="1" w:lastRow="0" w:firstColumn="0" w:lastColumn="0" w:noHBand="0" w:noVBand="0" w:val="0020"/>
      </w:tblPr>
      <w:tblGrid>
        <w:gridCol w:w="1584"/>
        <w:gridCol w:w="1584"/>
        <w:gridCol w:w="1584"/>
        <w:gridCol w:w="1584"/>
        <w:gridCol w:w="1584"/>
      </w:tblGrid>
      <w:tr>
        <w:trPr>
          <w:tblHeader w:val="on"/>
          <w:tblHeader w:val="true"/>
          <w:cantSplit/>
        </w:trPr>
        <w:tc>
          <w:tcPr>
            <w:vAlign w:val="top"/>
            <w:tcMar>
              <w:top w:w="70" w:type="dxa"/>
              <w:start w:w="80" w:type="dxa"/>
              <w:bottom w:w="70" w:type="dxa"/>
              <w:end w:w="80" w:type="dxa"/>
            </w:tcMar>
            <w:shd w:fill="1F4E78"/>
          </w:tcPr>
          <w:p>
            <w:pPr>
              <w:pStyle w:val="Compact"/>
              <w:jc w:val="left"/>
            </w:pPr>
            <w:r>
              <w:rPr>
                <w:rFonts w:ascii="Arial" w:hAnsi="Arial" w:eastAsia="Arial"/>
                <w:b/>
                <w:bCs/>
                <w:color w:val="FFFFFF"/>
                <w:sz w:val="16"/>
              </w:rPr>
              <w:t>Scenario</w:t>
            </w:r>
          </w:p>
        </w:tc>
        <w:tc>
          <w:tcPr>
            <w:vAlign w:val="top"/>
            <w:tcMar>
              <w:top w:w="70" w:type="dxa"/>
              <w:start w:w="80" w:type="dxa"/>
              <w:bottom w:w="70" w:type="dxa"/>
              <w:end w:w="80" w:type="dxa"/>
            </w:tcMar>
            <w:shd w:fill="1F4E78"/>
          </w:tcPr>
          <w:p>
            <w:pPr>
              <w:pStyle w:val="Compact"/>
              <w:jc w:val="left"/>
            </w:pPr>
            <w:r>
              <w:rPr>
                <w:rFonts w:ascii="Arial" w:hAnsi="Arial" w:eastAsia="Arial"/>
                <w:b/>
                <w:bCs/>
                <w:color w:val="FFFFFF"/>
                <w:sz w:val="16"/>
              </w:rPr>
              <w:t>Category</w:t>
            </w:r>
          </w:p>
        </w:tc>
        <w:tc>
          <w:tcPr>
            <w:vAlign w:val="top"/>
            <w:tcMar>
              <w:top w:w="70" w:type="dxa"/>
              <w:start w:w="80" w:type="dxa"/>
              <w:bottom w:w="70" w:type="dxa"/>
              <w:end w:w="80" w:type="dxa"/>
            </w:tcMar>
            <w:shd w:fill="1F4E78"/>
          </w:tcPr>
          <w:p>
            <w:pPr>
              <w:pStyle w:val="Compact"/>
              <w:jc w:val="left"/>
            </w:pPr>
            <w:r>
              <w:rPr>
                <w:rFonts w:ascii="Arial" w:hAnsi="Arial" w:eastAsia="Arial"/>
                <w:b/>
                <w:bCs/>
                <w:color w:val="FFFFFF"/>
                <w:sz w:val="16"/>
              </w:rPr>
              <w:t>p_s</w:t>
            </w:r>
          </w:p>
        </w:tc>
        <w:tc>
          <w:tcPr>
            <w:vAlign w:val="top"/>
            <w:tcMar>
              <w:top w:w="70" w:type="dxa"/>
              <w:start w:w="80" w:type="dxa"/>
              <w:bottom w:w="70" w:type="dxa"/>
              <w:end w:w="80" w:type="dxa"/>
            </w:tcMar>
            <w:shd w:fill="1F4E78"/>
          </w:tcPr>
          <w:p>
            <w:pPr>
              <w:pStyle w:val="Compact"/>
              <w:jc w:val="left"/>
            </w:pPr>
            <w:r>
              <w:rPr>
                <w:rFonts w:ascii="Arial" w:hAnsi="Arial" w:eastAsia="Arial"/>
                <w:b/>
                <w:bCs/>
                <w:color w:val="FFFFFF"/>
                <w:sz w:val="16"/>
              </w:rPr>
              <w:t>L(P,s)</w:t>
            </w:r>
          </w:p>
        </w:tc>
        <w:tc>
          <w:tcPr>
            <w:vAlign w:val="top"/>
            <w:tcMar>
              <w:top w:w="70" w:type="dxa"/>
              <w:start w:w="80" w:type="dxa"/>
              <w:bottom w:w="70" w:type="dxa"/>
              <w:end w:w="80" w:type="dxa"/>
            </w:tcMar>
            <w:shd w:fill="1F4E78"/>
          </w:tcPr>
          <w:p>
            <w:pPr>
              <w:pStyle w:val="Compact"/>
              <w:jc w:val="left"/>
            </w:pPr>
            <w:r>
              <w:rPr>
                <w:rFonts w:ascii="Arial" w:hAnsi="Arial" w:eastAsia="Arial"/>
                <w:b/>
                <w:bCs/>
                <w:color w:val="FFFFFF"/>
                <w:sz w:val="16"/>
              </w:rPr>
              <w:t>L(Q,s)</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S1</w:t>
            </w:r>
          </w:p>
        </w:tc>
        <w:tc>
          <w:tcPr>
            <w:vAlign w:val="top"/>
            <w:tcMar>
              <w:top w:w="70" w:type="dxa"/>
              <w:start w:w="80" w:type="dxa"/>
              <w:bottom w:w="70" w:type="dxa"/>
              <w:end w:w="80" w:type="dxa"/>
            </w:tcMar>
            <w:shd w:fill="D9EAF7"/>
          </w:tcPr>
          <w:p>
            <w:pPr>
              <w:pStyle w:val="Compact"/>
              <w:jc w:val="left"/>
            </w:pPr>
            <w:r>
              <w:rPr>
                <w:rFonts w:ascii="Arial" w:hAnsi="Arial" w:eastAsia="Arial"/>
                <w:sz w:val="16"/>
              </w:rPr>
              <w:t>Pandemic/biological</w:t>
            </w:r>
          </w:p>
        </w:tc>
        <w:tc>
          <w:tcPr>
            <w:vAlign w:val="top"/>
            <w:tcMar>
              <w:top w:w="70" w:type="dxa"/>
              <w:start w:w="80" w:type="dxa"/>
              <w:bottom w:w="70" w:type="dxa"/>
              <w:end w:w="80" w:type="dxa"/>
            </w:tcMar>
            <w:shd w:fill="D9EAF7"/>
          </w:tcPr>
          <w:p>
            <w:pPr>
              <w:pStyle w:val="Compact"/>
              <w:jc w:val="left"/>
            </w:pPr>
            <w:r>
              <w:rPr>
                <w:rFonts w:ascii="Arial" w:hAnsi="Arial" w:eastAsia="Arial"/>
                <w:sz w:val="16"/>
              </w:rPr>
              <w:t>0.05</w:t>
            </w:r>
          </w:p>
        </w:tc>
        <w:tc>
          <w:tcPr>
            <w:vAlign w:val="top"/>
            <w:tcMar>
              <w:top w:w="70" w:type="dxa"/>
              <w:start w:w="80" w:type="dxa"/>
              <w:bottom w:w="70" w:type="dxa"/>
              <w:end w:w="80" w:type="dxa"/>
            </w:tcMar>
            <w:shd w:fill="D9EAF7"/>
          </w:tcPr>
          <w:p>
            <w:pPr>
              <w:pStyle w:val="Compact"/>
              <w:jc w:val="left"/>
            </w:pPr>
            <w:r>
              <w:rPr>
                <w:rFonts w:ascii="Arial" w:hAnsi="Arial" w:eastAsia="Arial"/>
                <w:sz w:val="16"/>
              </w:rPr>
              <w:t>0.45</w:t>
            </w:r>
          </w:p>
        </w:tc>
        <w:tc>
          <w:tcPr>
            <w:vAlign w:val="top"/>
            <w:tcMar>
              <w:top w:w="70" w:type="dxa"/>
              <w:start w:w="80" w:type="dxa"/>
              <w:bottom w:w="70" w:type="dxa"/>
              <w:end w:w="80" w:type="dxa"/>
            </w:tcMar>
            <w:shd w:fill="D9EAF7"/>
          </w:tcPr>
          <w:p>
            <w:pPr>
              <w:pStyle w:val="Compact"/>
              <w:jc w:val="left"/>
            </w:pPr>
            <w:r>
              <w:rPr>
                <w:rFonts w:ascii="Arial" w:hAnsi="Arial" w:eastAsia="Arial"/>
                <w:sz w:val="16"/>
              </w:rPr>
              <w:t>0.35</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S2</w:t>
            </w:r>
          </w:p>
        </w:tc>
        <w:tc>
          <w:tcPr>
            <w:vAlign w:val="top"/>
            <w:tcMar>
              <w:top w:w="70" w:type="dxa"/>
              <w:start w:w="80" w:type="dxa"/>
              <w:bottom w:w="70" w:type="dxa"/>
              <w:end w:w="80" w:type="dxa"/>
            </w:tcMar>
            <w:shd w:fill="FFFFFF"/>
          </w:tcPr>
          <w:p>
            <w:pPr>
              <w:pStyle w:val="Compact"/>
              <w:jc w:val="left"/>
            </w:pPr>
            <w:r>
              <w:rPr>
                <w:rFonts w:ascii="Arial" w:hAnsi="Arial" w:eastAsia="Arial"/>
                <w:sz w:val="16"/>
              </w:rPr>
              <w:t>Infrastructure failure</w:t>
            </w:r>
          </w:p>
        </w:tc>
        <w:tc>
          <w:tcPr>
            <w:vAlign w:val="top"/>
            <w:tcMar>
              <w:top w:w="70" w:type="dxa"/>
              <w:start w:w="80" w:type="dxa"/>
              <w:bottom w:w="70" w:type="dxa"/>
              <w:end w:w="80" w:type="dxa"/>
            </w:tcMar>
            <w:shd w:fill="FFFFFF"/>
          </w:tcPr>
          <w:p>
            <w:pPr>
              <w:pStyle w:val="Compact"/>
              <w:jc w:val="left"/>
            </w:pPr>
            <w:r>
              <w:rPr>
                <w:rFonts w:ascii="Arial" w:hAnsi="Arial" w:eastAsia="Arial"/>
                <w:sz w:val="16"/>
              </w:rPr>
              <w:t>0.05</w:t>
            </w:r>
          </w:p>
        </w:tc>
        <w:tc>
          <w:tcPr>
            <w:vAlign w:val="top"/>
            <w:tcMar>
              <w:top w:w="70" w:type="dxa"/>
              <w:start w:w="80" w:type="dxa"/>
              <w:bottom w:w="70" w:type="dxa"/>
              <w:end w:w="80" w:type="dxa"/>
            </w:tcMar>
            <w:shd w:fill="FFFFFF"/>
          </w:tcPr>
          <w:p>
            <w:pPr>
              <w:pStyle w:val="Compact"/>
              <w:jc w:val="left"/>
            </w:pPr>
            <w:r>
              <w:rPr>
                <w:rFonts w:ascii="Arial" w:hAnsi="Arial" w:eastAsia="Arial"/>
                <w:sz w:val="16"/>
              </w:rPr>
              <w:t>0.30</w:t>
            </w:r>
          </w:p>
        </w:tc>
        <w:tc>
          <w:tcPr>
            <w:vAlign w:val="top"/>
            <w:tcMar>
              <w:top w:w="70" w:type="dxa"/>
              <w:start w:w="80" w:type="dxa"/>
              <w:bottom w:w="70" w:type="dxa"/>
              <w:end w:w="80" w:type="dxa"/>
            </w:tcMar>
            <w:shd w:fill="FFFFFF"/>
          </w:tcPr>
          <w:p>
            <w:pPr>
              <w:pStyle w:val="Compact"/>
              <w:jc w:val="left"/>
            </w:pPr>
            <w:r>
              <w:rPr>
                <w:rFonts w:ascii="Arial" w:hAnsi="Arial" w:eastAsia="Arial"/>
                <w:sz w:val="16"/>
              </w:rPr>
              <w:t>0.40</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S3</w:t>
            </w:r>
          </w:p>
        </w:tc>
        <w:tc>
          <w:tcPr>
            <w:vAlign w:val="top"/>
            <w:tcMar>
              <w:top w:w="70" w:type="dxa"/>
              <w:start w:w="80" w:type="dxa"/>
              <w:bottom w:w="70" w:type="dxa"/>
              <w:end w:w="80" w:type="dxa"/>
            </w:tcMar>
            <w:shd w:fill="D9EAF7"/>
          </w:tcPr>
          <w:p>
            <w:pPr>
              <w:pStyle w:val="Compact"/>
              <w:jc w:val="left"/>
            </w:pPr>
            <w:r>
              <w:rPr>
                <w:rFonts w:ascii="Arial" w:hAnsi="Arial" w:eastAsia="Arial"/>
                <w:sz w:val="16"/>
              </w:rPr>
              <w:t>Financial collapse</w:t>
            </w:r>
          </w:p>
        </w:tc>
        <w:tc>
          <w:tcPr>
            <w:vAlign w:val="top"/>
            <w:tcMar>
              <w:top w:w="70" w:type="dxa"/>
              <w:start w:w="80" w:type="dxa"/>
              <w:bottom w:w="70" w:type="dxa"/>
              <w:end w:w="80" w:type="dxa"/>
            </w:tcMar>
            <w:shd w:fill="D9EAF7"/>
          </w:tcPr>
          <w:p>
            <w:pPr>
              <w:pStyle w:val="Compact"/>
              <w:jc w:val="left"/>
            </w:pPr>
            <w:r>
              <w:rPr>
                <w:rFonts w:ascii="Arial" w:hAnsi="Arial" w:eastAsia="Arial"/>
                <w:sz w:val="16"/>
              </w:rPr>
              <w:t>0.03</w:t>
            </w:r>
          </w:p>
        </w:tc>
        <w:tc>
          <w:tcPr>
            <w:vAlign w:val="top"/>
            <w:tcMar>
              <w:top w:w="70" w:type="dxa"/>
              <w:start w:w="80" w:type="dxa"/>
              <w:bottom w:w="70" w:type="dxa"/>
              <w:end w:w="80" w:type="dxa"/>
            </w:tcMar>
            <w:shd w:fill="D9EAF7"/>
          </w:tcPr>
          <w:p>
            <w:pPr>
              <w:pStyle w:val="Compact"/>
              <w:jc w:val="left"/>
            </w:pPr>
            <w:r>
              <w:rPr>
                <w:rFonts w:ascii="Arial" w:hAnsi="Arial" w:eastAsia="Arial"/>
                <w:sz w:val="16"/>
              </w:rPr>
              <w:t>0.20</w:t>
            </w:r>
          </w:p>
        </w:tc>
        <w:tc>
          <w:tcPr>
            <w:vAlign w:val="top"/>
            <w:tcMar>
              <w:top w:w="70" w:type="dxa"/>
              <w:start w:w="80" w:type="dxa"/>
              <w:bottom w:w="70" w:type="dxa"/>
              <w:end w:w="80" w:type="dxa"/>
            </w:tcMar>
            <w:shd w:fill="D9EAF7"/>
          </w:tcPr>
          <w:p>
            <w:pPr>
              <w:pStyle w:val="Compact"/>
              <w:jc w:val="left"/>
            </w:pPr>
            <w:r>
              <w:rPr>
                <w:rFonts w:ascii="Arial" w:hAnsi="Arial" w:eastAsia="Arial"/>
                <w:sz w:val="16"/>
              </w:rPr>
              <w:t>0.25</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S4</w:t>
            </w:r>
          </w:p>
        </w:tc>
        <w:tc>
          <w:tcPr>
            <w:vAlign w:val="top"/>
            <w:tcMar>
              <w:top w:w="70" w:type="dxa"/>
              <w:start w:w="80" w:type="dxa"/>
              <w:bottom w:w="70" w:type="dxa"/>
              <w:end w:w="80" w:type="dxa"/>
            </w:tcMar>
            <w:shd w:fill="FFFFFF"/>
          </w:tcPr>
          <w:p>
            <w:pPr>
              <w:pStyle w:val="Compact"/>
              <w:jc w:val="left"/>
            </w:pPr>
            <w:r>
              <w:rPr>
                <w:rFonts w:ascii="Arial" w:hAnsi="Arial" w:eastAsia="Arial"/>
                <w:sz w:val="16"/>
              </w:rPr>
              <w:t>Moderate baseline</w:t>
            </w:r>
          </w:p>
        </w:tc>
        <w:tc>
          <w:tcPr>
            <w:vAlign w:val="top"/>
            <w:tcMar>
              <w:top w:w="70" w:type="dxa"/>
              <w:start w:w="80" w:type="dxa"/>
              <w:bottom w:w="70" w:type="dxa"/>
              <w:end w:w="80" w:type="dxa"/>
            </w:tcMar>
            <w:shd w:fill="FFFFFF"/>
          </w:tcPr>
          <w:p>
            <w:pPr>
              <w:pStyle w:val="Compact"/>
              <w:jc w:val="left"/>
            </w:pPr>
            <w:r>
              <w:rPr>
                <w:rFonts w:ascii="Arial" w:hAnsi="Arial" w:eastAsia="Arial"/>
                <w:sz w:val="16"/>
              </w:rPr>
              <w:t>0.57</w:t>
            </w:r>
          </w:p>
        </w:tc>
        <w:tc>
          <w:tcPr>
            <w:vAlign w:val="top"/>
            <w:tcMar>
              <w:top w:w="70" w:type="dxa"/>
              <w:start w:w="80" w:type="dxa"/>
              <w:bottom w:w="70" w:type="dxa"/>
              <w:end w:w="80" w:type="dxa"/>
            </w:tcMar>
            <w:shd w:fill="FFFFFF"/>
          </w:tcPr>
          <w:p>
            <w:pPr>
              <w:pStyle w:val="Compact"/>
              <w:jc w:val="left"/>
            </w:pPr>
            <w:r>
              <w:rPr>
                <w:rFonts w:ascii="Arial" w:hAnsi="Arial" w:eastAsia="Arial"/>
                <w:sz w:val="16"/>
              </w:rPr>
              <w:t>0.05</w:t>
            </w:r>
          </w:p>
        </w:tc>
        <w:tc>
          <w:tcPr>
            <w:vAlign w:val="top"/>
            <w:tcMar>
              <w:top w:w="70" w:type="dxa"/>
              <w:start w:w="80" w:type="dxa"/>
              <w:bottom w:w="70" w:type="dxa"/>
              <w:end w:w="80" w:type="dxa"/>
            </w:tcMar>
            <w:shd w:fill="FFFFFF"/>
          </w:tcPr>
          <w:p>
            <w:pPr>
              <w:pStyle w:val="Compact"/>
              <w:jc w:val="left"/>
            </w:pPr>
            <w:r>
              <w:rPr>
                <w:rFonts w:ascii="Arial" w:hAnsi="Arial" w:eastAsia="Arial"/>
                <w:sz w:val="16"/>
              </w:rPr>
              <w:t>0.04</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S5</w:t>
            </w:r>
          </w:p>
        </w:tc>
        <w:tc>
          <w:tcPr>
            <w:vAlign w:val="top"/>
            <w:tcMar>
              <w:top w:w="70" w:type="dxa"/>
              <w:start w:w="80" w:type="dxa"/>
              <w:bottom w:w="70" w:type="dxa"/>
              <w:end w:w="80" w:type="dxa"/>
            </w:tcMar>
            <w:shd w:fill="D9EAF7"/>
          </w:tcPr>
          <w:p>
            <w:pPr>
              <w:pStyle w:val="Compact"/>
              <w:jc w:val="left"/>
            </w:pPr>
            <w:r>
              <w:rPr>
                <w:rFonts w:ascii="Arial" w:hAnsi="Arial" w:eastAsia="Arial"/>
                <w:sz w:val="16"/>
              </w:rPr>
              <w:t>Conflict escalation</w:t>
            </w:r>
          </w:p>
        </w:tc>
        <w:tc>
          <w:tcPr>
            <w:vAlign w:val="top"/>
            <w:tcMar>
              <w:top w:w="70" w:type="dxa"/>
              <w:start w:w="80" w:type="dxa"/>
              <w:bottom w:w="70" w:type="dxa"/>
              <w:end w:w="80" w:type="dxa"/>
            </w:tcMar>
            <w:shd w:fill="D9EAF7"/>
          </w:tcPr>
          <w:p>
            <w:pPr>
              <w:pStyle w:val="Compact"/>
              <w:jc w:val="left"/>
            </w:pPr>
            <w:r>
              <w:rPr>
                <w:rFonts w:ascii="Arial" w:hAnsi="Arial" w:eastAsia="Arial"/>
                <w:sz w:val="16"/>
              </w:rPr>
              <w:t>0.30</w:t>
            </w:r>
          </w:p>
        </w:tc>
        <w:tc>
          <w:tcPr>
            <w:vAlign w:val="top"/>
            <w:tcMar>
              <w:top w:w="70" w:type="dxa"/>
              <w:start w:w="80" w:type="dxa"/>
              <w:bottom w:w="70" w:type="dxa"/>
              <w:end w:w="80" w:type="dxa"/>
            </w:tcMar>
            <w:shd w:fill="D9EAF7"/>
          </w:tcPr>
          <w:p>
            <w:pPr>
              <w:pStyle w:val="Compact"/>
              <w:jc w:val="left"/>
            </w:pPr>
            <w:r>
              <w:rPr>
                <w:rFonts w:ascii="Arial" w:hAnsi="Arial" w:eastAsia="Arial"/>
                <w:sz w:val="16"/>
              </w:rPr>
              <w:t>0.10</w:t>
            </w:r>
          </w:p>
        </w:tc>
        <w:tc>
          <w:tcPr>
            <w:vAlign w:val="top"/>
            <w:tcMar>
              <w:top w:w="70" w:type="dxa"/>
              <w:start w:w="80" w:type="dxa"/>
              <w:bottom w:w="70" w:type="dxa"/>
              <w:end w:w="80" w:type="dxa"/>
            </w:tcMar>
            <w:shd w:fill="D9EAF7"/>
          </w:tcPr>
          <w:p>
            <w:pPr>
              <w:pStyle w:val="Compact"/>
              <w:jc w:val="left"/>
            </w:pPr>
            <w:r>
              <w:rPr>
                <w:rFonts w:ascii="Arial" w:hAnsi="Arial" w:eastAsia="Arial"/>
                <w:sz w:val="16"/>
              </w:rPr>
              <w:t>0.08</w:t>
            </w:r>
          </w:p>
        </w:tc>
      </w:tr>
    </w:tbl>
    <w:p>
      <w:pPr>
        <w:pStyle w:val="BodyText"/>
      </w:pPr>
      <w:r>
        <w:t>CVaR computation (tail mass beta = 1 - alpha = 0.05):</w:t>
      </w:r>
    </w:p>
    <w:p>
      <w:pPr>
        <w:pStyle w:val="BodyText"/>
      </w:pPr>
      <w:r>
        <w:t>Option P: CVaR_0.95(P) = 0.45. Option Q: CVaR_0.95(Q) = 0.40. Both exceed tau_TRC = 0.15, so the ordinary admissible/selectable set is empty and ordinary RLS is prohibited.</w:t>
      </w:r>
    </w:p>
    <w:p>
      <w:pPr>
        <w:pStyle w:val="BodyText"/>
      </w:pPr>
      <w:r>
        <w:t>Tail Emergency Mode review:</w:t>
      </w:r>
    </w:p>
    <w:p>
      <w:pPr>
        <w:pStyle w:val="Compact"/>
        <w:numPr>
          <w:ilvl w:val="0"/>
          <w:numId w:val="1411"/>
        </w:numPr>
      </w:pPr>
      <w:r>
        <w:rPr>
          <w:b/>
          <w:bCs/>
        </w:rPr>
        <w:t>Emergency and necessity:</w:t>
      </w:r>
      <w:r>
        <w:t xml:space="preserve"> </w:t>
      </w:r>
      <w:r>
        <w:t>an active biological emergency is documented; no-action is modelled and produces estimated CVaR 0.55, which is worse than both candidates.</w:t>
      </w:r>
    </w:p>
    <w:p>
      <w:pPr>
        <w:pStyle w:val="Compact"/>
        <w:numPr>
          <w:ilvl w:val="0"/>
          <w:numId w:val="1411"/>
        </w:numPr>
      </w:pPr>
      <w:r>
        <w:rPr>
          <w:b/>
          <w:bCs/>
        </w:rPr>
        <w:t>Redesign / safer alternatives:</w:t>
      </w:r>
      <w:r>
        <w:t xml:space="preserve"> </w:t>
      </w:r>
      <w:r>
        <w:t>materially safer redesigns cannot be deployed within the harm-prevention window; the record lists the attempted alternatives and why they are unavailable in time.</w:t>
      </w:r>
    </w:p>
    <w:p>
      <w:pPr>
        <w:pStyle w:val="Compact"/>
        <w:numPr>
          <w:ilvl w:val="0"/>
          <w:numId w:val="1411"/>
        </w:numPr>
      </w:pPr>
      <w:r>
        <w:rPr>
          <w:b/>
          <w:bCs/>
        </w:rPr>
        <w:t>Independent challenge:</w:t>
      </w:r>
      <w:r>
        <w:t xml:space="preserve"> </w:t>
      </w:r>
      <w:r>
        <w:t>an independent public-health and infrastructure review panel confirms the necessity claim and proposes additional controls.</w:t>
      </w:r>
    </w:p>
    <w:p>
      <w:pPr>
        <w:pStyle w:val="Compact"/>
        <w:numPr>
          <w:ilvl w:val="0"/>
          <w:numId w:val="1411"/>
        </w:numPr>
      </w:pPr>
      <w:r>
        <w:rPr>
          <w:b/>
          <w:bCs/>
        </w:rPr>
        <w:t>Absolute bound:</w:t>
      </w:r>
      <w:r>
        <w:t xml:space="preserve"> </w:t>
      </w:r>
      <w:r>
        <w:t>Q at 0.40 is below tau_TRC_max = 0.45; P equals the absolute cap and is not preferred where a lower-exposure candidate exists.</w:t>
      </w:r>
    </w:p>
    <w:p>
      <w:pPr>
        <w:pStyle w:val="Compact"/>
        <w:numPr>
          <w:ilvl w:val="0"/>
          <w:numId w:val="1411"/>
        </w:numPr>
      </w:pPr>
      <w:r>
        <w:rPr>
          <w:b/>
          <w:bCs/>
        </w:rPr>
        <w:t>Controls:</w:t>
      </w:r>
      <w:r>
        <w:t xml:space="preserve"> </w:t>
      </w:r>
      <w:r>
        <w:t>Q is limited to 90 days, staged, monitored, paired with stockpile and surge-capacity controls, and has a shutoff/review trigger.</w:t>
      </w:r>
    </w:p>
    <w:p>
      <w:pPr>
        <w:pStyle w:val="Compact"/>
        <w:numPr>
          <w:ilvl w:val="0"/>
          <w:numId w:val="1411"/>
        </w:numPr>
      </w:pPr>
      <w:r>
        <w:rPr>
          <w:b/>
          <w:bCs/>
        </w:rPr>
        <w:t>Authority, burden, remedy:</w:t>
      </w:r>
      <w:r>
        <w:t xml:space="preserve"> </w:t>
      </w:r>
      <w:r>
        <w:t>higher-tier lawful approval, named burden bearers, mitigation, remedy/redress, and public reporting are recorded.</w:t>
      </w:r>
    </w:p>
    <w:p>
      <w:pPr>
        <w:pStyle w:val="Compact"/>
        <w:numPr>
          <w:ilvl w:val="0"/>
          <w:numId w:val="1411"/>
        </w:numPr>
      </w:pPr>
      <w:r>
        <w:rPr>
          <w:b/>
          <w:bCs/>
        </w:rPr>
        <w:t>Exit:</w:t>
      </w:r>
      <w:r>
        <w:t xml:space="preserve"> </w:t>
      </w:r>
      <w:r>
        <w:t>the action expires after 90 days or earlier when the emergency indicator falls below the declared threshold; the decision is then rerun under ordinary TRC.</w:t>
      </w:r>
    </w:p>
    <w:p>
      <w:pPr>
        <w:pStyle w:val="FirstParagraph"/>
      </w:pPr>
      <w:r>
        <w:t>Emergency candidate comparison: Q has the lower CVaR among candidates that satisfy every Tail Emergency prerequisite.</w:t>
      </w:r>
    </w:p>
    <w:p>
      <w:pPr>
        <w:pStyle w:val="BodyText"/>
      </w:pPr>
      <w:r>
        <w:t>Result:</w:t>
      </w:r>
      <w:r>
        <w:t xml:space="preserve"> </w:t>
      </w:r>
      <w:r>
        <w:rPr>
          <w:rStyle w:val="VerbatimChar"/>
        </w:rPr>
        <w:t>TAIL_EMERGENCY_PROVISIONAL_ACTION</w:t>
      </w:r>
      <w:r>
        <w:t xml:space="preserve"> </w:t>
      </w:r>
      <w:r>
        <w:t>for Q. PCC records</w:t>
      </w:r>
      <w:r>
        <w:t xml:space="preserve"> </w:t>
      </w:r>
      <w:r>
        <w:rPr>
          <w:rStyle w:val="VerbatimChar"/>
        </w:rPr>
        <w:t>TAIL_EMERGENCY_MODE_INVOKED</w:t>
      </w:r>
      <w:r>
        <w:t>, CVaR deficit 0.25 above tau_TRC, absolute-cap margin 0.05, necessity evidence, no-action comparison, challenger record, controls, burdens, remedy, expiry, and return-to-normal trigger.</w:t>
      </w:r>
    </w:p>
    <w:p>
      <w:pPr>
        <w:pStyle w:val="BodyText"/>
      </w:pPr>
      <w:r>
        <w:t>Lesson (Informative): universal TRC failure stops ordinary ranking. Minimum CVaR is used only inside a fully governed Tail Emergency Mode after necessity and absolute-bound conditions are met. The result is not</w:t>
      </w:r>
      <w:r>
        <w:t xml:space="preserve"> </w:t>
      </w:r>
      <w:r>
        <w:rPr>
          <w:rStyle w:val="VerbatimChar"/>
        </w:rPr>
        <w:t>TRC_PASS</w:t>
      </w:r>
      <w:r>
        <w:t>, ordinary selection, alignment, or proof of safety.</w:t>
      </w:r>
    </w:p>
    <w:p>
      <w:pPr>
        <w:pStyle w:val="BodyText"/>
      </w:pPr>
      <w:r>
        <w:t>End Appendix P-2.</w:t>
      </w:r>
    </w:p>
    <w:bookmarkEnd w:id="496"/>
    <w:bookmarkEnd w:id="497"/>
    <w:bookmarkStart w:id="512" w:name="X382bee8234cc28315b8d4c054ccc9bafd3fd783"/>
    <w:p>
      <w:pPr>
        <w:pStyle w:val="Heading1"/>
      </w:pPr>
      <w:r>
        <w:t>APPENDIX Q: QUICK REFERENCE CARD (INFORMATIVE)</w:t>
      </w:r>
    </w:p>
    <w:bookmarkStart w:id="498" w:name="q1-object-model-do-not-conflate"/>
    <w:p>
      <w:pPr>
        <w:pStyle w:val="Heading2"/>
      </w:pPr>
      <w:r>
        <w:t>Q.1 Object model (do not conflate)</w:t>
      </w:r>
    </w:p>
    <w:p>
      <w:pPr>
        <w:pStyle w:val="FirstParagraph"/>
      </w:pPr>
      <w:r>
        <w:t>• Stakeholder: a real entity or group (for example applicants, caseworkers, taxpayers).</w:t>
      </w:r>
    </w:p>
    <w:p>
      <w:pPr>
        <w:pStyle w:val="BodyText"/>
      </w:pPr>
      <w:r>
        <w:t>• Stakeholder Instance (SI): a representation object used for scope coverage and auditability (InstanceMap).</w:t>
      </w:r>
    </w:p>
    <w:p>
      <w:pPr>
        <w:pStyle w:val="BodyText"/>
      </w:pPr>
      <w:r>
        <w:t>• Impact Instance (k): the computational object contributing to one welfare cell for one option.</w:t>
      </w:r>
    </w:p>
    <w:p>
      <w:pPr>
        <w:pStyle w:val="BodyText"/>
      </w:pPr>
      <w:r>
        <w:t>• Welfare cell: (union u, dimension d). Rights-covered cells gate via NCRC; after NCRC passes, rights-covered cells remain non-maskable and are included in RLS aggregation among the remaining options.</w:t>
      </w:r>
    </w:p>
    <w:bookmarkEnd w:id="498"/>
    <w:bookmarkStart w:id="499" w:name="X7034c2511ef1b1428b719606ef4c9f6413bdab6"/>
    <w:p>
      <w:pPr>
        <w:pStyle w:val="Heading2"/>
      </w:pPr>
      <w:r>
        <w:t>Q.2 Minimal cell computation (direct effects)</w:t>
      </w:r>
    </w:p>
    <w:p>
      <w:pPr>
        <w:pStyle w:val="FirstParagraph"/>
      </w:pPr>
      <w:r>
        <w:t>Choose parameters per impact instance k: μ_k, r_k (with ReachBasis), t_k (years; used via τ(t_k)), ℓ_k, c_k, e_k, m_k.</w:t>
      </w:r>
    </w:p>
    <w:p>
      <w:pPr>
        <w:pStyle w:val="BodyText"/>
      </w:pPr>
      <w:r>
        <w:t>Compute direct impacts per stream. For the Base stream used by TRC and CSV, set h_k:=1.0 for every impact instance. RF/NCRC begins from the Base stream but applies Section 7.4 rights hardening: adverse rights instances use τ_RF=1, categorical prohibitions and severe rights hazards are tested separately, and low confidence cannot reduce protective severity. For the Welfare stream used by RLS, evaluate the governed welfare-inclusion hypothesis set required by Section 12 and Appendix G; do not use an MPS interval as a cardinal multiplier. Compute the applicable stream impacts, saturate to [-1,+1], and preserve unknown as an explicit evidence state rather than silently entering zero.</w:t>
      </w:r>
    </w:p>
    <w:p>
      <w:pPr>
        <w:pStyle w:val="BodyText"/>
      </w:pPr>
      <w:r>
        <w:t>UI points are display only: Points = 100 × I (never compute in points).</w:t>
      </w:r>
    </w:p>
    <w:bookmarkEnd w:id="499"/>
    <w:bookmarkStart w:id="500" w:name="q3-formal-method-order-always"/>
    <w:p>
      <w:pPr>
        <w:pStyle w:val="Heading2"/>
      </w:pPr>
      <w:r>
        <w:t>Q.3 Formal method order (always)</w:t>
      </w:r>
    </w:p>
    <w:p>
      <w:pPr>
        <w:pStyle w:val="Compact"/>
        <w:numPr>
          <w:ilvl w:val="0"/>
          <w:numId w:val="1412"/>
        </w:numPr>
      </w:pPr>
      <w:r>
        <w:t>Reality Grounding / RSG (claim authority and grounding precondition) → 2) Rights Floor (RF/NCRC) → 3) TRC / Tail-Risk Bound → 4) CSV / Containment and Structural Viability → 5) RLS / RippleLogic Score among selectable options. UCI/HOI are not a regular sixth step: gate-relevant structural diagnostic evidence belongs inside CSV; residual UCI/HOI may be used only as special-case tie-break or monitoring evidence when RLS is tied, close, uncertainty-overlapped, or non-decisive.</w:t>
      </w:r>
    </w:p>
    <w:bookmarkEnd w:id="500"/>
    <w:bookmarkStart w:id="501" w:name="q4-common-misreads-fast-fixes"/>
    <w:p>
      <w:pPr>
        <w:pStyle w:val="Heading2"/>
      </w:pPr>
      <w:r>
        <w:t>Q.4 Common misreads (fast fixes)</w:t>
      </w:r>
    </w:p>
    <w:p>
      <w:pPr>
        <w:pStyle w:val="FirstParagraph"/>
      </w:pPr>
      <w:r>
        <w:t>• Misread: “RLS can compensate a rights violation.” Fix: NCRC gates admissibility first; any NCRC failure is eliminated before RLS. After NCRC, rights-covered cells may contribute to welfare ranking, but only among NCRC-admissible options.</w:t>
      </w:r>
    </w:p>
    <w:p>
      <w:pPr>
        <w:pStyle w:val="BodyText"/>
      </w:pPr>
      <w:r>
        <w:t>• Misread: “δ is measured in points.” Fix: δ applies to the normalized Gap metric (dimensionless).</w:t>
      </w:r>
    </w:p>
    <w:p>
      <w:pPr>
        <w:pStyle w:val="BodyText"/>
      </w:pPr>
      <w:r>
        <w:t>• Misread: “Reach r_k is a moral weight.” Fix: r_k is a coverage/scale term and must be justified with ReachBasis.</w:t>
      </w:r>
    </w:p>
    <w:p>
      <w:pPr>
        <w:pStyle w:val="BodyText"/>
      </w:pPr>
      <w:r>
        <w:t>• Misread: “h_k is an MPS score, generic cap factor, or probability of consciousness.” Fix: h_k is a governed welfare-inclusion hypothesis coefficient used only for robust residual Welfare-stream sensitivity; the MPS evidence record determines protection posture and required hypotheses but does not numerically set h_k. Admissibility layers use Base stream with h_k:=1 (Appendix G; Appendix B).</w:t>
      </w:r>
    </w:p>
    <w:p>
      <w:pPr>
        <w:pStyle w:val="BodyText"/>
      </w:pPr>
      <w:r>
        <w:t>• Misread: “Unknown UCI deltas pass by default.” Fix: unknown is never a pass; record CONTAINMENT_UCI_UNAVAILABLE and remediate.</w:t>
      </w:r>
    </w:p>
    <w:p>
      <w:pPr>
        <w:pStyle w:val="BodyText"/>
      </w:pPr>
      <w:r>
        <w:t>• Misread: “Reduced-scope mode allows bypassing rights or catastrophe cells.” Fix: non-maskable; never bypass.</w:t>
      </w:r>
    </w:p>
    <w:bookmarkEnd w:id="501"/>
    <w:bookmarkStart w:id="502" w:name="q5-stream-binding-direct-vs-propagated"/>
    <w:p>
      <w:pPr>
        <w:pStyle w:val="Heading2"/>
      </w:pPr>
      <w:r>
        <w:t>Q.5 Stream binding (direct vs propagated)</w:t>
      </w:r>
    </w:p>
    <w:p>
      <w:pPr>
        <w:pStyle w:val="FirstParagraph"/>
      </w:pPr>
      <w:r>
        <w:t>• I_dir(u,d,a): direct, cell-local impact computed from impact instances in that cell.</w:t>
      </w:r>
    </w:p>
    <w:p>
      <w:pPr>
        <w:pStyle w:val="BodyText"/>
      </w:pPr>
      <w:r>
        <w:t>• KernelPropagation = NONE: I_prop_welfare = I_dir.</w:t>
      </w:r>
    </w:p>
    <w:p>
      <w:pPr>
        <w:pStyle w:val="BodyText"/>
      </w:pPr>
      <w:r>
        <w:t>• KernelPropagation = QUICK: I_prop_welfare includes propagated effects via declared kernel edges (Section 6). (Effect-token redundancy handling such as ALLOCATION is separate and MUST NOT be labeled a propagation mode.)</w:t>
      </w:r>
    </w:p>
    <w:p>
      <w:pPr>
        <w:pStyle w:val="BodyText"/>
      </w:pPr>
      <w:r>
        <w:t>• UI points are derived from I_total only for display; never back-propagate points into computation.</w:t>
      </w:r>
    </w:p>
    <w:bookmarkEnd w:id="502"/>
    <w:bookmarkStart w:id="503" w:name="q6-data-dependency-by-tier-minimum"/>
    <w:p>
      <w:pPr>
        <w:pStyle w:val="Heading2"/>
      </w:pPr>
      <w:r>
        <w:t>Q.6 Data dependency by tier (minimum)</w:t>
      </w:r>
    </w:p>
    <w:p>
      <w:pPr>
        <w:pStyle w:val="FirstParagraph"/>
      </w:pPr>
      <w:r>
        <w:t>Tier 1: Stakeholder list, quick rights screen, qualitative tail-risk plausibility screen, minimal cell scan, and a brief CSV screen before any ordinary ranking or selection claim. Record a pass-equivalent heuristic status or escalate/redesign.</w:t>
      </w:r>
    </w:p>
    <w:p>
      <w:pPr>
        <w:pStyle w:val="BodyText"/>
      </w:pPr>
      <w:r>
        <w:t>Tier 2: InstanceMap + ReachBasis, explicit impact instances and parameters, three-channel NCRC where triggered, scenario table for TRC (discrete CVaR), proportional/assumption-bounded CSV status for every candidate before RLS, normalized uncertainty-aware RLS for selectable survivors only, and a basic PCC with 5SPR.</w:t>
      </w:r>
    </w:p>
    <w:p>
      <w:pPr>
        <w:pStyle w:val="BodyText"/>
      </w:pPr>
      <w:r>
        <w:t>Tier 3: Full scope coverage (or governed reduced-scope), full binding CSV with declared structural evidence, explicit uncertainty methods, UCI/HOI indicators where material, reviewer sign-off, sensitivity, and full PCC.</w:t>
      </w:r>
    </w:p>
    <w:bookmarkEnd w:id="503"/>
    <w:bookmarkStart w:id="504" w:name="q7-scenarioinstance-interaction"/>
    <w:p>
      <w:pPr>
        <w:pStyle w:val="Heading2"/>
      </w:pPr>
      <w:r>
        <w:t>Q.7 Scenario–instance interaction</w:t>
      </w:r>
    </w:p>
    <w:p>
      <w:pPr>
        <w:pStyle w:val="FirstParagraph"/>
      </w:pPr>
      <w:r>
        <w:t>TRC is computed over scenario-conditioned Base-stream losses in catastrophe space (C_cat), not over the RLS welfare score. TRC may use the same underlying cell coordinates as catastrophe-relevant welfare cells, but it evaluates scenario-specific Base-stream loss construction through the Appendix D.7 CVaR algorithm.</w:t>
      </w:r>
    </w:p>
    <w:p>
      <w:pPr>
        <w:pStyle w:val="BodyText"/>
      </w:pPr>
      <w:r>
        <w:t>Keep the mechanics separate: welfare cells drive RLS after admissibility; catastrophe scenarios drive TRC/CVaR before RLS; rights cells gate via NCRC. Do not multiply scenario probabilities into RLS welfare cells unless a scenario-conditional welfare model is explicitly declared and recorded in the PCC.</w:t>
      </w:r>
    </w:p>
    <w:bookmarkEnd w:id="504"/>
    <w:bookmarkStart w:id="505" w:name="X55cfaf88322b69a494ebd200b40abcc86ed4b08"/>
    <w:p>
      <w:pPr>
        <w:pStyle w:val="Heading2"/>
      </w:pPr>
      <w:r>
        <w:t>Q.8 Practical Local Scope Scoring (PLSS) - Quick Card (Informative)</w:t>
      </w:r>
    </w:p>
    <w:p>
      <w:pPr>
        <w:pStyle w:val="FirstParagraph"/>
      </w:pPr>
      <w:r>
        <w:t>Purpose</w:t>
      </w:r>
    </w:p>
    <w:p>
      <w:pPr>
        <w:pStyle w:val="BodyText"/>
      </w:pPr>
      <w:r>
        <w:t>Use PLSS when a decision is primarily local in its direct effects, but wider scopes still remain present through constitutional floors and admissibility guardrails.</w:t>
      </w:r>
    </w:p>
    <w:p>
      <w:pPr>
        <w:pStyle w:val="BodyText"/>
      </w:pPr>
      <w:r>
        <w:t>Core idea</w:t>
      </w:r>
    </w:p>
    <w:p>
      <w:pPr>
        <w:pStyle w:val="BodyText"/>
      </w:pPr>
      <w:r>
        <w:t>PLSS does not remove any Union Scope.</w:t>
      </w:r>
    </w:p>
    <w:p>
      <w:pPr>
        <w:pStyle w:val="BodyText"/>
      </w:pPr>
      <w:r>
        <w:t>PLSS does not relax NCRC, TRC, or CSV.</w:t>
      </w:r>
    </w:p>
    <w:p>
      <w:pPr>
        <w:pStyle w:val="BodyText"/>
      </w:pPr>
      <w:r>
        <w:t>PLSS only changes how the residual welfare emphasis is distributed in local runs.</w:t>
      </w:r>
    </w:p>
    <w:p>
      <w:pPr>
        <w:pStyle w:val="BodyText"/>
      </w:pPr>
      <w:r>
        <w:t>Fast reading rule</w:t>
      </w:r>
    </w:p>
    <w:p>
      <w:pPr>
        <w:pStyle w:val="BodyText"/>
      </w:pPr>
      <w:r>
        <w:t>Score most strongly where the ripple is near, but keep every wider scope present through floors and guardrails.</w:t>
      </w:r>
    </w:p>
    <w:p>
      <w:pPr>
        <w:pStyle w:val="BodyText"/>
      </w:pPr>
      <w:r>
        <w:t>When not to use PLSS. Do not use PLSS as the primary posture for irreversible cross-border policy, large-scale public AI deployment, biosecurity governance, active military or security operations, high-lock-in infrastructure decisions, or any case where ET-1 through ET-7 is plausibly active at decision entry. Those cases require a broader deliberative posture or higher-tier structured evaluation.</w:t>
      </w:r>
    </w:p>
    <w:bookmarkEnd w:id="505"/>
    <w:bookmarkStart w:id="506" w:name="Xb080789f137a73b358b063728b76f915616fae5"/>
    <w:p>
      <w:pPr>
        <w:pStyle w:val="Heading2"/>
      </w:pPr>
      <w:r>
        <w:t>Q.8.0 Three-term lock • LSS = the upstream set of materially affected stakeholder instances. • PLSS = the floor-preserving residual weighting rule used in RLS. • FLGG = Focus Local, Guard Global, the governing mnemonic. Shortest mnemonic: score near, guard far.</w:t>
      </w:r>
    </w:p>
    <w:p>
      <w:pPr>
        <w:pStyle w:val="FirstParagraph"/>
      </w:pPr>
      <w:r>
        <w:t>Epistemic posture note. PLSS formal properties such as floor preservation, normalization, monotonicity, and admissibility invariance hold by construction under the declared equations and validator rules. Claims about practical performance, including speed, inter-rater convergence, and anti-gaming effectiveness, are empirical hypotheses requiring validation under Section 17.</w:t>
      </w:r>
    </w:p>
    <w:bookmarkEnd w:id="506"/>
    <w:bookmarkStart w:id="507" w:name="q81-what-union-scopes-are"/>
    <w:p>
      <w:pPr>
        <w:pStyle w:val="Heading2"/>
      </w:pPr>
      <w:r>
        <w:t>Q.8.1 What Union Scopes are</w:t>
      </w:r>
    </w:p>
    <w:p>
      <w:pPr>
        <w:pStyle w:val="FirstParagraph"/>
      </w:pPr>
      <w:r>
        <w:t>Union Scopes are zoom levels of consequence, not a closed list of who matters.</w:t>
      </w:r>
    </w:p>
    <w:p>
      <w:pPr>
        <w:pStyle w:val="BodyText"/>
      </w:pPr>
      <w:r>
        <w:t>• U1 Self = the decision-maker or directly affected person</w:t>
      </w:r>
    </w:p>
    <w:p>
      <w:pPr>
        <w:pStyle w:val="BodyText"/>
      </w:pPr>
      <w:r>
        <w:t>• U2 Household = people directly lived with or supported</w:t>
      </w:r>
    </w:p>
    <w:p>
      <w:pPr>
        <w:pStyle w:val="BodyText"/>
      </w:pPr>
      <w:r>
        <w:t>• U3 Community = local repeated-contact network</w:t>
      </w:r>
    </w:p>
    <w:p>
      <w:pPr>
        <w:pStyle w:val="BodyText"/>
      </w:pPr>
      <w:r>
        <w:t>• U4 Organization = firm, school, team, or institution involved</w:t>
      </w:r>
    </w:p>
    <w:p>
      <w:pPr>
        <w:pStyle w:val="BodyText"/>
      </w:pPr>
      <w:r>
        <w:t>• U5 Polity = law, regulation, public legitimacy, enforcement</w:t>
      </w:r>
    </w:p>
    <w:p>
      <w:pPr>
        <w:pStyle w:val="BodyText"/>
      </w:pPr>
      <w:r>
        <w:t>• U6 Humanity / Global Coordination = cross-border and civilization-scale coordination effects</w:t>
      </w:r>
    </w:p>
    <w:p>
      <w:pPr>
        <w:pStyle w:val="BodyText"/>
      </w:pPr>
      <w:r>
        <w:t>• U7 Biosphere = ecological and living-support-system effects</w:t>
      </w:r>
    </w:p>
    <w:bookmarkEnd w:id="507"/>
    <w:bookmarkStart w:id="508" w:name="q82-what-people-commonly-misunderstand"/>
    <w:p>
      <w:pPr>
        <w:pStyle w:val="Heading2"/>
      </w:pPr>
      <w:r>
        <w:t>Q.8.2 What people commonly misunderstand</w:t>
      </w:r>
    </w:p>
    <w:p>
      <w:pPr>
        <w:pStyle w:val="FirstParagraph"/>
      </w:pPr>
      <w:r>
        <w:t>Misread: “Local scoring means I can ignore broader scopes.”</w:t>
      </w:r>
    </w:p>
    <w:p>
      <w:pPr>
        <w:pStyle w:val="BodyText"/>
      </w:pPr>
      <w:r>
        <w:t>Fix: No. Broader scopes retain constitutional floors and remain active in admissibility where rights, catastrophe, or containment conditions apply.</w:t>
      </w:r>
    </w:p>
    <w:p>
      <w:pPr>
        <w:pStyle w:val="BodyText"/>
      </w:pPr>
      <w:r>
        <w:t>Misread: “The framework asks me to score whole populations abstractly.”</w:t>
      </w:r>
    </w:p>
    <w:p>
      <w:pPr>
        <w:pStyle w:val="BodyText"/>
      </w:pPr>
      <w:r>
        <w:t>Fix: No. Score stakeholder instances first, then aggregate into Union Scope rows.</w:t>
      </w:r>
    </w:p>
    <w:p>
      <w:pPr>
        <w:pStyle w:val="BodyText"/>
      </w:pPr>
      <w:r>
        <w:t>Misread: “Masking can make distant harms disappear.”</w:t>
      </w:r>
    </w:p>
    <w:p>
      <w:pPr>
        <w:pStyle w:val="BodyText"/>
      </w:pPr>
      <w:r>
        <w:t>Fix: No. Masking affects RLS aggregation only. Non-maskable rights and catastrophe cells cannot be bypassed.</w:t>
      </w:r>
    </w:p>
    <w:bookmarkEnd w:id="508"/>
    <w:bookmarkStart w:id="509" w:name="q83-the-plss-weight-formula"/>
    <w:p>
      <w:pPr>
        <w:pStyle w:val="Heading2"/>
      </w:pPr>
      <w:r>
        <w:t>Q.8.3 The PLSS weight formula</w:t>
      </w:r>
    </w:p>
    <w:p>
      <w:pPr>
        <w:pStyle w:val="FirstParagraph"/>
      </w:pPr>
      <w:r>
        <w:t>Let w_u^floor be the Section 13.1 union floor and q_u the declared local prominence signal for scope u.</w:t>
      </w:r>
    </w:p>
    <w:p>
      <w:pPr>
        <w:pStyle w:val="BodyText"/>
      </w:pPr>
      <w:r>
        <w:t>Residual share:</w:t>
      </w:r>
    </w:p>
    <w:p>
      <w:pPr>
        <w:pStyle w:val="BodyText"/>
      </w:pPr>
      <w:r>
        <w:t>ρ_u = q_u / Σ_j q_j</w:t>
      </w:r>
    </w:p>
    <w:p>
      <w:pPr>
        <w:pStyle w:val="BodyText"/>
      </w:pPr>
      <w:r>
        <w:t>PLSS union weights:</w:t>
      </w:r>
    </w:p>
    <w:p>
      <w:pPr>
        <w:pStyle w:val="BodyText"/>
      </w:pPr>
      <w:r>
        <w:t>w_u^PLSS = w_u^floor + (1 - Σ_j w_j^floor) ρ_u</w:t>
      </w:r>
    </w:p>
    <w:p>
      <w:pPr>
        <w:pStyle w:val="BodyText"/>
      </w:pPr>
      <w:r>
        <w:t>Interpretation</w:t>
      </w:r>
    </w:p>
    <w:p>
      <w:pPr>
        <w:pStyle w:val="BodyText"/>
      </w:pPr>
      <w:r>
        <w:t>• Floors keep every scope present.</w:t>
      </w:r>
    </w:p>
    <w:p>
      <w:pPr>
        <w:pStyle w:val="BodyText"/>
      </w:pPr>
      <w:r>
        <w:t>• Residual attention goes mostly to the scopes actually live in the decision.</w:t>
      </w:r>
    </w:p>
    <w:p>
      <w:pPr>
        <w:pStyle w:val="BodyText"/>
      </w:pPr>
      <w:r>
        <w:t>• Near scopes may dominate the local ranking.</w:t>
      </w:r>
    </w:p>
    <w:p>
      <w:pPr>
        <w:pStyle w:val="BodyText"/>
      </w:pPr>
      <w:r>
        <w:t>1. Identify stakeholder instances.</w:t>
      </w:r>
    </w:p>
    <w:p>
      <w:pPr>
        <w:pStyle w:val="BodyText"/>
      </w:pPr>
      <w:r>
        <w:t>2. Map instances into Union Scopes.</w:t>
      </w:r>
    </w:p>
    <w:p>
      <w:pPr>
        <w:pStyle w:val="BodyText"/>
      </w:pPr>
      <w:r>
        <w:t>3. Run RF/NCRC, TRC, and CSV on required cells.</w:t>
      </w:r>
    </w:p>
    <w:p>
      <w:pPr>
        <w:pStyle w:val="BodyText"/>
      </w:pPr>
      <w:r>
        <w:t>4. Declare local prominence signals q_u.</w:t>
      </w:r>
    </w:p>
    <w:p>
      <w:pPr>
        <w:pStyle w:val="BodyText"/>
      </w:pPr>
      <w:r>
        <w:t>5. Build w_u^PLSS from floors plus residual shares.</w:t>
      </w:r>
    </w:p>
    <w:p>
      <w:pPr>
        <w:pStyle w:val="BodyText"/>
      </w:pPr>
      <w:r>
        <w:t>6. Rank only the selectable options by RLS_PLSS.</w:t>
      </w:r>
    </w:p>
    <w:bookmarkEnd w:id="509"/>
    <w:bookmarkStart w:id="510" w:name="q86-worked-intuition-family-café"/>
    <w:p>
      <w:pPr>
        <w:pStyle w:val="Heading2"/>
      </w:pPr>
      <w:r>
        <w:t>Q.8.6 Worked intuition: family café</w:t>
      </w:r>
    </w:p>
    <w:p>
      <w:pPr>
        <w:pStyle w:val="FirstParagraph"/>
      </w:pPr>
      <w:r>
        <w:t>Example run:</w:t>
      </w:r>
    </w:p>
    <w:p>
      <w:pPr>
        <w:pStyle w:val="BodyText"/>
      </w:pPr>
      <w:r>
        <w:t>• U1 Self: 1 instance</w:t>
      </w:r>
    </w:p>
    <w:p>
      <w:pPr>
        <w:pStyle w:val="BodyText"/>
      </w:pPr>
      <w:r>
        <w:t>• U2 Household: 1 instance</w:t>
      </w:r>
    </w:p>
    <w:p>
      <w:pPr>
        <w:pStyle w:val="BodyText"/>
      </w:pPr>
      <w:r>
        <w:t>• U3 Community: 5 instances</w:t>
      </w:r>
    </w:p>
    <w:p>
      <w:pPr>
        <w:pStyle w:val="BodyText"/>
      </w:pPr>
      <w:r>
        <w:t>• U4 Organization: 2 instances</w:t>
      </w:r>
    </w:p>
    <w:p>
      <w:pPr>
        <w:pStyle w:val="BodyText"/>
      </w:pPr>
      <w:r>
        <w:t>• U5 Polity: 3 instances</w:t>
      </w:r>
    </w:p>
    <w:p>
      <w:pPr>
        <w:pStyle w:val="BodyText"/>
      </w:pPr>
      <w:r>
        <w:t>• U6 Humanity / Global Coordination: 1 instance</w:t>
      </w:r>
    </w:p>
    <w:p>
      <w:pPr>
        <w:pStyle w:val="BodyText"/>
      </w:pPr>
      <w:r>
        <w:t>• U7 Biosphere: 1 instance</w:t>
      </w:r>
    </w:p>
    <w:p>
      <w:pPr>
        <w:pStyle w:val="BodyText"/>
      </w:pPr>
      <w:r>
        <w:t>Declared q:</w:t>
      </w:r>
    </w:p>
    <w:p>
      <w:pPr>
        <w:pStyle w:val="BodyText"/>
      </w:pPr>
      <w:r>
        <w:t>(0.95, 0.85, 0.55, 0.50, 0.10, 0.03, 0.02)</w:t>
      </w:r>
    </w:p>
    <w:p>
      <w:pPr>
        <w:pStyle w:val="BodyText"/>
      </w:pPr>
      <w:r>
        <w:t>Section 13.1 floors:</w:t>
      </w:r>
    </w:p>
    <w:p>
      <w:pPr>
        <w:pStyle w:val="BodyText"/>
      </w:pPr>
      <w:r>
        <w:t>(0.20, 0.06, 0.06, 0.06, 0.08, 0.10, 0.10)</w:t>
      </w:r>
    </w:p>
    <w:p>
      <w:pPr>
        <w:pStyle w:val="BodyText"/>
      </w:pPr>
      <w:r>
        <w:t>Resulting PLSS weights:</w:t>
      </w:r>
    </w:p>
    <w:p>
      <w:pPr>
        <w:pStyle w:val="BodyText"/>
      </w:pPr>
      <w:r>
        <w:t>(0.308, 0.156, 0.122, 0.117, 0.091, 0.103, 0.102)</w:t>
      </w:r>
    </w:p>
    <w:p>
      <w:pPr>
        <w:pStyle w:val="BodyText"/>
      </w:pPr>
      <w:r>
        <w:t>Table Q-8A. PLSS café example weights</w:t>
      </w:r>
    </w:p>
    <w:tbl>
      <w:tblPr>
        <w:tblStyle w:val="Table"/>
        <w:tblW w:type="auto" w:w="0"/>
        <w:jc w:val="center"/>
        <w:tblLook w:firstRow="1" w:lastRow="0" w:firstColumn="0" w:lastColumn="0" w:noHBand="0" w:noVBand="0" w:val="0020"/>
      </w:tblPr>
      <w:tblGrid>
        <w:gridCol w:w="1980"/>
        <w:gridCol w:w="1980"/>
        <w:gridCol w:w="1980"/>
        <w:gridCol w:w="1980"/>
      </w:tblGrid>
      <w:tr>
        <w:trPr>
          <w:tblHeader w:val="on"/>
          <w:tblHeader w:val="true"/>
          <w:cantSplit/>
        </w:trPr>
        <w:tc>
          <w:tcPr>
            <w:vAlign w:val="top"/>
            <w:tcMar>
              <w:top w:w="70" w:type="dxa"/>
              <w:start w:w="80" w:type="dxa"/>
              <w:bottom w:w="70" w:type="dxa"/>
              <w:end w:w="80" w:type="dxa"/>
            </w:tcMar>
            <w:shd w:fill="1F4E78"/>
          </w:tcPr>
          <w:p>
            <w:pPr>
              <w:pStyle w:val="Compact"/>
              <w:jc w:val="left"/>
            </w:pPr>
            <w:r>
              <w:rPr>
                <w:rFonts w:ascii="Arial" w:hAnsi="Arial" w:eastAsia="Arial"/>
                <w:b/>
                <w:color w:val="FFFFFF"/>
                <w:sz w:val="16"/>
              </w:rPr>
              <w:t>Union Scope</w:t>
            </w:r>
          </w:p>
        </w:tc>
        <w:tc>
          <w:tcPr>
            <w:vAlign w:val="top"/>
            <w:tcMar>
              <w:top w:w="70" w:type="dxa"/>
              <w:start w:w="80" w:type="dxa"/>
              <w:bottom w:w="70" w:type="dxa"/>
              <w:end w:w="80" w:type="dxa"/>
            </w:tcMar>
            <w:shd w:fill="1F4E78"/>
          </w:tcPr>
          <w:p>
            <w:pPr>
              <w:pStyle w:val="Compact"/>
              <w:jc w:val="left"/>
            </w:pPr>
            <w:r>
              <w:rPr>
                <w:rFonts w:ascii="Arial" w:hAnsi="Arial" w:eastAsia="Arial"/>
                <w:b/>
                <w:color w:val="FFFFFF"/>
                <w:sz w:val="16"/>
              </w:rPr>
              <w:t>q_u</w:t>
            </w:r>
          </w:p>
        </w:tc>
        <w:tc>
          <w:tcPr>
            <w:vAlign w:val="top"/>
            <w:tcMar>
              <w:top w:w="70" w:type="dxa"/>
              <w:start w:w="80" w:type="dxa"/>
              <w:bottom w:w="70" w:type="dxa"/>
              <w:end w:w="80" w:type="dxa"/>
            </w:tcMar>
            <w:shd w:fill="1F4E78"/>
          </w:tcPr>
          <w:p>
            <w:pPr>
              <w:pStyle w:val="Compact"/>
              <w:jc w:val="left"/>
            </w:pPr>
            <w:r>
              <w:rPr>
                <w:rFonts w:ascii="Arial" w:hAnsi="Arial" w:eastAsia="Arial"/>
                <w:b/>
                <w:color w:val="FFFFFF"/>
                <w:sz w:val="16"/>
              </w:rPr>
              <w:t>w_u^floor</w:t>
            </w:r>
          </w:p>
        </w:tc>
        <w:tc>
          <w:tcPr>
            <w:vAlign w:val="top"/>
            <w:tcMar>
              <w:top w:w="70" w:type="dxa"/>
              <w:start w:w="80" w:type="dxa"/>
              <w:bottom w:w="70" w:type="dxa"/>
              <w:end w:w="80" w:type="dxa"/>
            </w:tcMar>
            <w:shd w:fill="1F4E78"/>
          </w:tcPr>
          <w:p>
            <w:pPr>
              <w:pStyle w:val="Compact"/>
              <w:jc w:val="left"/>
            </w:pPr>
            <w:r>
              <w:rPr>
                <w:rFonts w:ascii="Arial" w:hAnsi="Arial" w:eastAsia="Arial"/>
                <w:b/>
                <w:color w:val="FFFFFF"/>
                <w:sz w:val="16"/>
              </w:rPr>
              <w:t>w_u^PLSS</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U1 Self</w:t>
            </w:r>
          </w:p>
        </w:tc>
        <w:tc>
          <w:tcPr>
            <w:vAlign w:val="top"/>
            <w:tcMar>
              <w:top w:w="70" w:type="dxa"/>
              <w:start w:w="80" w:type="dxa"/>
              <w:bottom w:w="70" w:type="dxa"/>
              <w:end w:w="80" w:type="dxa"/>
            </w:tcMar>
            <w:shd w:fill="D9EAF7"/>
          </w:tcPr>
          <w:p>
            <w:pPr>
              <w:pStyle w:val="Compact"/>
              <w:jc w:val="left"/>
            </w:pPr>
            <w:r>
              <w:rPr>
                <w:rFonts w:ascii="Arial" w:hAnsi="Arial" w:eastAsia="Arial"/>
                <w:sz w:val="16"/>
              </w:rPr>
              <w:t>0.95</w:t>
            </w:r>
          </w:p>
        </w:tc>
        <w:tc>
          <w:tcPr>
            <w:vAlign w:val="top"/>
            <w:tcMar>
              <w:top w:w="70" w:type="dxa"/>
              <w:start w:w="80" w:type="dxa"/>
              <w:bottom w:w="70" w:type="dxa"/>
              <w:end w:w="80" w:type="dxa"/>
            </w:tcMar>
            <w:shd w:fill="D9EAF7"/>
          </w:tcPr>
          <w:p>
            <w:pPr>
              <w:pStyle w:val="Compact"/>
              <w:jc w:val="left"/>
            </w:pPr>
            <w:r>
              <w:rPr>
                <w:rFonts w:ascii="Arial" w:hAnsi="Arial" w:eastAsia="Arial"/>
                <w:sz w:val="16"/>
              </w:rPr>
              <w:t>0.20</w:t>
            </w:r>
          </w:p>
        </w:tc>
        <w:tc>
          <w:tcPr>
            <w:vAlign w:val="top"/>
            <w:tcMar>
              <w:top w:w="70" w:type="dxa"/>
              <w:start w:w="80" w:type="dxa"/>
              <w:bottom w:w="70" w:type="dxa"/>
              <w:end w:w="80" w:type="dxa"/>
            </w:tcMar>
            <w:shd w:fill="D9EAF7"/>
          </w:tcPr>
          <w:p>
            <w:pPr>
              <w:pStyle w:val="Compact"/>
              <w:jc w:val="left"/>
            </w:pPr>
            <w:r>
              <w:rPr>
                <w:rFonts w:ascii="Arial" w:hAnsi="Arial" w:eastAsia="Arial"/>
                <w:sz w:val="16"/>
              </w:rPr>
              <w:t>0.308</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U2 Household</w:t>
            </w:r>
          </w:p>
        </w:tc>
        <w:tc>
          <w:tcPr>
            <w:vAlign w:val="top"/>
            <w:tcMar>
              <w:top w:w="70" w:type="dxa"/>
              <w:start w:w="80" w:type="dxa"/>
              <w:bottom w:w="70" w:type="dxa"/>
              <w:end w:w="80" w:type="dxa"/>
            </w:tcMar>
            <w:shd w:fill="FFFFFF"/>
          </w:tcPr>
          <w:p>
            <w:pPr>
              <w:pStyle w:val="Compact"/>
              <w:jc w:val="left"/>
            </w:pPr>
            <w:r>
              <w:rPr>
                <w:rFonts w:ascii="Arial" w:hAnsi="Arial" w:eastAsia="Arial"/>
                <w:sz w:val="16"/>
              </w:rPr>
              <w:t>0.85</w:t>
            </w:r>
          </w:p>
        </w:tc>
        <w:tc>
          <w:tcPr>
            <w:vAlign w:val="top"/>
            <w:tcMar>
              <w:top w:w="70" w:type="dxa"/>
              <w:start w:w="80" w:type="dxa"/>
              <w:bottom w:w="70" w:type="dxa"/>
              <w:end w:w="80" w:type="dxa"/>
            </w:tcMar>
            <w:shd w:fill="FFFFFF"/>
          </w:tcPr>
          <w:p>
            <w:pPr>
              <w:pStyle w:val="Compact"/>
              <w:jc w:val="left"/>
            </w:pPr>
            <w:r>
              <w:rPr>
                <w:rFonts w:ascii="Arial" w:hAnsi="Arial" w:eastAsia="Arial"/>
                <w:sz w:val="16"/>
              </w:rPr>
              <w:t>0.06</w:t>
            </w:r>
          </w:p>
        </w:tc>
        <w:tc>
          <w:tcPr>
            <w:vAlign w:val="top"/>
            <w:tcMar>
              <w:top w:w="70" w:type="dxa"/>
              <w:start w:w="80" w:type="dxa"/>
              <w:bottom w:w="70" w:type="dxa"/>
              <w:end w:w="80" w:type="dxa"/>
            </w:tcMar>
            <w:shd w:fill="FFFFFF"/>
          </w:tcPr>
          <w:p>
            <w:pPr>
              <w:pStyle w:val="Compact"/>
              <w:jc w:val="left"/>
            </w:pPr>
            <w:r>
              <w:rPr>
                <w:rFonts w:ascii="Arial" w:hAnsi="Arial" w:eastAsia="Arial"/>
                <w:sz w:val="16"/>
              </w:rPr>
              <w:t>0.156</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U3 Community</w:t>
            </w:r>
          </w:p>
        </w:tc>
        <w:tc>
          <w:tcPr>
            <w:vAlign w:val="top"/>
            <w:tcMar>
              <w:top w:w="70" w:type="dxa"/>
              <w:start w:w="80" w:type="dxa"/>
              <w:bottom w:w="70" w:type="dxa"/>
              <w:end w:w="80" w:type="dxa"/>
            </w:tcMar>
            <w:shd w:fill="D9EAF7"/>
          </w:tcPr>
          <w:p>
            <w:pPr>
              <w:pStyle w:val="Compact"/>
              <w:jc w:val="left"/>
            </w:pPr>
            <w:r>
              <w:rPr>
                <w:rFonts w:ascii="Arial" w:hAnsi="Arial" w:eastAsia="Arial"/>
                <w:sz w:val="16"/>
              </w:rPr>
              <w:t>0.55</w:t>
            </w:r>
          </w:p>
        </w:tc>
        <w:tc>
          <w:tcPr>
            <w:vAlign w:val="top"/>
            <w:tcMar>
              <w:top w:w="70" w:type="dxa"/>
              <w:start w:w="80" w:type="dxa"/>
              <w:bottom w:w="70" w:type="dxa"/>
              <w:end w:w="80" w:type="dxa"/>
            </w:tcMar>
            <w:shd w:fill="D9EAF7"/>
          </w:tcPr>
          <w:p>
            <w:pPr>
              <w:pStyle w:val="Compact"/>
              <w:jc w:val="left"/>
            </w:pPr>
            <w:r>
              <w:rPr>
                <w:rFonts w:ascii="Arial" w:hAnsi="Arial" w:eastAsia="Arial"/>
                <w:sz w:val="16"/>
              </w:rPr>
              <w:t>0.06</w:t>
            </w:r>
          </w:p>
        </w:tc>
        <w:tc>
          <w:tcPr>
            <w:vAlign w:val="top"/>
            <w:tcMar>
              <w:top w:w="70" w:type="dxa"/>
              <w:start w:w="80" w:type="dxa"/>
              <w:bottom w:w="70" w:type="dxa"/>
              <w:end w:w="80" w:type="dxa"/>
            </w:tcMar>
            <w:shd w:fill="D9EAF7"/>
          </w:tcPr>
          <w:p>
            <w:pPr>
              <w:pStyle w:val="Compact"/>
              <w:jc w:val="left"/>
            </w:pPr>
            <w:r>
              <w:rPr>
                <w:rFonts w:ascii="Arial" w:hAnsi="Arial" w:eastAsia="Arial"/>
                <w:sz w:val="16"/>
              </w:rPr>
              <w:t>0.122</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U4 Organization</w:t>
            </w:r>
          </w:p>
        </w:tc>
        <w:tc>
          <w:tcPr>
            <w:vAlign w:val="top"/>
            <w:tcMar>
              <w:top w:w="70" w:type="dxa"/>
              <w:start w:w="80" w:type="dxa"/>
              <w:bottom w:w="70" w:type="dxa"/>
              <w:end w:w="80" w:type="dxa"/>
            </w:tcMar>
            <w:shd w:fill="FFFFFF"/>
          </w:tcPr>
          <w:p>
            <w:pPr>
              <w:pStyle w:val="Compact"/>
              <w:jc w:val="left"/>
            </w:pPr>
            <w:r>
              <w:rPr>
                <w:rFonts w:ascii="Arial" w:hAnsi="Arial" w:eastAsia="Arial"/>
                <w:sz w:val="16"/>
              </w:rPr>
              <w:t>0.50</w:t>
            </w:r>
          </w:p>
        </w:tc>
        <w:tc>
          <w:tcPr>
            <w:vAlign w:val="top"/>
            <w:tcMar>
              <w:top w:w="70" w:type="dxa"/>
              <w:start w:w="80" w:type="dxa"/>
              <w:bottom w:w="70" w:type="dxa"/>
              <w:end w:w="80" w:type="dxa"/>
            </w:tcMar>
            <w:shd w:fill="FFFFFF"/>
          </w:tcPr>
          <w:p>
            <w:pPr>
              <w:pStyle w:val="Compact"/>
              <w:jc w:val="left"/>
            </w:pPr>
            <w:r>
              <w:rPr>
                <w:rFonts w:ascii="Arial" w:hAnsi="Arial" w:eastAsia="Arial"/>
                <w:sz w:val="16"/>
              </w:rPr>
              <w:t>0.06</w:t>
            </w:r>
          </w:p>
        </w:tc>
        <w:tc>
          <w:tcPr>
            <w:vAlign w:val="top"/>
            <w:tcMar>
              <w:top w:w="70" w:type="dxa"/>
              <w:start w:w="80" w:type="dxa"/>
              <w:bottom w:w="70" w:type="dxa"/>
              <w:end w:w="80" w:type="dxa"/>
            </w:tcMar>
            <w:shd w:fill="FFFFFF"/>
          </w:tcPr>
          <w:p>
            <w:pPr>
              <w:pStyle w:val="Compact"/>
              <w:jc w:val="left"/>
            </w:pPr>
            <w:r>
              <w:rPr>
                <w:rFonts w:ascii="Arial" w:hAnsi="Arial" w:eastAsia="Arial"/>
                <w:sz w:val="16"/>
              </w:rPr>
              <w:t>0.117</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U5 Polity</w:t>
            </w:r>
          </w:p>
        </w:tc>
        <w:tc>
          <w:tcPr>
            <w:vAlign w:val="top"/>
            <w:tcMar>
              <w:top w:w="70" w:type="dxa"/>
              <w:start w:w="80" w:type="dxa"/>
              <w:bottom w:w="70" w:type="dxa"/>
              <w:end w:w="80" w:type="dxa"/>
            </w:tcMar>
            <w:shd w:fill="D9EAF7"/>
          </w:tcPr>
          <w:p>
            <w:pPr>
              <w:pStyle w:val="Compact"/>
              <w:jc w:val="left"/>
            </w:pPr>
            <w:r>
              <w:rPr>
                <w:rFonts w:ascii="Arial" w:hAnsi="Arial" w:eastAsia="Arial"/>
                <w:sz w:val="16"/>
              </w:rPr>
              <w:t>0.10</w:t>
            </w:r>
          </w:p>
        </w:tc>
        <w:tc>
          <w:tcPr>
            <w:vAlign w:val="top"/>
            <w:tcMar>
              <w:top w:w="70" w:type="dxa"/>
              <w:start w:w="80" w:type="dxa"/>
              <w:bottom w:w="70" w:type="dxa"/>
              <w:end w:w="80" w:type="dxa"/>
            </w:tcMar>
            <w:shd w:fill="D9EAF7"/>
          </w:tcPr>
          <w:p>
            <w:pPr>
              <w:pStyle w:val="Compact"/>
              <w:jc w:val="left"/>
            </w:pPr>
            <w:r>
              <w:rPr>
                <w:rFonts w:ascii="Arial" w:hAnsi="Arial" w:eastAsia="Arial"/>
                <w:sz w:val="16"/>
              </w:rPr>
              <w:t>0.08</w:t>
            </w:r>
          </w:p>
        </w:tc>
        <w:tc>
          <w:tcPr>
            <w:vAlign w:val="top"/>
            <w:tcMar>
              <w:top w:w="70" w:type="dxa"/>
              <w:start w:w="80" w:type="dxa"/>
              <w:bottom w:w="70" w:type="dxa"/>
              <w:end w:w="80" w:type="dxa"/>
            </w:tcMar>
            <w:shd w:fill="D9EAF7"/>
          </w:tcPr>
          <w:p>
            <w:pPr>
              <w:pStyle w:val="Compact"/>
              <w:jc w:val="left"/>
            </w:pPr>
            <w:r>
              <w:rPr>
                <w:rFonts w:ascii="Arial" w:hAnsi="Arial" w:eastAsia="Arial"/>
                <w:sz w:val="16"/>
              </w:rPr>
              <w:t>0.091</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U6 Humanity / Global Coordination</w:t>
            </w:r>
          </w:p>
        </w:tc>
        <w:tc>
          <w:tcPr>
            <w:vAlign w:val="top"/>
            <w:tcMar>
              <w:top w:w="70" w:type="dxa"/>
              <w:start w:w="80" w:type="dxa"/>
              <w:bottom w:w="70" w:type="dxa"/>
              <w:end w:w="80" w:type="dxa"/>
            </w:tcMar>
            <w:shd w:fill="FFFFFF"/>
          </w:tcPr>
          <w:p>
            <w:pPr>
              <w:pStyle w:val="Compact"/>
              <w:jc w:val="left"/>
            </w:pPr>
            <w:r>
              <w:rPr>
                <w:rFonts w:ascii="Arial" w:hAnsi="Arial" w:eastAsia="Arial"/>
                <w:sz w:val="16"/>
              </w:rPr>
              <w:t>0.03</w:t>
            </w:r>
          </w:p>
        </w:tc>
        <w:tc>
          <w:tcPr>
            <w:vAlign w:val="top"/>
            <w:tcMar>
              <w:top w:w="70" w:type="dxa"/>
              <w:start w:w="80" w:type="dxa"/>
              <w:bottom w:w="70" w:type="dxa"/>
              <w:end w:w="80" w:type="dxa"/>
            </w:tcMar>
            <w:shd w:fill="FFFFFF"/>
          </w:tcPr>
          <w:p>
            <w:pPr>
              <w:pStyle w:val="Compact"/>
              <w:jc w:val="left"/>
            </w:pPr>
            <w:r>
              <w:rPr>
                <w:rFonts w:ascii="Arial" w:hAnsi="Arial" w:eastAsia="Arial"/>
                <w:sz w:val="16"/>
              </w:rPr>
              <w:t>0.10</w:t>
            </w:r>
          </w:p>
        </w:tc>
        <w:tc>
          <w:tcPr>
            <w:vAlign w:val="top"/>
            <w:tcMar>
              <w:top w:w="70" w:type="dxa"/>
              <w:start w:w="80" w:type="dxa"/>
              <w:bottom w:w="70" w:type="dxa"/>
              <w:end w:w="80" w:type="dxa"/>
            </w:tcMar>
            <w:shd w:fill="FFFFFF"/>
          </w:tcPr>
          <w:p>
            <w:pPr>
              <w:pStyle w:val="Compact"/>
              <w:jc w:val="left"/>
            </w:pPr>
            <w:r>
              <w:rPr>
                <w:rFonts w:ascii="Arial" w:hAnsi="Arial" w:eastAsia="Arial"/>
                <w:sz w:val="16"/>
              </w:rPr>
              <w:t>0.103</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U7 Biosphere</w:t>
            </w:r>
          </w:p>
        </w:tc>
        <w:tc>
          <w:tcPr>
            <w:vAlign w:val="top"/>
            <w:tcMar>
              <w:top w:w="70" w:type="dxa"/>
              <w:start w:w="80" w:type="dxa"/>
              <w:bottom w:w="70" w:type="dxa"/>
              <w:end w:w="80" w:type="dxa"/>
            </w:tcMar>
            <w:shd w:fill="D9EAF7"/>
          </w:tcPr>
          <w:p>
            <w:pPr>
              <w:pStyle w:val="Compact"/>
              <w:jc w:val="left"/>
            </w:pPr>
            <w:r>
              <w:rPr>
                <w:rFonts w:ascii="Arial" w:hAnsi="Arial" w:eastAsia="Arial"/>
                <w:sz w:val="16"/>
              </w:rPr>
              <w:t>0.02</w:t>
            </w:r>
          </w:p>
        </w:tc>
        <w:tc>
          <w:tcPr>
            <w:vAlign w:val="top"/>
            <w:tcMar>
              <w:top w:w="70" w:type="dxa"/>
              <w:start w:w="80" w:type="dxa"/>
              <w:bottom w:w="70" w:type="dxa"/>
              <w:end w:w="80" w:type="dxa"/>
            </w:tcMar>
            <w:shd w:fill="D9EAF7"/>
          </w:tcPr>
          <w:p>
            <w:pPr>
              <w:pStyle w:val="Compact"/>
              <w:jc w:val="left"/>
            </w:pPr>
            <w:r>
              <w:rPr>
                <w:rFonts w:ascii="Arial" w:hAnsi="Arial" w:eastAsia="Arial"/>
                <w:sz w:val="16"/>
              </w:rPr>
              <w:t>0.10</w:t>
            </w:r>
          </w:p>
        </w:tc>
        <w:tc>
          <w:tcPr>
            <w:vAlign w:val="top"/>
            <w:tcMar>
              <w:top w:w="70" w:type="dxa"/>
              <w:start w:w="80" w:type="dxa"/>
              <w:bottom w:w="70" w:type="dxa"/>
              <w:end w:w="80" w:type="dxa"/>
            </w:tcMar>
            <w:shd w:fill="D9EAF7"/>
          </w:tcPr>
          <w:p>
            <w:pPr>
              <w:pStyle w:val="Compact"/>
              <w:jc w:val="left"/>
            </w:pPr>
            <w:r>
              <w:rPr>
                <w:rFonts w:ascii="Arial" w:hAnsi="Arial" w:eastAsia="Arial"/>
                <w:sz w:val="16"/>
              </w:rPr>
              <w:t>0.102</w:t>
            </w:r>
          </w:p>
        </w:tc>
      </w:tr>
    </w:tbl>
    <w:p>
      <w:pPr>
        <w:pStyle w:val="BodyText"/>
      </w:pPr>
      <w:r>
        <w:t>Quick lesson</w:t>
      </w:r>
    </w:p>
    <w:p>
      <w:pPr>
        <w:pStyle w:val="BodyText"/>
      </w:pPr>
      <w:r>
        <w:t>• Self, Household, Community, and Organization get most of the residual attention.</w:t>
      </w:r>
    </w:p>
    <w:p>
      <w:pPr>
        <w:pStyle w:val="BodyText"/>
      </w:pPr>
      <w:r>
        <w:t>• Polity, Humanity / Global Coordination, and Biosphere remain present because the current constitution keeps them above zero.</w:t>
      </w:r>
    </w:p>
    <w:p>
      <w:pPr>
        <w:pStyle w:val="BodyText"/>
      </w:pPr>
      <w:r>
        <w:t>• A cheap option that creates toxic exposure or labor-abuse risk can still fail before scoring.</w:t>
      </w:r>
    </w:p>
    <w:bookmarkEnd w:id="510"/>
    <w:bookmarkStart w:id="511" w:name="q87-one-sentence-teaching-version"/>
    <w:p>
      <w:pPr>
        <w:pStyle w:val="Heading2"/>
      </w:pPr>
      <w:r>
        <w:t>Q.8.7 One-sentence teaching version</w:t>
      </w:r>
    </w:p>
    <w:p>
      <w:pPr>
        <w:pStyle w:val="FirstParagraph"/>
      </w:pPr>
      <w:r>
        <w:t>RippleLogic lets local people focus on the scopes they are actually touching, while still stopping them from solving today’s problem by exporting harm into wider systems.</w:t>
      </w:r>
    </w:p>
    <w:p>
      <w:pPr>
        <w:pStyle w:val="BodyText"/>
      </w:pPr>
      <w:r>
        <w:t>End Appendix Q.</w:t>
      </w:r>
    </w:p>
    <w:bookmarkEnd w:id="511"/>
    <w:bookmarkEnd w:id="512"/>
    <w:bookmarkStart w:id="543" w:name="X367112e409c1ffea887693768999c285cda9e7e"/>
    <w:p>
      <w:pPr>
        <w:pStyle w:val="Heading1"/>
      </w:pPr>
      <w:r>
        <w:t>APPENDIX R: TIER 1–3 REFERENCE TEST VECTORS (NORMATIVE)</w:t>
      </w:r>
    </w:p>
    <w:p>
      <w:pPr>
        <w:pStyle w:val="FirstParagraph"/>
      </w:pPr>
      <w:r>
        <w:t>Status: Normative. These vectors reduce implementer drift for Tier 1-3 validators. They instantiate existing rules and expected outcomes without adding new rules.</w:t>
      </w:r>
    </w:p>
    <w:p>
      <w:pPr>
        <w:pStyle w:val="BodyText"/>
      </w:pPr>
      <w:r>
        <w:t>Conformance rule (Normative). Any implementation claiming v12.2 conformance MUST reproduce the expected outputs for Appendix R vectors when executed with the stated inputs.</w:t>
      </w:r>
    </w:p>
    <w:bookmarkStart w:id="513" w:name="Xc628f7f632ae8bd7ece4d9eb7db8a52c947e2a6"/>
    <w:p>
      <w:pPr>
        <w:pStyle w:val="Heading2"/>
      </w:pPr>
      <w:r>
        <w:t>R.1 NCRC floor-reference gating sanity check (baseline vs floors)</w:t>
      </w:r>
    </w:p>
    <w:tbl>
      <w:tblPr>
        <w:tblStyle w:val="Table"/>
        <w:tblW w:type="auto" w:w="0"/>
        <w:jc w:val="center"/>
        <w:tblLook w:firstRow="1" w:lastRow="0" w:firstColumn="0" w:lastColumn="0" w:noHBand="0" w:noVBand="0" w:val="0020"/>
      </w:tblPr>
      <w:tblGrid>
        <w:gridCol w:w="3960"/>
        <w:gridCol w:w="3960"/>
      </w:tblGrid>
      <w:tr>
        <w:trPr>
          <w:tblHeader w:val="on"/>
          <w:tblHeader w:val="true"/>
          <w:cantSplit/>
        </w:trPr>
        <w:tc>
          <w:tcPr>
            <w:vAlign w:val="top"/>
            <w:tcMar>
              <w:top w:w="70" w:type="dxa"/>
              <w:start w:w="80" w:type="dxa"/>
              <w:bottom w:w="70" w:type="dxa"/>
              <w:end w:w="80" w:type="dxa"/>
            </w:tcMar>
            <w:shd w:fill="1F4E78"/>
          </w:tcPr>
          <w:p>
            <w:pPr>
              <w:pStyle w:val="Compact"/>
              <w:jc w:val="left"/>
            </w:pPr>
            <w:r>
              <w:rPr>
                <w:rFonts w:ascii="Arial" w:hAnsi="Arial" w:eastAsia="Arial"/>
                <w:b/>
                <w:color w:val="FFFFFF"/>
                <w:sz w:val="16"/>
              </w:rPr>
              <w:t>Purpose</w:t>
            </w:r>
          </w:p>
        </w:tc>
        <w:tc>
          <w:tcPr>
            <w:vAlign w:val="top"/>
            <w:tcMar>
              <w:top w:w="70" w:type="dxa"/>
              <w:start w:w="80" w:type="dxa"/>
              <w:bottom w:w="70" w:type="dxa"/>
              <w:end w:w="80" w:type="dxa"/>
            </w:tcMar>
            <w:shd w:fill="1F4E78"/>
          </w:tcPr>
          <w:p>
            <w:pPr>
              <w:pStyle w:val="Compact"/>
              <w:jc w:val="left"/>
            </w:pPr>
            <w:r>
              <w:rPr>
                <w:rFonts w:ascii="Arial" w:hAnsi="Arial" w:eastAsia="Arial"/>
                <w:b/>
                <w:color w:val="FFFFFF"/>
                <w:sz w:val="16"/>
              </w:rPr>
              <w:t>Ensure a rights-covered cell cannot pass NCRC by maintaining an ongoing violation when BaselineType_Gates = FLOOR_REFERENCE.</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Setup</w:t>
            </w:r>
          </w:p>
        </w:tc>
        <w:tc>
          <w:tcPr>
            <w:vAlign w:val="top"/>
            <w:tcMar>
              <w:top w:w="70" w:type="dxa"/>
              <w:start w:w="80" w:type="dxa"/>
              <w:bottom w:w="70" w:type="dxa"/>
              <w:end w:w="80" w:type="dxa"/>
            </w:tcMar>
            <w:shd w:fill="D9EAF7"/>
          </w:tcPr>
          <w:p>
            <w:pPr>
              <w:pStyle w:val="Compact"/>
              <w:jc w:val="left"/>
            </w:pPr>
            <w:r>
              <w:rPr>
                <w:rFonts w:ascii="Arial" w:hAnsi="Arial" w:eastAsia="Arial"/>
                <w:sz w:val="16"/>
              </w:rPr>
              <w:t>Single rights-covered cell (u=U₁, d=Health) covered by BODY with threshold θ_BODY = −0.70. BaselineType_Gates = FLOOR_REFERENCE.</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Option A</w:t>
            </w:r>
          </w:p>
        </w:tc>
        <w:tc>
          <w:tcPr>
            <w:vAlign w:val="top"/>
            <w:tcMar>
              <w:top w:w="70" w:type="dxa"/>
              <w:start w:w="80" w:type="dxa"/>
              <w:bottom w:w="70" w:type="dxa"/>
              <w:end w:w="80" w:type="dxa"/>
            </w:tcMar>
            <w:shd w:fill="FFFFFF"/>
          </w:tcPr>
          <w:p>
            <w:pPr>
              <w:pStyle w:val="Compact"/>
              <w:jc w:val="left"/>
            </w:pPr>
            <w:r>
              <w:rPr>
                <w:rFonts w:ascii="Arial" w:hAnsi="Arial" w:eastAsia="Arial"/>
                <w:sz w:val="16"/>
              </w:rPr>
              <w:t>I_prop_base(rights cell) = −0.71 (below θ_BODY).</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Option B</w:t>
            </w:r>
          </w:p>
        </w:tc>
        <w:tc>
          <w:tcPr>
            <w:vAlign w:val="top"/>
            <w:tcMar>
              <w:top w:w="70" w:type="dxa"/>
              <w:start w:w="80" w:type="dxa"/>
              <w:bottom w:w="70" w:type="dxa"/>
              <w:end w:w="80" w:type="dxa"/>
            </w:tcMar>
            <w:shd w:fill="D9EAF7"/>
          </w:tcPr>
          <w:p>
            <w:pPr>
              <w:pStyle w:val="Compact"/>
              <w:jc w:val="left"/>
            </w:pPr>
            <w:r>
              <w:rPr>
                <w:rFonts w:ascii="Arial" w:hAnsi="Arial" w:eastAsia="Arial"/>
                <w:sz w:val="16"/>
              </w:rPr>
              <w:t>I_prop_base(rights cell) = −0.69 (above θ_BODY).</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Expected NCRC</w:t>
            </w:r>
          </w:p>
        </w:tc>
        <w:tc>
          <w:tcPr>
            <w:vAlign w:val="top"/>
            <w:tcMar>
              <w:top w:w="70" w:type="dxa"/>
              <w:start w:w="80" w:type="dxa"/>
              <w:bottom w:w="70" w:type="dxa"/>
              <w:end w:w="80" w:type="dxa"/>
            </w:tcMar>
            <w:shd w:fill="FFFFFF"/>
          </w:tcPr>
          <w:p>
            <w:pPr>
              <w:pStyle w:val="Compact"/>
              <w:jc w:val="left"/>
            </w:pPr>
            <w:r>
              <w:rPr>
                <w:rFonts w:ascii="Arial" w:hAnsi="Arial" w:eastAsia="Arial"/>
                <w:sz w:val="16"/>
              </w:rPr>
              <w:t>Option A FAILS NCRC (inadmissible). Option B PASSES NCRC (admissible).</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Notes</w:t>
            </w:r>
          </w:p>
        </w:tc>
        <w:tc>
          <w:tcPr>
            <w:vAlign w:val="top"/>
            <w:tcMar>
              <w:top w:w="70" w:type="dxa"/>
              <w:start w:w="80" w:type="dxa"/>
              <w:bottom w:w="70" w:type="dxa"/>
              <w:end w:w="80" w:type="dxa"/>
            </w:tcMar>
            <w:shd w:fill="D9EAF7"/>
          </w:tcPr>
          <w:p>
            <w:pPr>
              <w:pStyle w:val="Compact"/>
              <w:jc w:val="left"/>
            </w:pPr>
            <w:r>
              <w:rPr>
                <w:rFonts w:ascii="Arial" w:hAnsi="Arial" w:eastAsia="Arial"/>
                <w:sz w:val="16"/>
              </w:rPr>
              <w:t>Independent of welfare/RLS scoring; validates gating on absolute floor reference for C_r/C_cat cells.</w:t>
            </w:r>
          </w:p>
        </w:tc>
      </w:tr>
    </w:tbl>
    <w:bookmarkEnd w:id="513"/>
    <w:bookmarkStart w:id="514" w:name="Xec0ec3989c601c626a3d1b6c28f1f602074538d"/>
    <w:p>
      <w:pPr>
        <w:pStyle w:val="Heading2"/>
      </w:pPr>
      <w:r>
        <w:t>R.2 TRC CVaR discrete edge case (exact tail-mass boundary)</w:t>
      </w:r>
    </w:p>
    <w:tbl>
      <w:tblPr>
        <w:tblStyle w:val="Table"/>
        <w:tblW w:type="auto" w:w="0"/>
        <w:jc w:val="center"/>
        <w:tblLook w:firstRow="1" w:lastRow="0" w:firstColumn="0" w:lastColumn="0" w:noHBand="0" w:noVBand="0" w:val="0020"/>
      </w:tblPr>
      <w:tblGrid>
        <w:gridCol w:w="3960"/>
        <w:gridCol w:w="3960"/>
      </w:tblGrid>
      <w:tr>
        <w:trPr>
          <w:tblHeader w:val="on"/>
          <w:tblHeader w:val="true"/>
          <w:cantSplit/>
        </w:trPr>
        <w:tc>
          <w:tcPr>
            <w:vAlign w:val="top"/>
            <w:tcMar>
              <w:top w:w="70" w:type="dxa"/>
              <w:start w:w="80" w:type="dxa"/>
              <w:bottom w:w="70" w:type="dxa"/>
              <w:end w:w="80" w:type="dxa"/>
            </w:tcMar>
            <w:shd w:fill="1F4E78"/>
          </w:tcPr>
          <w:p>
            <w:pPr>
              <w:pStyle w:val="Compact"/>
              <w:jc w:val="left"/>
            </w:pPr>
            <w:r>
              <w:rPr>
                <w:rFonts w:ascii="Arial" w:hAnsi="Arial" w:eastAsia="Arial"/>
                <w:b/>
                <w:color w:val="FFFFFF"/>
                <w:sz w:val="16"/>
              </w:rPr>
              <w:t>Purpose</w:t>
            </w:r>
          </w:p>
        </w:tc>
        <w:tc>
          <w:tcPr>
            <w:vAlign w:val="top"/>
            <w:tcMar>
              <w:top w:w="70" w:type="dxa"/>
              <w:start w:w="80" w:type="dxa"/>
              <w:bottom w:w="70" w:type="dxa"/>
              <w:end w:w="80" w:type="dxa"/>
            </w:tcMar>
            <w:shd w:fill="1F4E78"/>
          </w:tcPr>
          <w:p>
            <w:pPr>
              <w:pStyle w:val="Compact"/>
              <w:jc w:val="left"/>
            </w:pPr>
            <w:r>
              <w:rPr>
                <w:rFonts w:ascii="Arial" w:hAnsi="Arial" w:eastAsia="Arial"/>
                <w:b/>
                <w:color w:val="FFFFFF"/>
                <w:sz w:val="16"/>
              </w:rPr>
              <w:t>Verify Appendix D.7 discrete CVaR when the tail probability mass boundary is met exactly.</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Setup</w:t>
            </w:r>
          </w:p>
        </w:tc>
        <w:tc>
          <w:tcPr>
            <w:vAlign w:val="top"/>
            <w:tcMar>
              <w:top w:w="70" w:type="dxa"/>
              <w:start w:w="80" w:type="dxa"/>
              <w:bottom w:w="70" w:type="dxa"/>
              <w:end w:w="80" w:type="dxa"/>
            </w:tcMar>
            <w:shd w:fill="D9EAF7"/>
          </w:tcPr>
          <w:p>
            <w:pPr>
              <w:pStyle w:val="Compact"/>
              <w:jc w:val="left"/>
            </w:pPr>
            <w:r>
              <w:rPr>
                <w:rFonts w:ascii="Arial" w:hAnsi="Arial" w:eastAsia="Arial"/>
                <w:sz w:val="16"/>
              </w:rPr>
              <w:t>Tail level α = 0.90 (tail mass = 0.10). Loss L(a,s) computed per Section 8.4 from catastrophe cells.</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Scenario set</w:t>
            </w:r>
          </w:p>
        </w:tc>
        <w:tc>
          <w:tcPr>
            <w:vAlign w:val="top"/>
            <w:tcMar>
              <w:top w:w="70" w:type="dxa"/>
              <w:start w:w="80" w:type="dxa"/>
              <w:bottom w:w="70" w:type="dxa"/>
              <w:end w:w="80" w:type="dxa"/>
            </w:tcMar>
            <w:shd w:fill="FFFFFF"/>
          </w:tcPr>
          <w:p>
            <w:pPr>
              <w:pStyle w:val="Compact"/>
              <w:jc w:val="left"/>
            </w:pPr>
            <w:r>
              <w:rPr>
                <w:rFonts w:ascii="Arial" w:hAnsi="Arial" w:eastAsia="Arial"/>
                <w:sz w:val="16"/>
              </w:rPr>
              <w:t>s₁: p=0.90, L=0.00; s₂: p=0.10, L=1.00.</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Expected VaR_α</w:t>
            </w:r>
          </w:p>
        </w:tc>
        <w:tc>
          <w:tcPr>
            <w:vAlign w:val="top"/>
            <w:tcMar>
              <w:top w:w="70" w:type="dxa"/>
              <w:start w:w="80" w:type="dxa"/>
              <w:bottom w:w="70" w:type="dxa"/>
              <w:end w:w="80" w:type="dxa"/>
            </w:tcMar>
            <w:shd w:fill="D9EAF7"/>
          </w:tcPr>
          <w:p>
            <w:pPr>
              <w:pStyle w:val="Compact"/>
              <w:jc w:val="left"/>
            </w:pPr>
            <w:r>
              <w:rPr>
                <w:rFonts w:ascii="Arial" w:hAnsi="Arial" w:eastAsia="Arial"/>
                <w:sz w:val="16"/>
              </w:rPr>
              <w:t>VaR_0.90 = 0.00.</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Expected CVaR_α</w:t>
            </w:r>
          </w:p>
        </w:tc>
        <w:tc>
          <w:tcPr>
            <w:vAlign w:val="top"/>
            <w:tcMar>
              <w:top w:w="70" w:type="dxa"/>
              <w:start w:w="80" w:type="dxa"/>
              <w:bottom w:w="70" w:type="dxa"/>
              <w:end w:w="80" w:type="dxa"/>
            </w:tcMar>
            <w:shd w:fill="FFFFFF"/>
          </w:tcPr>
          <w:p>
            <w:pPr>
              <w:pStyle w:val="Compact"/>
              <w:jc w:val="left"/>
            </w:pPr>
            <w:r>
              <w:rPr>
                <w:rFonts w:ascii="Arial" w:hAnsi="Arial" w:eastAsia="Arial"/>
                <w:sz w:val="16"/>
              </w:rPr>
              <w:t>CVaR_0.90 = 1.00.</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Expected TRC</w:t>
            </w:r>
          </w:p>
        </w:tc>
        <w:tc>
          <w:tcPr>
            <w:vAlign w:val="top"/>
            <w:tcMar>
              <w:top w:w="70" w:type="dxa"/>
              <w:start w:w="80" w:type="dxa"/>
              <w:bottom w:w="70" w:type="dxa"/>
              <w:end w:w="80" w:type="dxa"/>
            </w:tcMar>
            <w:shd w:fill="D9EAF7"/>
          </w:tcPr>
          <w:p>
            <w:pPr>
              <w:pStyle w:val="Compact"/>
              <w:jc w:val="left"/>
            </w:pPr>
            <w:r>
              <w:rPr>
                <w:rFonts w:ascii="Arial" w:hAnsi="Arial" w:eastAsia="Arial"/>
                <w:sz w:val="16"/>
              </w:rPr>
              <w:t>If τ_TRC = 0.10, then CVaR=1.00 &gt; 0.10 so option FAILS TRC.</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Notes</w:t>
            </w:r>
          </w:p>
        </w:tc>
        <w:tc>
          <w:tcPr>
            <w:vAlign w:val="top"/>
            <w:tcMar>
              <w:top w:w="70" w:type="dxa"/>
              <w:start w:w="80" w:type="dxa"/>
              <w:bottom w:w="70" w:type="dxa"/>
              <w:end w:w="80" w:type="dxa"/>
            </w:tcMar>
            <w:shd w:fill="FFFFFF"/>
          </w:tcPr>
          <w:p>
            <w:pPr>
              <w:pStyle w:val="Compact"/>
              <w:jc w:val="left"/>
            </w:pPr>
            <w:r>
              <w:rPr>
                <w:rFonts w:ascii="Arial" w:hAnsi="Arial" w:eastAsia="Arial"/>
                <w:sz w:val="16"/>
              </w:rPr>
              <w:t>Any implementation returning CVaR=0.10 or averaging across non-tail mass is incorrect.</w:t>
            </w:r>
          </w:p>
        </w:tc>
      </w:tr>
    </w:tbl>
    <w:bookmarkEnd w:id="514"/>
    <w:bookmarkStart w:id="515" w:name="X1380f952252738c209682729ce84c7ba12c66f8"/>
    <w:p>
      <w:pPr>
        <w:pStyle w:val="Heading2"/>
      </w:pPr>
      <w:r>
        <w:t>R.3 Non-maskable rights/catastrophe invalidation test (masking trigger)</w:t>
      </w:r>
    </w:p>
    <w:tbl>
      <w:tblPr>
        <w:tblStyle w:val="Table"/>
        <w:tblW w:type="auto" w:w="0"/>
        <w:jc w:val="center"/>
        <w:tblLook w:firstRow="1" w:lastRow="0" w:firstColumn="0" w:lastColumn="0" w:noHBand="0" w:noVBand="0" w:val="0020"/>
      </w:tblPr>
      <w:tblGrid>
        <w:gridCol w:w="3960"/>
        <w:gridCol w:w="3960"/>
      </w:tblGrid>
      <w:tr>
        <w:trPr>
          <w:tblHeader w:val="on"/>
          <w:tblHeader w:val="true"/>
          <w:cantSplit/>
        </w:trPr>
        <w:tc>
          <w:tcPr>
            <w:vAlign w:val="top"/>
            <w:tcMar>
              <w:top w:w="70" w:type="dxa"/>
              <w:start w:w="80" w:type="dxa"/>
              <w:bottom w:w="70" w:type="dxa"/>
              <w:end w:w="80" w:type="dxa"/>
            </w:tcMar>
            <w:shd w:fill="1F4E78"/>
          </w:tcPr>
          <w:p>
            <w:pPr>
              <w:pStyle w:val="Compact"/>
              <w:jc w:val="left"/>
            </w:pPr>
            <w:r>
              <w:rPr>
                <w:rFonts w:ascii="Arial" w:hAnsi="Arial" w:eastAsia="Arial"/>
                <w:b/>
                <w:color w:val="FFFFFF"/>
                <w:sz w:val="16"/>
              </w:rPr>
              <w:t>Purpose</w:t>
            </w:r>
          </w:p>
        </w:tc>
        <w:tc>
          <w:tcPr>
            <w:vAlign w:val="top"/>
            <w:tcMar>
              <w:top w:w="70" w:type="dxa"/>
              <w:start w:w="80" w:type="dxa"/>
              <w:bottom w:w="70" w:type="dxa"/>
              <w:end w:w="80" w:type="dxa"/>
            </w:tcMar>
            <w:shd w:fill="1F4E78"/>
          </w:tcPr>
          <w:p>
            <w:pPr>
              <w:pStyle w:val="Compact"/>
              <w:jc w:val="left"/>
            </w:pPr>
            <w:r>
              <w:rPr>
                <w:rFonts w:ascii="Arial" w:hAnsi="Arial" w:eastAsia="Arial"/>
                <w:b/>
                <w:color w:val="FFFFFF"/>
                <w:sz w:val="16"/>
              </w:rPr>
              <w:t>Ensure validators reject any run that masks a non-maskable cell (rights or catastrophe) in RLS aggregation.</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Setup</w:t>
            </w:r>
          </w:p>
        </w:tc>
        <w:tc>
          <w:tcPr>
            <w:vAlign w:val="top"/>
            <w:tcMar>
              <w:top w:w="70" w:type="dxa"/>
              <w:start w:w="80" w:type="dxa"/>
              <w:bottom w:w="70" w:type="dxa"/>
              <w:end w:w="80" w:type="dxa"/>
            </w:tcMar>
            <w:shd w:fill="D9EAF7"/>
          </w:tcPr>
          <w:p>
            <w:pPr>
              <w:pStyle w:val="Compact"/>
              <w:jc w:val="left"/>
            </w:pPr>
            <w:r>
              <w:rPr>
                <w:rFonts w:ascii="Arial" w:hAnsi="Arial" w:eastAsia="Arial"/>
                <w:sz w:val="16"/>
              </w:rPr>
              <w:t>Using the canonical rights coverage sets (Appendix C.2), select any rights-covered cell (for example, (u=U₁, d=Health), which is covered by BODY). In the PCC applicability mask, declare m(u,d)=0 for that same rights-covered cell.</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Expected audit flag</w:t>
            </w:r>
          </w:p>
        </w:tc>
        <w:tc>
          <w:tcPr>
            <w:vAlign w:val="top"/>
            <w:tcMar>
              <w:top w:w="70" w:type="dxa"/>
              <w:start w:w="80" w:type="dxa"/>
              <w:bottom w:w="70" w:type="dxa"/>
              <w:end w:w="80" w:type="dxa"/>
            </w:tcMar>
            <w:shd w:fill="FFFFFF"/>
          </w:tcPr>
          <w:p>
            <w:pPr>
              <w:pStyle w:val="Compact"/>
              <w:jc w:val="left"/>
            </w:pPr>
            <w:r>
              <w:rPr>
                <w:rFonts w:ascii="Arial" w:hAnsi="Arial" w:eastAsia="Arial"/>
                <w:sz w:val="16"/>
              </w:rPr>
              <w:t>RIGHTS_CELL_MASKED_INVALID MUST be set.</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Expected PCC status</w:t>
            </w:r>
          </w:p>
        </w:tc>
        <w:tc>
          <w:tcPr>
            <w:vAlign w:val="top"/>
            <w:tcMar>
              <w:top w:w="70" w:type="dxa"/>
              <w:start w:w="80" w:type="dxa"/>
              <w:bottom w:w="70" w:type="dxa"/>
              <w:end w:w="80" w:type="dxa"/>
            </w:tcMar>
            <w:shd w:fill="D9EAF7"/>
          </w:tcPr>
          <w:p>
            <w:pPr>
              <w:pStyle w:val="Compact"/>
              <w:jc w:val="left"/>
            </w:pPr>
            <w:r>
              <w:rPr>
                <w:rFonts w:ascii="Arial" w:hAnsi="Arial" w:eastAsia="Arial"/>
                <w:sz w:val="16"/>
              </w:rPr>
              <w:t>PCC is INVALID.</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Expected conformance</w:t>
            </w:r>
          </w:p>
        </w:tc>
        <w:tc>
          <w:tcPr>
            <w:vAlign w:val="top"/>
            <w:tcMar>
              <w:top w:w="70" w:type="dxa"/>
              <w:start w:w="80" w:type="dxa"/>
              <w:bottom w:w="70" w:type="dxa"/>
              <w:end w:w="80" w:type="dxa"/>
            </w:tcMar>
            <w:shd w:fill="FFFFFF"/>
          </w:tcPr>
          <w:p>
            <w:pPr>
              <w:pStyle w:val="Compact"/>
              <w:jc w:val="left"/>
            </w:pPr>
            <w:r>
              <w:rPr>
                <w:rFonts w:ascii="Arial" w:hAnsi="Arial" w:eastAsia="Arial"/>
                <w:sz w:val="16"/>
              </w:rPr>
              <w:t>Tier 1-3 conformance claim MUST fail; the validator MUST reject.</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Notes</w:t>
            </w:r>
          </w:p>
        </w:tc>
        <w:tc>
          <w:tcPr>
            <w:vAlign w:val="top"/>
            <w:tcMar>
              <w:top w:w="70" w:type="dxa"/>
              <w:start w:w="80" w:type="dxa"/>
              <w:bottom w:w="70" w:type="dxa"/>
              <w:end w:w="80" w:type="dxa"/>
            </w:tcMar>
            <w:shd w:fill="D9EAF7"/>
          </w:tcPr>
          <w:p>
            <w:pPr>
              <w:pStyle w:val="Compact"/>
              <w:jc w:val="left"/>
            </w:pPr>
            <w:r>
              <w:rPr>
                <w:rFonts w:ascii="Arial" w:hAnsi="Arial" w:eastAsia="Arial"/>
                <w:sz w:val="16"/>
              </w:rPr>
              <w:t>Apply analogously for CATASTROPHE_CELL_MASKED_INVALID when masking any cell in C_cat.</w:t>
            </w:r>
          </w:p>
        </w:tc>
      </w:tr>
    </w:tbl>
    <w:bookmarkEnd w:id="515"/>
    <w:bookmarkStart w:id="516" w:name="r4-plss-floor-preservation-test"/>
    <w:p>
      <w:pPr>
        <w:pStyle w:val="Heading2"/>
      </w:pPr>
      <w:r>
        <w:t>R.4 PLSS floor-preservation test.</w:t>
      </w:r>
    </w:p>
    <w:p>
      <w:pPr>
        <w:pStyle w:val="FirstParagraph"/>
      </w:pPr>
      <w:r>
        <w:t>Inputs: constitutional floors = (0.20, 0.06, 0.06, 0.06, 0.08, 0.10, 0.10); declared q = (0.95, 0.85, 0.55, 0.50, 0.10, 0.03, 0.02); operator = DEFAULT_GEOMEAN_V1 with resulting residual shares normalized from q directly; residual mass = 0.34. Expected output: w^PLSS ≈ (0.308, 0.156, 0.122, 0.117, 0.091, 0.103, 0.102) with sum = 1.000 (±0.001) and each component ≥ its floor. Expected flags: none. Conformance result: PASS only if both floor-preservation and normalization hold.</w:t>
      </w:r>
    </w:p>
    <w:bookmarkEnd w:id="516"/>
    <w:bookmarkStart w:id="517" w:name="r5-plss-admissibility-invariance-test"/>
    <w:p>
      <w:pPr>
        <w:pStyle w:val="Heading2"/>
      </w:pPr>
      <w:r>
        <w:t>R.5 PLSS admissibility-invariance test.</w:t>
      </w:r>
    </w:p>
    <w:p>
      <w:pPr>
        <w:pStyle w:val="FirstParagraph"/>
      </w:pPr>
      <w:r>
        <w:t>Inputs: a fixed option set with unchanged RF/NCRC, TRC, and CSV inputs; run the same case twice using two valid PLSS prominence vectors q_A and q_B that produce different w^PLSS vectors. Expected output: NCRC(a), TRC(a), and Containment(a) remain identical across the two runs for every option; only RLS ranking may change among already selectable options. Expected flags: none. Conformance result: PASS only if admissibility and selectability sets are invariant.</w:t>
      </w:r>
    </w:p>
    <w:bookmarkEnd w:id="517"/>
    <w:bookmarkStart w:id="518" w:name="r6-plss-all-zero-q_u-fallback-test"/>
    <w:p>
      <w:pPr>
        <w:pStyle w:val="Heading2"/>
      </w:pPr>
      <w:r>
        <w:t>R.6 PLSS all-zero q_u fallback test.</w:t>
      </w:r>
    </w:p>
    <w:p>
      <w:pPr>
        <w:pStyle w:val="FirstParagraph"/>
      </w:pPr>
      <w:r>
        <w:t>Inputs: q = (0,0,0,0,0,0,0), constitutional floors as in R.4, no alternative fallback declared. Expected output: the residual 0.34 is allocated uniformly, producing w^PLSS ≈ (0.2486, 0.1086, 0.1086, 0.1086, 0.1286, 0.1486, 0.1486), sum = 1.000 (±0.001). Expected flags: none. Conformance result: PASS only if uniform residual fallback is applied or a governed alternative fallback is explicitly declared.</w:t>
      </w:r>
    </w:p>
    <w:bookmarkEnd w:id="518"/>
    <w:bookmarkStart w:id="519" w:name="X1607101d38ac88e12081f14fa5cb7416383ed10"/>
    <w:p>
      <w:pPr>
        <w:pStyle w:val="Heading2"/>
      </w:pPr>
      <w:r>
        <w:t>R.7 Reduced-scope attestation pass/fail test.</w:t>
      </w:r>
    </w:p>
    <w:p>
      <w:pPr>
        <w:pStyle w:val="FirstParagraph"/>
      </w:pPr>
      <w:r>
        <w:t>Inputs: Mode = REDUCED_SCOPE with fewer than 7 active scopes. PASS case requires Scope Coverage Declaration, blind-spot statement, escalation triggers, and all three Admissibility Attestation booleans present with required values. FAIL case omits one required attestation or blind-spot statement. Expected output: PASS case may continue; FAIL case is non-conformant and MUST trigger the relevant reduced-scope integrity response.</w:t>
      </w:r>
    </w:p>
    <w:bookmarkEnd w:id="519"/>
    <w:bookmarkStart w:id="520" w:name="r8-gate-critical-unknown-handling-test"/>
    <w:p>
      <w:pPr>
        <w:pStyle w:val="Heading2"/>
      </w:pPr>
      <w:r>
        <w:t>R.8 Gate-critical unknown handling test.</w:t>
      </w:r>
    </w:p>
    <w:p>
      <w:pPr>
        <w:pStyle w:val="FirstParagraph"/>
      </w:pPr>
      <w:r>
        <w:t>Inputs: (A) UNKNOWN_IMPACT in a rights-covered cell in C_r; (B) UNKNOWN_IMPACT in a catastrophe-covered cell in C_cat. Expected output: phantom fallback alone is prohibited. The PCC must record the corresponding audit flag plus either a governed conservative bound or a rerun / downgrade / escalation disposition. Expected flags: RIGHTS_CELL_UNKNOWN_GATE_CRITICAL for case A; CATASTROPHE_CELL_UNKNOWN_GATE_CRITICAL for case B. Conformance result: FAIL if gate resolution is attempted through phantom fallback alone.</w:t>
      </w:r>
    </w:p>
    <w:bookmarkEnd w:id="520"/>
    <w:bookmarkStart w:id="521" w:name="X46f4250c53acd996758f86db6d551977d58c370"/>
    <w:p>
      <w:pPr>
        <w:pStyle w:val="Heading2"/>
      </w:pPr>
      <w:r>
        <w:t>R.9 Non-maskable floor-baseline persistence test.</w:t>
      </w:r>
    </w:p>
    <w:p>
      <w:pPr>
        <w:pStyle w:val="FirstParagraph"/>
      </w:pPr>
      <w:r>
        <w:t>Inputs: a rights or catastrophe cell remains in RLS aggregation under the non-maskable persistence rule. PASS case uses floor-reference baseline in welfare scoring or declares a governed dual-baseline exception block. FAIL case uses only status-quo welfare baseline with no governed exception. Expected output: PASS case accepted; FAIL case rejected as non-conformant.</w:t>
      </w:r>
    </w:p>
    <w:bookmarkEnd w:id="521"/>
    <w:bookmarkStart w:id="522" w:name="r10-plss-validator-disclosure-test"/>
    <w:p>
      <w:pPr>
        <w:pStyle w:val="Heading2"/>
      </w:pPr>
      <w:r>
        <w:t>R.10 PLSS validator disclosure test.</w:t>
      </w:r>
    </w:p>
    <w:p>
      <w:pPr>
        <w:pStyle w:val="FirstParagraph"/>
      </w:pPr>
      <w:r>
        <w:t>Inputs: a PLSS run with q_u, operator, PCC.PLSS block, and escalation review present. PASS case includes q_u for all scopes, operator declaration, LSS declaration, weight vector, binary posture classification, escalation-trigger assessment, and fallback declaration. FAIL case omits any required field or uses undefined posture vocabulary. Conformance result: PASS only if the full PCC.PLSS disclosure surface is present and internally consistent.</w:t>
      </w:r>
    </w:p>
    <w:bookmarkEnd w:id="522"/>
    <w:bookmarkStart w:id="523" w:name="X2a3ff26b54bb788803fddd27cd4802160153849"/>
    <w:p>
      <w:pPr>
        <w:pStyle w:val="Heading2"/>
      </w:pPr>
      <w:r>
        <w:t>R.11 Normative input provenance enforcement test.</w:t>
      </w:r>
    </w:p>
    <w:p>
      <w:pPr>
        <w:pStyle w:val="FirstParagraph"/>
      </w:pPr>
      <w:r>
        <w:t>Inputs: a run in which an enabling condition or rights-relevant state materially affects admissibility or selection, but no corresponding PCC.NormativeInputRegister entry is present.</w:t>
      </w:r>
    </w:p>
    <w:p>
      <w:pPr>
        <w:pStyle w:val="BodyText"/>
      </w:pPr>
      <w:r>
        <w:t>Expected output: validator sets NORMATIVE_INPUT_PROVENANCE_MISSING and rejects the run as non-conformant.</w:t>
      </w:r>
    </w:p>
    <w:p>
      <w:pPr>
        <w:pStyle w:val="BodyText"/>
      </w:pPr>
      <w:r>
        <w:t>PASS case: the same run includes a complete NormativeInputRegister entry with evidence basis, affected objects, and, where applicable, precautionary or governed interpretation basis.</w:t>
      </w:r>
    </w:p>
    <w:p>
      <w:pPr>
        <w:pStyle w:val="BodyText"/>
      </w:pPr>
      <w:r>
        <w:t>Conformance result: PASS only if the validator distinguishes the complete and incomplete cases correctly.</w:t>
      </w:r>
    </w:p>
    <w:bookmarkEnd w:id="523"/>
    <w:bookmarkStart w:id="524" w:name="r12-sgp-v82-human-fpp-recognition-test"/>
    <w:p>
      <w:pPr>
        <w:pStyle w:val="Heading2"/>
      </w:pPr>
      <w:r>
        <w:t>R.12 SGP v8.2.1 human FPP recognition test.</w:t>
      </w:r>
    </w:p>
    <w:p>
      <w:pPr>
        <w:pStyle w:val="FirstParagraph"/>
      </w:pPr>
      <w:r>
        <w:t>Inputs: stakeholder instance k is a human person H; FPP(H)=1; MPS may be NOT EVALUATED. Expected output: RippleLogic uses Welfare interval [1.0,1.0]; Base stream remains m_k:=1.0; no admissibility layer is altered. PASS only if no performance or missing-MPS result downgrades protection.</w:t>
      </w:r>
    </w:p>
    <w:bookmarkEnd w:id="524"/>
    <w:bookmarkStart w:id="525" w:name="X74556ff128a0aa59b4e7977b71a55e847cf6aaa"/>
    <w:p>
      <w:pPr>
        <w:pStyle w:val="Heading2"/>
      </w:pPr>
      <w:r>
        <w:t>R.12A humanity collective RMCP-P100 non-collapse test.</w:t>
      </w:r>
    </w:p>
    <w:p>
      <w:pPr>
        <w:pStyle w:val="FirstParagraph"/>
      </w:pPr>
      <w:r>
        <w:t>Inputs: humanity is evaluated as a collective RMCP-P100 calibration anchor; an individual human has unknown or limited individual ICP/RMCP; no SPR or lawful mandate is supplied. Expected output: every human retains FPP-100; the collective RMCP record remains informative; no individual-capacity inflation, CMIU membership, command authority, or role assignment is inferred. PASS only if the dual-anchor distinction is preserved.</w:t>
      </w:r>
    </w:p>
    <w:bookmarkEnd w:id="525"/>
    <w:bookmarkStart w:id="526" w:name="r12b-open-cross-substrate-p100-test"/>
    <w:p>
      <w:pPr>
        <w:pStyle w:val="Heading2"/>
      </w:pPr>
      <w:r>
        <w:t>R.12B open cross-substrate P100 test.</w:t>
      </w:r>
    </w:p>
    <w:p>
      <w:pPr>
        <w:pStyle w:val="FirstParagraph"/>
      </w:pPr>
      <w:r>
        <w:t>Inputs: a biological, digital, hybrid, collective, or extraterrestrial candidate has a valid RMCP profile at least functionally equivalent to the human collective anchor, with independent review and critical-dimension floors satisfied. Expected output: P100 MAY be assigned without human-likeness requirements; the candidate does not receive FPP, CMIU membership, or authority solely from P100; superior capacity remains represented inside P100 rather than creating a 101 caste. PASS only if the plateau is open and non-dominating.</w:t>
      </w:r>
    </w:p>
    <w:bookmarkEnd w:id="526"/>
    <w:bookmarkStart w:id="527" w:name="r13-high-mps--low-gpr-separation-test"/>
    <w:p>
      <w:pPr>
        <w:pStyle w:val="Heading2"/>
      </w:pPr>
      <w:r>
        <w:t>R.13 High MPS / low GPR separation test.</w:t>
      </w:r>
    </w:p>
    <w:p>
      <w:pPr>
        <w:pStyle w:val="FirstParagraph"/>
      </w:pPr>
      <w:r>
        <w:t>Inputs: valid SGP record reports MPS-3 interval [0.60,0.79], GPR-1, no SPR role. Expected output: strong welfare and integrity protection;</w:t>
      </w:r>
      <w:r>
        <w:t xml:space="preserve"> </w:t>
      </w:r>
      <w:r>
        <w:rPr>
          <w:rStyle w:val="VerbatimChar"/>
        </w:rPr>
        <w:t>h=1</w:t>
      </w:r>
      <w:r>
        <w:t xml:space="preserve"> </w:t>
      </w:r>
      <w:r>
        <w:t>is the primary Welfare-stream inclusion posture.</w:t>
      </w:r>
      <w:r>
        <w:t xml:space="preserve"> </w:t>
      </w:r>
      <w:r>
        <w:rPr>
          <w:rStyle w:val="VerbatimChar"/>
        </w:rPr>
        <w:t>h=0</w:t>
      </w:r>
      <w:r>
        <w:t xml:space="preserve"> </w:t>
      </w:r>
      <w:r>
        <w:t>is evaluated only where exclusion remains evidentially admissible and decision-material under the valid SGP record. The values 0.60 and 0.79 are evidence-support interval endpoints and MUST NOT be inserted as welfare multipliers. Low GPR does not lower protection; no authority is inferred.</w:t>
      </w:r>
    </w:p>
    <w:bookmarkEnd w:id="527"/>
    <w:bookmarkStart w:id="528" w:name="r14-high-icp--low-mps-non-inference-test"/>
    <w:p>
      <w:pPr>
        <w:pStyle w:val="Heading2"/>
      </w:pPr>
      <w:r>
        <w:t>R.14 High ICP / low MPS non-inference test.</w:t>
      </w:r>
    </w:p>
    <w:p>
      <w:pPr>
        <w:pStyle w:val="FirstParagraph"/>
      </w:pPr>
      <w:r>
        <w:t>Inputs: versioned AI system has high ICP in selected domains, MPS-0/1 with low confidence, FPP=0. Expected output: ICP may support competence analysis but MUST NOT raise MPS, create FPP, or grant authority. Any SPR role remains separately gated.</w:t>
      </w:r>
    </w:p>
    <w:bookmarkEnd w:id="528"/>
    <w:bookmarkStart w:id="529" w:name="r15-mps-hypothesis-sensitivity-test"/>
    <w:p>
      <w:pPr>
        <w:pStyle w:val="Heading2"/>
      </w:pPr>
      <w:r>
        <w:t>R.15 MPS hypothesis-sensitivity test.</w:t>
      </w:r>
    </w:p>
    <w:p>
      <w:pPr>
        <w:pStyle w:val="FirstParagraph"/>
      </w:pPr>
      <w:r>
        <w:t>Inputs: an otherwise valid run whose RLS preference changes across the governed welfare-inclusion hypotheses required by a stakeholder's MPS evidence record. Expected output:</w:t>
      </w:r>
      <w:r>
        <w:t xml:space="preserve"> </w:t>
      </w:r>
      <w:r>
        <w:rPr>
          <w:rStyle w:val="VerbatimChar"/>
        </w:rPr>
        <w:t>MPS_HYPOTHESIS_SENSITIVE</w:t>
      </w:r>
      <w:r>
        <w:t>; PCC logs affected outputs and uses a permitted disposition. FAIL if a convenient intermediate coefficient is selected or hypothesis sensitivity is suppressed.</w:t>
      </w:r>
    </w:p>
    <w:bookmarkEnd w:id="529"/>
    <w:bookmarkStart w:id="530" w:name="r16-fpp-without-cmiu-or-authority-test"/>
    <w:p>
      <w:pPr>
        <w:pStyle w:val="Heading2"/>
      </w:pPr>
      <w:r>
        <w:t>R.16 FPP without CMIU or authority test.</w:t>
      </w:r>
    </w:p>
    <w:p>
      <w:pPr>
        <w:pStyle w:val="FirstParagraph"/>
      </w:pPr>
      <w:r>
        <w:t>Inputs: non-human entity has explicit FPP and [1,1] welfare interval, but no GPR/SPR or institutional mandate. Expected output: full protection recognized; no CMIU membership, office, command, or consequential authority inferred.</w:t>
      </w:r>
    </w:p>
    <w:bookmarkEnd w:id="530"/>
    <w:bookmarkStart w:id="531" w:name="Xec19eda0dc3e65c1308d625a094f5d7cd4fe03f"/>
    <w:p>
      <w:pPr>
        <w:pStyle w:val="Heading2"/>
      </w:pPr>
      <w:r>
        <w:t>R.17 Missing SGP binding integrity fail test.</w:t>
      </w:r>
    </w:p>
    <w:p>
      <w:pPr>
        <w:pStyle w:val="FirstParagraph"/>
      </w:pPr>
      <w:r>
        <w:t>Inputs: run claims SGP-aware protection or welfare-hypothesis sensitivity but omits the valid record, target boundary, MPS band/interval, or required hypotheses evaluated. Expected output: PCC INVALID with SGP_BINDING_INTEGRITY_FAIL; no silent fallback to MPS-0, zero, a convenient coefficient, or a v7 scalar.</w:t>
      </w:r>
    </w:p>
    <w:bookmarkEnd w:id="531"/>
    <w:bookmarkStart w:id="532" w:name="r18-legacy-v7-non-equivalence-test"/>
    <w:p>
      <w:pPr>
        <w:pStyle w:val="Heading2"/>
      </w:pPr>
      <w:r>
        <w:t>R.18 Legacy v7 non-equivalence test.</w:t>
      </w:r>
    </w:p>
    <w:p>
      <w:pPr>
        <w:pStyle w:val="FirstParagraph"/>
      </w:pPr>
      <w:r>
        <w:t>Inputs: only a pinned v7 SG_norm(E)=0.84 record is supplied. Expected output: record remains historical/audit-visible; RippleLogic refuses translation to MPS/FPP/GPR/SPR/ICP/RMCP/P100 without documented v8.2.1 re-evaluation. No current SGP-aware weighting claim is permitted.</w:t>
      </w:r>
      <w:r/>
      <w:r>
        <w:rPr>
          <w:rStyle w:val="VerbatimChar"/>
        </w:rPr>
      </w:r>
      <w:r/>
      <w:r/>
    </w:p>
    <w:bookmarkEnd w:id="532"/>
    <w:bookmarkStart w:id="533" w:name="X3d5c95bd869f02ffffa59753d49f23ddde961c6"/>
    <w:p>
      <w:pPr>
        <w:pStyle w:val="Heading2"/>
      </w:pPr>
      <w:r>
        <w:t>R.19 End-to-end cascade integration test (Tier 2+, complete gate sequence).</w:t>
      </w:r>
    </w:p>
    <w:p>
      <w:pPr>
        <w:pStyle w:val="FirstParagraph"/>
      </w:pPr>
      <w:r>
        <w:t>Purpose: Verify that an implementation correctly executes the full cascade from impact construction through NCRC, TRC, CSV, and RLS on a single option set, with expected intermediate and final outputs at every gate.</w:t>
      </w:r>
    </w:p>
    <w:bookmarkEnd w:id="533"/>
    <w:bookmarkStart w:id="534" w:name="Xcd96c98ef1c020c3b5e1504ceff406f0e6597d3"/>
    <w:p>
      <w:pPr>
        <w:pStyle w:val="Heading2"/>
      </w:pPr>
      <w:r>
        <w:t>R.19 scope limitation (Normative for this vector). R.19 is a reference test vector for arithmetic and cascade-integration conformance, not a complete claim-bearing TRC deployment record. Its “expected audit flags: none” means none are expected for the stated simplified vector inputs. In real Tier 2-3 claim-bearing runs, Appendix D mandatory tail categories, probability floors, and any required justifications or audit flags remain fully binding.</w:t>
      </w:r>
    </w:p>
    <w:p>
      <w:pPr>
        <w:pStyle w:val="FirstParagraph"/>
      </w:pPr>
      <w:r>
        <w:t>Decision context: Organisation evaluating three AI deployment governance options.</w:t>
      </w:r>
    </w:p>
    <w:bookmarkEnd w:id="534"/>
    <w:bookmarkStart w:id="535" w:name="r191-run-configuration"/>
    <w:p>
      <w:pPr>
        <w:pStyle w:val="Heading2"/>
      </w:pPr>
      <w:r>
        <w:t>R.19.1 Run configuration</w:t>
      </w:r>
    </w:p>
    <w:p>
      <w:pPr>
        <w:pStyle w:val="FirstParagraph"/>
      </w:pPr>
      <w:r>
        <w:t>Propagation mode: NONE.</w:t>
      </w:r>
    </w:p>
    <w:p>
      <w:pPr>
        <w:pStyle w:val="BodyText"/>
      </w:pPr>
      <w:r>
        <w:t>Saturation: beta = 2 (direct), beta_prop = 1 (not used under NONE).</w:t>
      </w:r>
    </w:p>
    <w:p>
      <w:pPr>
        <w:pStyle w:val="BodyText"/>
      </w:pPr>
      <w:r>
        <w:t>Subgroup limitation: gamma_subgroup = 1.5 (conservative bound for rights-covered cells).</w:t>
      </w:r>
    </w:p>
    <w:p>
      <w:pPr>
        <w:pStyle w:val="BodyText"/>
      </w:pPr>
      <w:r>
        <w:t>TRC parameters: alpha = 0.95 (tail mass = 0.05), tau_TRC = 0.20 (organisational context).</w:t>
      </w:r>
    </w:p>
    <w:p>
      <w:pPr>
        <w:pStyle w:val="BodyText"/>
      </w:pPr>
      <w:r>
        <w:t>Containment: tau_c = -0.10, theta_pos = 0.05, D_c = 2, v_d^cont = 1/7 (uniform).</w:t>
      </w:r>
    </w:p>
    <w:p>
      <w:pPr>
        <w:pStyle w:val="BodyText"/>
      </w:pPr>
      <w:r>
        <w:t>Weights: uniform interim (Section 13.1 floors plus uniform residual allocation per Appendix P).</w:t>
      </w:r>
    </w:p>
    <w:p>
      <w:pPr>
        <w:pStyle w:val="BodyText"/>
      </w:pPr>
      <w:r>
        <w:t>Union weights: w = (0.248571, 0.108571, 0.108571, 0.108571, 0.128571, 0.148571, 0.148571).</w:t>
      </w:r>
    </w:p>
    <w:p>
      <w:pPr>
        <w:pStyle w:val="BodyText"/>
      </w:pPr>
      <w:r>
        <w:t>Dimension weights: v = (0.137143, 0.157143, 0.137143, 0.137143, 0.157143, 0.117143, 0.157143).</w:t>
      </w:r>
    </w:p>
    <w:p>
      <w:pPr>
        <w:pStyle w:val="BodyText"/>
      </w:pPr>
      <w:r>
        <w:t>Rounding convention: displayed weights are rounded to six decimal places. Reproduction SHOULD use the displayed values for this public vector; the resulting sums may differ from 1 only by the displayed rounding tolerance.</w:t>
      </w:r>
    </w:p>
    <w:p>
      <w:pPr>
        <w:pStyle w:val="BodyText"/>
      </w:pPr>
      <w:r>
        <w:t>SGP: not applicable (all stakeholders human; h_k=1 throughout).</w:t>
      </w:r>
    </w:p>
    <w:bookmarkEnd w:id="535"/>
    <w:bookmarkStart w:id="536" w:name="Xd5f02e6333dfbfbca639b3de86e7c3162766a0c"/>
    <w:p>
      <w:pPr>
        <w:pStyle w:val="Heading2"/>
      </w:pPr>
      <w:r>
        <w:t>R.19.2 Explicitly modeled nonzero cells and active-mask posture</w:t>
      </w:r>
    </w:p>
    <w:tbl>
      <w:tblPr>
        <w:tblStyle w:val="Table"/>
        <w:tblW w:type="auto" w:w="0"/>
        <w:jc w:val="center"/>
        <w:tblLook w:firstRow="1" w:lastRow="0" w:firstColumn="0" w:lastColumn="0" w:noHBand="0" w:noVBand="0" w:val="0020"/>
      </w:tblPr>
      <w:tblGrid>
        <w:gridCol w:w="1980"/>
        <w:gridCol w:w="1980"/>
        <w:gridCol w:w="1980"/>
        <w:gridCol w:w="1980"/>
      </w:tblGrid>
      <w:tr>
        <w:trPr>
          <w:tblHeader w:val="on"/>
          <w:tblHeader w:val="true"/>
          <w:cantSplit/>
        </w:trPr>
        <w:tc>
          <w:tcPr>
            <w:vAlign w:val="top"/>
            <w:tcMar>
              <w:top w:w="70" w:type="dxa"/>
              <w:start w:w="80" w:type="dxa"/>
              <w:bottom w:w="70" w:type="dxa"/>
              <w:end w:w="80" w:type="dxa"/>
            </w:tcMar>
            <w:shd w:fill="1F4E78"/>
          </w:tcPr>
          <w:p>
            <w:pPr>
              <w:pStyle w:val="Compact"/>
              <w:jc w:val="left"/>
            </w:pPr>
            <w:r>
              <w:rPr>
                <w:rFonts w:ascii="Arial" w:hAnsi="Arial" w:eastAsia="Arial"/>
                <w:b/>
                <w:bCs/>
                <w:color w:val="FFFFFF"/>
                <w:sz w:val="16"/>
              </w:rPr>
              <w:t>Cell</w:t>
            </w:r>
          </w:p>
        </w:tc>
        <w:tc>
          <w:tcPr>
            <w:vAlign w:val="top"/>
            <w:tcMar>
              <w:top w:w="70" w:type="dxa"/>
              <w:start w:w="80" w:type="dxa"/>
              <w:bottom w:w="70" w:type="dxa"/>
              <w:end w:w="80" w:type="dxa"/>
            </w:tcMar>
            <w:shd w:fill="1F4E78"/>
          </w:tcPr>
          <w:p>
            <w:pPr>
              <w:pStyle w:val="Compact"/>
              <w:jc w:val="left"/>
            </w:pPr>
            <w:r>
              <w:rPr>
                <w:rFonts w:ascii="Arial" w:hAnsi="Arial" w:eastAsia="Arial"/>
                <w:b/>
                <w:bCs/>
                <w:color w:val="FFFFFF"/>
                <w:sz w:val="16"/>
              </w:rPr>
              <w:t>Scope x Dimension</w:t>
            </w:r>
          </w:p>
        </w:tc>
        <w:tc>
          <w:tcPr>
            <w:vAlign w:val="top"/>
            <w:tcMar>
              <w:top w:w="70" w:type="dxa"/>
              <w:start w:w="80" w:type="dxa"/>
              <w:bottom w:w="70" w:type="dxa"/>
              <w:end w:w="80" w:type="dxa"/>
            </w:tcMar>
            <w:shd w:fill="1F4E78"/>
          </w:tcPr>
          <w:p>
            <w:pPr>
              <w:pStyle w:val="Compact"/>
              <w:jc w:val="left"/>
            </w:pPr>
            <w:r>
              <w:rPr>
                <w:rFonts w:ascii="Arial" w:hAnsi="Arial" w:eastAsia="Arial"/>
                <w:b/>
                <w:bCs/>
                <w:color w:val="FFFFFF"/>
                <w:sz w:val="16"/>
              </w:rPr>
              <w:t>Rights coverage</w:t>
            </w:r>
          </w:p>
        </w:tc>
        <w:tc>
          <w:tcPr>
            <w:vAlign w:val="top"/>
            <w:tcMar>
              <w:top w:w="70" w:type="dxa"/>
              <w:start w:w="80" w:type="dxa"/>
              <w:bottom w:w="70" w:type="dxa"/>
              <w:end w:w="80" w:type="dxa"/>
            </w:tcMar>
            <w:shd w:fill="1F4E78"/>
          </w:tcPr>
          <w:p>
            <w:pPr>
              <w:pStyle w:val="Compact"/>
              <w:jc w:val="left"/>
            </w:pPr>
            <w:r>
              <w:rPr>
                <w:rFonts w:ascii="Arial" w:hAnsi="Arial" w:eastAsia="Arial"/>
                <w:b/>
                <w:bCs/>
                <w:color w:val="FFFFFF"/>
                <w:sz w:val="16"/>
              </w:rPr>
              <w:t>Catastrophe</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U1xD5</w:t>
            </w:r>
          </w:p>
        </w:tc>
        <w:tc>
          <w:tcPr>
            <w:vAlign w:val="top"/>
            <w:tcMar>
              <w:top w:w="70" w:type="dxa"/>
              <w:start w:w="80" w:type="dxa"/>
              <w:bottom w:w="70" w:type="dxa"/>
              <w:end w:w="80" w:type="dxa"/>
            </w:tcMar>
            <w:shd w:fill="D9EAF7"/>
          </w:tcPr>
          <w:p>
            <w:pPr>
              <w:pStyle w:val="Compact"/>
              <w:jc w:val="left"/>
            </w:pPr>
            <w:r>
              <w:rPr>
                <w:rFonts w:ascii="Arial" w:hAnsi="Arial" w:eastAsia="Arial"/>
                <w:sz w:val="16"/>
              </w:rPr>
              <w:t>Self x Agency</w:t>
            </w:r>
          </w:p>
        </w:tc>
        <w:tc>
          <w:tcPr>
            <w:vAlign w:val="top"/>
            <w:tcMar>
              <w:top w:w="70" w:type="dxa"/>
              <w:start w:w="80" w:type="dxa"/>
              <w:bottom w:w="70" w:type="dxa"/>
              <w:end w:w="80" w:type="dxa"/>
            </w:tcMar>
            <w:shd w:fill="D9EAF7"/>
          </w:tcPr>
          <w:p>
            <w:pPr>
              <w:pStyle w:val="Compact"/>
              <w:jc w:val="left"/>
            </w:pPr>
            <w:r>
              <w:rPr>
                <w:rFonts w:ascii="Arial" w:hAnsi="Arial" w:eastAsia="Arial"/>
                <w:sz w:val="16"/>
              </w:rPr>
              <w:t>LBTY, DIGN, INFO</w:t>
            </w:r>
          </w:p>
        </w:tc>
        <w:tc>
          <w:tcPr>
            <w:vAlign w:val="top"/>
            <w:tcMar>
              <w:top w:w="70" w:type="dxa"/>
              <w:start w:w="80" w:type="dxa"/>
              <w:bottom w:w="70" w:type="dxa"/>
              <w:end w:w="80" w:type="dxa"/>
            </w:tcMar>
            <w:shd w:fill="D9EAF7"/>
          </w:tcPr>
          <w:p>
            <w:pPr>
              <w:pStyle w:val="Compact"/>
              <w:jc w:val="left"/>
            </w:pPr>
            <w:r>
              <w:rPr>
                <w:rFonts w:ascii="Arial" w:hAnsi="Arial" w:eastAsia="Arial"/>
                <w:sz w:val="16"/>
              </w:rPr>
              <w:t>-</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U4xD1</w:t>
            </w:r>
          </w:p>
        </w:tc>
        <w:tc>
          <w:tcPr>
            <w:vAlign w:val="top"/>
            <w:tcMar>
              <w:top w:w="70" w:type="dxa"/>
              <w:start w:w="80" w:type="dxa"/>
              <w:bottom w:w="70" w:type="dxa"/>
              <w:end w:w="80" w:type="dxa"/>
            </w:tcMar>
            <w:shd w:fill="FFFFFF"/>
          </w:tcPr>
          <w:p>
            <w:pPr>
              <w:pStyle w:val="Compact"/>
              <w:jc w:val="left"/>
            </w:pPr>
            <w:r>
              <w:rPr>
                <w:rFonts w:ascii="Arial" w:hAnsi="Arial" w:eastAsia="Arial"/>
                <w:sz w:val="16"/>
              </w:rPr>
              <w:t>Organisation x Material</w:t>
            </w:r>
          </w:p>
        </w:tc>
        <w:tc>
          <w:tcPr>
            <w:vAlign w:val="top"/>
            <w:tcMar>
              <w:top w:w="70" w:type="dxa"/>
              <w:start w:w="80" w:type="dxa"/>
              <w:bottom w:w="70" w:type="dxa"/>
              <w:end w:w="80" w:type="dxa"/>
            </w:tcMar>
            <w:shd w:fill="FFFFFF"/>
          </w:tcPr>
          <w:p>
            <w:pPr>
              <w:pStyle w:val="Compact"/>
              <w:jc w:val="left"/>
            </w:pPr>
            <w:r>
              <w:rPr>
                <w:rFonts w:ascii="Arial" w:hAnsi="Arial" w:eastAsia="Arial"/>
                <w:sz w:val="16"/>
              </w:rPr>
              <w:t>-</w:t>
            </w:r>
          </w:p>
        </w:tc>
        <w:tc>
          <w:tcPr>
            <w:vAlign w:val="top"/>
            <w:tcMar>
              <w:top w:w="70" w:type="dxa"/>
              <w:start w:w="80" w:type="dxa"/>
              <w:bottom w:w="70" w:type="dxa"/>
              <w:end w:w="80" w:type="dxa"/>
            </w:tcMar>
            <w:shd w:fill="FFFFFF"/>
          </w:tcPr>
          <w:p>
            <w:pPr>
              <w:pStyle w:val="Compact"/>
              <w:jc w:val="left"/>
            </w:pPr>
            <w:r>
              <w:rPr>
                <w:rFonts w:ascii="Arial" w:hAnsi="Arial" w:eastAsia="Arial"/>
                <w:sz w:val="16"/>
              </w:rPr>
              <w:t>-</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U4xD5</w:t>
            </w:r>
          </w:p>
        </w:tc>
        <w:tc>
          <w:tcPr>
            <w:vAlign w:val="top"/>
            <w:tcMar>
              <w:top w:w="70" w:type="dxa"/>
              <w:start w:w="80" w:type="dxa"/>
              <w:bottom w:w="70" w:type="dxa"/>
              <w:end w:w="80" w:type="dxa"/>
            </w:tcMar>
            <w:shd w:fill="D9EAF7"/>
          </w:tcPr>
          <w:p>
            <w:pPr>
              <w:pStyle w:val="Compact"/>
              <w:jc w:val="left"/>
            </w:pPr>
            <w:r>
              <w:rPr>
                <w:rFonts w:ascii="Arial" w:hAnsi="Arial" w:eastAsia="Arial"/>
                <w:sz w:val="16"/>
              </w:rPr>
              <w:t>Organisation x Agency</w:t>
            </w:r>
          </w:p>
        </w:tc>
        <w:tc>
          <w:tcPr>
            <w:vAlign w:val="top"/>
            <w:tcMar>
              <w:top w:w="70" w:type="dxa"/>
              <w:start w:w="80" w:type="dxa"/>
              <w:bottom w:w="70" w:type="dxa"/>
              <w:end w:w="80" w:type="dxa"/>
            </w:tcMar>
            <w:shd w:fill="D9EAF7"/>
          </w:tcPr>
          <w:p>
            <w:pPr>
              <w:pStyle w:val="Compact"/>
              <w:jc w:val="left"/>
            </w:pPr>
            <w:r>
              <w:rPr>
                <w:rFonts w:ascii="Arial" w:hAnsi="Arial" w:eastAsia="Arial"/>
                <w:sz w:val="16"/>
              </w:rPr>
              <w:t>LBTY, DIGN, PROC, INFO</w:t>
            </w:r>
          </w:p>
        </w:tc>
        <w:tc>
          <w:tcPr>
            <w:vAlign w:val="top"/>
            <w:tcMar>
              <w:top w:w="70" w:type="dxa"/>
              <w:start w:w="80" w:type="dxa"/>
              <w:bottom w:w="70" w:type="dxa"/>
              <w:end w:w="80" w:type="dxa"/>
            </w:tcMar>
            <w:shd w:fill="D9EAF7"/>
          </w:tcPr>
          <w:p>
            <w:pPr>
              <w:pStyle w:val="Compact"/>
              <w:jc w:val="left"/>
            </w:pPr>
            <w:r>
              <w:rPr>
                <w:rFonts w:ascii="Arial" w:hAnsi="Arial" w:eastAsia="Arial"/>
                <w:sz w:val="16"/>
              </w:rPr>
              <w:t>-</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U5xD5</w:t>
            </w:r>
          </w:p>
        </w:tc>
        <w:tc>
          <w:tcPr>
            <w:vAlign w:val="top"/>
            <w:tcMar>
              <w:top w:w="70" w:type="dxa"/>
              <w:start w:w="80" w:type="dxa"/>
              <w:bottom w:w="70" w:type="dxa"/>
              <w:end w:w="80" w:type="dxa"/>
            </w:tcMar>
            <w:shd w:fill="FFFFFF"/>
          </w:tcPr>
          <w:p>
            <w:pPr>
              <w:pStyle w:val="Compact"/>
              <w:jc w:val="left"/>
            </w:pPr>
            <w:r>
              <w:rPr>
                <w:rFonts w:ascii="Arial" w:hAnsi="Arial" w:eastAsia="Arial"/>
                <w:sz w:val="16"/>
              </w:rPr>
              <w:t>Polity x Agency</w:t>
            </w:r>
          </w:p>
        </w:tc>
        <w:tc>
          <w:tcPr>
            <w:vAlign w:val="top"/>
            <w:tcMar>
              <w:top w:w="70" w:type="dxa"/>
              <w:start w:w="80" w:type="dxa"/>
              <w:bottom w:w="70" w:type="dxa"/>
              <w:end w:w="80" w:type="dxa"/>
            </w:tcMar>
            <w:shd w:fill="FFFFFF"/>
          </w:tcPr>
          <w:p>
            <w:pPr>
              <w:pStyle w:val="Compact"/>
              <w:jc w:val="left"/>
            </w:pPr>
            <w:r>
              <w:rPr>
                <w:rFonts w:ascii="Arial" w:hAnsi="Arial" w:eastAsia="Arial"/>
                <w:sz w:val="16"/>
              </w:rPr>
              <w:t>LBTY, DIGN, PROC, INFO</w:t>
            </w:r>
          </w:p>
        </w:tc>
        <w:tc>
          <w:tcPr>
            <w:vAlign w:val="top"/>
            <w:tcMar>
              <w:top w:w="70" w:type="dxa"/>
              <w:start w:w="80" w:type="dxa"/>
              <w:bottom w:w="70" w:type="dxa"/>
              <w:end w:w="80" w:type="dxa"/>
            </w:tcMar>
            <w:shd w:fill="FFFFFF"/>
          </w:tcPr>
          <w:p>
            <w:pPr>
              <w:pStyle w:val="Compact"/>
              <w:jc w:val="left"/>
            </w:pPr>
            <w:r>
              <w:rPr>
                <w:rFonts w:ascii="Arial" w:hAnsi="Arial" w:eastAsia="Arial"/>
                <w:sz w:val="16"/>
              </w:rPr>
              <w:t>-</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U6xD2</w:t>
            </w:r>
          </w:p>
        </w:tc>
        <w:tc>
          <w:tcPr>
            <w:vAlign w:val="top"/>
            <w:tcMar>
              <w:top w:w="70" w:type="dxa"/>
              <w:start w:w="80" w:type="dxa"/>
              <w:bottom w:w="70" w:type="dxa"/>
              <w:end w:w="80" w:type="dxa"/>
            </w:tcMar>
            <w:shd w:fill="D9EAF7"/>
          </w:tcPr>
          <w:p>
            <w:pPr>
              <w:pStyle w:val="Compact"/>
              <w:jc w:val="left"/>
            </w:pPr>
            <w:r>
              <w:rPr>
                <w:rFonts w:ascii="Arial" w:hAnsi="Arial" w:eastAsia="Arial"/>
                <w:sz w:val="16"/>
              </w:rPr>
              <w:t>Humanity x Health</w:t>
            </w:r>
          </w:p>
        </w:tc>
        <w:tc>
          <w:tcPr>
            <w:vAlign w:val="top"/>
            <w:tcMar>
              <w:top w:w="70" w:type="dxa"/>
              <w:start w:w="80" w:type="dxa"/>
              <w:bottom w:w="70" w:type="dxa"/>
              <w:end w:w="80" w:type="dxa"/>
            </w:tcMar>
            <w:shd w:fill="D9EAF7"/>
          </w:tcPr>
          <w:p>
            <w:pPr>
              <w:pStyle w:val="Compact"/>
              <w:jc w:val="left"/>
            </w:pPr>
            <w:r>
              <w:rPr>
                <w:rFonts w:ascii="Arial" w:hAnsi="Arial" w:eastAsia="Arial"/>
                <w:sz w:val="16"/>
              </w:rPr>
              <w:t>LIFE, BODY, NEED</w:t>
            </w:r>
          </w:p>
        </w:tc>
        <w:tc>
          <w:tcPr>
            <w:vAlign w:val="top"/>
            <w:tcMar>
              <w:top w:w="70" w:type="dxa"/>
              <w:start w:w="80" w:type="dxa"/>
              <w:bottom w:w="70" w:type="dxa"/>
              <w:end w:w="80" w:type="dxa"/>
            </w:tcMar>
            <w:shd w:fill="D9EAF7"/>
          </w:tcPr>
          <w:p>
            <w:pPr>
              <w:pStyle w:val="Compact"/>
              <w:jc w:val="left"/>
            </w:pPr>
            <w:r>
              <w:rPr>
                <w:rFonts w:ascii="Arial" w:hAnsi="Arial" w:eastAsia="Arial"/>
                <w:sz w:val="16"/>
              </w:rPr>
              <w:t>C_cat</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U6xD5</w:t>
            </w:r>
          </w:p>
        </w:tc>
        <w:tc>
          <w:tcPr>
            <w:vAlign w:val="top"/>
            <w:tcMar>
              <w:top w:w="70" w:type="dxa"/>
              <w:start w:w="80" w:type="dxa"/>
              <w:bottom w:w="70" w:type="dxa"/>
              <w:end w:w="80" w:type="dxa"/>
            </w:tcMar>
            <w:shd w:fill="FFFFFF"/>
          </w:tcPr>
          <w:p>
            <w:pPr>
              <w:pStyle w:val="Compact"/>
              <w:jc w:val="left"/>
            </w:pPr>
            <w:r>
              <w:rPr>
                <w:rFonts w:ascii="Arial" w:hAnsi="Arial" w:eastAsia="Arial"/>
                <w:sz w:val="16"/>
              </w:rPr>
              <w:t>Humanity x Agency</w:t>
            </w:r>
          </w:p>
        </w:tc>
        <w:tc>
          <w:tcPr>
            <w:vAlign w:val="top"/>
            <w:tcMar>
              <w:top w:w="70" w:type="dxa"/>
              <w:start w:w="80" w:type="dxa"/>
              <w:bottom w:w="70" w:type="dxa"/>
              <w:end w:w="80" w:type="dxa"/>
            </w:tcMar>
            <w:shd w:fill="FFFFFF"/>
          </w:tcPr>
          <w:p>
            <w:pPr>
              <w:pStyle w:val="Compact"/>
              <w:jc w:val="left"/>
            </w:pPr>
            <w:r>
              <w:rPr>
                <w:rFonts w:ascii="Arial" w:hAnsi="Arial" w:eastAsia="Arial"/>
                <w:sz w:val="16"/>
              </w:rPr>
              <w:t>LBTY, DIGN, PROC, INFO</w:t>
            </w:r>
          </w:p>
        </w:tc>
        <w:tc>
          <w:tcPr>
            <w:vAlign w:val="top"/>
            <w:tcMar>
              <w:top w:w="70" w:type="dxa"/>
              <w:start w:w="80" w:type="dxa"/>
              <w:bottom w:w="70" w:type="dxa"/>
              <w:end w:w="80" w:type="dxa"/>
            </w:tcMar>
            <w:shd w:fill="FFFFFF"/>
          </w:tcPr>
          <w:p>
            <w:pPr>
              <w:pStyle w:val="Compact"/>
              <w:jc w:val="left"/>
            </w:pPr>
            <w:r>
              <w:rPr>
                <w:rFonts w:ascii="Arial" w:hAnsi="Arial" w:eastAsia="Arial"/>
                <w:sz w:val="16"/>
              </w:rPr>
              <w:t>-</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U6xD7</w:t>
            </w:r>
          </w:p>
        </w:tc>
        <w:tc>
          <w:tcPr>
            <w:vAlign w:val="top"/>
            <w:tcMar>
              <w:top w:w="70" w:type="dxa"/>
              <w:start w:w="80" w:type="dxa"/>
              <w:bottom w:w="70" w:type="dxa"/>
              <w:end w:w="80" w:type="dxa"/>
            </w:tcMar>
            <w:shd w:fill="D9EAF7"/>
          </w:tcPr>
          <w:p>
            <w:pPr>
              <w:pStyle w:val="Compact"/>
              <w:jc w:val="left"/>
            </w:pPr>
            <w:r>
              <w:rPr>
                <w:rFonts w:ascii="Arial" w:hAnsi="Arial" w:eastAsia="Arial"/>
                <w:sz w:val="16"/>
              </w:rPr>
              <w:t>Humanity x Environment</w:t>
            </w:r>
          </w:p>
        </w:tc>
        <w:tc>
          <w:tcPr>
            <w:vAlign w:val="top"/>
            <w:tcMar>
              <w:top w:w="70" w:type="dxa"/>
              <w:start w:w="80" w:type="dxa"/>
              <w:bottom w:w="70" w:type="dxa"/>
              <w:end w:w="80" w:type="dxa"/>
            </w:tcMar>
            <w:shd w:fill="D9EAF7"/>
          </w:tcPr>
          <w:p>
            <w:pPr>
              <w:pStyle w:val="Compact"/>
              <w:jc w:val="left"/>
            </w:pPr>
            <w:r>
              <w:rPr>
                <w:rFonts w:ascii="Arial" w:hAnsi="Arial" w:eastAsia="Arial"/>
                <w:sz w:val="16"/>
              </w:rPr>
              <w:t>LIFE, ECOL</w:t>
            </w:r>
          </w:p>
        </w:tc>
        <w:tc>
          <w:tcPr>
            <w:vAlign w:val="top"/>
            <w:tcMar>
              <w:top w:w="70" w:type="dxa"/>
              <w:start w:w="80" w:type="dxa"/>
              <w:bottom w:w="70" w:type="dxa"/>
              <w:end w:w="80" w:type="dxa"/>
            </w:tcMar>
            <w:shd w:fill="D9EAF7"/>
          </w:tcPr>
          <w:p>
            <w:pPr>
              <w:pStyle w:val="Compact"/>
              <w:jc w:val="left"/>
            </w:pPr>
            <w:r>
              <w:rPr>
                <w:rFonts w:ascii="Arial" w:hAnsi="Arial" w:eastAsia="Arial"/>
                <w:sz w:val="16"/>
              </w:rPr>
              <w:t>C_cat</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U7xD7</w:t>
            </w:r>
          </w:p>
        </w:tc>
        <w:tc>
          <w:tcPr>
            <w:vAlign w:val="top"/>
            <w:tcMar>
              <w:top w:w="70" w:type="dxa"/>
              <w:start w:w="80" w:type="dxa"/>
              <w:bottom w:w="70" w:type="dxa"/>
              <w:end w:w="80" w:type="dxa"/>
            </w:tcMar>
            <w:shd w:fill="FFFFFF"/>
          </w:tcPr>
          <w:p>
            <w:pPr>
              <w:pStyle w:val="Compact"/>
              <w:jc w:val="left"/>
            </w:pPr>
            <w:r>
              <w:rPr>
                <w:rFonts w:ascii="Arial" w:hAnsi="Arial" w:eastAsia="Arial"/>
                <w:sz w:val="16"/>
              </w:rPr>
              <w:t>Biosphere x Environment</w:t>
            </w:r>
          </w:p>
        </w:tc>
        <w:tc>
          <w:tcPr>
            <w:vAlign w:val="top"/>
            <w:tcMar>
              <w:top w:w="70" w:type="dxa"/>
              <w:start w:w="80" w:type="dxa"/>
              <w:bottom w:w="70" w:type="dxa"/>
              <w:end w:w="80" w:type="dxa"/>
            </w:tcMar>
            <w:shd w:fill="FFFFFF"/>
          </w:tcPr>
          <w:p>
            <w:pPr>
              <w:pStyle w:val="Compact"/>
              <w:jc w:val="left"/>
            </w:pPr>
            <w:r>
              <w:rPr>
                <w:rFonts w:ascii="Arial" w:hAnsi="Arial" w:eastAsia="Arial"/>
                <w:sz w:val="16"/>
              </w:rPr>
              <w:t>ECOL</w:t>
            </w:r>
          </w:p>
        </w:tc>
        <w:tc>
          <w:tcPr>
            <w:vAlign w:val="top"/>
            <w:tcMar>
              <w:top w:w="70" w:type="dxa"/>
              <w:start w:w="80" w:type="dxa"/>
              <w:bottom w:w="70" w:type="dxa"/>
              <w:end w:w="80" w:type="dxa"/>
            </w:tcMar>
            <w:shd w:fill="FFFFFF"/>
          </w:tcPr>
          <w:p>
            <w:pPr>
              <w:pStyle w:val="Compact"/>
              <w:jc w:val="left"/>
            </w:pPr>
            <w:r>
              <w:rPr>
                <w:rFonts w:ascii="Arial" w:hAnsi="Arial" w:eastAsia="Arial"/>
                <w:sz w:val="16"/>
              </w:rPr>
              <w:t>C_cat</w:t>
            </w:r>
          </w:p>
        </w:tc>
      </w:tr>
    </w:tbl>
    <w:p>
      <w:pPr>
        <w:pStyle w:val="BodyText"/>
      </w:pPr>
      <w:r>
        <w:t>The full 49-cell RLS mask is active for this arithmetic vector: m(u,d)=1 for every cell, so the effective active weight mass is Q=1 under κ(u,d)=1. The eight cells above are the explicitly modeled gate-relevant or nonzero cells. Every other cell is an explicit evidence-backed baseline-zero entry, including all required rights-covered and catastrophe cells. Catastrophe weights: omega=1/3 each (uniform over C_cat).</w:t>
      </w:r>
    </w:p>
    <w:bookmarkEnd w:id="536"/>
    <w:bookmarkStart w:id="537" w:name="r193-options-and-i_prop_base-values"/>
    <w:p>
      <w:pPr>
        <w:pStyle w:val="Heading2"/>
      </w:pPr>
      <w:r>
        <w:t>R.19.3 Options and I_prop_base values</w:t>
      </w:r>
    </w:p>
    <w:p>
      <w:pPr>
        <w:pStyle w:val="FirstParagraph"/>
      </w:pPr>
      <w:r>
        <w:t>Option A (deploy without safeguards):</w:t>
      </w:r>
    </w:p>
    <w:tbl>
      <w:tblPr>
        <w:tblStyle w:val="Table"/>
        <w:tblW w:type="auto" w:w="0"/>
        <w:jc w:val="center"/>
        <w:tblLook w:firstRow="1" w:lastRow="0" w:firstColumn="0" w:lastColumn="0" w:noHBand="0" w:noVBand="0" w:val="0020"/>
      </w:tblPr>
      <w:tblGrid>
        <w:gridCol w:w="3960"/>
        <w:gridCol w:w="3960"/>
      </w:tblGrid>
      <w:tr>
        <w:trPr>
          <w:tblHeader w:val="on"/>
          <w:tblHeader w:val="true"/>
          <w:cantSplit/>
        </w:trPr>
        <w:tc>
          <w:tcPr>
            <w:vAlign w:val="top"/>
            <w:tcMar>
              <w:top w:w="70" w:type="dxa"/>
              <w:start w:w="80" w:type="dxa"/>
              <w:bottom w:w="70" w:type="dxa"/>
              <w:end w:w="80" w:type="dxa"/>
            </w:tcMar>
            <w:shd w:fill="1F4E78"/>
          </w:tcPr>
          <w:p>
            <w:pPr>
              <w:pStyle w:val="Compact"/>
              <w:jc w:val="left"/>
            </w:pPr>
            <w:r>
              <w:rPr>
                <w:rFonts w:ascii="Arial" w:hAnsi="Arial" w:eastAsia="Arial"/>
                <w:b/>
                <w:bCs/>
                <w:color w:val="FFFFFF"/>
                <w:sz w:val="16"/>
              </w:rPr>
              <w:t>Cell</w:t>
            </w:r>
          </w:p>
        </w:tc>
        <w:tc>
          <w:tcPr>
            <w:vAlign w:val="top"/>
            <w:tcMar>
              <w:top w:w="70" w:type="dxa"/>
              <w:start w:w="80" w:type="dxa"/>
              <w:bottom w:w="70" w:type="dxa"/>
              <w:end w:w="80" w:type="dxa"/>
            </w:tcMar>
            <w:shd w:fill="1F4E78"/>
          </w:tcPr>
          <w:p>
            <w:pPr>
              <w:pStyle w:val="Compact"/>
              <w:jc w:val="left"/>
            </w:pPr>
            <w:r>
              <w:rPr>
                <w:rFonts w:ascii="Arial" w:hAnsi="Arial" w:eastAsia="Arial"/>
                <w:b/>
                <w:bCs/>
                <w:color w:val="FFFFFF"/>
                <w:sz w:val="16"/>
              </w:rPr>
              <w:t>I_prop_base</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U1xD5</w:t>
            </w:r>
          </w:p>
        </w:tc>
        <w:tc>
          <w:tcPr>
            <w:vAlign w:val="top"/>
            <w:tcMar>
              <w:top w:w="70" w:type="dxa"/>
              <w:start w:w="80" w:type="dxa"/>
              <w:bottom w:w="70" w:type="dxa"/>
              <w:end w:w="80" w:type="dxa"/>
            </w:tcMar>
            <w:shd w:fill="D9EAF7"/>
          </w:tcPr>
          <w:p>
            <w:pPr>
              <w:pStyle w:val="Compact"/>
              <w:jc w:val="left"/>
            </w:pPr>
            <w:r>
              <w:rPr>
                <w:rFonts w:ascii="Arial" w:hAnsi="Arial" w:eastAsia="Arial"/>
                <w:sz w:val="16"/>
              </w:rPr>
              <w:t>-0.70</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U4xD1</w:t>
            </w:r>
          </w:p>
        </w:tc>
        <w:tc>
          <w:tcPr>
            <w:vAlign w:val="top"/>
            <w:tcMar>
              <w:top w:w="70" w:type="dxa"/>
              <w:start w:w="80" w:type="dxa"/>
              <w:bottom w:w="70" w:type="dxa"/>
              <w:end w:w="80" w:type="dxa"/>
            </w:tcMar>
            <w:shd w:fill="FFFFFF"/>
          </w:tcPr>
          <w:p>
            <w:pPr>
              <w:pStyle w:val="Compact"/>
              <w:jc w:val="left"/>
            </w:pPr>
            <w:r>
              <w:rPr>
                <w:rFonts w:ascii="Arial" w:hAnsi="Arial" w:eastAsia="Arial"/>
                <w:sz w:val="16"/>
              </w:rPr>
              <w:t>+0.30</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U4xD5</w:t>
            </w:r>
          </w:p>
        </w:tc>
        <w:tc>
          <w:tcPr>
            <w:vAlign w:val="top"/>
            <w:tcMar>
              <w:top w:w="70" w:type="dxa"/>
              <w:start w:w="80" w:type="dxa"/>
              <w:bottom w:w="70" w:type="dxa"/>
              <w:end w:w="80" w:type="dxa"/>
            </w:tcMar>
            <w:shd w:fill="D9EAF7"/>
          </w:tcPr>
          <w:p>
            <w:pPr>
              <w:pStyle w:val="Compact"/>
              <w:jc w:val="left"/>
            </w:pPr>
            <w:r>
              <w:rPr>
                <w:rFonts w:ascii="Arial" w:hAnsi="Arial" w:eastAsia="Arial"/>
                <w:sz w:val="16"/>
              </w:rPr>
              <w:t>-0.50</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U5xD5</w:t>
            </w:r>
          </w:p>
        </w:tc>
        <w:tc>
          <w:tcPr>
            <w:vAlign w:val="top"/>
            <w:tcMar>
              <w:top w:w="70" w:type="dxa"/>
              <w:start w:w="80" w:type="dxa"/>
              <w:bottom w:w="70" w:type="dxa"/>
              <w:end w:w="80" w:type="dxa"/>
            </w:tcMar>
            <w:shd w:fill="FFFFFF"/>
          </w:tcPr>
          <w:p>
            <w:pPr>
              <w:pStyle w:val="Compact"/>
              <w:jc w:val="left"/>
            </w:pPr>
            <w:r>
              <w:rPr>
                <w:rFonts w:ascii="Arial" w:hAnsi="Arial" w:eastAsia="Arial"/>
                <w:sz w:val="16"/>
              </w:rPr>
              <w:t>-0.35</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U6xD2</w:t>
            </w:r>
          </w:p>
        </w:tc>
        <w:tc>
          <w:tcPr>
            <w:vAlign w:val="top"/>
            <w:tcMar>
              <w:top w:w="70" w:type="dxa"/>
              <w:start w:w="80" w:type="dxa"/>
              <w:bottom w:w="70" w:type="dxa"/>
              <w:end w:w="80" w:type="dxa"/>
            </w:tcMar>
            <w:shd w:fill="D9EAF7"/>
          </w:tcPr>
          <w:p>
            <w:pPr>
              <w:pStyle w:val="Compact"/>
              <w:jc w:val="left"/>
            </w:pPr>
            <w:r>
              <w:rPr>
                <w:rFonts w:ascii="Arial" w:hAnsi="Arial" w:eastAsia="Arial"/>
                <w:sz w:val="16"/>
              </w:rPr>
              <w:t>-0.05</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U6xD5</w:t>
            </w:r>
          </w:p>
        </w:tc>
        <w:tc>
          <w:tcPr>
            <w:vAlign w:val="top"/>
            <w:tcMar>
              <w:top w:w="70" w:type="dxa"/>
              <w:start w:w="80" w:type="dxa"/>
              <w:bottom w:w="70" w:type="dxa"/>
              <w:end w:w="80" w:type="dxa"/>
            </w:tcMar>
            <w:shd w:fill="FFFFFF"/>
          </w:tcPr>
          <w:p>
            <w:pPr>
              <w:pStyle w:val="Compact"/>
              <w:jc w:val="left"/>
            </w:pPr>
            <w:r>
              <w:rPr>
                <w:rFonts w:ascii="Arial" w:hAnsi="Arial" w:eastAsia="Arial"/>
                <w:sz w:val="16"/>
              </w:rPr>
              <w:t>-0.20</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U6xD7</w:t>
            </w:r>
          </w:p>
        </w:tc>
        <w:tc>
          <w:tcPr>
            <w:vAlign w:val="top"/>
            <w:tcMar>
              <w:top w:w="70" w:type="dxa"/>
              <w:start w:w="80" w:type="dxa"/>
              <w:bottom w:w="70" w:type="dxa"/>
              <w:end w:w="80" w:type="dxa"/>
            </w:tcMar>
            <w:shd w:fill="D9EAF7"/>
          </w:tcPr>
          <w:p>
            <w:pPr>
              <w:pStyle w:val="Compact"/>
              <w:jc w:val="left"/>
            </w:pPr>
            <w:r>
              <w:rPr>
                <w:rFonts w:ascii="Arial" w:hAnsi="Arial" w:eastAsia="Arial"/>
                <w:sz w:val="16"/>
              </w:rPr>
              <w:t>-0.02</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U7xD7</w:t>
            </w:r>
          </w:p>
        </w:tc>
        <w:tc>
          <w:tcPr>
            <w:vAlign w:val="top"/>
            <w:tcMar>
              <w:top w:w="70" w:type="dxa"/>
              <w:start w:w="80" w:type="dxa"/>
              <w:bottom w:w="70" w:type="dxa"/>
              <w:end w:w="80" w:type="dxa"/>
            </w:tcMar>
            <w:shd w:fill="FFFFFF"/>
          </w:tcPr>
          <w:p>
            <w:pPr>
              <w:pStyle w:val="Compact"/>
              <w:jc w:val="left"/>
            </w:pPr>
            <w:r>
              <w:rPr>
                <w:rFonts w:ascii="Arial" w:hAnsi="Arial" w:eastAsia="Arial"/>
                <w:sz w:val="16"/>
              </w:rPr>
              <w:t>0.00</w:t>
            </w:r>
          </w:p>
        </w:tc>
      </w:tr>
    </w:tbl>
    <w:p>
      <w:pPr>
        <w:pStyle w:val="BodyText"/>
      </w:pPr>
      <w:r>
        <w:t>Option B (safeguards plus aggressive scaling):</w:t>
      </w:r>
    </w:p>
    <w:tbl>
      <w:tblPr>
        <w:tblStyle w:val="Table"/>
        <w:tblW w:type="auto" w:w="0"/>
        <w:jc w:val="center"/>
        <w:tblLook w:firstRow="1" w:lastRow="0" w:firstColumn="0" w:lastColumn="0" w:noHBand="0" w:noVBand="0" w:val="0020"/>
      </w:tblPr>
      <w:tblGrid>
        <w:gridCol w:w="3960"/>
        <w:gridCol w:w="3960"/>
      </w:tblGrid>
      <w:tr>
        <w:trPr>
          <w:tblHeader w:val="on"/>
          <w:tblHeader w:val="true"/>
          <w:cantSplit/>
        </w:trPr>
        <w:tc>
          <w:tcPr>
            <w:vAlign w:val="top"/>
            <w:tcMar>
              <w:top w:w="70" w:type="dxa"/>
              <w:start w:w="80" w:type="dxa"/>
              <w:bottom w:w="70" w:type="dxa"/>
              <w:end w:w="80" w:type="dxa"/>
            </w:tcMar>
            <w:shd w:fill="1F4E78"/>
          </w:tcPr>
          <w:p>
            <w:pPr>
              <w:pStyle w:val="Compact"/>
              <w:jc w:val="left"/>
            </w:pPr>
            <w:r>
              <w:rPr>
                <w:rFonts w:ascii="Arial" w:hAnsi="Arial" w:eastAsia="Arial"/>
                <w:b/>
                <w:bCs/>
                <w:color w:val="FFFFFF"/>
                <w:sz w:val="16"/>
              </w:rPr>
              <w:t>Cell</w:t>
            </w:r>
          </w:p>
        </w:tc>
        <w:tc>
          <w:tcPr>
            <w:vAlign w:val="top"/>
            <w:tcMar>
              <w:top w:w="70" w:type="dxa"/>
              <w:start w:w="80" w:type="dxa"/>
              <w:bottom w:w="70" w:type="dxa"/>
              <w:end w:w="80" w:type="dxa"/>
            </w:tcMar>
            <w:shd w:fill="1F4E78"/>
          </w:tcPr>
          <w:p>
            <w:pPr>
              <w:pStyle w:val="Compact"/>
              <w:jc w:val="left"/>
            </w:pPr>
            <w:r>
              <w:rPr>
                <w:rFonts w:ascii="Arial" w:hAnsi="Arial" w:eastAsia="Arial"/>
                <w:b/>
                <w:bCs/>
                <w:color w:val="FFFFFF"/>
                <w:sz w:val="16"/>
              </w:rPr>
              <w:t>I_prop_base</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U1xD5</w:t>
            </w:r>
          </w:p>
        </w:tc>
        <w:tc>
          <w:tcPr>
            <w:vAlign w:val="top"/>
            <w:tcMar>
              <w:top w:w="70" w:type="dxa"/>
              <w:start w:w="80" w:type="dxa"/>
              <w:bottom w:w="70" w:type="dxa"/>
              <w:end w:w="80" w:type="dxa"/>
            </w:tcMar>
            <w:shd w:fill="D9EAF7"/>
          </w:tcPr>
          <w:p>
            <w:pPr>
              <w:pStyle w:val="Compact"/>
              <w:jc w:val="left"/>
            </w:pPr>
            <w:r>
              <w:rPr>
                <w:rFonts w:ascii="Arial" w:hAnsi="Arial" w:eastAsia="Arial"/>
                <w:sz w:val="16"/>
              </w:rPr>
              <w:t>-0.10</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U4xD1</w:t>
            </w:r>
          </w:p>
        </w:tc>
        <w:tc>
          <w:tcPr>
            <w:vAlign w:val="top"/>
            <w:tcMar>
              <w:top w:w="70" w:type="dxa"/>
              <w:start w:w="80" w:type="dxa"/>
              <w:bottom w:w="70" w:type="dxa"/>
              <w:end w:w="80" w:type="dxa"/>
            </w:tcMar>
            <w:shd w:fill="FFFFFF"/>
          </w:tcPr>
          <w:p>
            <w:pPr>
              <w:pStyle w:val="Compact"/>
              <w:jc w:val="left"/>
            </w:pPr>
            <w:r>
              <w:rPr>
                <w:rFonts w:ascii="Arial" w:hAnsi="Arial" w:eastAsia="Arial"/>
                <w:sz w:val="16"/>
              </w:rPr>
              <w:t>+0.25</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U4xD5</w:t>
            </w:r>
          </w:p>
        </w:tc>
        <w:tc>
          <w:tcPr>
            <w:vAlign w:val="top"/>
            <w:tcMar>
              <w:top w:w="70" w:type="dxa"/>
              <w:start w:w="80" w:type="dxa"/>
              <w:bottom w:w="70" w:type="dxa"/>
              <w:end w:w="80" w:type="dxa"/>
            </w:tcMar>
            <w:shd w:fill="D9EAF7"/>
          </w:tcPr>
          <w:p>
            <w:pPr>
              <w:pStyle w:val="Compact"/>
              <w:jc w:val="left"/>
            </w:pPr>
            <w:r>
              <w:rPr>
                <w:rFonts w:ascii="Arial" w:hAnsi="Arial" w:eastAsia="Arial"/>
                <w:sz w:val="16"/>
              </w:rPr>
              <w:t>+0.15</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U5xD5</w:t>
            </w:r>
          </w:p>
        </w:tc>
        <w:tc>
          <w:tcPr>
            <w:vAlign w:val="top"/>
            <w:tcMar>
              <w:top w:w="70" w:type="dxa"/>
              <w:start w:w="80" w:type="dxa"/>
              <w:bottom w:w="70" w:type="dxa"/>
              <w:end w:w="80" w:type="dxa"/>
            </w:tcMar>
            <w:shd w:fill="FFFFFF"/>
          </w:tcPr>
          <w:p>
            <w:pPr>
              <w:pStyle w:val="Compact"/>
              <w:jc w:val="left"/>
            </w:pPr>
            <w:r>
              <w:rPr>
                <w:rFonts w:ascii="Arial" w:hAnsi="Arial" w:eastAsia="Arial"/>
                <w:sz w:val="16"/>
              </w:rPr>
              <w:t>+0.10</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U6xD2</w:t>
            </w:r>
          </w:p>
        </w:tc>
        <w:tc>
          <w:tcPr>
            <w:vAlign w:val="top"/>
            <w:tcMar>
              <w:top w:w="70" w:type="dxa"/>
              <w:start w:w="80" w:type="dxa"/>
              <w:bottom w:w="70" w:type="dxa"/>
              <w:end w:w="80" w:type="dxa"/>
            </w:tcMar>
            <w:shd w:fill="D9EAF7"/>
          </w:tcPr>
          <w:p>
            <w:pPr>
              <w:pStyle w:val="Compact"/>
              <w:jc w:val="left"/>
            </w:pPr>
            <w:r>
              <w:rPr>
                <w:rFonts w:ascii="Arial" w:hAnsi="Arial" w:eastAsia="Arial"/>
                <w:sz w:val="16"/>
              </w:rPr>
              <w:t>-0.03</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U6xD5</w:t>
            </w:r>
          </w:p>
        </w:tc>
        <w:tc>
          <w:tcPr>
            <w:vAlign w:val="top"/>
            <w:tcMar>
              <w:top w:w="70" w:type="dxa"/>
              <w:start w:w="80" w:type="dxa"/>
              <w:bottom w:w="70" w:type="dxa"/>
              <w:end w:w="80" w:type="dxa"/>
            </w:tcMar>
            <w:shd w:fill="FFFFFF"/>
          </w:tcPr>
          <w:p>
            <w:pPr>
              <w:pStyle w:val="Compact"/>
              <w:jc w:val="left"/>
            </w:pPr>
            <w:r>
              <w:rPr>
                <w:rFonts w:ascii="Arial" w:hAnsi="Arial" w:eastAsia="Arial"/>
                <w:sz w:val="16"/>
              </w:rPr>
              <w:t>+0.05</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U6xD7</w:t>
            </w:r>
          </w:p>
        </w:tc>
        <w:tc>
          <w:tcPr>
            <w:vAlign w:val="top"/>
            <w:tcMar>
              <w:top w:w="70" w:type="dxa"/>
              <w:start w:w="80" w:type="dxa"/>
              <w:bottom w:w="70" w:type="dxa"/>
              <w:end w:w="80" w:type="dxa"/>
            </w:tcMar>
            <w:shd w:fill="D9EAF7"/>
          </w:tcPr>
          <w:p>
            <w:pPr>
              <w:pStyle w:val="Compact"/>
              <w:jc w:val="left"/>
            </w:pPr>
            <w:r>
              <w:rPr>
                <w:rFonts w:ascii="Arial" w:hAnsi="Arial" w:eastAsia="Arial"/>
                <w:sz w:val="16"/>
              </w:rPr>
              <w:t>-0.01</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U7xD7</w:t>
            </w:r>
          </w:p>
        </w:tc>
        <w:tc>
          <w:tcPr>
            <w:vAlign w:val="top"/>
            <w:tcMar>
              <w:top w:w="70" w:type="dxa"/>
              <w:start w:w="80" w:type="dxa"/>
              <w:bottom w:w="70" w:type="dxa"/>
              <w:end w:w="80" w:type="dxa"/>
            </w:tcMar>
            <w:shd w:fill="FFFFFF"/>
          </w:tcPr>
          <w:p>
            <w:pPr>
              <w:pStyle w:val="Compact"/>
              <w:jc w:val="left"/>
            </w:pPr>
            <w:r>
              <w:rPr>
                <w:rFonts w:ascii="Arial" w:hAnsi="Arial" w:eastAsia="Arial"/>
                <w:sz w:val="16"/>
              </w:rPr>
              <w:t>0.00</w:t>
            </w:r>
          </w:p>
        </w:tc>
      </w:tr>
    </w:tbl>
    <w:p>
      <w:pPr>
        <w:pStyle w:val="BodyText"/>
      </w:pPr>
      <w:r>
        <w:t>Option C (safeguards plus measured rollout):</w:t>
      </w:r>
    </w:p>
    <w:tbl>
      <w:tblPr>
        <w:tblStyle w:val="Table"/>
        <w:tblW w:type="auto" w:w="0"/>
        <w:jc w:val="center"/>
        <w:tblLook w:firstRow="1" w:lastRow="0" w:firstColumn="0" w:lastColumn="0" w:noHBand="0" w:noVBand="0" w:val="0020"/>
      </w:tblPr>
      <w:tblGrid>
        <w:gridCol w:w="3960"/>
        <w:gridCol w:w="3960"/>
      </w:tblGrid>
      <w:tr>
        <w:trPr>
          <w:tblHeader w:val="on"/>
          <w:tblHeader w:val="true"/>
          <w:cantSplit/>
        </w:trPr>
        <w:tc>
          <w:tcPr>
            <w:vAlign w:val="top"/>
            <w:tcMar>
              <w:top w:w="70" w:type="dxa"/>
              <w:start w:w="80" w:type="dxa"/>
              <w:bottom w:w="70" w:type="dxa"/>
              <w:end w:w="80" w:type="dxa"/>
            </w:tcMar>
            <w:shd w:fill="1F4E78"/>
          </w:tcPr>
          <w:p>
            <w:pPr>
              <w:pStyle w:val="Compact"/>
              <w:jc w:val="left"/>
            </w:pPr>
            <w:r>
              <w:rPr>
                <w:rFonts w:ascii="Arial" w:hAnsi="Arial" w:eastAsia="Arial"/>
                <w:b/>
                <w:bCs/>
                <w:color w:val="FFFFFF"/>
                <w:sz w:val="16"/>
              </w:rPr>
              <w:t>Cell</w:t>
            </w:r>
          </w:p>
        </w:tc>
        <w:tc>
          <w:tcPr>
            <w:vAlign w:val="top"/>
            <w:tcMar>
              <w:top w:w="70" w:type="dxa"/>
              <w:start w:w="80" w:type="dxa"/>
              <w:bottom w:w="70" w:type="dxa"/>
              <w:end w:w="80" w:type="dxa"/>
            </w:tcMar>
            <w:shd w:fill="1F4E78"/>
          </w:tcPr>
          <w:p>
            <w:pPr>
              <w:pStyle w:val="Compact"/>
              <w:jc w:val="left"/>
            </w:pPr>
            <w:r>
              <w:rPr>
                <w:rFonts w:ascii="Arial" w:hAnsi="Arial" w:eastAsia="Arial"/>
                <w:b/>
                <w:bCs/>
                <w:color w:val="FFFFFF"/>
                <w:sz w:val="16"/>
              </w:rPr>
              <w:t>I_prop_base</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U1xD5</w:t>
            </w:r>
          </w:p>
        </w:tc>
        <w:tc>
          <w:tcPr>
            <w:vAlign w:val="top"/>
            <w:tcMar>
              <w:top w:w="70" w:type="dxa"/>
              <w:start w:w="80" w:type="dxa"/>
              <w:bottom w:w="70" w:type="dxa"/>
              <w:end w:w="80" w:type="dxa"/>
            </w:tcMar>
            <w:shd w:fill="D9EAF7"/>
          </w:tcPr>
          <w:p>
            <w:pPr>
              <w:pStyle w:val="Compact"/>
              <w:jc w:val="left"/>
            </w:pPr>
            <w:r>
              <w:rPr>
                <w:rFonts w:ascii="Arial" w:hAnsi="Arial" w:eastAsia="Arial"/>
                <w:sz w:val="16"/>
              </w:rPr>
              <w:t>+0.05</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U4xD1</w:t>
            </w:r>
          </w:p>
        </w:tc>
        <w:tc>
          <w:tcPr>
            <w:vAlign w:val="top"/>
            <w:tcMar>
              <w:top w:w="70" w:type="dxa"/>
              <w:start w:w="80" w:type="dxa"/>
              <w:bottom w:w="70" w:type="dxa"/>
              <w:end w:w="80" w:type="dxa"/>
            </w:tcMar>
            <w:shd w:fill="FFFFFF"/>
          </w:tcPr>
          <w:p>
            <w:pPr>
              <w:pStyle w:val="Compact"/>
              <w:jc w:val="left"/>
            </w:pPr>
            <w:r>
              <w:rPr>
                <w:rFonts w:ascii="Arial" w:hAnsi="Arial" w:eastAsia="Arial"/>
                <w:sz w:val="16"/>
              </w:rPr>
              <w:t>+0.30</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U4xD5</w:t>
            </w:r>
          </w:p>
        </w:tc>
        <w:tc>
          <w:tcPr>
            <w:vAlign w:val="top"/>
            <w:tcMar>
              <w:top w:w="70" w:type="dxa"/>
              <w:start w:w="80" w:type="dxa"/>
              <w:bottom w:w="70" w:type="dxa"/>
              <w:end w:w="80" w:type="dxa"/>
            </w:tcMar>
            <w:shd w:fill="D9EAF7"/>
          </w:tcPr>
          <w:p>
            <w:pPr>
              <w:pStyle w:val="Compact"/>
              <w:jc w:val="left"/>
            </w:pPr>
            <w:r>
              <w:rPr>
                <w:rFonts w:ascii="Arial" w:hAnsi="Arial" w:eastAsia="Arial"/>
                <w:sz w:val="16"/>
              </w:rPr>
              <w:t>+0.12</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U5xD5</w:t>
            </w:r>
          </w:p>
        </w:tc>
        <w:tc>
          <w:tcPr>
            <w:vAlign w:val="top"/>
            <w:tcMar>
              <w:top w:w="70" w:type="dxa"/>
              <w:start w:w="80" w:type="dxa"/>
              <w:bottom w:w="70" w:type="dxa"/>
              <w:end w:w="80" w:type="dxa"/>
            </w:tcMar>
            <w:shd w:fill="FFFFFF"/>
          </w:tcPr>
          <w:p>
            <w:pPr>
              <w:pStyle w:val="Compact"/>
              <w:jc w:val="left"/>
            </w:pPr>
            <w:r>
              <w:rPr>
                <w:rFonts w:ascii="Arial" w:hAnsi="Arial" w:eastAsia="Arial"/>
                <w:sz w:val="16"/>
              </w:rPr>
              <w:t>+0.08</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U6xD2</w:t>
            </w:r>
          </w:p>
        </w:tc>
        <w:tc>
          <w:tcPr>
            <w:vAlign w:val="top"/>
            <w:tcMar>
              <w:top w:w="70" w:type="dxa"/>
              <w:start w:w="80" w:type="dxa"/>
              <w:bottom w:w="70" w:type="dxa"/>
              <w:end w:w="80" w:type="dxa"/>
            </w:tcMar>
            <w:shd w:fill="D9EAF7"/>
          </w:tcPr>
          <w:p>
            <w:pPr>
              <w:pStyle w:val="Compact"/>
              <w:jc w:val="left"/>
            </w:pPr>
            <w:r>
              <w:rPr>
                <w:rFonts w:ascii="Arial" w:hAnsi="Arial" w:eastAsia="Arial"/>
                <w:sz w:val="16"/>
              </w:rPr>
              <w:t>0.00</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U6xD5</w:t>
            </w:r>
          </w:p>
        </w:tc>
        <w:tc>
          <w:tcPr>
            <w:vAlign w:val="top"/>
            <w:tcMar>
              <w:top w:w="70" w:type="dxa"/>
              <w:start w:w="80" w:type="dxa"/>
              <w:bottom w:w="70" w:type="dxa"/>
              <w:end w:w="80" w:type="dxa"/>
            </w:tcMar>
            <w:shd w:fill="FFFFFF"/>
          </w:tcPr>
          <w:p>
            <w:pPr>
              <w:pStyle w:val="Compact"/>
              <w:jc w:val="left"/>
            </w:pPr>
            <w:r>
              <w:rPr>
                <w:rFonts w:ascii="Arial" w:hAnsi="Arial" w:eastAsia="Arial"/>
                <w:sz w:val="16"/>
              </w:rPr>
              <w:t>+0.03</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U6xD7</w:t>
            </w:r>
          </w:p>
        </w:tc>
        <w:tc>
          <w:tcPr>
            <w:vAlign w:val="top"/>
            <w:tcMar>
              <w:top w:w="70" w:type="dxa"/>
              <w:start w:w="80" w:type="dxa"/>
              <w:bottom w:w="70" w:type="dxa"/>
              <w:end w:w="80" w:type="dxa"/>
            </w:tcMar>
            <w:shd w:fill="D9EAF7"/>
          </w:tcPr>
          <w:p>
            <w:pPr>
              <w:pStyle w:val="Compact"/>
              <w:jc w:val="left"/>
            </w:pPr>
            <w:r>
              <w:rPr>
                <w:rFonts w:ascii="Arial" w:hAnsi="Arial" w:eastAsia="Arial"/>
                <w:sz w:val="16"/>
              </w:rPr>
              <w:t>0.00</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U7xD7</w:t>
            </w:r>
          </w:p>
        </w:tc>
        <w:tc>
          <w:tcPr>
            <w:vAlign w:val="top"/>
            <w:tcMar>
              <w:top w:w="70" w:type="dxa"/>
              <w:start w:w="80" w:type="dxa"/>
              <w:bottom w:w="70" w:type="dxa"/>
              <w:end w:w="80" w:type="dxa"/>
            </w:tcMar>
            <w:shd w:fill="FFFFFF"/>
          </w:tcPr>
          <w:p>
            <w:pPr>
              <w:pStyle w:val="Compact"/>
              <w:jc w:val="left"/>
            </w:pPr>
            <w:r>
              <w:rPr>
                <w:rFonts w:ascii="Arial" w:hAnsi="Arial" w:eastAsia="Arial"/>
                <w:sz w:val="16"/>
              </w:rPr>
              <w:t>0.00</w:t>
            </w:r>
          </w:p>
        </w:tc>
      </w:tr>
    </w:tbl>
    <w:bookmarkEnd w:id="537"/>
    <w:bookmarkStart w:id="538" w:name="r194-expected-ncrc-outcomes"/>
    <w:p>
      <w:pPr>
        <w:pStyle w:val="Heading2"/>
      </w:pPr>
      <w:r>
        <w:t>R.19.4 Expected NCRC outcomes</w:t>
      </w:r>
    </w:p>
    <w:p>
      <w:pPr>
        <w:pStyle w:val="FirstParagraph"/>
      </w:pPr>
      <w:r>
        <w:t>The table displays the floor channel</w:t>
      </w:r>
      <w:r>
        <w:t xml:space="preserve"> </w:t>
      </w:r>
      <w:r>
        <w:rPr>
          <w:rStyle w:val="VerbatimChar"/>
        </w:rPr>
        <w:t>v_r^floor</w:t>
      </w:r>
      <w:r>
        <w:t>. For this deterministic vector,</w:t>
      </w:r>
      <w:r>
        <w:t xml:space="preserve"> </w:t>
      </w:r>
      <w:r>
        <w:rPr>
          <w:rStyle w:val="VerbatimChar"/>
        </w:rPr>
        <w:t>v_r^cat=0</w:t>
      </w:r>
      <w:r>
        <w:t>,</w:t>
      </w:r>
      <w:r>
        <w:t xml:space="preserve"> </w:t>
      </w:r>
      <w:r>
        <w:rPr>
          <w:rStyle w:val="VerbatimChar"/>
        </w:rPr>
        <w:t>v_r^risk=0</w:t>
      </w:r>
      <w:r>
        <w:t>,</w:t>
      </w:r>
      <w:r>
        <w:t xml:space="preserve"> </w:t>
      </w:r>
      <w:r>
        <w:rPr>
          <w:rStyle w:val="VerbatimChar"/>
        </w:rPr>
        <w:t>rights_evidence_status=COMPLETE</w:t>
      </w:r>
      <w:r>
        <w:t>, and all required severe-hazard fields are complete for A, B, and C. The final NCRC status is the conjunction of the floor, categorical, severe-risk, and evidence-completeness conditions.</w:t>
      </w:r>
    </w:p>
    <w:tbl>
      <w:tblPr>
        <w:tblStyle w:val="Table"/>
        <w:tblW w:type="auto" w:w="0"/>
        <w:jc w:val="center"/>
        <w:tblLook w:firstRow="1" w:lastRow="0" w:firstColumn="0" w:lastColumn="0" w:noHBand="0" w:noVBand="0" w:val="0020"/>
      </w:tblPr>
      <w:tblGrid>
        <w:gridCol w:w="1584"/>
        <w:gridCol w:w="1584"/>
        <w:gridCol w:w="1584"/>
        <w:gridCol w:w="1584"/>
        <w:gridCol w:w="1584"/>
      </w:tblGrid>
      <w:tr>
        <w:trPr>
          <w:tblHeader w:val="on"/>
          <w:tblHeader w:val="true"/>
          <w:cantSplit/>
        </w:trPr>
        <w:tc>
          <w:tcPr>
            <w:vAlign w:val="top"/>
            <w:tcMar>
              <w:top w:w="70" w:type="dxa"/>
              <w:start w:w="80" w:type="dxa"/>
              <w:bottom w:w="70" w:type="dxa"/>
              <w:end w:w="80" w:type="dxa"/>
            </w:tcMar>
            <w:shd w:fill="1F4E78"/>
          </w:tcPr>
          <w:p>
            <w:pPr>
              <w:pStyle w:val="Compact"/>
              <w:jc w:val="left"/>
            </w:pPr>
            <w:r>
              <w:rPr>
                <w:rFonts w:ascii="Arial" w:hAnsi="Arial" w:eastAsia="Arial"/>
                <w:b/>
                <w:bCs/>
                <w:color w:val="FFFFFF"/>
                <w:sz w:val="16"/>
              </w:rPr>
              <w:t>Right</w:t>
            </w:r>
          </w:p>
        </w:tc>
        <w:tc>
          <w:tcPr>
            <w:vAlign w:val="top"/>
            <w:tcMar>
              <w:top w:w="70" w:type="dxa"/>
              <w:start w:w="80" w:type="dxa"/>
              <w:bottom w:w="70" w:type="dxa"/>
              <w:end w:w="80" w:type="dxa"/>
            </w:tcMar>
            <w:shd w:fill="1F4E78"/>
          </w:tcPr>
          <w:p>
            <w:pPr>
              <w:pStyle w:val="Compact"/>
              <w:jc w:val="left"/>
            </w:pPr>
            <w:r>
              <w:rPr>
                <w:rFonts w:ascii="Arial" w:hAnsi="Arial" w:eastAsia="Arial"/>
                <w:b/>
                <w:bCs/>
                <w:color w:val="FFFFFF"/>
                <w:sz w:val="16"/>
              </w:rPr>
              <w:t>theta_r</w:t>
            </w:r>
          </w:p>
        </w:tc>
        <w:tc>
          <w:tcPr>
            <w:vAlign w:val="top"/>
            <w:tcMar>
              <w:top w:w="70" w:type="dxa"/>
              <w:start w:w="80" w:type="dxa"/>
              <w:bottom w:w="70" w:type="dxa"/>
              <w:end w:w="80" w:type="dxa"/>
            </w:tcMar>
            <w:shd w:fill="1F4E78"/>
          </w:tcPr>
          <w:p>
            <w:pPr>
              <w:pStyle w:val="Compact"/>
              <w:jc w:val="left"/>
            </w:pPr>
            <w:r>
              <w:rPr>
                <w:rFonts w:ascii="Arial" w:hAnsi="Arial" w:eastAsia="Arial"/>
                <w:b/>
                <w:bCs/>
                <w:color w:val="FFFFFF"/>
                <w:sz w:val="16"/>
              </w:rPr>
              <w:t>Binding cell</w:t>
            </w:r>
          </w:p>
        </w:tc>
        <w:tc>
          <w:tcPr>
            <w:vAlign w:val="top"/>
            <w:tcMar>
              <w:top w:w="70" w:type="dxa"/>
              <w:start w:w="80" w:type="dxa"/>
              <w:bottom w:w="70" w:type="dxa"/>
              <w:end w:w="80" w:type="dxa"/>
            </w:tcMar>
            <w:shd w:fill="1F4E78"/>
          </w:tcPr>
          <w:p>
            <w:pPr>
              <w:pStyle w:val="Compact"/>
              <w:jc w:val="left"/>
            </w:pPr>
            <w:r>
              <w:rPr>
                <w:rFonts w:ascii="Arial" w:hAnsi="Arial" w:eastAsia="Arial"/>
                <w:b/>
                <w:bCs/>
                <w:color w:val="FFFFFF"/>
                <w:sz w:val="16"/>
              </w:rPr>
              <w:t>I_rights</w:t>
            </w:r>
          </w:p>
        </w:tc>
        <w:tc>
          <w:tcPr>
            <w:vAlign w:val="top"/>
            <w:tcMar>
              <w:top w:w="70" w:type="dxa"/>
              <w:start w:w="80" w:type="dxa"/>
              <w:bottom w:w="70" w:type="dxa"/>
              <w:end w:w="80" w:type="dxa"/>
            </w:tcMar>
            <w:shd w:fill="1F4E78"/>
          </w:tcPr>
          <w:p>
            <w:pPr>
              <w:pStyle w:val="Compact"/>
              <w:jc w:val="left"/>
            </w:pPr>
            <w:r>
              <w:rPr>
                <w:rFonts w:ascii="Arial" w:hAnsi="Arial" w:eastAsia="Arial"/>
                <w:b/>
                <w:bCs/>
                <w:color w:val="FFFFFF"/>
                <w:sz w:val="16"/>
              </w:rPr>
              <w:t>v_r^floor(A)</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LIFE</w:t>
            </w:r>
          </w:p>
        </w:tc>
        <w:tc>
          <w:tcPr>
            <w:vAlign w:val="top"/>
            <w:tcMar>
              <w:top w:w="70" w:type="dxa"/>
              <w:start w:w="80" w:type="dxa"/>
              <w:bottom w:w="70" w:type="dxa"/>
              <w:end w:w="80" w:type="dxa"/>
            </w:tcMar>
            <w:shd w:fill="D9EAF7"/>
          </w:tcPr>
          <w:p>
            <w:pPr>
              <w:pStyle w:val="Compact"/>
              <w:jc w:val="left"/>
            </w:pPr>
            <w:r>
              <w:rPr>
                <w:rFonts w:ascii="Arial" w:hAnsi="Arial" w:eastAsia="Arial"/>
                <w:sz w:val="16"/>
              </w:rPr>
              <w:t>-0.90</w:t>
            </w:r>
          </w:p>
        </w:tc>
        <w:tc>
          <w:tcPr>
            <w:vAlign w:val="top"/>
            <w:tcMar>
              <w:top w:w="70" w:type="dxa"/>
              <w:start w:w="80" w:type="dxa"/>
              <w:bottom w:w="70" w:type="dxa"/>
              <w:end w:w="80" w:type="dxa"/>
            </w:tcMar>
            <w:shd w:fill="D9EAF7"/>
          </w:tcPr>
          <w:p>
            <w:pPr>
              <w:pStyle w:val="Compact"/>
              <w:jc w:val="left"/>
            </w:pPr>
            <w:r>
              <w:rPr>
                <w:rFonts w:ascii="Arial" w:hAnsi="Arial" w:eastAsia="Arial"/>
                <w:sz w:val="16"/>
              </w:rPr>
              <w:t>U6xD2</w:t>
            </w:r>
          </w:p>
        </w:tc>
        <w:tc>
          <w:tcPr>
            <w:vAlign w:val="top"/>
            <w:tcMar>
              <w:top w:w="70" w:type="dxa"/>
              <w:start w:w="80" w:type="dxa"/>
              <w:bottom w:w="70" w:type="dxa"/>
              <w:end w:w="80" w:type="dxa"/>
            </w:tcMar>
            <w:shd w:fill="D9EAF7"/>
          </w:tcPr>
          <w:p>
            <w:pPr>
              <w:pStyle w:val="Compact"/>
              <w:jc w:val="left"/>
            </w:pPr>
            <w:r>
              <w:rPr>
                <w:rFonts w:ascii="Arial" w:hAnsi="Arial" w:eastAsia="Arial"/>
                <w:sz w:val="16"/>
              </w:rPr>
              <w:t>-0.075</w:t>
            </w:r>
          </w:p>
        </w:tc>
        <w:tc>
          <w:tcPr>
            <w:vAlign w:val="top"/>
            <w:tcMar>
              <w:top w:w="70" w:type="dxa"/>
              <w:start w:w="80" w:type="dxa"/>
              <w:bottom w:w="70" w:type="dxa"/>
              <w:end w:w="80" w:type="dxa"/>
            </w:tcMar>
            <w:shd w:fill="D9EAF7"/>
          </w:tcPr>
          <w:p>
            <w:pPr>
              <w:pStyle w:val="Compact"/>
              <w:jc w:val="left"/>
            </w:pPr>
            <w:r>
              <w:rPr>
                <w:rFonts w:ascii="Arial" w:hAnsi="Arial" w:eastAsia="Arial"/>
                <w:sz w:val="16"/>
              </w:rPr>
              <w:t>0.000</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BODY</w:t>
            </w:r>
          </w:p>
        </w:tc>
        <w:tc>
          <w:tcPr>
            <w:vAlign w:val="top"/>
            <w:tcMar>
              <w:top w:w="70" w:type="dxa"/>
              <w:start w:w="80" w:type="dxa"/>
              <w:bottom w:w="70" w:type="dxa"/>
              <w:end w:w="80" w:type="dxa"/>
            </w:tcMar>
            <w:shd w:fill="FFFFFF"/>
          </w:tcPr>
          <w:p>
            <w:pPr>
              <w:pStyle w:val="Compact"/>
              <w:jc w:val="left"/>
            </w:pPr>
            <w:r>
              <w:rPr>
                <w:rFonts w:ascii="Arial" w:hAnsi="Arial" w:eastAsia="Arial"/>
                <w:sz w:val="16"/>
              </w:rPr>
              <w:t>-0.70</w:t>
            </w:r>
          </w:p>
        </w:tc>
        <w:tc>
          <w:tcPr>
            <w:vAlign w:val="top"/>
            <w:tcMar>
              <w:top w:w="70" w:type="dxa"/>
              <w:start w:w="80" w:type="dxa"/>
              <w:bottom w:w="70" w:type="dxa"/>
              <w:end w:w="80" w:type="dxa"/>
            </w:tcMar>
            <w:shd w:fill="FFFFFF"/>
          </w:tcPr>
          <w:p>
            <w:pPr>
              <w:pStyle w:val="Compact"/>
              <w:jc w:val="left"/>
            </w:pPr>
            <w:r>
              <w:rPr>
                <w:rFonts w:ascii="Arial" w:hAnsi="Arial" w:eastAsia="Arial"/>
                <w:sz w:val="16"/>
              </w:rPr>
              <w:t>U6xD2</w:t>
            </w:r>
          </w:p>
        </w:tc>
        <w:tc>
          <w:tcPr>
            <w:vAlign w:val="top"/>
            <w:tcMar>
              <w:top w:w="70" w:type="dxa"/>
              <w:start w:w="80" w:type="dxa"/>
              <w:bottom w:w="70" w:type="dxa"/>
              <w:end w:w="80" w:type="dxa"/>
            </w:tcMar>
            <w:shd w:fill="FFFFFF"/>
          </w:tcPr>
          <w:p>
            <w:pPr>
              <w:pStyle w:val="Compact"/>
              <w:jc w:val="left"/>
            </w:pPr>
            <w:r>
              <w:rPr>
                <w:rFonts w:ascii="Arial" w:hAnsi="Arial" w:eastAsia="Arial"/>
                <w:sz w:val="16"/>
              </w:rPr>
              <w:t>-0.075</w:t>
            </w:r>
          </w:p>
        </w:tc>
        <w:tc>
          <w:tcPr>
            <w:vAlign w:val="top"/>
            <w:tcMar>
              <w:top w:w="70" w:type="dxa"/>
              <w:start w:w="80" w:type="dxa"/>
              <w:bottom w:w="70" w:type="dxa"/>
              <w:end w:w="80" w:type="dxa"/>
            </w:tcMar>
            <w:shd w:fill="FFFFFF"/>
          </w:tcPr>
          <w:p>
            <w:pPr>
              <w:pStyle w:val="Compact"/>
              <w:jc w:val="left"/>
            </w:pPr>
            <w:r>
              <w:rPr>
                <w:rFonts w:ascii="Arial" w:hAnsi="Arial" w:eastAsia="Arial"/>
                <w:sz w:val="16"/>
              </w:rPr>
              <w:t>0.000</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LBTY</w:t>
            </w:r>
          </w:p>
        </w:tc>
        <w:tc>
          <w:tcPr>
            <w:vAlign w:val="top"/>
            <w:tcMar>
              <w:top w:w="70" w:type="dxa"/>
              <w:start w:w="80" w:type="dxa"/>
              <w:bottom w:w="70" w:type="dxa"/>
              <w:end w:w="80" w:type="dxa"/>
            </w:tcMar>
            <w:shd w:fill="D9EAF7"/>
          </w:tcPr>
          <w:p>
            <w:pPr>
              <w:pStyle w:val="Compact"/>
              <w:jc w:val="left"/>
            </w:pPr>
            <w:r>
              <w:rPr>
                <w:rFonts w:ascii="Arial" w:hAnsi="Arial" w:eastAsia="Arial"/>
                <w:sz w:val="16"/>
              </w:rPr>
              <w:t>-0.65</w:t>
            </w:r>
          </w:p>
        </w:tc>
        <w:tc>
          <w:tcPr>
            <w:vAlign w:val="top"/>
            <w:tcMar>
              <w:top w:w="70" w:type="dxa"/>
              <w:start w:w="80" w:type="dxa"/>
              <w:bottom w:w="70" w:type="dxa"/>
              <w:end w:w="80" w:type="dxa"/>
            </w:tcMar>
            <w:shd w:fill="D9EAF7"/>
          </w:tcPr>
          <w:p>
            <w:pPr>
              <w:pStyle w:val="Compact"/>
              <w:jc w:val="left"/>
            </w:pPr>
            <w:r>
              <w:rPr>
                <w:rFonts w:ascii="Arial" w:hAnsi="Arial" w:eastAsia="Arial"/>
                <w:sz w:val="16"/>
              </w:rPr>
              <w:t>U1xD5</w:t>
            </w:r>
          </w:p>
        </w:tc>
        <w:tc>
          <w:tcPr>
            <w:vAlign w:val="top"/>
            <w:tcMar>
              <w:top w:w="70" w:type="dxa"/>
              <w:start w:w="80" w:type="dxa"/>
              <w:bottom w:w="70" w:type="dxa"/>
              <w:end w:w="80" w:type="dxa"/>
            </w:tcMar>
            <w:shd w:fill="D9EAF7"/>
          </w:tcPr>
          <w:p>
            <w:pPr>
              <w:pStyle w:val="Compact"/>
              <w:jc w:val="left"/>
            </w:pPr>
            <w:r>
              <w:rPr>
                <w:rFonts w:ascii="Arial" w:hAnsi="Arial" w:eastAsia="Arial"/>
                <w:sz w:val="16"/>
              </w:rPr>
              <w:t>-1.000</w:t>
            </w:r>
          </w:p>
        </w:tc>
        <w:tc>
          <w:tcPr>
            <w:vAlign w:val="top"/>
            <w:tcMar>
              <w:top w:w="70" w:type="dxa"/>
              <w:start w:w="80" w:type="dxa"/>
              <w:bottom w:w="70" w:type="dxa"/>
              <w:end w:w="80" w:type="dxa"/>
            </w:tcMar>
            <w:shd w:fill="D9EAF7"/>
          </w:tcPr>
          <w:p>
            <w:pPr>
              <w:pStyle w:val="Compact"/>
              <w:jc w:val="left"/>
            </w:pPr>
            <w:r>
              <w:rPr>
                <w:rFonts w:ascii="Arial" w:hAnsi="Arial" w:eastAsia="Arial"/>
                <w:sz w:val="16"/>
              </w:rPr>
              <w:t>0.350</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NEED</w:t>
            </w:r>
          </w:p>
        </w:tc>
        <w:tc>
          <w:tcPr>
            <w:vAlign w:val="top"/>
            <w:tcMar>
              <w:top w:w="70" w:type="dxa"/>
              <w:start w:w="80" w:type="dxa"/>
              <w:bottom w:w="70" w:type="dxa"/>
              <w:end w:w="80" w:type="dxa"/>
            </w:tcMar>
            <w:shd w:fill="FFFFFF"/>
          </w:tcPr>
          <w:p>
            <w:pPr>
              <w:pStyle w:val="Compact"/>
              <w:jc w:val="left"/>
            </w:pPr>
            <w:r>
              <w:rPr>
                <w:rFonts w:ascii="Arial" w:hAnsi="Arial" w:eastAsia="Arial"/>
                <w:sz w:val="16"/>
              </w:rPr>
              <w:t>-0.50</w:t>
            </w:r>
          </w:p>
        </w:tc>
        <w:tc>
          <w:tcPr>
            <w:vAlign w:val="top"/>
            <w:tcMar>
              <w:top w:w="70" w:type="dxa"/>
              <w:start w:w="80" w:type="dxa"/>
              <w:bottom w:w="70" w:type="dxa"/>
              <w:end w:w="80" w:type="dxa"/>
            </w:tcMar>
            <w:shd w:fill="FFFFFF"/>
          </w:tcPr>
          <w:p>
            <w:pPr>
              <w:pStyle w:val="Compact"/>
              <w:jc w:val="left"/>
            </w:pPr>
            <w:r>
              <w:rPr>
                <w:rFonts w:ascii="Arial" w:hAnsi="Arial" w:eastAsia="Arial"/>
                <w:sz w:val="16"/>
              </w:rPr>
              <w:t>U6xD2</w:t>
            </w:r>
          </w:p>
        </w:tc>
        <w:tc>
          <w:tcPr>
            <w:vAlign w:val="top"/>
            <w:tcMar>
              <w:top w:w="70" w:type="dxa"/>
              <w:start w:w="80" w:type="dxa"/>
              <w:bottom w:w="70" w:type="dxa"/>
              <w:end w:w="80" w:type="dxa"/>
            </w:tcMar>
            <w:shd w:fill="FFFFFF"/>
          </w:tcPr>
          <w:p>
            <w:pPr>
              <w:pStyle w:val="Compact"/>
              <w:jc w:val="left"/>
            </w:pPr>
            <w:r>
              <w:rPr>
                <w:rFonts w:ascii="Arial" w:hAnsi="Arial" w:eastAsia="Arial"/>
                <w:sz w:val="16"/>
              </w:rPr>
              <w:t>-0.075</w:t>
            </w:r>
          </w:p>
        </w:tc>
        <w:tc>
          <w:tcPr>
            <w:vAlign w:val="top"/>
            <w:tcMar>
              <w:top w:w="70" w:type="dxa"/>
              <w:start w:w="80" w:type="dxa"/>
              <w:bottom w:w="70" w:type="dxa"/>
              <w:end w:w="80" w:type="dxa"/>
            </w:tcMar>
            <w:shd w:fill="FFFFFF"/>
          </w:tcPr>
          <w:p>
            <w:pPr>
              <w:pStyle w:val="Compact"/>
              <w:jc w:val="left"/>
            </w:pPr>
            <w:r>
              <w:rPr>
                <w:rFonts w:ascii="Arial" w:hAnsi="Arial" w:eastAsia="Arial"/>
                <w:sz w:val="16"/>
              </w:rPr>
              <w:t>0.000</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DIGN</w:t>
            </w:r>
          </w:p>
        </w:tc>
        <w:tc>
          <w:tcPr>
            <w:vAlign w:val="top"/>
            <w:tcMar>
              <w:top w:w="70" w:type="dxa"/>
              <w:start w:w="80" w:type="dxa"/>
              <w:bottom w:w="70" w:type="dxa"/>
              <w:end w:w="80" w:type="dxa"/>
            </w:tcMar>
            <w:shd w:fill="D9EAF7"/>
          </w:tcPr>
          <w:p>
            <w:pPr>
              <w:pStyle w:val="Compact"/>
              <w:jc w:val="left"/>
            </w:pPr>
            <w:r>
              <w:rPr>
                <w:rFonts w:ascii="Arial" w:hAnsi="Arial" w:eastAsia="Arial"/>
                <w:sz w:val="16"/>
              </w:rPr>
              <w:t>-0.55</w:t>
            </w:r>
          </w:p>
        </w:tc>
        <w:tc>
          <w:tcPr>
            <w:vAlign w:val="top"/>
            <w:tcMar>
              <w:top w:w="70" w:type="dxa"/>
              <w:start w:w="80" w:type="dxa"/>
              <w:bottom w:w="70" w:type="dxa"/>
              <w:end w:w="80" w:type="dxa"/>
            </w:tcMar>
            <w:shd w:fill="D9EAF7"/>
          </w:tcPr>
          <w:p>
            <w:pPr>
              <w:pStyle w:val="Compact"/>
              <w:jc w:val="left"/>
            </w:pPr>
            <w:r>
              <w:rPr>
                <w:rFonts w:ascii="Arial" w:hAnsi="Arial" w:eastAsia="Arial"/>
                <w:sz w:val="16"/>
              </w:rPr>
              <w:t>U1xD5</w:t>
            </w:r>
          </w:p>
        </w:tc>
        <w:tc>
          <w:tcPr>
            <w:vAlign w:val="top"/>
            <w:tcMar>
              <w:top w:w="70" w:type="dxa"/>
              <w:start w:w="80" w:type="dxa"/>
              <w:bottom w:w="70" w:type="dxa"/>
              <w:end w:w="80" w:type="dxa"/>
            </w:tcMar>
            <w:shd w:fill="D9EAF7"/>
          </w:tcPr>
          <w:p>
            <w:pPr>
              <w:pStyle w:val="Compact"/>
              <w:jc w:val="left"/>
            </w:pPr>
            <w:r>
              <w:rPr>
                <w:rFonts w:ascii="Arial" w:hAnsi="Arial" w:eastAsia="Arial"/>
                <w:sz w:val="16"/>
              </w:rPr>
              <w:t>-1.000</w:t>
            </w:r>
          </w:p>
        </w:tc>
        <w:tc>
          <w:tcPr>
            <w:vAlign w:val="top"/>
            <w:tcMar>
              <w:top w:w="70" w:type="dxa"/>
              <w:start w:w="80" w:type="dxa"/>
              <w:bottom w:w="70" w:type="dxa"/>
              <w:end w:w="80" w:type="dxa"/>
            </w:tcMar>
            <w:shd w:fill="D9EAF7"/>
          </w:tcPr>
          <w:p>
            <w:pPr>
              <w:pStyle w:val="Compact"/>
              <w:jc w:val="left"/>
            </w:pPr>
            <w:r>
              <w:rPr>
                <w:rFonts w:ascii="Arial" w:hAnsi="Arial" w:eastAsia="Arial"/>
                <w:sz w:val="16"/>
              </w:rPr>
              <w:t>0.450</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PROC</w:t>
            </w:r>
          </w:p>
        </w:tc>
        <w:tc>
          <w:tcPr>
            <w:vAlign w:val="top"/>
            <w:tcMar>
              <w:top w:w="70" w:type="dxa"/>
              <w:start w:w="80" w:type="dxa"/>
              <w:bottom w:w="70" w:type="dxa"/>
              <w:end w:w="80" w:type="dxa"/>
            </w:tcMar>
            <w:shd w:fill="FFFFFF"/>
          </w:tcPr>
          <w:p>
            <w:pPr>
              <w:pStyle w:val="Compact"/>
              <w:jc w:val="left"/>
            </w:pPr>
            <w:r>
              <w:rPr>
                <w:rFonts w:ascii="Arial" w:hAnsi="Arial" w:eastAsia="Arial"/>
                <w:sz w:val="16"/>
              </w:rPr>
              <w:t>-0.45</w:t>
            </w:r>
          </w:p>
        </w:tc>
        <w:tc>
          <w:tcPr>
            <w:vAlign w:val="top"/>
            <w:tcMar>
              <w:top w:w="70" w:type="dxa"/>
              <w:start w:w="80" w:type="dxa"/>
              <w:bottom w:w="70" w:type="dxa"/>
              <w:end w:w="80" w:type="dxa"/>
            </w:tcMar>
            <w:shd w:fill="FFFFFF"/>
          </w:tcPr>
          <w:p>
            <w:pPr>
              <w:pStyle w:val="Compact"/>
              <w:jc w:val="left"/>
            </w:pPr>
            <w:r>
              <w:rPr>
                <w:rFonts w:ascii="Arial" w:hAnsi="Arial" w:eastAsia="Arial"/>
                <w:sz w:val="16"/>
              </w:rPr>
              <w:t>U4xD5</w:t>
            </w:r>
          </w:p>
        </w:tc>
        <w:tc>
          <w:tcPr>
            <w:vAlign w:val="top"/>
            <w:tcMar>
              <w:top w:w="70" w:type="dxa"/>
              <w:start w:w="80" w:type="dxa"/>
              <w:bottom w:w="70" w:type="dxa"/>
              <w:end w:w="80" w:type="dxa"/>
            </w:tcMar>
            <w:shd w:fill="FFFFFF"/>
          </w:tcPr>
          <w:p>
            <w:pPr>
              <w:pStyle w:val="Compact"/>
              <w:jc w:val="left"/>
            </w:pPr>
            <w:r>
              <w:rPr>
                <w:rFonts w:ascii="Arial" w:hAnsi="Arial" w:eastAsia="Arial"/>
                <w:sz w:val="16"/>
              </w:rPr>
              <w:t>-0.750</w:t>
            </w:r>
          </w:p>
        </w:tc>
        <w:tc>
          <w:tcPr>
            <w:vAlign w:val="top"/>
            <w:tcMar>
              <w:top w:w="70" w:type="dxa"/>
              <w:start w:w="80" w:type="dxa"/>
              <w:bottom w:w="70" w:type="dxa"/>
              <w:end w:w="80" w:type="dxa"/>
            </w:tcMar>
            <w:shd w:fill="FFFFFF"/>
          </w:tcPr>
          <w:p>
            <w:pPr>
              <w:pStyle w:val="Compact"/>
              <w:jc w:val="left"/>
            </w:pPr>
            <w:r>
              <w:rPr>
                <w:rFonts w:ascii="Arial" w:hAnsi="Arial" w:eastAsia="Arial"/>
                <w:sz w:val="16"/>
              </w:rPr>
              <w:t>0.300</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INFO</w:t>
            </w:r>
          </w:p>
        </w:tc>
        <w:tc>
          <w:tcPr>
            <w:vAlign w:val="top"/>
            <w:tcMar>
              <w:top w:w="70" w:type="dxa"/>
              <w:start w:w="80" w:type="dxa"/>
              <w:bottom w:w="70" w:type="dxa"/>
              <w:end w:w="80" w:type="dxa"/>
            </w:tcMar>
            <w:shd w:fill="D9EAF7"/>
          </w:tcPr>
          <w:p>
            <w:pPr>
              <w:pStyle w:val="Compact"/>
              <w:jc w:val="left"/>
            </w:pPr>
            <w:r>
              <w:rPr>
                <w:rFonts w:ascii="Arial" w:hAnsi="Arial" w:eastAsia="Arial"/>
                <w:sz w:val="16"/>
              </w:rPr>
              <w:t>-0.40</w:t>
            </w:r>
          </w:p>
        </w:tc>
        <w:tc>
          <w:tcPr>
            <w:vAlign w:val="top"/>
            <w:tcMar>
              <w:top w:w="70" w:type="dxa"/>
              <w:start w:w="80" w:type="dxa"/>
              <w:bottom w:w="70" w:type="dxa"/>
              <w:end w:w="80" w:type="dxa"/>
            </w:tcMar>
            <w:shd w:fill="D9EAF7"/>
          </w:tcPr>
          <w:p>
            <w:pPr>
              <w:pStyle w:val="Compact"/>
              <w:jc w:val="left"/>
            </w:pPr>
            <w:r>
              <w:rPr>
                <w:rFonts w:ascii="Arial" w:hAnsi="Arial" w:eastAsia="Arial"/>
                <w:sz w:val="16"/>
              </w:rPr>
              <w:t>U1xD5</w:t>
            </w:r>
          </w:p>
        </w:tc>
        <w:tc>
          <w:tcPr>
            <w:vAlign w:val="top"/>
            <w:tcMar>
              <w:top w:w="70" w:type="dxa"/>
              <w:start w:w="80" w:type="dxa"/>
              <w:bottom w:w="70" w:type="dxa"/>
              <w:end w:w="80" w:type="dxa"/>
            </w:tcMar>
            <w:shd w:fill="D9EAF7"/>
          </w:tcPr>
          <w:p>
            <w:pPr>
              <w:pStyle w:val="Compact"/>
              <w:jc w:val="left"/>
            </w:pPr>
            <w:r>
              <w:rPr>
                <w:rFonts w:ascii="Arial" w:hAnsi="Arial" w:eastAsia="Arial"/>
                <w:sz w:val="16"/>
              </w:rPr>
              <w:t>-1.000</w:t>
            </w:r>
          </w:p>
        </w:tc>
        <w:tc>
          <w:tcPr>
            <w:vAlign w:val="top"/>
            <w:tcMar>
              <w:top w:w="70" w:type="dxa"/>
              <w:start w:w="80" w:type="dxa"/>
              <w:bottom w:w="70" w:type="dxa"/>
              <w:end w:w="80" w:type="dxa"/>
            </w:tcMar>
            <w:shd w:fill="D9EAF7"/>
          </w:tcPr>
          <w:p>
            <w:pPr>
              <w:pStyle w:val="Compact"/>
              <w:jc w:val="left"/>
            </w:pPr>
            <w:r>
              <w:rPr>
                <w:rFonts w:ascii="Arial" w:hAnsi="Arial" w:eastAsia="Arial"/>
                <w:sz w:val="16"/>
              </w:rPr>
              <w:t>0.600</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ECOL</w:t>
            </w:r>
          </w:p>
        </w:tc>
        <w:tc>
          <w:tcPr>
            <w:vAlign w:val="top"/>
            <w:tcMar>
              <w:top w:w="70" w:type="dxa"/>
              <w:start w:w="80" w:type="dxa"/>
              <w:bottom w:w="70" w:type="dxa"/>
              <w:end w:w="80" w:type="dxa"/>
            </w:tcMar>
            <w:shd w:fill="FFFFFF"/>
          </w:tcPr>
          <w:p>
            <w:pPr>
              <w:pStyle w:val="Compact"/>
              <w:jc w:val="left"/>
            </w:pPr>
            <w:r>
              <w:rPr>
                <w:rFonts w:ascii="Arial" w:hAnsi="Arial" w:eastAsia="Arial"/>
                <w:sz w:val="16"/>
              </w:rPr>
              <w:t>-0.65</w:t>
            </w:r>
          </w:p>
        </w:tc>
        <w:tc>
          <w:tcPr>
            <w:vAlign w:val="top"/>
            <w:tcMar>
              <w:top w:w="70" w:type="dxa"/>
              <w:start w:w="80" w:type="dxa"/>
              <w:bottom w:w="70" w:type="dxa"/>
              <w:end w:w="80" w:type="dxa"/>
            </w:tcMar>
            <w:shd w:fill="FFFFFF"/>
          </w:tcPr>
          <w:p>
            <w:pPr>
              <w:pStyle w:val="Compact"/>
              <w:jc w:val="left"/>
            </w:pPr>
            <w:r>
              <w:rPr>
                <w:rFonts w:ascii="Arial" w:hAnsi="Arial" w:eastAsia="Arial"/>
                <w:sz w:val="16"/>
              </w:rPr>
              <w:t>U6xD7</w:t>
            </w:r>
          </w:p>
        </w:tc>
        <w:tc>
          <w:tcPr>
            <w:vAlign w:val="top"/>
            <w:tcMar>
              <w:top w:w="70" w:type="dxa"/>
              <w:start w:w="80" w:type="dxa"/>
              <w:bottom w:w="70" w:type="dxa"/>
              <w:end w:w="80" w:type="dxa"/>
            </w:tcMar>
            <w:shd w:fill="FFFFFF"/>
          </w:tcPr>
          <w:p>
            <w:pPr>
              <w:pStyle w:val="Compact"/>
              <w:jc w:val="left"/>
            </w:pPr>
            <w:r>
              <w:rPr>
                <w:rFonts w:ascii="Arial" w:hAnsi="Arial" w:eastAsia="Arial"/>
                <w:sz w:val="16"/>
              </w:rPr>
              <w:t>-0.030</w:t>
            </w:r>
          </w:p>
        </w:tc>
        <w:tc>
          <w:tcPr>
            <w:vAlign w:val="top"/>
            <w:tcMar>
              <w:top w:w="70" w:type="dxa"/>
              <w:start w:w="80" w:type="dxa"/>
              <w:bottom w:w="70" w:type="dxa"/>
              <w:end w:w="80" w:type="dxa"/>
            </w:tcMar>
            <w:shd w:fill="FFFFFF"/>
          </w:tcPr>
          <w:p>
            <w:pPr>
              <w:pStyle w:val="Compact"/>
              <w:jc w:val="left"/>
            </w:pPr>
            <w:r>
              <w:rPr>
                <w:rFonts w:ascii="Arial" w:hAnsi="Arial" w:eastAsia="Arial"/>
                <w:sz w:val="16"/>
              </w:rPr>
              <w:t>0.000</w:t>
            </w:r>
          </w:p>
        </w:tc>
      </w:tr>
    </w:tbl>
    <w:p>
      <w:pPr>
        <w:pStyle w:val="BodyText"/>
      </w:pPr>
      <w:r>
        <w:t>NCRC(A) = FALSE. Violations: LBTY, DIGN, PROC, INFO.</w:t>
      </w:r>
    </w:p>
    <w:p>
      <w:pPr>
        <w:pStyle w:val="BodyText"/>
      </w:pPr>
      <w:r>
        <w:t>Option B (expected: PASS): worst relevant right values remain above thresholds; NCRC(B) = TRUE.</w:t>
      </w:r>
    </w:p>
    <w:p>
      <w:pPr>
        <w:pStyle w:val="BodyText"/>
      </w:pPr>
      <w:r>
        <w:t>Option C (expected: PASS): all I_rights values are non-negative or mildly negative and remain above thresholds; NCRC(C) = TRUE.</w:t>
      </w:r>
    </w:p>
    <w:p>
      <w:pPr>
        <w:pStyle w:val="BodyText"/>
      </w:pPr>
      <w:r>
        <w:t>A_NCRC = {B, C}.</w:t>
      </w:r>
    </w:p>
    <w:bookmarkEnd w:id="538"/>
    <w:bookmarkStart w:id="539" w:name="r195-expected-trc-outcomes"/>
    <w:p>
      <w:pPr>
        <w:pStyle w:val="Heading2"/>
      </w:pPr>
      <w:r>
        <w:t>R.19.5 Expected TRC outcomes</w:t>
      </w:r>
    </w:p>
    <w:tbl>
      <w:tblPr>
        <w:tblStyle w:val="Table"/>
        <w:tblW w:type="auto" w:w="0"/>
        <w:jc w:val="center"/>
        <w:tblLook w:firstRow="1" w:lastRow="0" w:firstColumn="0" w:lastColumn="0" w:noHBand="0" w:noVBand="0" w:val="0020"/>
      </w:tblPr>
      <w:tblGrid>
        <w:gridCol w:w="1584"/>
        <w:gridCol w:w="1584"/>
        <w:gridCol w:w="1584"/>
        <w:gridCol w:w="1584"/>
        <w:gridCol w:w="1584"/>
      </w:tblGrid>
      <w:tr>
        <w:trPr>
          <w:tblHeader w:val="on"/>
          <w:tblHeader w:val="true"/>
          <w:cantSplit/>
        </w:trPr>
        <w:tc>
          <w:tcPr>
            <w:vAlign w:val="top"/>
            <w:tcMar>
              <w:top w:w="70" w:type="dxa"/>
              <w:start w:w="80" w:type="dxa"/>
              <w:bottom w:w="70" w:type="dxa"/>
              <w:end w:w="80" w:type="dxa"/>
            </w:tcMar>
            <w:shd w:fill="1F4E78"/>
          </w:tcPr>
          <w:p>
            <w:pPr>
              <w:pStyle w:val="Compact"/>
              <w:jc w:val="left"/>
            </w:pPr>
            <w:r>
              <w:rPr>
                <w:rFonts w:ascii="Arial" w:hAnsi="Arial" w:eastAsia="Arial"/>
                <w:b/>
                <w:bCs/>
                <w:color w:val="FFFFFF"/>
                <w:sz w:val="16"/>
              </w:rPr>
              <w:t>Scenario</w:t>
            </w:r>
          </w:p>
        </w:tc>
        <w:tc>
          <w:tcPr>
            <w:vAlign w:val="top"/>
            <w:tcMar>
              <w:top w:w="70" w:type="dxa"/>
              <w:start w:w="80" w:type="dxa"/>
              <w:bottom w:w="70" w:type="dxa"/>
              <w:end w:w="80" w:type="dxa"/>
            </w:tcMar>
            <w:shd w:fill="1F4E78"/>
          </w:tcPr>
          <w:p>
            <w:pPr>
              <w:pStyle w:val="Compact"/>
              <w:jc w:val="left"/>
            </w:pPr>
            <w:r>
              <w:rPr>
                <w:rFonts w:ascii="Arial" w:hAnsi="Arial" w:eastAsia="Arial"/>
                <w:b/>
                <w:bCs/>
                <w:color w:val="FFFFFF"/>
                <w:sz w:val="16"/>
              </w:rPr>
              <w:t>Category</w:t>
            </w:r>
          </w:p>
        </w:tc>
        <w:tc>
          <w:tcPr>
            <w:vAlign w:val="top"/>
            <w:tcMar>
              <w:top w:w="70" w:type="dxa"/>
              <w:start w:w="80" w:type="dxa"/>
              <w:bottom w:w="70" w:type="dxa"/>
              <w:end w:w="80" w:type="dxa"/>
            </w:tcMar>
            <w:shd w:fill="1F4E78"/>
          </w:tcPr>
          <w:p>
            <w:pPr>
              <w:pStyle w:val="Compact"/>
              <w:jc w:val="left"/>
            </w:pPr>
            <w:r>
              <w:rPr>
                <w:rFonts w:ascii="Arial" w:hAnsi="Arial" w:eastAsia="Arial"/>
                <w:b/>
                <w:bCs/>
                <w:color w:val="FFFFFF"/>
                <w:sz w:val="16"/>
              </w:rPr>
              <w:t>p_s</w:t>
            </w:r>
          </w:p>
        </w:tc>
        <w:tc>
          <w:tcPr>
            <w:vAlign w:val="top"/>
            <w:tcMar>
              <w:top w:w="70" w:type="dxa"/>
              <w:start w:w="80" w:type="dxa"/>
              <w:bottom w:w="70" w:type="dxa"/>
              <w:end w:w="80" w:type="dxa"/>
            </w:tcMar>
            <w:shd w:fill="1F4E78"/>
          </w:tcPr>
          <w:p>
            <w:pPr>
              <w:pStyle w:val="Compact"/>
              <w:jc w:val="left"/>
            </w:pPr>
            <w:r>
              <w:rPr>
                <w:rFonts w:ascii="Arial" w:hAnsi="Arial" w:eastAsia="Arial"/>
                <w:b/>
                <w:bCs/>
                <w:color w:val="FFFFFF"/>
                <w:sz w:val="16"/>
              </w:rPr>
              <w:t>L(B,s)</w:t>
            </w:r>
          </w:p>
        </w:tc>
        <w:tc>
          <w:tcPr>
            <w:vAlign w:val="top"/>
            <w:tcMar>
              <w:top w:w="70" w:type="dxa"/>
              <w:start w:w="80" w:type="dxa"/>
              <w:bottom w:w="70" w:type="dxa"/>
              <w:end w:w="80" w:type="dxa"/>
            </w:tcMar>
            <w:shd w:fill="1F4E78"/>
          </w:tcPr>
          <w:p>
            <w:pPr>
              <w:pStyle w:val="Compact"/>
              <w:jc w:val="left"/>
            </w:pPr>
            <w:r>
              <w:rPr>
                <w:rFonts w:ascii="Arial" w:hAnsi="Arial" w:eastAsia="Arial"/>
                <w:b/>
                <w:bCs/>
                <w:color w:val="FFFFFF"/>
                <w:sz w:val="16"/>
              </w:rPr>
              <w:t>L(C,s)</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S1</w:t>
            </w:r>
          </w:p>
        </w:tc>
        <w:tc>
          <w:tcPr>
            <w:vAlign w:val="top"/>
            <w:tcMar>
              <w:top w:w="70" w:type="dxa"/>
              <w:start w:w="80" w:type="dxa"/>
              <w:bottom w:w="70" w:type="dxa"/>
              <w:end w:w="80" w:type="dxa"/>
            </w:tcMar>
            <w:shd w:fill="D9EAF7"/>
          </w:tcPr>
          <w:p>
            <w:pPr>
              <w:pStyle w:val="Compact"/>
              <w:jc w:val="left"/>
            </w:pPr>
            <w:r>
              <w:rPr>
                <w:rFonts w:ascii="Arial" w:hAnsi="Arial" w:eastAsia="Arial"/>
                <w:sz w:val="16"/>
              </w:rPr>
              <w:t>Pandemic</w:t>
            </w:r>
          </w:p>
        </w:tc>
        <w:tc>
          <w:tcPr>
            <w:vAlign w:val="top"/>
            <w:tcMar>
              <w:top w:w="70" w:type="dxa"/>
              <w:start w:w="80" w:type="dxa"/>
              <w:bottom w:w="70" w:type="dxa"/>
              <w:end w:w="80" w:type="dxa"/>
            </w:tcMar>
            <w:shd w:fill="D9EAF7"/>
          </w:tcPr>
          <w:p>
            <w:pPr>
              <w:pStyle w:val="Compact"/>
              <w:jc w:val="left"/>
            </w:pPr>
            <w:r>
              <w:rPr>
                <w:rFonts w:ascii="Arial" w:hAnsi="Arial" w:eastAsia="Arial"/>
                <w:sz w:val="16"/>
              </w:rPr>
              <w:t>0.05</w:t>
            </w:r>
          </w:p>
        </w:tc>
        <w:tc>
          <w:tcPr>
            <w:vAlign w:val="top"/>
            <w:tcMar>
              <w:top w:w="70" w:type="dxa"/>
              <w:start w:w="80" w:type="dxa"/>
              <w:bottom w:w="70" w:type="dxa"/>
              <w:end w:w="80" w:type="dxa"/>
            </w:tcMar>
            <w:shd w:fill="D9EAF7"/>
          </w:tcPr>
          <w:p>
            <w:pPr>
              <w:pStyle w:val="Compact"/>
              <w:jc w:val="left"/>
            </w:pPr>
            <w:r>
              <w:rPr>
                <w:rFonts w:ascii="Arial" w:hAnsi="Arial" w:eastAsia="Arial"/>
                <w:sz w:val="16"/>
              </w:rPr>
              <w:t>0.15</w:t>
            </w:r>
          </w:p>
        </w:tc>
        <w:tc>
          <w:tcPr>
            <w:vAlign w:val="top"/>
            <w:tcMar>
              <w:top w:w="70" w:type="dxa"/>
              <w:start w:w="80" w:type="dxa"/>
              <w:bottom w:w="70" w:type="dxa"/>
              <w:end w:w="80" w:type="dxa"/>
            </w:tcMar>
            <w:shd w:fill="D9EAF7"/>
          </w:tcPr>
          <w:p>
            <w:pPr>
              <w:pStyle w:val="Compact"/>
              <w:jc w:val="left"/>
            </w:pPr>
            <w:r>
              <w:rPr>
                <w:rFonts w:ascii="Arial" w:hAnsi="Arial" w:eastAsia="Arial"/>
                <w:sz w:val="16"/>
              </w:rPr>
              <w:t>0.08</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S2</w:t>
            </w:r>
          </w:p>
        </w:tc>
        <w:tc>
          <w:tcPr>
            <w:vAlign w:val="top"/>
            <w:tcMar>
              <w:top w:w="70" w:type="dxa"/>
              <w:start w:w="80" w:type="dxa"/>
              <w:bottom w:w="70" w:type="dxa"/>
              <w:end w:w="80" w:type="dxa"/>
            </w:tcMar>
            <w:shd w:fill="FFFFFF"/>
          </w:tcPr>
          <w:p>
            <w:pPr>
              <w:pStyle w:val="Compact"/>
              <w:jc w:val="left"/>
            </w:pPr>
            <w:r>
              <w:rPr>
                <w:rFonts w:ascii="Arial" w:hAnsi="Arial" w:eastAsia="Arial"/>
                <w:sz w:val="16"/>
              </w:rPr>
              <w:t>Infrastructure</w:t>
            </w:r>
          </w:p>
        </w:tc>
        <w:tc>
          <w:tcPr>
            <w:vAlign w:val="top"/>
            <w:tcMar>
              <w:top w:w="70" w:type="dxa"/>
              <w:start w:w="80" w:type="dxa"/>
              <w:bottom w:w="70" w:type="dxa"/>
              <w:end w:w="80" w:type="dxa"/>
            </w:tcMar>
            <w:shd w:fill="FFFFFF"/>
          </w:tcPr>
          <w:p>
            <w:pPr>
              <w:pStyle w:val="Compact"/>
              <w:jc w:val="left"/>
            </w:pPr>
            <w:r>
              <w:rPr>
                <w:rFonts w:ascii="Arial" w:hAnsi="Arial" w:eastAsia="Arial"/>
                <w:sz w:val="16"/>
              </w:rPr>
              <w:t>0.04</w:t>
            </w:r>
          </w:p>
        </w:tc>
        <w:tc>
          <w:tcPr>
            <w:vAlign w:val="top"/>
            <w:tcMar>
              <w:top w:w="70" w:type="dxa"/>
              <w:start w:w="80" w:type="dxa"/>
              <w:bottom w:w="70" w:type="dxa"/>
              <w:end w:w="80" w:type="dxa"/>
            </w:tcMar>
            <w:shd w:fill="FFFFFF"/>
          </w:tcPr>
          <w:p>
            <w:pPr>
              <w:pStyle w:val="Compact"/>
              <w:jc w:val="left"/>
            </w:pPr>
            <w:r>
              <w:rPr>
                <w:rFonts w:ascii="Arial" w:hAnsi="Arial" w:eastAsia="Arial"/>
                <w:sz w:val="16"/>
              </w:rPr>
              <w:t>0.12</w:t>
            </w:r>
          </w:p>
        </w:tc>
        <w:tc>
          <w:tcPr>
            <w:vAlign w:val="top"/>
            <w:tcMar>
              <w:top w:w="70" w:type="dxa"/>
              <w:start w:w="80" w:type="dxa"/>
              <w:bottom w:w="70" w:type="dxa"/>
              <w:end w:w="80" w:type="dxa"/>
            </w:tcMar>
            <w:shd w:fill="FFFFFF"/>
          </w:tcPr>
          <w:p>
            <w:pPr>
              <w:pStyle w:val="Compact"/>
              <w:jc w:val="left"/>
            </w:pPr>
            <w:r>
              <w:rPr>
                <w:rFonts w:ascii="Arial" w:hAnsi="Arial" w:eastAsia="Arial"/>
                <w:sz w:val="16"/>
              </w:rPr>
              <w:t>0.06</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S3</w:t>
            </w:r>
          </w:p>
        </w:tc>
        <w:tc>
          <w:tcPr>
            <w:vAlign w:val="top"/>
            <w:tcMar>
              <w:top w:w="70" w:type="dxa"/>
              <w:start w:w="80" w:type="dxa"/>
              <w:bottom w:w="70" w:type="dxa"/>
              <w:end w:w="80" w:type="dxa"/>
            </w:tcMar>
            <w:shd w:fill="D9EAF7"/>
          </w:tcPr>
          <w:p>
            <w:pPr>
              <w:pStyle w:val="Compact"/>
              <w:jc w:val="left"/>
            </w:pPr>
            <w:r>
              <w:rPr>
                <w:rFonts w:ascii="Arial" w:hAnsi="Arial" w:eastAsia="Arial"/>
                <w:sz w:val="16"/>
              </w:rPr>
              <w:t>Climate</w:t>
            </w:r>
          </w:p>
        </w:tc>
        <w:tc>
          <w:tcPr>
            <w:vAlign w:val="top"/>
            <w:tcMar>
              <w:top w:w="70" w:type="dxa"/>
              <w:start w:w="80" w:type="dxa"/>
              <w:bottom w:w="70" w:type="dxa"/>
              <w:end w:w="80" w:type="dxa"/>
            </w:tcMar>
            <w:shd w:fill="D9EAF7"/>
          </w:tcPr>
          <w:p>
            <w:pPr>
              <w:pStyle w:val="Compact"/>
              <w:jc w:val="left"/>
            </w:pPr>
            <w:r>
              <w:rPr>
                <w:rFonts w:ascii="Arial" w:hAnsi="Arial" w:eastAsia="Arial"/>
                <w:sz w:val="16"/>
              </w:rPr>
              <w:t>0.03</w:t>
            </w:r>
          </w:p>
        </w:tc>
        <w:tc>
          <w:tcPr>
            <w:vAlign w:val="top"/>
            <w:tcMar>
              <w:top w:w="70" w:type="dxa"/>
              <w:start w:w="80" w:type="dxa"/>
              <w:bottom w:w="70" w:type="dxa"/>
              <w:end w:w="80" w:type="dxa"/>
            </w:tcMar>
            <w:shd w:fill="D9EAF7"/>
          </w:tcPr>
          <w:p>
            <w:pPr>
              <w:pStyle w:val="Compact"/>
              <w:jc w:val="left"/>
            </w:pPr>
            <w:r>
              <w:rPr>
                <w:rFonts w:ascii="Arial" w:hAnsi="Arial" w:eastAsia="Arial"/>
                <w:sz w:val="16"/>
              </w:rPr>
              <w:t>0.10</w:t>
            </w:r>
          </w:p>
        </w:tc>
        <w:tc>
          <w:tcPr>
            <w:vAlign w:val="top"/>
            <w:tcMar>
              <w:top w:w="70" w:type="dxa"/>
              <w:start w:w="80" w:type="dxa"/>
              <w:bottom w:w="70" w:type="dxa"/>
              <w:end w:w="80" w:type="dxa"/>
            </w:tcMar>
            <w:shd w:fill="D9EAF7"/>
          </w:tcPr>
          <w:p>
            <w:pPr>
              <w:pStyle w:val="Compact"/>
              <w:jc w:val="left"/>
            </w:pPr>
            <w:r>
              <w:rPr>
                <w:rFonts w:ascii="Arial" w:hAnsi="Arial" w:eastAsia="Arial"/>
                <w:sz w:val="16"/>
              </w:rPr>
              <w:t>0.05</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S4</w:t>
            </w:r>
          </w:p>
        </w:tc>
        <w:tc>
          <w:tcPr>
            <w:vAlign w:val="top"/>
            <w:tcMar>
              <w:top w:w="70" w:type="dxa"/>
              <w:start w:w="80" w:type="dxa"/>
              <w:bottom w:w="70" w:type="dxa"/>
              <w:end w:w="80" w:type="dxa"/>
            </w:tcMar>
            <w:shd w:fill="FFFFFF"/>
          </w:tcPr>
          <w:p>
            <w:pPr>
              <w:pStyle w:val="Compact"/>
              <w:jc w:val="left"/>
            </w:pPr>
            <w:r>
              <w:rPr>
                <w:rFonts w:ascii="Arial" w:hAnsi="Arial" w:eastAsia="Arial"/>
                <w:sz w:val="16"/>
              </w:rPr>
              <w:t>Baseline</w:t>
            </w:r>
          </w:p>
        </w:tc>
        <w:tc>
          <w:tcPr>
            <w:vAlign w:val="top"/>
            <w:tcMar>
              <w:top w:w="70" w:type="dxa"/>
              <w:start w:w="80" w:type="dxa"/>
              <w:bottom w:w="70" w:type="dxa"/>
              <w:end w:w="80" w:type="dxa"/>
            </w:tcMar>
            <w:shd w:fill="FFFFFF"/>
          </w:tcPr>
          <w:p>
            <w:pPr>
              <w:pStyle w:val="Compact"/>
              <w:jc w:val="left"/>
            </w:pPr>
            <w:r>
              <w:rPr>
                <w:rFonts w:ascii="Arial" w:hAnsi="Arial" w:eastAsia="Arial"/>
                <w:sz w:val="16"/>
              </w:rPr>
              <w:t>0.58</w:t>
            </w:r>
          </w:p>
        </w:tc>
        <w:tc>
          <w:tcPr>
            <w:vAlign w:val="top"/>
            <w:tcMar>
              <w:top w:w="70" w:type="dxa"/>
              <w:start w:w="80" w:type="dxa"/>
              <w:bottom w:w="70" w:type="dxa"/>
              <w:end w:w="80" w:type="dxa"/>
            </w:tcMar>
            <w:shd w:fill="FFFFFF"/>
          </w:tcPr>
          <w:p>
            <w:pPr>
              <w:pStyle w:val="Compact"/>
              <w:jc w:val="left"/>
            </w:pPr>
            <w:r>
              <w:rPr>
                <w:rFonts w:ascii="Arial" w:hAnsi="Arial" w:eastAsia="Arial"/>
                <w:sz w:val="16"/>
              </w:rPr>
              <w:t>0.02</w:t>
            </w:r>
          </w:p>
        </w:tc>
        <w:tc>
          <w:tcPr>
            <w:vAlign w:val="top"/>
            <w:tcMar>
              <w:top w:w="70" w:type="dxa"/>
              <w:start w:w="80" w:type="dxa"/>
              <w:bottom w:w="70" w:type="dxa"/>
              <w:end w:w="80" w:type="dxa"/>
            </w:tcMar>
            <w:shd w:fill="FFFFFF"/>
          </w:tcPr>
          <w:p>
            <w:pPr>
              <w:pStyle w:val="Compact"/>
              <w:jc w:val="left"/>
            </w:pPr>
            <w:r>
              <w:rPr>
                <w:rFonts w:ascii="Arial" w:hAnsi="Arial" w:eastAsia="Arial"/>
                <w:sz w:val="16"/>
              </w:rPr>
              <w:t>0.01</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S5</w:t>
            </w:r>
          </w:p>
        </w:tc>
        <w:tc>
          <w:tcPr>
            <w:vAlign w:val="top"/>
            <w:tcMar>
              <w:top w:w="70" w:type="dxa"/>
              <w:start w:w="80" w:type="dxa"/>
              <w:bottom w:w="70" w:type="dxa"/>
              <w:end w:w="80" w:type="dxa"/>
            </w:tcMar>
            <w:shd w:fill="D9EAF7"/>
          </w:tcPr>
          <w:p>
            <w:pPr>
              <w:pStyle w:val="Compact"/>
              <w:jc w:val="left"/>
            </w:pPr>
            <w:r>
              <w:rPr>
                <w:rFonts w:ascii="Arial" w:hAnsi="Arial" w:eastAsia="Arial"/>
                <w:sz w:val="16"/>
              </w:rPr>
              <w:t>Stress</w:t>
            </w:r>
          </w:p>
        </w:tc>
        <w:tc>
          <w:tcPr>
            <w:vAlign w:val="top"/>
            <w:tcMar>
              <w:top w:w="70" w:type="dxa"/>
              <w:start w:w="80" w:type="dxa"/>
              <w:bottom w:w="70" w:type="dxa"/>
              <w:end w:w="80" w:type="dxa"/>
            </w:tcMar>
            <w:shd w:fill="D9EAF7"/>
          </w:tcPr>
          <w:p>
            <w:pPr>
              <w:pStyle w:val="Compact"/>
              <w:jc w:val="left"/>
            </w:pPr>
            <w:r>
              <w:rPr>
                <w:rFonts w:ascii="Arial" w:hAnsi="Arial" w:eastAsia="Arial"/>
                <w:sz w:val="16"/>
              </w:rPr>
              <w:t>0.30</w:t>
            </w:r>
          </w:p>
        </w:tc>
        <w:tc>
          <w:tcPr>
            <w:vAlign w:val="top"/>
            <w:tcMar>
              <w:top w:w="70" w:type="dxa"/>
              <w:start w:w="80" w:type="dxa"/>
              <w:bottom w:w="70" w:type="dxa"/>
              <w:end w:w="80" w:type="dxa"/>
            </w:tcMar>
            <w:shd w:fill="D9EAF7"/>
          </w:tcPr>
          <w:p>
            <w:pPr>
              <w:pStyle w:val="Compact"/>
              <w:jc w:val="left"/>
            </w:pPr>
            <w:r>
              <w:rPr>
                <w:rFonts w:ascii="Arial" w:hAnsi="Arial" w:eastAsia="Arial"/>
                <w:sz w:val="16"/>
              </w:rPr>
              <w:t>0.05</w:t>
            </w:r>
          </w:p>
        </w:tc>
        <w:tc>
          <w:tcPr>
            <w:vAlign w:val="top"/>
            <w:tcMar>
              <w:top w:w="70" w:type="dxa"/>
              <w:start w:w="80" w:type="dxa"/>
              <w:bottom w:w="70" w:type="dxa"/>
              <w:end w:w="80" w:type="dxa"/>
            </w:tcMar>
            <w:shd w:fill="D9EAF7"/>
          </w:tcPr>
          <w:p>
            <w:pPr>
              <w:pStyle w:val="Compact"/>
              <w:jc w:val="left"/>
            </w:pPr>
            <w:r>
              <w:rPr>
                <w:rFonts w:ascii="Arial" w:hAnsi="Arial" w:eastAsia="Arial"/>
                <w:sz w:val="16"/>
              </w:rPr>
              <w:t>0.03</w:t>
            </w:r>
          </w:p>
        </w:tc>
      </w:tr>
    </w:tbl>
    <w:p>
      <w:pPr>
        <w:pStyle w:val="BodyText"/>
      </w:pPr>
      <w:r>
        <w:t>CVaR computation (tail mass beta = 0.05): Option B = 0.15, PASS. Option C = 0.08, PASS. A_adm = {B, C}.</w:t>
      </w:r>
    </w:p>
    <w:bookmarkEnd w:id="539"/>
    <w:bookmarkStart w:id="540" w:name="r196-expected-containment-outcomes"/>
    <w:p>
      <w:pPr>
        <w:pStyle w:val="Heading2"/>
      </w:pPr>
      <w:r>
        <w:t>R.19.6 Expected Containment outcomes</w:t>
      </w:r>
    </w:p>
    <w:p>
      <w:pPr>
        <w:pStyle w:val="FirstParagraph"/>
      </w:pPr>
      <w:r>
        <w:t>Option B: S_U4(B) = 0.0571 &gt;= 0.05, so U4 triggers. Anc(U4, D_c=2) = {U5, U6}. Declared DeltaUCI values: DeltaUCI_U5(B) = -0.12; DeltaUCI_U6(B) = -0.05. Therefore M_U4(B) = -0.12 &lt; tau_c = -0.10, so Containment(B) = FALSE.</w:t>
      </w:r>
    </w:p>
    <w:p>
      <w:pPr>
        <w:pStyle w:val="BodyText"/>
      </w:pPr>
      <w:r>
        <w:t>Option C: S_U4(C) = 0.0600 &gt;= 0.05, so U4 triggers. Declared DeltaUCI values: DeltaUCI_U5(C) = -0.03; DeltaUCI_U6(C) = +0.02. Therefore M_U4(C) = -0.03 &gt;= -0.10, so Containment(C) = TRUE.</w:t>
      </w:r>
    </w:p>
    <w:p>
      <w:pPr>
        <w:pStyle w:val="BodyText"/>
      </w:pPr>
      <w:r>
        <w:t>A_sel = {C}.</w:t>
      </w:r>
    </w:p>
    <w:bookmarkEnd w:id="540"/>
    <w:bookmarkStart w:id="541" w:name="r197-expected-rls-outcome"/>
    <w:p>
      <w:pPr>
        <w:pStyle w:val="Heading2"/>
      </w:pPr>
      <w:r>
        <w:t>R.19.7 Expected RLS outcome</w:t>
      </w:r>
    </w:p>
    <w:tbl>
      <w:tblPr>
        <w:tblStyle w:val="Table"/>
        <w:tblW w:type="auto" w:w="0"/>
        <w:jc w:val="center"/>
        <w:tblLook w:firstRow="1" w:lastRow="0" w:firstColumn="0" w:lastColumn="0" w:noHBand="0" w:noVBand="0" w:val="0020"/>
      </w:tblPr>
      <w:tblGrid>
        <w:gridCol w:w="1584"/>
        <w:gridCol w:w="1584"/>
        <w:gridCol w:w="1584"/>
        <w:gridCol w:w="1584"/>
        <w:gridCol w:w="1584"/>
      </w:tblGrid>
      <w:tr>
        <w:trPr>
          <w:tblHeader w:val="on"/>
          <w:tblHeader w:val="true"/>
          <w:cantSplit/>
        </w:trPr>
        <w:tc>
          <w:tcPr>
            <w:vAlign w:val="top"/>
            <w:tcMar>
              <w:top w:w="70" w:type="dxa"/>
              <w:start w:w="80" w:type="dxa"/>
              <w:bottom w:w="70" w:type="dxa"/>
              <w:end w:w="80" w:type="dxa"/>
            </w:tcMar>
            <w:shd w:fill="1F4E78"/>
          </w:tcPr>
          <w:p>
            <w:pPr>
              <w:pStyle w:val="Compact"/>
              <w:jc w:val="left"/>
            </w:pPr>
            <w:r>
              <w:rPr>
                <w:rFonts w:ascii="Arial" w:hAnsi="Arial" w:eastAsia="Arial"/>
                <w:b/>
                <w:bCs/>
                <w:color w:val="FFFFFF"/>
                <w:sz w:val="16"/>
              </w:rPr>
              <w:t>Cell</w:t>
            </w:r>
          </w:p>
        </w:tc>
        <w:tc>
          <w:tcPr>
            <w:vAlign w:val="top"/>
            <w:tcMar>
              <w:top w:w="70" w:type="dxa"/>
              <w:start w:w="80" w:type="dxa"/>
              <w:bottom w:w="70" w:type="dxa"/>
              <w:end w:w="80" w:type="dxa"/>
            </w:tcMar>
            <w:shd w:fill="1F4E78"/>
          </w:tcPr>
          <w:p>
            <w:pPr>
              <w:pStyle w:val="Compact"/>
              <w:jc w:val="left"/>
            </w:pPr>
            <w:r>
              <w:rPr>
                <w:rFonts w:ascii="Arial" w:hAnsi="Arial" w:eastAsia="Arial"/>
                <w:b/>
                <w:bCs/>
                <w:color w:val="FFFFFF"/>
                <w:sz w:val="16"/>
              </w:rPr>
              <w:t>w_u</w:t>
            </w:r>
          </w:p>
        </w:tc>
        <w:tc>
          <w:tcPr>
            <w:vAlign w:val="top"/>
            <w:tcMar>
              <w:top w:w="70" w:type="dxa"/>
              <w:start w:w="80" w:type="dxa"/>
              <w:bottom w:w="70" w:type="dxa"/>
              <w:end w:w="80" w:type="dxa"/>
            </w:tcMar>
            <w:shd w:fill="1F4E78"/>
          </w:tcPr>
          <w:p>
            <w:pPr>
              <w:pStyle w:val="Compact"/>
              <w:jc w:val="left"/>
            </w:pPr>
            <w:r>
              <w:rPr>
                <w:rFonts w:ascii="Arial" w:hAnsi="Arial" w:eastAsia="Arial"/>
                <w:b/>
                <w:bCs/>
                <w:color w:val="FFFFFF"/>
                <w:sz w:val="16"/>
              </w:rPr>
              <w:t>v_d</w:t>
            </w:r>
          </w:p>
        </w:tc>
        <w:tc>
          <w:tcPr>
            <w:vAlign w:val="top"/>
            <w:tcMar>
              <w:top w:w="70" w:type="dxa"/>
              <w:start w:w="80" w:type="dxa"/>
              <w:bottom w:w="70" w:type="dxa"/>
              <w:end w:w="80" w:type="dxa"/>
            </w:tcMar>
            <w:shd w:fill="1F4E78"/>
          </w:tcPr>
          <w:p>
            <w:pPr>
              <w:pStyle w:val="Compact"/>
              <w:jc w:val="left"/>
            </w:pPr>
            <w:r>
              <w:rPr>
                <w:rFonts w:ascii="Arial" w:hAnsi="Arial" w:eastAsia="Arial"/>
                <w:b/>
                <w:bCs/>
                <w:color w:val="FFFFFF"/>
                <w:sz w:val="16"/>
              </w:rPr>
              <w:t>I_prop_welfare</w:t>
            </w:r>
          </w:p>
        </w:tc>
        <w:tc>
          <w:tcPr>
            <w:vAlign w:val="top"/>
            <w:tcMar>
              <w:top w:w="70" w:type="dxa"/>
              <w:start w:w="80" w:type="dxa"/>
              <w:bottom w:w="70" w:type="dxa"/>
              <w:end w:w="80" w:type="dxa"/>
            </w:tcMar>
            <w:shd w:fill="1F4E78"/>
          </w:tcPr>
          <w:p>
            <w:pPr>
              <w:pStyle w:val="Compact"/>
              <w:jc w:val="left"/>
            </w:pPr>
            <w:r>
              <w:rPr>
                <w:rFonts w:ascii="Arial" w:hAnsi="Arial" w:eastAsia="Arial"/>
                <w:b/>
                <w:bCs/>
                <w:color w:val="FFFFFF"/>
                <w:sz w:val="16"/>
              </w:rPr>
              <w:t>Contribution</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U1xD5</w:t>
            </w:r>
          </w:p>
        </w:tc>
        <w:tc>
          <w:tcPr>
            <w:vAlign w:val="top"/>
            <w:tcMar>
              <w:top w:w="70" w:type="dxa"/>
              <w:start w:w="80" w:type="dxa"/>
              <w:bottom w:w="70" w:type="dxa"/>
              <w:end w:w="80" w:type="dxa"/>
            </w:tcMar>
            <w:shd w:fill="D9EAF7"/>
          </w:tcPr>
          <w:p>
            <w:pPr>
              <w:pStyle w:val="Compact"/>
              <w:jc w:val="left"/>
            </w:pPr>
            <w:r>
              <w:rPr>
                <w:rFonts w:ascii="Arial" w:hAnsi="Arial" w:eastAsia="Arial"/>
                <w:sz w:val="16"/>
              </w:rPr>
              <w:t>0.248571</w:t>
            </w:r>
          </w:p>
        </w:tc>
        <w:tc>
          <w:tcPr>
            <w:vAlign w:val="top"/>
            <w:tcMar>
              <w:top w:w="70" w:type="dxa"/>
              <w:start w:w="80" w:type="dxa"/>
              <w:bottom w:w="70" w:type="dxa"/>
              <w:end w:w="80" w:type="dxa"/>
            </w:tcMar>
            <w:shd w:fill="D9EAF7"/>
          </w:tcPr>
          <w:p>
            <w:pPr>
              <w:pStyle w:val="Compact"/>
              <w:jc w:val="left"/>
            </w:pPr>
            <w:r>
              <w:rPr>
                <w:rFonts w:ascii="Arial" w:hAnsi="Arial" w:eastAsia="Arial"/>
                <w:sz w:val="16"/>
              </w:rPr>
              <w:t>0.157143</w:t>
            </w:r>
          </w:p>
        </w:tc>
        <w:tc>
          <w:tcPr>
            <w:vAlign w:val="top"/>
            <w:tcMar>
              <w:top w:w="70" w:type="dxa"/>
              <w:start w:w="80" w:type="dxa"/>
              <w:bottom w:w="70" w:type="dxa"/>
              <w:end w:w="80" w:type="dxa"/>
            </w:tcMar>
            <w:shd w:fill="D9EAF7"/>
          </w:tcPr>
          <w:p>
            <w:pPr>
              <w:pStyle w:val="Compact"/>
              <w:jc w:val="left"/>
            </w:pPr>
            <w:r>
              <w:rPr>
                <w:rFonts w:ascii="Arial" w:hAnsi="Arial" w:eastAsia="Arial"/>
                <w:sz w:val="16"/>
              </w:rPr>
              <w:t>+0.05</w:t>
            </w:r>
          </w:p>
        </w:tc>
        <w:tc>
          <w:tcPr>
            <w:vAlign w:val="top"/>
            <w:tcMar>
              <w:top w:w="70" w:type="dxa"/>
              <w:start w:w="80" w:type="dxa"/>
              <w:bottom w:w="70" w:type="dxa"/>
              <w:end w:w="80" w:type="dxa"/>
            </w:tcMar>
            <w:shd w:fill="D9EAF7"/>
          </w:tcPr>
          <w:p>
            <w:pPr>
              <w:pStyle w:val="Compact"/>
              <w:jc w:val="left"/>
            </w:pPr>
            <w:r>
              <w:rPr>
                <w:rFonts w:ascii="Arial" w:hAnsi="Arial" w:eastAsia="Arial"/>
                <w:sz w:val="16"/>
              </w:rPr>
              <w:t>+0.001953</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U4xD1</w:t>
            </w:r>
          </w:p>
        </w:tc>
        <w:tc>
          <w:tcPr>
            <w:vAlign w:val="top"/>
            <w:tcMar>
              <w:top w:w="70" w:type="dxa"/>
              <w:start w:w="80" w:type="dxa"/>
              <w:bottom w:w="70" w:type="dxa"/>
              <w:end w:w="80" w:type="dxa"/>
            </w:tcMar>
            <w:shd w:fill="FFFFFF"/>
          </w:tcPr>
          <w:p>
            <w:pPr>
              <w:pStyle w:val="Compact"/>
              <w:jc w:val="left"/>
            </w:pPr>
            <w:r>
              <w:rPr>
                <w:rFonts w:ascii="Arial" w:hAnsi="Arial" w:eastAsia="Arial"/>
                <w:sz w:val="16"/>
              </w:rPr>
              <w:t>0.108571</w:t>
            </w:r>
          </w:p>
        </w:tc>
        <w:tc>
          <w:tcPr>
            <w:vAlign w:val="top"/>
            <w:tcMar>
              <w:top w:w="70" w:type="dxa"/>
              <w:start w:w="80" w:type="dxa"/>
              <w:bottom w:w="70" w:type="dxa"/>
              <w:end w:w="80" w:type="dxa"/>
            </w:tcMar>
            <w:shd w:fill="FFFFFF"/>
          </w:tcPr>
          <w:p>
            <w:pPr>
              <w:pStyle w:val="Compact"/>
              <w:jc w:val="left"/>
            </w:pPr>
            <w:r>
              <w:rPr>
                <w:rFonts w:ascii="Arial" w:hAnsi="Arial" w:eastAsia="Arial"/>
                <w:sz w:val="16"/>
              </w:rPr>
              <w:t>0.137143</w:t>
            </w:r>
          </w:p>
        </w:tc>
        <w:tc>
          <w:tcPr>
            <w:vAlign w:val="top"/>
            <w:tcMar>
              <w:top w:w="70" w:type="dxa"/>
              <w:start w:w="80" w:type="dxa"/>
              <w:bottom w:w="70" w:type="dxa"/>
              <w:end w:w="80" w:type="dxa"/>
            </w:tcMar>
            <w:shd w:fill="FFFFFF"/>
          </w:tcPr>
          <w:p>
            <w:pPr>
              <w:pStyle w:val="Compact"/>
              <w:jc w:val="left"/>
            </w:pPr>
            <w:r>
              <w:rPr>
                <w:rFonts w:ascii="Arial" w:hAnsi="Arial" w:eastAsia="Arial"/>
                <w:sz w:val="16"/>
              </w:rPr>
              <w:t>+0.30</w:t>
            </w:r>
          </w:p>
        </w:tc>
        <w:tc>
          <w:tcPr>
            <w:vAlign w:val="top"/>
            <w:tcMar>
              <w:top w:w="70" w:type="dxa"/>
              <w:start w:w="80" w:type="dxa"/>
              <w:bottom w:w="70" w:type="dxa"/>
              <w:end w:w="80" w:type="dxa"/>
            </w:tcMar>
            <w:shd w:fill="FFFFFF"/>
          </w:tcPr>
          <w:p>
            <w:pPr>
              <w:pStyle w:val="Compact"/>
              <w:jc w:val="left"/>
            </w:pPr>
            <w:r>
              <w:rPr>
                <w:rFonts w:ascii="Arial" w:hAnsi="Arial" w:eastAsia="Arial"/>
                <w:sz w:val="16"/>
              </w:rPr>
              <w:t>+0.004467</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U4xD5</w:t>
            </w:r>
          </w:p>
        </w:tc>
        <w:tc>
          <w:tcPr>
            <w:vAlign w:val="top"/>
            <w:tcMar>
              <w:top w:w="70" w:type="dxa"/>
              <w:start w:w="80" w:type="dxa"/>
              <w:bottom w:w="70" w:type="dxa"/>
              <w:end w:w="80" w:type="dxa"/>
            </w:tcMar>
            <w:shd w:fill="D9EAF7"/>
          </w:tcPr>
          <w:p>
            <w:pPr>
              <w:pStyle w:val="Compact"/>
              <w:jc w:val="left"/>
            </w:pPr>
            <w:r>
              <w:rPr>
                <w:rFonts w:ascii="Arial" w:hAnsi="Arial" w:eastAsia="Arial"/>
                <w:sz w:val="16"/>
              </w:rPr>
              <w:t>0.108571</w:t>
            </w:r>
          </w:p>
        </w:tc>
        <w:tc>
          <w:tcPr>
            <w:vAlign w:val="top"/>
            <w:tcMar>
              <w:top w:w="70" w:type="dxa"/>
              <w:start w:w="80" w:type="dxa"/>
              <w:bottom w:w="70" w:type="dxa"/>
              <w:end w:w="80" w:type="dxa"/>
            </w:tcMar>
            <w:shd w:fill="D9EAF7"/>
          </w:tcPr>
          <w:p>
            <w:pPr>
              <w:pStyle w:val="Compact"/>
              <w:jc w:val="left"/>
            </w:pPr>
            <w:r>
              <w:rPr>
                <w:rFonts w:ascii="Arial" w:hAnsi="Arial" w:eastAsia="Arial"/>
                <w:sz w:val="16"/>
              </w:rPr>
              <w:t>0.157143</w:t>
            </w:r>
          </w:p>
        </w:tc>
        <w:tc>
          <w:tcPr>
            <w:vAlign w:val="top"/>
            <w:tcMar>
              <w:top w:w="70" w:type="dxa"/>
              <w:start w:w="80" w:type="dxa"/>
              <w:bottom w:w="70" w:type="dxa"/>
              <w:end w:w="80" w:type="dxa"/>
            </w:tcMar>
            <w:shd w:fill="D9EAF7"/>
          </w:tcPr>
          <w:p>
            <w:pPr>
              <w:pStyle w:val="Compact"/>
              <w:jc w:val="left"/>
            </w:pPr>
            <w:r>
              <w:rPr>
                <w:rFonts w:ascii="Arial" w:hAnsi="Arial" w:eastAsia="Arial"/>
                <w:sz w:val="16"/>
              </w:rPr>
              <w:t>+0.12</w:t>
            </w:r>
          </w:p>
        </w:tc>
        <w:tc>
          <w:tcPr>
            <w:vAlign w:val="top"/>
            <w:tcMar>
              <w:top w:w="70" w:type="dxa"/>
              <w:start w:w="80" w:type="dxa"/>
              <w:bottom w:w="70" w:type="dxa"/>
              <w:end w:w="80" w:type="dxa"/>
            </w:tcMar>
            <w:shd w:fill="D9EAF7"/>
          </w:tcPr>
          <w:p>
            <w:pPr>
              <w:pStyle w:val="Compact"/>
              <w:jc w:val="left"/>
            </w:pPr>
            <w:r>
              <w:rPr>
                <w:rFonts w:ascii="Arial" w:hAnsi="Arial" w:eastAsia="Arial"/>
                <w:sz w:val="16"/>
              </w:rPr>
              <w:t>+0.002047</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U5xD5</w:t>
            </w:r>
          </w:p>
        </w:tc>
        <w:tc>
          <w:tcPr>
            <w:vAlign w:val="top"/>
            <w:tcMar>
              <w:top w:w="70" w:type="dxa"/>
              <w:start w:w="80" w:type="dxa"/>
              <w:bottom w:w="70" w:type="dxa"/>
              <w:end w:w="80" w:type="dxa"/>
            </w:tcMar>
            <w:shd w:fill="FFFFFF"/>
          </w:tcPr>
          <w:p>
            <w:pPr>
              <w:pStyle w:val="Compact"/>
              <w:jc w:val="left"/>
            </w:pPr>
            <w:r>
              <w:rPr>
                <w:rFonts w:ascii="Arial" w:hAnsi="Arial" w:eastAsia="Arial"/>
                <w:sz w:val="16"/>
              </w:rPr>
              <w:t>0.128571</w:t>
            </w:r>
          </w:p>
        </w:tc>
        <w:tc>
          <w:tcPr>
            <w:vAlign w:val="top"/>
            <w:tcMar>
              <w:top w:w="70" w:type="dxa"/>
              <w:start w:w="80" w:type="dxa"/>
              <w:bottom w:w="70" w:type="dxa"/>
              <w:end w:w="80" w:type="dxa"/>
            </w:tcMar>
            <w:shd w:fill="FFFFFF"/>
          </w:tcPr>
          <w:p>
            <w:pPr>
              <w:pStyle w:val="Compact"/>
              <w:jc w:val="left"/>
            </w:pPr>
            <w:r>
              <w:rPr>
                <w:rFonts w:ascii="Arial" w:hAnsi="Arial" w:eastAsia="Arial"/>
                <w:sz w:val="16"/>
              </w:rPr>
              <w:t>0.157143</w:t>
            </w:r>
          </w:p>
        </w:tc>
        <w:tc>
          <w:tcPr>
            <w:vAlign w:val="top"/>
            <w:tcMar>
              <w:top w:w="70" w:type="dxa"/>
              <w:start w:w="80" w:type="dxa"/>
              <w:bottom w:w="70" w:type="dxa"/>
              <w:end w:w="80" w:type="dxa"/>
            </w:tcMar>
            <w:shd w:fill="FFFFFF"/>
          </w:tcPr>
          <w:p>
            <w:pPr>
              <w:pStyle w:val="Compact"/>
              <w:jc w:val="left"/>
            </w:pPr>
            <w:r>
              <w:rPr>
                <w:rFonts w:ascii="Arial" w:hAnsi="Arial" w:eastAsia="Arial"/>
                <w:sz w:val="16"/>
              </w:rPr>
              <w:t>+0.08</w:t>
            </w:r>
          </w:p>
        </w:tc>
        <w:tc>
          <w:tcPr>
            <w:vAlign w:val="top"/>
            <w:tcMar>
              <w:top w:w="70" w:type="dxa"/>
              <w:start w:w="80" w:type="dxa"/>
              <w:bottom w:w="70" w:type="dxa"/>
              <w:end w:w="80" w:type="dxa"/>
            </w:tcMar>
            <w:shd w:fill="FFFFFF"/>
          </w:tcPr>
          <w:p>
            <w:pPr>
              <w:pStyle w:val="Compact"/>
              <w:jc w:val="left"/>
            </w:pPr>
            <w:r>
              <w:rPr>
                <w:rFonts w:ascii="Arial" w:hAnsi="Arial" w:eastAsia="Arial"/>
                <w:sz w:val="16"/>
              </w:rPr>
              <w:t>+0.001616</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U6xD5</w:t>
            </w:r>
          </w:p>
        </w:tc>
        <w:tc>
          <w:tcPr>
            <w:vAlign w:val="top"/>
            <w:tcMar>
              <w:top w:w="70" w:type="dxa"/>
              <w:start w:w="80" w:type="dxa"/>
              <w:bottom w:w="70" w:type="dxa"/>
              <w:end w:w="80" w:type="dxa"/>
            </w:tcMar>
            <w:shd w:fill="D9EAF7"/>
          </w:tcPr>
          <w:p>
            <w:pPr>
              <w:pStyle w:val="Compact"/>
              <w:jc w:val="left"/>
            </w:pPr>
            <w:r>
              <w:rPr>
                <w:rFonts w:ascii="Arial" w:hAnsi="Arial" w:eastAsia="Arial"/>
                <w:sz w:val="16"/>
              </w:rPr>
              <w:t>0.148571</w:t>
            </w:r>
          </w:p>
        </w:tc>
        <w:tc>
          <w:tcPr>
            <w:vAlign w:val="top"/>
            <w:tcMar>
              <w:top w:w="70" w:type="dxa"/>
              <w:start w:w="80" w:type="dxa"/>
              <w:bottom w:w="70" w:type="dxa"/>
              <w:end w:w="80" w:type="dxa"/>
            </w:tcMar>
            <w:shd w:fill="D9EAF7"/>
          </w:tcPr>
          <w:p>
            <w:pPr>
              <w:pStyle w:val="Compact"/>
              <w:jc w:val="left"/>
            </w:pPr>
            <w:r>
              <w:rPr>
                <w:rFonts w:ascii="Arial" w:hAnsi="Arial" w:eastAsia="Arial"/>
                <w:sz w:val="16"/>
              </w:rPr>
              <w:t>0.157143</w:t>
            </w:r>
          </w:p>
        </w:tc>
        <w:tc>
          <w:tcPr>
            <w:vAlign w:val="top"/>
            <w:tcMar>
              <w:top w:w="70" w:type="dxa"/>
              <w:start w:w="80" w:type="dxa"/>
              <w:bottom w:w="70" w:type="dxa"/>
              <w:end w:w="80" w:type="dxa"/>
            </w:tcMar>
            <w:shd w:fill="D9EAF7"/>
          </w:tcPr>
          <w:p>
            <w:pPr>
              <w:pStyle w:val="Compact"/>
              <w:jc w:val="left"/>
            </w:pPr>
            <w:r>
              <w:rPr>
                <w:rFonts w:ascii="Arial" w:hAnsi="Arial" w:eastAsia="Arial"/>
                <w:sz w:val="16"/>
              </w:rPr>
              <w:t>+0.03</w:t>
            </w:r>
          </w:p>
        </w:tc>
        <w:tc>
          <w:tcPr>
            <w:vAlign w:val="top"/>
            <w:tcMar>
              <w:top w:w="70" w:type="dxa"/>
              <w:start w:w="80" w:type="dxa"/>
              <w:bottom w:w="70" w:type="dxa"/>
              <w:end w:w="80" w:type="dxa"/>
            </w:tcMar>
            <w:shd w:fill="D9EAF7"/>
          </w:tcPr>
          <w:p>
            <w:pPr>
              <w:pStyle w:val="Compact"/>
              <w:jc w:val="left"/>
            </w:pPr>
            <w:r>
              <w:rPr>
                <w:rFonts w:ascii="Arial" w:hAnsi="Arial" w:eastAsia="Arial"/>
                <w:sz w:val="16"/>
              </w:rPr>
              <w:t>+0.000700</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All zero cells</w:t>
            </w:r>
          </w:p>
        </w:tc>
        <w:tc>
          <w:tcPr>
            <w:vAlign w:val="top"/>
            <w:tcMar>
              <w:top w:w="70" w:type="dxa"/>
              <w:start w:w="80" w:type="dxa"/>
              <w:bottom w:w="70" w:type="dxa"/>
              <w:end w:w="80" w:type="dxa"/>
            </w:tcMar>
            <w:shd w:fill="FFFFFF"/>
          </w:tcPr>
          <w:p>
            <w:pPr>
              <w:pStyle w:val="Compact"/>
              <w:jc w:val="left"/>
            </w:pPr>
            <w:r>
              <w:rPr>
                <w:rFonts w:ascii="Arial" w:hAnsi="Arial" w:eastAsia="Arial"/>
                <w:sz w:val="16"/>
              </w:rPr>
              <w:t>-</w:t>
            </w:r>
          </w:p>
        </w:tc>
        <w:tc>
          <w:tcPr>
            <w:vAlign w:val="top"/>
            <w:tcMar>
              <w:top w:w="70" w:type="dxa"/>
              <w:start w:w="80" w:type="dxa"/>
              <w:bottom w:w="70" w:type="dxa"/>
              <w:end w:w="80" w:type="dxa"/>
            </w:tcMar>
            <w:shd w:fill="FFFFFF"/>
          </w:tcPr>
          <w:p>
            <w:pPr>
              <w:pStyle w:val="Compact"/>
              <w:jc w:val="left"/>
            </w:pPr>
            <w:r>
              <w:rPr>
                <w:rFonts w:ascii="Arial" w:hAnsi="Arial" w:eastAsia="Arial"/>
                <w:sz w:val="16"/>
              </w:rPr>
              <w:t>-</w:t>
            </w:r>
          </w:p>
        </w:tc>
        <w:tc>
          <w:tcPr>
            <w:vAlign w:val="top"/>
            <w:tcMar>
              <w:top w:w="70" w:type="dxa"/>
              <w:start w:w="80" w:type="dxa"/>
              <w:bottom w:w="70" w:type="dxa"/>
              <w:end w:w="80" w:type="dxa"/>
            </w:tcMar>
            <w:shd w:fill="FFFFFF"/>
          </w:tcPr>
          <w:p>
            <w:pPr>
              <w:pStyle w:val="Compact"/>
              <w:jc w:val="left"/>
            </w:pPr>
            <w:r>
              <w:rPr>
                <w:rFonts w:ascii="Arial" w:hAnsi="Arial" w:eastAsia="Arial"/>
                <w:sz w:val="16"/>
              </w:rPr>
              <w:t>0.00</w:t>
            </w:r>
          </w:p>
        </w:tc>
        <w:tc>
          <w:tcPr>
            <w:vAlign w:val="top"/>
            <w:tcMar>
              <w:top w:w="70" w:type="dxa"/>
              <w:start w:w="80" w:type="dxa"/>
              <w:bottom w:w="70" w:type="dxa"/>
              <w:end w:w="80" w:type="dxa"/>
            </w:tcMar>
            <w:shd w:fill="FFFFFF"/>
          </w:tcPr>
          <w:p>
            <w:pPr>
              <w:pStyle w:val="Compact"/>
              <w:jc w:val="left"/>
            </w:pPr>
            <w:r>
              <w:rPr>
                <w:rFonts w:ascii="Arial" w:hAnsi="Arial" w:eastAsia="Arial"/>
                <w:sz w:val="16"/>
              </w:rPr>
              <w:t>0.000000</w:t>
            </w:r>
          </w:p>
        </w:tc>
      </w:tr>
    </w:tbl>
    <w:p>
      <w:pPr>
        <w:pStyle w:val="BodyText"/>
      </w:pPr>
      <w:r>
        <w:t>RLS(C)=+0.010784 because Q=1 under the full active mask.</w:t>
      </w:r>
    </w:p>
    <w:p>
      <w:pPr>
        <w:pStyle w:val="BodyText"/>
      </w:pPr>
      <w:r>
        <w:t>Method B uncertainty derivation. Each of the five nonzero cells contains one welfare instance with c_k=0.85. Because beta=2 and I_prop_welfare=tanh(2x_k), the pre-saturation contribution is x_k=atanh(I_prop_welfare)/2. Therefore sigma(u,d,C)=0.15*|x_k|. Using q(u,d)=w_u*v_d under the full mask:</w:t>
      </w:r>
    </w:p>
    <w:tbl>
      <w:tblPr>
        <w:tblStyle w:val="Table"/>
        <w:tblW w:type="auto" w:w="0"/>
        <w:jc w:val="center"/>
        <w:tblLook w:firstRow="1" w:lastRow="0" w:firstColumn="0" w:lastColumn="0" w:noHBand="0" w:noVBand="0" w:val="0020"/>
      </w:tblPr>
      <w:tblGrid>
        <w:gridCol w:w="1980"/>
        <w:gridCol w:w="1980"/>
        <w:gridCol w:w="1980"/>
        <w:gridCol w:w="1980"/>
      </w:tblGrid>
      <w:tr>
        <w:trPr>
          <w:tblHeader w:val="on"/>
          <w:tblHeader w:val="true"/>
          <w:cantSplit/>
        </w:trPr>
        <w:tc>
          <w:tcPr>
            <w:vAlign w:val="top"/>
            <w:tcMar>
              <w:top w:w="70" w:type="dxa"/>
              <w:start w:w="80" w:type="dxa"/>
              <w:bottom w:w="70" w:type="dxa"/>
              <w:end w:w="80" w:type="dxa"/>
            </w:tcMar>
            <w:shd w:fill="1F4E78"/>
          </w:tcPr>
          <w:p>
            <w:pPr>
              <w:pStyle w:val="Compact"/>
              <w:jc w:val="left"/>
            </w:pPr>
            <w:r>
              <w:rPr>
                <w:rFonts w:ascii="Arial" w:hAnsi="Arial" w:eastAsia="Arial"/>
                <w:b/>
                <w:color w:val="FFFFFF"/>
                <w:sz w:val="16"/>
              </w:rPr>
              <w:t>Cell</w:t>
            </w:r>
          </w:p>
        </w:tc>
        <w:tc>
          <w:tcPr>
            <w:vAlign w:val="top"/>
            <w:tcMar>
              <w:top w:w="70" w:type="dxa"/>
              <w:start w:w="80" w:type="dxa"/>
              <w:bottom w:w="70" w:type="dxa"/>
              <w:end w:w="80" w:type="dxa"/>
            </w:tcMar>
            <w:shd w:fill="1F4E78"/>
          </w:tcPr>
          <w:p>
            <w:pPr>
              <w:pStyle w:val="Compact"/>
              <w:jc w:val="right"/>
            </w:pPr>
            <w:r>
              <w:rPr>
                <w:rFonts w:ascii="Arial" w:hAnsi="Arial" w:eastAsia="Arial"/>
                <w:b/>
                <w:color w:val="FFFFFF"/>
                <w:sz w:val="16"/>
              </w:rPr>
              <w:t>x_k</w:t>
            </w:r>
          </w:p>
        </w:tc>
        <w:tc>
          <w:tcPr>
            <w:vAlign w:val="top"/>
            <w:tcMar>
              <w:top w:w="70" w:type="dxa"/>
              <w:start w:w="80" w:type="dxa"/>
              <w:bottom w:w="70" w:type="dxa"/>
              <w:end w:w="80" w:type="dxa"/>
            </w:tcMar>
            <w:shd w:fill="1F4E78"/>
          </w:tcPr>
          <w:p>
            <w:pPr>
              <w:pStyle w:val="Compact"/>
              <w:jc w:val="right"/>
            </w:pPr>
            <w:r>
              <w:rPr>
                <w:rFonts w:ascii="Arial" w:hAnsi="Arial" w:eastAsia="Arial"/>
                <w:b/>
                <w:color w:val="FFFFFF"/>
                <w:sz w:val="16"/>
              </w:rPr>
              <w:t>sigma(u,d,C)</w:t>
            </w:r>
          </w:p>
        </w:tc>
        <w:tc>
          <w:tcPr>
            <w:vAlign w:val="top"/>
            <w:tcMar>
              <w:top w:w="70" w:type="dxa"/>
              <w:start w:w="80" w:type="dxa"/>
              <w:bottom w:w="70" w:type="dxa"/>
              <w:end w:w="80" w:type="dxa"/>
            </w:tcMar>
            <w:shd w:fill="1F4E78"/>
          </w:tcPr>
          <w:p>
            <w:pPr>
              <w:pStyle w:val="Compact"/>
              <w:jc w:val="right"/>
            </w:pPr>
            <w:r>
              <w:rPr>
                <w:rFonts w:ascii="Arial" w:hAnsi="Arial" w:eastAsia="Arial"/>
                <w:b/>
                <w:color w:val="FFFFFF"/>
                <w:sz w:val="16"/>
              </w:rPr>
              <w:t>q(u,d)*sigma(u,d,C)</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U1xD5</w:t>
            </w:r>
          </w:p>
        </w:tc>
        <w:tc>
          <w:tcPr>
            <w:vAlign w:val="top"/>
            <w:tcMar>
              <w:top w:w="70" w:type="dxa"/>
              <w:start w:w="80" w:type="dxa"/>
              <w:bottom w:w="70" w:type="dxa"/>
              <w:end w:w="80" w:type="dxa"/>
            </w:tcMar>
            <w:shd w:fill="D9EAF7"/>
          </w:tcPr>
          <w:p>
            <w:pPr>
              <w:pStyle w:val="Compact"/>
              <w:jc w:val="right"/>
            </w:pPr>
            <w:r>
              <w:rPr>
                <w:rFonts w:ascii="Arial" w:hAnsi="Arial" w:eastAsia="Arial"/>
                <w:sz w:val="16"/>
              </w:rPr>
              <w:t>0.025021</w:t>
            </w:r>
          </w:p>
        </w:tc>
        <w:tc>
          <w:tcPr>
            <w:vAlign w:val="top"/>
            <w:tcMar>
              <w:top w:w="70" w:type="dxa"/>
              <w:start w:w="80" w:type="dxa"/>
              <w:bottom w:w="70" w:type="dxa"/>
              <w:end w:w="80" w:type="dxa"/>
            </w:tcMar>
            <w:shd w:fill="D9EAF7"/>
          </w:tcPr>
          <w:p>
            <w:pPr>
              <w:pStyle w:val="Compact"/>
              <w:jc w:val="right"/>
            </w:pPr>
            <w:r>
              <w:rPr>
                <w:rFonts w:ascii="Arial" w:hAnsi="Arial" w:eastAsia="Arial"/>
                <w:sz w:val="16"/>
              </w:rPr>
              <w:t>0.003753</w:t>
            </w:r>
          </w:p>
        </w:tc>
        <w:tc>
          <w:tcPr>
            <w:vAlign w:val="top"/>
            <w:tcMar>
              <w:top w:w="70" w:type="dxa"/>
              <w:start w:w="80" w:type="dxa"/>
              <w:bottom w:w="70" w:type="dxa"/>
              <w:end w:w="80" w:type="dxa"/>
            </w:tcMar>
            <w:shd w:fill="D9EAF7"/>
          </w:tcPr>
          <w:p>
            <w:pPr>
              <w:pStyle w:val="Compact"/>
              <w:jc w:val="right"/>
            </w:pPr>
            <w:r>
              <w:rPr>
                <w:rFonts w:ascii="Arial" w:hAnsi="Arial" w:eastAsia="Arial"/>
                <w:sz w:val="16"/>
              </w:rPr>
              <w:t>0.00014660</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U4xD1</w:t>
            </w:r>
          </w:p>
        </w:tc>
        <w:tc>
          <w:tcPr>
            <w:vAlign w:val="top"/>
            <w:tcMar>
              <w:top w:w="70" w:type="dxa"/>
              <w:start w:w="80" w:type="dxa"/>
              <w:bottom w:w="70" w:type="dxa"/>
              <w:end w:w="80" w:type="dxa"/>
            </w:tcMar>
            <w:shd w:fill="FFFFFF"/>
          </w:tcPr>
          <w:p>
            <w:pPr>
              <w:pStyle w:val="Compact"/>
              <w:jc w:val="right"/>
            </w:pPr>
            <w:r>
              <w:rPr>
                <w:rFonts w:ascii="Arial" w:hAnsi="Arial" w:eastAsia="Arial"/>
                <w:sz w:val="16"/>
              </w:rPr>
              <w:t>0.154760</w:t>
            </w:r>
          </w:p>
        </w:tc>
        <w:tc>
          <w:tcPr>
            <w:vAlign w:val="top"/>
            <w:tcMar>
              <w:top w:w="70" w:type="dxa"/>
              <w:start w:w="80" w:type="dxa"/>
              <w:bottom w:w="70" w:type="dxa"/>
              <w:end w:w="80" w:type="dxa"/>
            </w:tcMar>
            <w:shd w:fill="FFFFFF"/>
          </w:tcPr>
          <w:p>
            <w:pPr>
              <w:pStyle w:val="Compact"/>
              <w:jc w:val="right"/>
            </w:pPr>
            <w:r>
              <w:rPr>
                <w:rFonts w:ascii="Arial" w:hAnsi="Arial" w:eastAsia="Arial"/>
                <w:sz w:val="16"/>
              </w:rPr>
              <w:t>0.023214</w:t>
            </w:r>
          </w:p>
        </w:tc>
        <w:tc>
          <w:tcPr>
            <w:vAlign w:val="top"/>
            <w:tcMar>
              <w:top w:w="70" w:type="dxa"/>
              <w:start w:w="80" w:type="dxa"/>
              <w:bottom w:w="70" w:type="dxa"/>
              <w:end w:w="80" w:type="dxa"/>
            </w:tcMar>
            <w:shd w:fill="FFFFFF"/>
          </w:tcPr>
          <w:p>
            <w:pPr>
              <w:pStyle w:val="Compact"/>
              <w:jc w:val="right"/>
            </w:pPr>
            <w:r>
              <w:rPr>
                <w:rFonts w:ascii="Arial" w:hAnsi="Arial" w:eastAsia="Arial"/>
                <w:sz w:val="16"/>
              </w:rPr>
              <w:t>0.00034565</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U4xD5</w:t>
            </w:r>
          </w:p>
        </w:tc>
        <w:tc>
          <w:tcPr>
            <w:vAlign w:val="top"/>
            <w:tcMar>
              <w:top w:w="70" w:type="dxa"/>
              <w:start w:w="80" w:type="dxa"/>
              <w:bottom w:w="70" w:type="dxa"/>
              <w:end w:w="80" w:type="dxa"/>
            </w:tcMar>
            <w:shd w:fill="D9EAF7"/>
          </w:tcPr>
          <w:p>
            <w:pPr>
              <w:pStyle w:val="Compact"/>
              <w:jc w:val="right"/>
            </w:pPr>
            <w:r>
              <w:rPr>
                <w:rFonts w:ascii="Arial" w:hAnsi="Arial" w:eastAsia="Arial"/>
                <w:sz w:val="16"/>
              </w:rPr>
              <w:t>0.060291</w:t>
            </w:r>
          </w:p>
        </w:tc>
        <w:tc>
          <w:tcPr>
            <w:vAlign w:val="top"/>
            <w:tcMar>
              <w:top w:w="70" w:type="dxa"/>
              <w:start w:w="80" w:type="dxa"/>
              <w:bottom w:w="70" w:type="dxa"/>
              <w:end w:w="80" w:type="dxa"/>
            </w:tcMar>
            <w:shd w:fill="D9EAF7"/>
          </w:tcPr>
          <w:p>
            <w:pPr>
              <w:pStyle w:val="Compact"/>
              <w:jc w:val="right"/>
            </w:pPr>
            <w:r>
              <w:rPr>
                <w:rFonts w:ascii="Arial" w:hAnsi="Arial" w:eastAsia="Arial"/>
                <w:sz w:val="16"/>
              </w:rPr>
              <w:t>0.009044</w:t>
            </w:r>
          </w:p>
        </w:tc>
        <w:tc>
          <w:tcPr>
            <w:vAlign w:val="top"/>
            <w:tcMar>
              <w:top w:w="70" w:type="dxa"/>
              <w:start w:w="80" w:type="dxa"/>
              <w:bottom w:w="70" w:type="dxa"/>
              <w:end w:w="80" w:type="dxa"/>
            </w:tcMar>
            <w:shd w:fill="D9EAF7"/>
          </w:tcPr>
          <w:p>
            <w:pPr>
              <w:pStyle w:val="Compact"/>
              <w:jc w:val="right"/>
            </w:pPr>
            <w:r>
              <w:rPr>
                <w:rFonts w:ascii="Arial" w:hAnsi="Arial" w:eastAsia="Arial"/>
                <w:sz w:val="16"/>
              </w:rPr>
              <w:t>0.00015429</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U5xD5</w:t>
            </w:r>
          </w:p>
        </w:tc>
        <w:tc>
          <w:tcPr>
            <w:vAlign w:val="top"/>
            <w:tcMar>
              <w:top w:w="70" w:type="dxa"/>
              <w:start w:w="80" w:type="dxa"/>
              <w:bottom w:w="70" w:type="dxa"/>
              <w:end w:w="80" w:type="dxa"/>
            </w:tcMar>
            <w:shd w:fill="FFFFFF"/>
          </w:tcPr>
          <w:p>
            <w:pPr>
              <w:pStyle w:val="Compact"/>
              <w:jc w:val="right"/>
            </w:pPr>
            <w:r>
              <w:rPr>
                <w:rFonts w:ascii="Arial" w:hAnsi="Arial" w:eastAsia="Arial"/>
                <w:sz w:val="16"/>
              </w:rPr>
              <w:t>0.040086</w:t>
            </w:r>
          </w:p>
        </w:tc>
        <w:tc>
          <w:tcPr>
            <w:vAlign w:val="top"/>
            <w:tcMar>
              <w:top w:w="70" w:type="dxa"/>
              <w:start w:w="80" w:type="dxa"/>
              <w:bottom w:w="70" w:type="dxa"/>
              <w:end w:w="80" w:type="dxa"/>
            </w:tcMar>
            <w:shd w:fill="FFFFFF"/>
          </w:tcPr>
          <w:p>
            <w:pPr>
              <w:pStyle w:val="Compact"/>
              <w:jc w:val="right"/>
            </w:pPr>
            <w:r>
              <w:rPr>
                <w:rFonts w:ascii="Arial" w:hAnsi="Arial" w:eastAsia="Arial"/>
                <w:sz w:val="16"/>
              </w:rPr>
              <w:t>0.006013</w:t>
            </w:r>
          </w:p>
        </w:tc>
        <w:tc>
          <w:tcPr>
            <w:vAlign w:val="top"/>
            <w:tcMar>
              <w:top w:w="70" w:type="dxa"/>
              <w:start w:w="80" w:type="dxa"/>
              <w:bottom w:w="70" w:type="dxa"/>
              <w:end w:w="80" w:type="dxa"/>
            </w:tcMar>
            <w:shd w:fill="FFFFFF"/>
          </w:tcPr>
          <w:p>
            <w:pPr>
              <w:pStyle w:val="Compact"/>
              <w:jc w:val="right"/>
            </w:pPr>
            <w:r>
              <w:rPr>
                <w:rFonts w:ascii="Arial" w:hAnsi="Arial" w:eastAsia="Arial"/>
                <w:sz w:val="16"/>
              </w:rPr>
              <w:t>0.00012148</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U6xD5</w:t>
            </w:r>
          </w:p>
        </w:tc>
        <w:tc>
          <w:tcPr>
            <w:vAlign w:val="top"/>
            <w:tcMar>
              <w:top w:w="70" w:type="dxa"/>
              <w:start w:w="80" w:type="dxa"/>
              <w:bottom w:w="70" w:type="dxa"/>
              <w:end w:w="80" w:type="dxa"/>
            </w:tcMar>
            <w:shd w:fill="D9EAF7"/>
          </w:tcPr>
          <w:p>
            <w:pPr>
              <w:pStyle w:val="Compact"/>
              <w:jc w:val="right"/>
            </w:pPr>
            <w:r>
              <w:rPr>
                <w:rFonts w:ascii="Arial" w:hAnsi="Arial" w:eastAsia="Arial"/>
                <w:sz w:val="16"/>
              </w:rPr>
              <w:t>0.015005</w:t>
            </w:r>
          </w:p>
        </w:tc>
        <w:tc>
          <w:tcPr>
            <w:vAlign w:val="top"/>
            <w:tcMar>
              <w:top w:w="70" w:type="dxa"/>
              <w:start w:w="80" w:type="dxa"/>
              <w:bottom w:w="70" w:type="dxa"/>
              <w:end w:w="80" w:type="dxa"/>
            </w:tcMar>
            <w:shd w:fill="D9EAF7"/>
          </w:tcPr>
          <w:p>
            <w:pPr>
              <w:pStyle w:val="Compact"/>
              <w:jc w:val="right"/>
            </w:pPr>
            <w:r>
              <w:rPr>
                <w:rFonts w:ascii="Arial" w:hAnsi="Arial" w:eastAsia="Arial"/>
                <w:sz w:val="16"/>
              </w:rPr>
              <w:t>0.002251</w:t>
            </w:r>
          </w:p>
        </w:tc>
        <w:tc>
          <w:tcPr>
            <w:vAlign w:val="top"/>
            <w:tcMar>
              <w:top w:w="70" w:type="dxa"/>
              <w:start w:w="80" w:type="dxa"/>
              <w:bottom w:w="70" w:type="dxa"/>
              <w:end w:w="80" w:type="dxa"/>
            </w:tcMar>
            <w:shd w:fill="D9EAF7"/>
          </w:tcPr>
          <w:p>
            <w:pPr>
              <w:pStyle w:val="Compact"/>
              <w:jc w:val="right"/>
            </w:pPr>
            <w:r>
              <w:rPr>
                <w:rFonts w:ascii="Arial" w:hAnsi="Arial" w:eastAsia="Arial"/>
                <w:sz w:val="16"/>
              </w:rPr>
              <w:t>0.00005255</w:t>
            </w:r>
          </w:p>
        </w:tc>
      </w:tr>
    </w:tbl>
    <w:p>
      <w:pPr>
        <w:pStyle w:val="BodyText"/>
      </w:pPr>
      <w:r>
        <w:t>Thus sigma_RLS(C)=sqrt(sum(q*sigma)^2)/Q=0.000426957, reported as 0.000427. This derivation uses pre-saturation x_k values as required by Section 10.3.2; using post-saturation impacts directly would be non-conformant. Since |A_sel|=1, no pairwise discrimination statistic is required; C is the sole selectable option under the vector inputs.</w:t>
      </w:r>
    </w:p>
    <w:bookmarkEnd w:id="541"/>
    <w:bookmarkStart w:id="542" w:name="r198-expected-final-outcome"/>
    <w:p>
      <w:pPr>
        <w:pStyle w:val="Heading2"/>
      </w:pPr>
      <w:r>
        <w:t>R.19.8 Expected final outcome</w:t>
      </w:r>
    </w:p>
    <w:p>
      <w:pPr>
        <w:pStyle w:val="FirstParagraph"/>
      </w:pPr>
      <w:r>
        <w:t>Selected option: C. Gate trace: A eliminated by NCRC (LBTY, DIGN, PROC, INFO violations). B eliminated by Containment (DeltaUCI_U5 = -0.12 &lt; tau_c = -0.10). C is the sole selectable option.</w:t>
      </w:r>
    </w:p>
    <w:p>
      <w:pPr>
        <w:pStyle w:val="BodyText"/>
      </w:pPr>
      <w:r>
        <w:t>Expected audit flags for this reference vector: none (all stated vector gates resolve cleanly for the selected option). This statement does not waive mandatory-tail-category, probability-floor, or documentation requirements for real claim-bearing TRC runs. R.19 SHALL NOT be used as evidence that a real claim-bearing TRC run may omit the mandatory category coverage required by Appendix D.</w:t>
      </w:r>
    </w:p>
    <w:p>
      <w:pPr>
        <w:pStyle w:val="BodyText"/>
      </w:pPr>
      <w:r>
        <w:t>Conformance result: PASS only if the implementation reproduces: (i) A fails NCRC with the stated violation depths, (ii) B and C pass NCRC, (iii) B and C pass TRC with stated CVaR values, (iv) B fails CSV/Containment with the stated M_U4 value, (v) C passes CSV/Containment, (vi) C is selected, and (vii) RLS(C) matches the stated value within +/-0.000010.</w:t>
      </w:r>
    </w:p>
    <w:p>
      <w:pPr>
        <w:pStyle w:val="BodyText"/>
      </w:pPr>
      <w:r>
        <w:t>End Appendix R.</w:t>
      </w:r>
    </w:p>
    <w:bookmarkEnd w:id="542"/>
    <w:bookmarkEnd w:id="543"/>
    <w:bookmarkStart w:id="544" w:name="X0eeed9ba4a59fa36d8eb3cdb258c7faee0c1bb2"/>
    <w:p>
      <w:pPr>
        <w:pStyle w:val="Heading1"/>
      </w:pPr>
      <w:r>
        <w:t>APPENDIX S: INTEROPERABILITY: RIPPLE.MD WRAPPED DEPLOYMENT ASSURANCE (INFORMATIVE)</w:t>
      </w:r>
    </w:p>
    <w:p>
      <w:pPr>
        <w:pStyle w:val="FirstParagraph"/>
      </w:pPr>
      <w:r>
        <w:t>Interoperability (canonical posture; wrapped deployment). RippleLogic in the current release line is the decision-engine specification. In institutional and deployment contexts, RippleLogic is commonly wrapped by the ripple.md Standard v5.2, which supplies feasibility gates for Non-Domination and Epistemic Integrity, standardizes Decision Notes, waivers, and emergency triage records, and defines the portable interface contract for passing admissibility, residual-risk, and audit artifacts between ripple.md and RippleLogic. Under this posture, ripple.md gates define the feasible set, and RippleLogic selects among feasible options using its lexicographic cascade and welfare-ranking logic.</w:t>
      </w:r>
    </w:p>
    <w:p>
      <w:pPr>
        <w:pStyle w:val="BodyText"/>
      </w:pPr>
      <w:r>
        <w:t>Interface summary (Informative). ripple.md v5.2 owns the portable alignment contract, Decision Note, waiver, emergency triage, and assurance-case semantics. RippleLogic in the current release line owns the 7×7 welfare matrix, RG/RF-NCRC/TRC/CSV/RLS architecture, with UCI/HOI as CSV-internal or residual diagnostics, PCC, and any PLSS weighting used for local welfare ranking. Implementations MUST pin both artifacts explicitly when claiming wrapped deployment conformance.</w:t>
      </w:r>
    </w:p>
    <w:p>
      <w:pPr>
        <w:pStyle w:val="BodyText"/>
      </w:pPr>
      <w:r>
        <w:t>Interface contract (Normative summary). In wrapped deployments, ripple.md receives the decision context, Decision Note, waiver state, emergency-triage posture, and any institutional assurance metadata. RippleLogic returns the PCC, admissibility states (rights-admissible, admissible, selectable, selected), gate rationales, residual-risk disclosures, and any PLSS posture declaration. ripple.md MUST NOT override RippleLogic gate outcomes silently; any waiver, emergency exception, or governance override MUST remain explicit, version-pinned, and attached to the same run record.</w:t>
      </w:r>
    </w:p>
    <w:p>
      <w:pPr>
        <w:pStyle w:val="BodyText"/>
      </w:pPr>
      <w:r>
        <w:t>Boundary rule (Normative summary). ripple.md governs portable assurance semantics such as Non-Domination, Epistemic Integrity, Decision Notes, and waiver choreography. RippleLogic governs the computable 7×7 welfare matrix, RG/RF-NCRC/TRC/CSV/RLS architecture, with UCI/HOI as CSV-internal or residual diagnostics, PCC, and PLSS weighting. If ripple.md and RippleLogic disagree about readiness, the deployment MUST preserve both records and escalate rather than collapsing the disagreement into a single hidden status. Companion artifacts MUST be pinned together by explicit version and manifest hash in the release bundle.</w:t>
      </w:r>
    </w:p>
    <w:p>
      <w:pPr>
        <w:pStyle w:val="BodyText"/>
      </w:pPr>
      <w:r>
        <w:t>Minimum interface artifacts (Normative for wrapped deployments). In any deployment claiming both ripple.md v5.2 and RippleLogic current-line conformance, the following interface artifacts MUST be present and version-pinned in the deployment manifest: (i) a ripple.md Decision Note, including feasibility gate outcomes for Non-Domination and Epistemic Integrity, as the upstream input to the RippleLogic run; (ii) a RippleLogic PCC, including admissibility states, gate rationales, residual-risk disclosures, and any PLSS posture declaration, as the downstream output consumed by ripple.md assurance records; (iii) a version-pin declaration listing the exact ripple.md and RippleLogic artifact versions and hashes used; and (iv) a disagreement-handling rule: if ripple.md feasibility gates and RippleLogic admissibility gates produce contradictory signals, the deployment MUST preserve both records, flag the disagreement, and escalate to governance review rather than silently collapsing the discrepancy.</w:t>
      </w:r>
    </w:p>
    <w:p>
      <w:pPr>
        <w:pStyle w:val="BodyText"/>
      </w:pPr>
      <w:r>
        <w:t>Scope note (Informative). This interoperability section defines the portable interface contract between the two artifacts. It does not reproduce ripple.md internal semantics, which remain governed by the ripple.md Standard v5.2 canonical artifact. For the full assurance-case architecture, Decision Note schema, waiver choreography, and emergency triage semantics, see ripple.md v5.2.</w:t>
      </w:r>
    </w:p>
    <w:p>
      <w:pPr>
        <w:pStyle w:val="BodyText"/>
      </w:pPr>
      <w:r>
        <w:t>End Appendix S.</w:t>
      </w:r>
    </w:p>
    <w:bookmarkEnd w:id="544"/>
    <w:bookmarkStart w:id="554" w:name="X2b67e40fd807de1e1cb3afd05e1a72a7e31ada4"/>
    <w:p>
      <w:pPr>
        <w:pStyle w:val="Heading1"/>
      </w:pPr>
      <w:r>
        <w:t>Appendix T: Execution Stability Diagnostic (Normative for Tier 2-3 consequence-bearing execution)</w:t>
      </w:r>
    </w:p>
    <w:bookmarkStart w:id="545" w:name="t1-purpose"/>
    <w:p>
      <w:pPr>
        <w:pStyle w:val="Heading2"/>
      </w:pPr>
      <w:r>
        <w:t>T.1 Purpose</w:t>
      </w:r>
    </w:p>
    <w:p>
      <w:pPr>
        <w:pStyle w:val="FirstParagraph"/>
      </w:pPr>
      <w:r>
        <w:t>The Execution Stability Diagnostic (ESD) is a pre-execution regime-classification surface for consequence-bearing transitions. Its purpose is to prevent a run from moving from selectability into real-world execution while leaving continuity, reversibility, destabilization pressure, endpoint risk, or unresolved transition evidence undeclared.</w:t>
      </w:r>
    </w:p>
    <w:p>
      <w:pPr>
        <w:pStyle w:val="BodyText"/>
      </w:pPr>
      <w:r>
        <w:t>ESD does not replace NCRC, TRC, CSV, RLS, UCI, HOI, SGP, PCC, or lawful authority. It does not make stability a supreme ethical value. A stable oppressive system remains inadmissible where it violates rights, domination constraints, or containment obligations. A destabilizing transition may be justified only where it passes all earlier gates, has a legitimate purpose, is bounded, monitored, and better than available alternatives under the declared claim boundary.</w:t>
      </w:r>
    </w:p>
    <w:bookmarkEnd w:id="545"/>
    <w:bookmarkStart w:id="546" w:name="t2-regime-tokens"/>
    <w:p>
      <w:pPr>
        <w:pStyle w:val="Heading2"/>
      </w:pPr>
      <w:r>
        <w:t>T.2 Regime tokens</w:t>
      </w:r>
    </w:p>
    <w:p>
      <w:pPr>
        <w:pStyle w:val="FirstParagraph"/>
      </w:pPr>
      <w:r>
        <w:t>Implementations SHALL classify each required transition using exactly one of the following tokens: ESC_STABLE; ESC_STABLE_MONITOR; ESC_DESTABILIZING_BOUNDED; ESC_ENDPOINT_AUTHORIZED; ESC_ENDPOINT_REFUSED; ESC_CONTAINMENT_FAIL; ESC_UNDERDETERMINED.</w:t>
      </w:r>
    </w:p>
    <w:p>
      <w:pPr>
        <w:pStyle w:val="BodyText"/>
      </w:pPr>
      <w:r>
        <w:t>ESC_STABLE means the transition preserves viable continuation within the declared domain and requires no special monitoring beyond ordinary PCC obligations. ESC_STABLE_MONITOR means the transition appears stable but carries enough uncertainty, dependency, or fragility to require declared monitoring. ESC_DESTABILIZING_BOUNDED means the transition creates degradation pressure or fragility but remains rights-preserving, tail-safe, containment-safe, bounded, reversible or staged where feasible, and superior to available alternatives under the declared claim boundary. ESC_ENDPOINT_AUTHORIZED means the transition intentionally closes, terminates, or irreversibly compresses a state space and is allowed only where endpoint status is intended, authority is legitimate, rights floors are preserved, tail-risk is bounded, containment is satisfied, and affected parties have appropriate standing, recourse, or review. ESC_ENDPOINT_REFUSED means endpoint-like transition is detected where continuation is required or where authority, rights, evidence, or reversibility conditions are insufficient. ESC_CONTAINMENT_FAIL means the transition fails Containment and therefore cannot be selected or executed. ESC_UNDERDETERMINED means the regime cannot be uniquely classified from declared evidence and projection rules.</w:t>
      </w:r>
    </w:p>
    <w:bookmarkEnd w:id="546"/>
    <w:bookmarkStart w:id="547" w:name="t3-placement-in-the-cascade"/>
    <w:p>
      <w:pPr>
        <w:pStyle w:val="Heading2"/>
      </w:pPr>
      <w:r>
        <w:t>T.3 Placement in the cascade</w:t>
      </w:r>
    </w:p>
    <w:p>
      <w:pPr>
        <w:pStyle w:val="FirstParagraph"/>
      </w:pPr>
      <w:r>
        <w:t>For required runs, ESD SHALL be evaluated after RF/NCRC, TRC, and CSV have been applied and before external consequence-bearing execution. It MAY be evaluated in parallel with Containment for diagnostic purposes, but the final ESD classification MUST NOT override the Containment verdict.</w:t>
      </w:r>
    </w:p>
    <w:p>
      <w:pPr>
        <w:pStyle w:val="BodyText"/>
      </w:pPr>
      <w:r>
        <w:t>ESD has three effects. First, it can require monitoring, staging, rollback, review, or escalation for selectable options. Second, it can trigger Refusal where transition classification is underdetermined. Third, it can block endpoint-like execution where continuation is required and endpoint authority or evidence is insufficient.</w:t>
      </w:r>
    </w:p>
    <w:bookmarkEnd w:id="547"/>
    <w:bookmarkStart w:id="548" w:name="t4-required-inputs"/>
    <w:p>
      <w:pPr>
        <w:pStyle w:val="Heading2"/>
      </w:pPr>
      <w:r>
        <w:t>T.4 Required inputs</w:t>
      </w:r>
    </w:p>
    <w:p>
      <w:pPr>
        <w:pStyle w:val="FirstParagraph"/>
      </w:pPr>
      <w:r>
        <w:t>A PCC.ExecutionStabilityRecord SHALL include: esd_id; option_id; domain_declared; current_state_summary; proposed_transition; continuation_requirement; affected_scopes; reversibility_status; endpoint_risk; destabilization_indicators; containment_disposition; admissibility_state_before_esd; evidence_basis; regime_token; monitoring_or_staging_plan; rollback_or_repair_path; escalation_route; execution_disposition; reviewer_signature_or_role; timestamp; and claim_boundary.</w:t>
      </w:r>
    </w:p>
    <w:bookmarkEnd w:id="548"/>
    <w:bookmarkStart w:id="549" w:name="Xfc2554925d527509d3f9d68d6f9992dce7a574b"/>
    <w:p>
      <w:pPr>
        <w:pStyle w:val="Heading2"/>
      </w:pPr>
      <w:r>
        <w:t>T.4.1 Destabilization indicator protocol (Normative)</w:t>
      </w:r>
    </w:p>
    <w:p>
      <w:pPr>
        <w:pStyle w:val="FirstParagraph"/>
      </w:pPr>
      <w:r>
        <w:t>A PCC.ExecutionStabilityRecord.destabilization_indicators field SHALL list, for each declared indicator: (a) indicator_id (registry-pinned), (b) indicator_name, (c) measurement_method (the operational procedure that maps observed evidence to indicator value), (d) data_source (the artifact, registry, or measurement instrument from which evidence is read), (e) signal_threshold (the numeric or categorical level at which the indicator is considered active), and (f) decision_rule_for_token_assignment (the rule by which active indicator levels contribute to the regime token assignment). Two reviewers using only the declared indicator protocol and the declared evidence SHALL be expected to converge on the same regime_token. Where reviewers do not converge, the run SHALL be flagged as classification-unstable and routed to Refusal or review under T.5. Implementations are NOT REQUIRED to use any specific indicator catalog. They ARE REQUIRED to declare their indicator catalog, its measurement methods, and its decision rules before run-lock, in the ProjectionPreRegistration record.</w:t>
      </w:r>
    </w:p>
    <w:bookmarkEnd w:id="549"/>
    <w:bookmarkStart w:id="550" w:name="t5-refusal-triggers"/>
    <w:p>
      <w:pPr>
        <w:pStyle w:val="Heading2"/>
      </w:pPr>
      <w:r>
        <w:t>T.5 Refusal triggers</w:t>
      </w:r>
    </w:p>
    <w:p>
      <w:pPr>
        <w:pStyle w:val="FirstParagraph"/>
      </w:pPr>
      <w:r>
        <w:t>A run SHALL enter Refusal where ESD-required evidence is missing for a high-stakes consequence-bearing transition, where two or more materially different regime classifications remain plausible under the same declared evidence, where endpoint risk cannot be distinguished from ordinary transition risk, or where the transition would become real before the PCC can preserve its claim boundary.</w:t>
      </w:r>
    </w:p>
    <w:bookmarkEnd w:id="550"/>
    <w:bookmarkStart w:id="551" w:name="t6-validation-rule"/>
    <w:p>
      <w:pPr>
        <w:pStyle w:val="Heading2"/>
      </w:pPr>
      <w:r>
        <w:t>T.6 Validation rule</w:t>
      </w:r>
    </w:p>
    <w:p>
      <w:pPr>
        <w:pStyle w:val="FirstParagraph"/>
      </w:pPr>
      <w:r>
        <w:t>For Tier 2 and Tier 3 consequence-bearing execution, absence of PCC.ExecutionStabilityRecord SHALL mark the PCC INVALID for any claim that the transition was execution-stability-classified. It does not by itself change historical NCRC, TRC, CSV, or RLS arithmetic, but it prevents a stronger execution-bound conformance claim.</w:t>
      </w:r>
    </w:p>
    <w:bookmarkEnd w:id="551"/>
    <w:bookmarkStart w:id="552" w:name="t7-non-adoption-boundary"/>
    <w:p>
      <w:pPr>
        <w:pStyle w:val="Heading2"/>
      </w:pPr>
      <w:r>
        <w:t>T.7 Non-adoption boundary</w:t>
      </w:r>
    </w:p>
    <w:p>
      <w:pPr>
        <w:pStyle w:val="FirstParagraph"/>
      </w:pPr>
      <w:r>
        <w:t>This appendix integrates a general pre-execution stability diagnostic into RippleLogic's own architecture. Stability remains an execution diagnostic, not ethical validity, permission, or source authority.</w:t>
      </w:r>
    </w:p>
    <w:bookmarkEnd w:id="552"/>
    <w:bookmarkStart w:id="553" w:name="t8-release-delta-v100-informative"/>
    <w:p>
      <w:pPr>
        <w:pStyle w:val="Heading2"/>
      </w:pPr>
      <w:r>
        <w:t>T.8 Release Delta v10.0 (Informative)</w:t>
      </w:r>
    </w:p>
    <w:p>
      <w:pPr>
        <w:pStyle w:val="FirstParagraph"/>
      </w:pPr>
      <w:r>
        <w:t>v10.0 (2026-05-13). Release-integrity, admissibility-permission, and execution-stability indicator hardening GitHub release.</w:t>
      </w:r>
    </w:p>
    <w:p>
      <w:pPr>
        <w:pStyle w:val="BodyText"/>
      </w:pPr>
      <w:r>
        <w:t>Added Appendix T, Execution Stability Diagnostic, with regime tokens and PCC.ExecutionStabilityRecord fields.</w:t>
      </w:r>
    </w:p>
    <w:p>
      <w:pPr>
        <w:pStyle w:val="BodyText"/>
      </w:pPr>
      <w:r>
        <w:t>Preserved Reality Grounding → Rights Floor → TRC → CSV → RLS and kept ESD subordinate to the existing gates.</w:t>
      </w:r>
    </w:p>
    <w:p>
      <w:pPr>
        <w:pStyle w:val="BodyText"/>
      </w:pPr>
      <w:r>
        <w:t>Clarified boundary: RippleLogic's normative architecture remains governed by the canonical cascade, release manifest, and declared companion matrix.</w:t>
      </w:r>
    </w:p>
    <w:p>
      <w:pPr>
        <w:pStyle w:val="BodyText"/>
      </w:pPr>
      <w:r>
        <w:t>Synchronized companion references to SGP v8.2.1, ripple.md v5.2, Agent System v12.1, Primer v4.1, Aligners Sheet v5.3, Cascade Standard v2.3, WDBIP v1.3, and RLS Validation Protocol v2.3.</w:t>
      </w:r>
    </w:p>
    <w:bookmarkEnd w:id="553"/>
    <w:bookmarkEnd w:id="554"/>
    <w:bookmarkStart w:id="562" w:name="Xa593fc3f7a904606cc31b2e44e6dd0e62212af0"/>
    <w:p>
      <w:pPr>
        <w:pStyle w:val="Heading1"/>
      </w:pPr>
      <w:r>
        <w:t>APPENDIX U: TRANSITION ADMISSIBILITY AND EVIDENCE SUBSTRATE (NORMATIVE)</w:t>
      </w:r>
    </w:p>
    <w:bookmarkStart w:id="555" w:name="X59123060bfdb3b85a55c88e1b715c4f5196b770"/>
    <w:p>
      <w:pPr>
        <w:pStyle w:val="Heading2"/>
      </w:pPr>
      <w:r>
        <w:t>U.1 Purpose. This appendix specifies the carried-forward Transition Admissibility discipline. It strengthens pre-execution review without changing the core cascade. The purpose is to prevent consequence-bearing action when the primitive assumptions, projection path, evidence substrate, or transition regime are not sufficiently determined for the claim being attempted.</w:t>
      </w:r>
    </w:p>
    <w:bookmarkEnd w:id="555"/>
    <w:bookmarkStart w:id="556" w:name="Xc8c5795783569647f638fe436338c156e7d781a"/>
    <w:p>
      <w:pPr>
        <w:pStyle w:val="Heading2"/>
      </w:pPr>
      <w:r>
        <w:t>U.2 Core principle. Evaluation MUST NOT begin at the output layer alone for Tier 2 and Tier 3 consequence-bearing runs. Before execution, the run SHALL identify the current state, proposed transition, affected Union Scopes, primitive assumptions, evidence sources, projection path, admissibility gates, execution-stability classification, refusal triggers, and observable consequence markers.</w:t>
      </w:r>
    </w:p>
    <w:bookmarkEnd w:id="556"/>
    <w:bookmarkStart w:id="557" w:name="X2d6397d629c43d4e9b53b2dae1166dda95db4be"/>
    <w:p>
      <w:pPr>
        <w:pStyle w:val="Heading2"/>
      </w:pPr>
      <w:r>
        <w:t>U.3 Binary gates and probabilistic evidence. RippleLogic preserves binary admissibility gates where ethically and operationally required: NCRC pass/fail, TRC pass/fail, Containment pass/fail, Refusal/non-refusal, and execution eligibility. However, the evidence used to evaluate those gates MAY be probabilistic, uncertain, incomplete, adversarial, or model-mediated. A binary gate result is claimable only relative to declared rules, domains, thresholds, and evidence standards; it is not a claim of omniscient or deterministic access to total reality.</w:t>
      </w:r>
    </w:p>
    <w:bookmarkEnd w:id="557"/>
    <w:bookmarkStart w:id="558" w:name="X0d665f0545789c9c753f3131a87121aee4b7fee"/>
    <w:p>
      <w:pPr>
        <w:pStyle w:val="Heading2"/>
      </w:pPr>
      <w:r>
        <w:t>U.4 TransitionAdmissibilityRecord. For Tier 2 and Tier 3 consequence-bearing execution, the PCC SHOULD include a TransitionAdmissibilityRecord; for high-stakes Tier 3 runs it SHALL include it. The record contains: transition_id; current_state; proposed_state; affected_scopes; primitive_assumptions; evidence_substrate; gate_results; uncertainty_class; projection_path; observable_consequence_markers; refusal_triggers; rollback_conditions; reviewer_role; timestamp; and artifact_hash_ref.</w:t>
      </w:r>
    </w:p>
    <w:bookmarkEnd w:id="558"/>
    <w:bookmarkStart w:id="559" w:name="X16466a9abd8925360ed7a122160788b575bf1a9"/>
    <w:p>
      <w:pPr>
        <w:pStyle w:val="Heading2"/>
      </w:pPr>
      <w:r>
        <w:t>U.5 Refusal rule. If any primitive assumption, dependency chain, projection condition, measurement method, evidence sufficiency threshold, or gate result is materially underdetermined for the claim being attempted, the system SHALL route to Refusal, escalation, or narrower claim scope. It SHALL NOT treat behavioral plausibility, local stability, or output confidence as a substitute for admissibility.</w:t>
      </w:r>
    </w:p>
    <w:bookmarkEnd w:id="559"/>
    <w:bookmarkStart w:id="560" w:name="Xfeb0122a1ab26a1df9c28759769a1364b9515bb"/>
    <w:p>
      <w:pPr>
        <w:pStyle w:val="Heading2"/>
      </w:pPr>
      <w:r>
        <w:t>U.6 No external ontology import. This appendix is an internal RippleLogic methodology clarification. It does not import, depend on, cite, or credit any external ontology, proprietary framework, or third-party system. The current terminology is: primitive-to-observable traceability, projection pre-registration, transition admissibility, evidence-substrate humility, execution stability diagnostic, and refusal under underdetermination.</w:t>
      </w:r>
    </w:p>
    <w:bookmarkEnd w:id="560"/>
    <w:bookmarkStart w:id="561" w:name="Xf9cd3bf32b7b39d6a959daa30c645661a02761a"/>
    <w:p>
      <w:pPr>
        <w:pStyle w:val="Heading2"/>
      </w:pPr>
      <w:r>
        <w:t>U.7 ProofPack path. Future ProofPack tooling SHOULD operationalize this appendix through machine-readable TransitionAdmissibilityRecord schemas, validator checks, canonical test vectors, replayable PCC examples, and independent replay instructions. Until those artifacts exist and are hash-pinned, the current release line remains architecture/methodology complete for its declared scope, not ProofPack-ready or Tier 4-ready.</w:t>
      </w:r>
    </w:p>
    <w:bookmarkEnd w:id="561"/>
    <w:bookmarkEnd w:id="562"/>
    <w:bookmarkStart w:id="576" w:name="X18acc0e56d942da8383e87423ef06eda1623f72"/>
    <w:p>
      <w:pPr>
        <w:pStyle w:val="Heading1"/>
      </w:pPr>
      <w:r>
        <w:t>APPENDIX V: Measurement Maturity and Deployment Context Hardening</w:t>
      </w:r>
    </w:p>
    <w:p>
      <w:pPr>
        <w:pStyle w:val="FirstParagraph"/>
      </w:pPr>
      <w:r>
        <w:t>Normative for Tier 2-3 claim-bearing runs; recommended for high-stakes Tier 1 runs.</w:t>
      </w:r>
    </w:p>
    <w:bookmarkStart w:id="563" w:name="v1-purpose"/>
    <w:p>
      <w:pPr>
        <w:pStyle w:val="Heading2"/>
      </w:pPr>
      <w:r>
        <w:t>V.1 Purpose</w:t>
      </w:r>
    </w:p>
    <w:p>
      <w:pPr>
        <w:pStyle w:val="FirstParagraph"/>
      </w:pPr>
      <w:r>
        <w:t>RippleLogic gates may be architecturally binding before their measurement surfaces are empirically mature. Every run MUST disclose the maturity posture of the evidence, indicators, kernels, institutional weighting process, and escalation mechanisms used to support those gates. A binary gate verdict is only claimable when the declared evidence substrate can support the required determination under the run’s declared thresholds and uncertainty rules.</w:t>
      </w:r>
    </w:p>
    <w:bookmarkEnd w:id="563"/>
    <w:bookmarkStart w:id="564" w:name="X40634f5f81a3ac5e6e9987e88f280fd6300c274"/>
    <w:p>
      <w:pPr>
        <w:pStyle w:val="Heading2"/>
      </w:pPr>
      <w:r>
        <w:t>V.2 UCI Measurement Readiness Classification</w:t>
      </w:r>
    </w:p>
    <w:tbl>
      <w:tblPr>
        <w:tblStyle w:val="Table"/>
        <w:tblW w:type="auto" w:w="0"/>
        <w:jc w:val="center"/>
        <w:tblLook w:firstRow="1" w:lastRow="0" w:firstColumn="0" w:lastColumn="0" w:noHBand="0" w:noVBand="0" w:val="0020"/>
      </w:tblPr>
      <w:tblGrid>
        <w:gridCol w:w="2640"/>
        <w:gridCol w:w="2640"/>
        <w:gridCol w:w="2640"/>
      </w:tblGrid>
      <w:tr>
        <w:trPr>
          <w:tblHeader w:val="on"/>
          <w:tblHeader w:val="true"/>
          <w:cantSplit/>
        </w:trPr>
        <w:tc>
          <w:tcPr>
            <w:vAlign w:val="top"/>
            <w:tcMar>
              <w:top w:w="70" w:type="dxa"/>
              <w:start w:w="80" w:type="dxa"/>
              <w:bottom w:w="70" w:type="dxa"/>
              <w:end w:w="80" w:type="dxa"/>
            </w:tcMar>
            <w:shd w:fill="1F4E78"/>
          </w:tcPr>
          <w:p>
            <w:pPr>
              <w:pStyle w:val="Compact"/>
              <w:jc w:val="left"/>
            </w:pPr>
            <w:r>
              <w:rPr>
                <w:rFonts w:ascii="Arial" w:hAnsi="Arial" w:eastAsia="Arial"/>
                <w:b/>
                <w:bCs/>
                <w:color w:val="FFFFFF"/>
                <w:sz w:val="16"/>
              </w:rPr>
              <w:t>Token</w:t>
            </w:r>
          </w:p>
        </w:tc>
        <w:tc>
          <w:tcPr>
            <w:vAlign w:val="top"/>
            <w:tcMar>
              <w:top w:w="70" w:type="dxa"/>
              <w:start w:w="80" w:type="dxa"/>
              <w:bottom w:w="70" w:type="dxa"/>
              <w:end w:w="80" w:type="dxa"/>
            </w:tcMar>
            <w:shd w:fill="1F4E78"/>
          </w:tcPr>
          <w:p>
            <w:pPr>
              <w:pStyle w:val="Compact"/>
              <w:jc w:val="left"/>
            </w:pPr>
            <w:r>
              <w:rPr>
                <w:rFonts w:ascii="Arial" w:hAnsi="Arial" w:eastAsia="Arial"/>
                <w:b/>
                <w:bCs/>
                <w:color w:val="FFFFFF"/>
                <w:sz w:val="16"/>
              </w:rPr>
              <w:t>Meaning</w:t>
            </w:r>
          </w:p>
        </w:tc>
        <w:tc>
          <w:tcPr>
            <w:vAlign w:val="top"/>
            <w:tcMar>
              <w:top w:w="70" w:type="dxa"/>
              <w:start w:w="80" w:type="dxa"/>
              <w:bottom w:w="70" w:type="dxa"/>
              <w:end w:w="80" w:type="dxa"/>
            </w:tcMar>
            <w:shd w:fill="1F4E78"/>
          </w:tcPr>
          <w:p>
            <w:pPr>
              <w:pStyle w:val="Compact"/>
              <w:jc w:val="left"/>
            </w:pPr>
            <w:r>
              <w:rPr>
                <w:rFonts w:ascii="Arial" w:hAnsi="Arial" w:eastAsia="Arial"/>
                <w:b/>
                <w:bCs/>
                <w:color w:val="FFFFFF"/>
                <w:sz w:val="16"/>
              </w:rPr>
              <w:t>Claim effect</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UCI-M0_UNAVAILABLE</w:t>
            </w:r>
          </w:p>
        </w:tc>
        <w:tc>
          <w:tcPr>
            <w:vAlign w:val="top"/>
            <w:tcMar>
              <w:top w:w="70" w:type="dxa"/>
              <w:start w:w="80" w:type="dxa"/>
              <w:bottom w:w="70" w:type="dxa"/>
              <w:end w:w="80" w:type="dxa"/>
            </w:tcMar>
            <w:shd w:fill="D9EAF7"/>
          </w:tcPr>
          <w:p>
            <w:pPr>
              <w:pStyle w:val="Compact"/>
              <w:jc w:val="left"/>
            </w:pPr>
            <w:r>
              <w:rPr>
                <w:rFonts w:ascii="Arial" w:hAnsi="Arial" w:eastAsia="Arial"/>
                <w:sz w:val="16"/>
              </w:rPr>
              <w:t>No independent structural indicators are available.</w:t>
            </w:r>
          </w:p>
        </w:tc>
        <w:tc>
          <w:tcPr>
            <w:vAlign w:val="top"/>
            <w:tcMar>
              <w:top w:w="70" w:type="dxa"/>
              <w:start w:w="80" w:type="dxa"/>
              <w:bottom w:w="70" w:type="dxa"/>
              <w:end w:w="80" w:type="dxa"/>
            </w:tcMar>
            <w:shd w:fill="D9EAF7"/>
          </w:tcPr>
          <w:p>
            <w:pPr>
              <w:pStyle w:val="Compact"/>
              <w:jc w:val="left"/>
            </w:pPr>
            <w:r>
              <w:rPr>
                <w:rFonts w:ascii="Arial" w:hAnsi="Arial" w:eastAsia="Arial"/>
                <w:sz w:val="16"/>
              </w:rPr>
              <w:t>UCI cannot support Containment or tie-break claims without escalation or narrower claim scope.</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UCI-M1_PROVISIONAL</w:t>
            </w:r>
          </w:p>
        </w:tc>
        <w:tc>
          <w:tcPr>
            <w:vAlign w:val="top"/>
            <w:tcMar>
              <w:top w:w="70" w:type="dxa"/>
              <w:start w:w="80" w:type="dxa"/>
              <w:bottom w:w="70" w:type="dxa"/>
              <w:end w:w="80" w:type="dxa"/>
            </w:tcMar>
            <w:shd w:fill="FFFFFF"/>
          </w:tcPr>
          <w:p>
            <w:pPr>
              <w:pStyle w:val="Compact"/>
              <w:jc w:val="left"/>
            </w:pPr>
            <w:r>
              <w:rPr>
                <w:rFonts w:ascii="Arial" w:hAnsi="Arial" w:eastAsia="Arial"/>
                <w:sz w:val="16"/>
              </w:rPr>
              <w:t>Indicators are declared but not validated, normalized, or reliability-tested.</w:t>
            </w:r>
          </w:p>
        </w:tc>
        <w:tc>
          <w:tcPr>
            <w:vAlign w:val="top"/>
            <w:tcMar>
              <w:top w:w="70" w:type="dxa"/>
              <w:start w:w="80" w:type="dxa"/>
              <w:bottom w:w="70" w:type="dxa"/>
              <w:end w:w="80" w:type="dxa"/>
            </w:tcMar>
            <w:shd w:fill="FFFFFF"/>
          </w:tcPr>
          <w:p>
            <w:pPr>
              <w:pStyle w:val="Compact"/>
              <w:jc w:val="left"/>
            </w:pPr>
            <w:r>
              <w:rPr>
                <w:rFonts w:ascii="Arial" w:hAnsi="Arial" w:eastAsia="Arial"/>
                <w:sz w:val="16"/>
              </w:rPr>
              <w:t>Tier run may proceed only with disclosure and caution; no cross-domain UCI validation claim.</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UCI-M2_DOMAIN_SUPPORTED</w:t>
            </w:r>
          </w:p>
        </w:tc>
        <w:tc>
          <w:tcPr>
            <w:vAlign w:val="top"/>
            <w:tcMar>
              <w:top w:w="70" w:type="dxa"/>
              <w:start w:w="80" w:type="dxa"/>
              <w:bottom w:w="70" w:type="dxa"/>
              <w:end w:w="80" w:type="dxa"/>
            </w:tcMar>
            <w:shd w:fill="D9EAF7"/>
          </w:tcPr>
          <w:p>
            <w:pPr>
              <w:pStyle w:val="Compact"/>
              <w:jc w:val="left"/>
            </w:pPr>
            <w:r>
              <w:rPr>
                <w:rFonts w:ascii="Arial" w:hAnsi="Arial" w:eastAsia="Arial"/>
                <w:sz w:val="16"/>
              </w:rPr>
              <w:t>Instruments, normalization rules, and reviewer procedures are declared for the domain.</w:t>
            </w:r>
          </w:p>
        </w:tc>
        <w:tc>
          <w:tcPr>
            <w:vAlign w:val="top"/>
            <w:tcMar>
              <w:top w:w="70" w:type="dxa"/>
              <w:start w:w="80" w:type="dxa"/>
              <w:bottom w:w="70" w:type="dxa"/>
              <w:end w:w="80" w:type="dxa"/>
            </w:tcMar>
            <w:shd w:fill="D9EAF7"/>
          </w:tcPr>
          <w:p>
            <w:pPr>
              <w:pStyle w:val="Compact"/>
              <w:jc w:val="left"/>
            </w:pPr>
            <w:r>
              <w:rPr>
                <w:rFonts w:ascii="Arial" w:hAnsi="Arial" w:eastAsia="Arial"/>
                <w:sz w:val="16"/>
              </w:rPr>
              <w:t>Stronger Tier 3 use is possible with disclosed provisionality.</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UCI-M3_VALIDATED</w:t>
            </w:r>
          </w:p>
        </w:tc>
        <w:tc>
          <w:tcPr>
            <w:vAlign w:val="top"/>
            <w:tcMar>
              <w:top w:w="70" w:type="dxa"/>
              <w:start w:w="80" w:type="dxa"/>
              <w:bottom w:w="70" w:type="dxa"/>
              <w:end w:w="80" w:type="dxa"/>
            </w:tcMar>
            <w:shd w:fill="FFFFFF"/>
          </w:tcPr>
          <w:p>
            <w:pPr>
              <w:pStyle w:val="Compact"/>
              <w:jc w:val="left"/>
            </w:pPr>
            <w:r>
              <w:rPr>
                <w:rFonts w:ascii="Arial" w:hAnsi="Arial" w:eastAsia="Arial"/>
                <w:sz w:val="16"/>
              </w:rPr>
              <w:t>A domain annex exists with reliability, construct-validity, normalization, and structural-independence evidence.</w:t>
            </w:r>
          </w:p>
        </w:tc>
        <w:tc>
          <w:tcPr>
            <w:vAlign w:val="top"/>
            <w:tcMar>
              <w:top w:w="70" w:type="dxa"/>
              <w:start w:w="80" w:type="dxa"/>
              <w:bottom w:w="70" w:type="dxa"/>
              <w:end w:w="80" w:type="dxa"/>
            </w:tcMar>
            <w:shd w:fill="FFFFFF"/>
          </w:tcPr>
          <w:p>
            <w:pPr>
              <w:pStyle w:val="Compact"/>
              <w:jc w:val="left"/>
            </w:pPr>
            <w:r>
              <w:rPr>
                <w:rFonts w:ascii="Arial" w:hAnsi="Arial" w:eastAsia="Arial"/>
                <w:sz w:val="16"/>
              </w:rPr>
              <w:t>Higher-confidence Containment and tie-break use is claimable within that domain.</w:t>
            </w:r>
          </w:p>
        </w:tc>
      </w:tr>
    </w:tbl>
    <w:p>
      <w:pPr>
        <w:pStyle w:val="BodyText"/>
      </w:pPr>
      <w:r>
        <w:t>For Tier 2-3 runs using UCI, PCC.UCI_Measurement_Readiness, PCC.UCI_Indicator_Source, PCC.UCI_Normalization_Rule, PCC.UCI_Structural_Independence_Posture, and PCC.UCI_Reviewer_Reliability_Status SHALL be recorded. If UCI-M0 applies, UCI-dependent Containment or tie-break claims SHALL route to escalation, conservative fallback, or Refusal rather than silently proceeding as validated measurement.</w:t>
      </w:r>
    </w:p>
    <w:bookmarkEnd w:id="564"/>
    <w:bookmarkStart w:id="565" w:name="v3-kernel-use-posture"/>
    <w:p>
      <w:pPr>
        <w:pStyle w:val="Heading2"/>
      </w:pPr>
      <w:r>
        <w:t>V.3 Kernel Use Posture</w:t>
      </w:r>
    </w:p>
    <w:tbl>
      <w:tblPr>
        <w:tblStyle w:val="Table"/>
        <w:tblW w:type="auto" w:w="0"/>
        <w:jc w:val="center"/>
        <w:tblLook w:firstRow="1" w:lastRow="0" w:firstColumn="0" w:lastColumn="0" w:noHBand="0" w:noVBand="0" w:val="0020"/>
      </w:tblPr>
      <w:tblGrid>
        <w:gridCol w:w="3960"/>
        <w:gridCol w:w="3960"/>
      </w:tblGrid>
      <w:tr>
        <w:trPr>
          <w:tblHeader w:val="on"/>
          <w:tblHeader w:val="true"/>
          <w:cantSplit/>
        </w:trPr>
        <w:tc>
          <w:tcPr>
            <w:vAlign w:val="top"/>
            <w:tcMar>
              <w:top w:w="70" w:type="dxa"/>
              <w:start w:w="80" w:type="dxa"/>
              <w:bottom w:w="70" w:type="dxa"/>
              <w:end w:w="80" w:type="dxa"/>
            </w:tcMar>
            <w:shd w:fill="1F4E78"/>
          </w:tcPr>
          <w:p>
            <w:pPr>
              <w:pStyle w:val="Compact"/>
              <w:jc w:val="left"/>
            </w:pPr>
            <w:r>
              <w:rPr>
                <w:rFonts w:ascii="Arial" w:hAnsi="Arial" w:eastAsia="Arial"/>
                <w:b/>
                <w:bCs/>
                <w:color w:val="FFFFFF"/>
                <w:sz w:val="16"/>
              </w:rPr>
              <w:t>Token</w:t>
            </w:r>
          </w:p>
        </w:tc>
        <w:tc>
          <w:tcPr>
            <w:vAlign w:val="top"/>
            <w:tcMar>
              <w:top w:w="70" w:type="dxa"/>
              <w:start w:w="80" w:type="dxa"/>
              <w:bottom w:w="70" w:type="dxa"/>
              <w:end w:w="80" w:type="dxa"/>
            </w:tcMar>
            <w:shd w:fill="1F4E78"/>
          </w:tcPr>
          <w:p>
            <w:pPr>
              <w:pStyle w:val="Compact"/>
              <w:jc w:val="left"/>
            </w:pPr>
            <w:r>
              <w:rPr>
                <w:rFonts w:ascii="Arial" w:hAnsi="Arial" w:eastAsia="Arial"/>
                <w:b/>
                <w:bCs/>
                <w:color w:val="FFFFFF"/>
                <w:sz w:val="16"/>
              </w:rPr>
              <w:t>Meaning</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K0_NONE</w:t>
            </w:r>
          </w:p>
        </w:tc>
        <w:tc>
          <w:tcPr>
            <w:vAlign w:val="top"/>
            <w:tcMar>
              <w:top w:w="70" w:type="dxa"/>
              <w:start w:w="80" w:type="dxa"/>
              <w:bottom w:w="70" w:type="dxa"/>
              <w:end w:w="80" w:type="dxa"/>
            </w:tcMar>
            <w:shd w:fill="D9EAF7"/>
          </w:tcPr>
          <w:p>
            <w:pPr>
              <w:pStyle w:val="Compact"/>
              <w:jc w:val="left"/>
            </w:pPr>
            <w:r>
              <w:rPr>
                <w:rFonts w:ascii="Arial" w:hAnsi="Arial" w:eastAsia="Arial"/>
                <w:sz w:val="16"/>
              </w:rPr>
              <w:t>No numerical propagation kernel is used; direct multi-scope assessment and conservative disclosure govern.</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K1_STARTER</w:t>
            </w:r>
          </w:p>
        </w:tc>
        <w:tc>
          <w:tcPr>
            <w:vAlign w:val="top"/>
            <w:tcMar>
              <w:top w:w="70" w:type="dxa"/>
              <w:start w:w="80" w:type="dxa"/>
              <w:bottom w:w="70" w:type="dxa"/>
              <w:end w:w="80" w:type="dxa"/>
            </w:tcMar>
            <w:shd w:fill="FFFFFF"/>
          </w:tcPr>
          <w:p>
            <w:pPr>
              <w:pStyle w:val="Compact"/>
              <w:jc w:val="left"/>
            </w:pPr>
            <w:r>
              <w:rPr>
                <w:rFonts w:ascii="Arial" w:hAnsi="Arial" w:eastAsia="Arial"/>
                <w:sz w:val="16"/>
              </w:rPr>
              <w:t>Starter kernel used with shrinkage, sensitivity checks, and low confidence.</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K2_DOMAIN_CALIBRATED</w:t>
            </w:r>
          </w:p>
        </w:tc>
        <w:tc>
          <w:tcPr>
            <w:vAlign w:val="top"/>
            <w:tcMar>
              <w:top w:w="70" w:type="dxa"/>
              <w:start w:w="80" w:type="dxa"/>
              <w:bottom w:w="70" w:type="dxa"/>
              <w:end w:w="80" w:type="dxa"/>
            </w:tcMar>
            <w:shd w:fill="D9EAF7"/>
          </w:tcPr>
          <w:p>
            <w:pPr>
              <w:pStyle w:val="Compact"/>
              <w:jc w:val="left"/>
            </w:pPr>
            <w:r>
              <w:rPr>
                <w:rFonts w:ascii="Arial" w:hAnsi="Arial" w:eastAsia="Arial"/>
                <w:sz w:val="16"/>
              </w:rPr>
              <w:t>Domain-specific kernel has documented sources and partial validation.</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K3_BACKTESTED</w:t>
            </w:r>
          </w:p>
        </w:tc>
        <w:tc>
          <w:tcPr>
            <w:vAlign w:val="top"/>
            <w:tcMar>
              <w:top w:w="70" w:type="dxa"/>
              <w:start w:w="80" w:type="dxa"/>
              <w:bottom w:w="70" w:type="dxa"/>
              <w:end w:w="80" w:type="dxa"/>
            </w:tcMar>
            <w:shd w:fill="FFFFFF"/>
          </w:tcPr>
          <w:p>
            <w:pPr>
              <w:pStyle w:val="Compact"/>
              <w:jc w:val="left"/>
            </w:pPr>
            <w:r>
              <w:rPr>
                <w:rFonts w:ascii="Arial" w:hAnsi="Arial" w:eastAsia="Arial"/>
                <w:sz w:val="16"/>
              </w:rPr>
              <w:t>Kernel has backtest evidence, prediction-error documentation, and known failure boundaries.</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K4_REGISTERED</w:t>
            </w:r>
          </w:p>
        </w:tc>
        <w:tc>
          <w:tcPr>
            <w:vAlign w:val="top"/>
            <w:tcMar>
              <w:top w:w="70" w:type="dxa"/>
              <w:start w:w="80" w:type="dxa"/>
              <w:bottom w:w="70" w:type="dxa"/>
              <w:end w:w="80" w:type="dxa"/>
            </w:tcMar>
            <w:shd w:fill="D9EAF7"/>
          </w:tcPr>
          <w:p>
            <w:pPr>
              <w:pStyle w:val="Compact"/>
              <w:jc w:val="left"/>
            </w:pPr>
            <w:r>
              <w:rPr>
                <w:rFonts w:ascii="Arial" w:hAnsi="Arial" w:eastAsia="Arial"/>
                <w:sz w:val="16"/>
              </w:rPr>
              <w:t>Kernel is published, hash-pinned, independently reviewed, and tied to replayable test vectors.</w:t>
            </w:r>
          </w:p>
        </w:tc>
      </w:tr>
    </w:tbl>
    <w:p>
      <w:pPr>
        <w:pStyle w:val="BodyText"/>
      </w:pPr>
      <w:r>
        <w:t>PCC.Kernel_Use_Posture, PCC.Kernel_Validation_Evidence, PCC.Kernel_Backtest_Status, and PCC.Kernel_Error_Bounds SHALL be disclosed for any run using numerical propagation. K0_NONE is conformant when disclosed; it means the run is ripple-aware through scope mapping, gates, and auditability, but does not claim validated numerical propagation.</w:t>
      </w:r>
    </w:p>
    <w:bookmarkEnd w:id="565"/>
    <w:bookmarkStart w:id="566" w:name="v4-hdw-capture-audit-record"/>
    <w:p>
      <w:pPr>
        <w:pStyle w:val="Heading2"/>
      </w:pPr>
      <w:r>
        <w:t>V.4 HDW Capture Audit Record</w:t>
      </w:r>
    </w:p>
    <w:p>
      <w:pPr>
        <w:pStyle w:val="FirstParagraph"/>
      </w:pPr>
      <w:r>
        <w:t>For Tier 3 public or institutional decisions, HDW weight-setting SHALL include a capture-risk assessment. Required fields: PCC.HDW_Weight_Source, PCC.HDW_Stakeholder_Map, PCC.HDW_Participation_Quality, PCC.HDW_Expert_Role_Provenance, PCC.HDW_Conflict_Disclosures, PCC.HDW_Challenger_Window, PCC.HDW_Independent_Review_Status, and PCC.HDW_Captured_Context_Limitation. Transparent capture is still capture; disclosure does not repair captured authority.</w:t>
      </w:r>
    </w:p>
    <w:bookmarkEnd w:id="566"/>
    <w:bookmarkStart w:id="567" w:name="v5-plss-escalation-trigger-register"/>
    <w:p>
      <w:pPr>
        <w:pStyle w:val="Heading2"/>
      </w:pPr>
      <w:r>
        <w:t>V.5 PLSS Escalation Trigger Register</w:t>
      </w:r>
    </w:p>
    <w:p>
      <w:pPr>
        <w:pStyle w:val="FirstParagraph"/>
      </w:pPr>
      <w:r>
        <w:t>PLSS runs SHALL record whether hidden externalities, rights exposure, precedent effects, lock-in, ecological spillover, governance spillover, repeated local use, or non-local stakeholder exposure are plausible. Required fields: PCC.PLSS_Profile_Used, PCC.Local_Stakeholder_Set, PCC.Guardrail_Scopes, PCC.Escalation_Trigger_Checklist, PCC.Non_Escalation_Rationale, PCC.Externality_Search_Method, PCC.Prominence_Sensitivity_Result, PCC.External_Challenger_Status, and PCC.Repeated_PLSS_Use_Flag. Tier 2 PLSS runs require prominence-sensitivity review when non-local effects are plausible; Tier 3 PLSS runs require external challenger review or documented waiver.</w:t>
      </w:r>
    </w:p>
    <w:bookmarkEnd w:id="567"/>
    <w:bookmarkStart w:id="568" w:name="v6-deployment-context-profile"/>
    <w:p>
      <w:pPr>
        <w:pStyle w:val="Heading2"/>
      </w:pPr>
      <w:r>
        <w:t>V.6 Deployment Context Profile</w:t>
      </w:r>
    </w:p>
    <w:p>
      <w:pPr>
        <w:pStyle w:val="FirstParagraph"/>
      </w:pPr>
      <w:r>
        <w:t>Every Tier 2-3 claim-bearing deployment SHOULD classify its deployment context as LAB, PILOT, INSTITUTIONAL_ADVISORY, INSTITUTIONAL_OPERATIONAL, PUBLIC_POLICY, AGENTIC_EXECUTION, or EMERGENCY_TRIAGE. Context determines evidence sufficiency, reviewer independence, audit visibility, and escalation thresholds.</w:t>
      </w:r>
    </w:p>
    <w:bookmarkEnd w:id="568"/>
    <w:bookmarkStart w:id="569" w:name="v7-non-overclaiming-rule"/>
    <w:p>
      <w:pPr>
        <w:pStyle w:val="Heading2"/>
      </w:pPr>
      <w:r>
        <w:t>V.7 Non-Overclaiming Rule</w:t>
      </w:r>
    </w:p>
    <w:p>
      <w:pPr>
        <w:pStyle w:val="FirstParagraph"/>
      </w:pPr>
      <w:r>
        <w:t>A run MAY be architecturally valid while measurement-maturity is provisional. It MUST NOT claim empirical validation, cross-domain calibrated UCI, validated kernel propagation, biological SGP measurement completeness, capture-resistant HDW, or safe PLSS localism unless the relevant maturity fields support that claim.</w:t>
      </w:r>
    </w:p>
    <w:bookmarkEnd w:id="569"/>
    <w:bookmarkStart w:id="570" w:name="Xa35cbc66cf4841cdc35b21baa54144f1bf80c39"/>
    <w:p>
      <w:pPr>
        <w:pStyle w:val="Heading2"/>
      </w:pPr>
      <w:r>
        <w:t>V.8 Machine-Verifiability and Calibration-Prep Addendum</w:t>
      </w:r>
    </w:p>
    <w:p>
      <w:pPr>
        <w:pStyle w:val="FirstParagraph"/>
      </w:pPr>
      <w:r>
        <w:t>Cumulative Release Delta (v10.2 → v10.4; lineage context). This cumulative lineage block summarizes changes accumulated across the v10.2-to-v10.4 development arc. It is not the immediate point-release characterization of v10.4, which is defined in Appendix M.4A and the Methodology Upgrade Summary as a readability, front-matter reorganization, and companion synchronization release. The cumulative arc preserves the canonical admissibility cascade, equations, rights thresholds, TRC mechanics, Containment semantics, SGP binding interface, PLSS/FLGG architecture, and Tier 1-3 claim boundaries, while adding schema ownership rules, registry versioning rules, machine-readable registry expectations, UCI Measurement Annex linkage, PLSS calibration linkage, Appendix R machine-vector requirements, reference-calculator expectations, and CI drift-check requirements.</w:t>
      </w:r>
    </w:p>
    <w:p>
      <w:pPr>
        <w:pStyle w:val="BodyText"/>
      </w:pPr>
      <w:r>
        <w:t>Normative effect statement (carried forward from v10.8). No intended change was made to the canonical admissibility cascade Reality Grounding → Rights Floor → TRC → CSV → RLS, rights coverage sets, TRC corridor mechanics, Containment semantics, RLS formula, PLSS/FLGG architecture, HDW, PCC, RSP/RefStructRecord, or Appendix AD. The v10.8 line updated the SGP companion pin to SGP v5.5 and clarified the human plateau / reality-management rationale without allowing any SGP protection surface to weaken human protections, alter admissibility gates, or grant governance authority by itself. The current v12.3 / SGP v8.2.1 line replaces the legacy scalar interface with MPS/FPP/GPR/SPR/ICP and adds the informative RMCP/P100 calibration surface while preserving protection, participation, capacity, and authority boundaries.</w:t>
      </w:r>
    </w:p>
    <w:p>
      <w:pPr>
        <w:pStyle w:val="BodyText"/>
      </w:pPr>
      <w:r>
        <w:t>RippleLogic Canon v12.3.1 is the governing normative artifact for the Core Release 2026.09 package. It is architecture-complete for the declared Tier 1-3 scope. This release is not an empirical-validation claim, not ProofPack-ready, not machine-verifiable-ecosystem-complete, not legally certified, and not deployment-certified.</w:t>
      </w:r>
    </w:p>
    <w:bookmarkEnd w:id="570"/>
    <w:bookmarkStart w:id="571" w:name="X0fd6a76eaa1547b882a600ce080a2e0df5c1908"/>
    <w:p>
      <w:pPr>
        <w:pStyle w:val="Heading2"/>
      </w:pPr>
      <w:r>
        <w:t>V.9 Schema Ownership and Machine-Readable Source of Truth</w:t>
      </w:r>
    </w:p>
    <w:p>
      <w:pPr>
        <w:pStyle w:val="FirstParagraph"/>
      </w:pPr>
      <w:r>
        <w:t>For v11.0 and later machine-verifiable surfaces, each schema, registry, record, enum, and validation object SHALL have exactly one owning artifact. The owner artifact defines the object’s fields, allowed values, semantics, and versioning rules. Consumer artifacts MAY reference the object by id, version, and manifest hash, but MUST NOT independently redefine it.</w:t>
      </w:r>
    </w:p>
    <w:p>
      <w:pPr>
        <w:pStyle w:val="BodyText"/>
      </w:pPr>
      <w:r>
        <w:t>On conflict, the owner artifact controls. Consumer artifacts SHALL cite, import, or reference the owner’s machine-readable registry or schema instead of duplicating field definitions.</w:t>
      </w:r>
    </w:p>
    <w:p>
      <w:pPr>
        <w:pStyle w:val="BodyText"/>
      </w:pPr>
      <w:r>
        <w:t>The schema ownership map is the controlling coordination layer for current-line machine-verifiable work. It does not alter the Cascade, NCRC, TRC, CSV, RLS, UCI/HOI, SGP binding interface, or lawful authority boundaries.</w:t>
      </w:r>
    </w:p>
    <w:bookmarkEnd w:id="571"/>
    <w:bookmarkStart w:id="572" w:name="v10-uci-measurement-annex-linkage"/>
    <w:p>
      <w:pPr>
        <w:pStyle w:val="Heading2"/>
      </w:pPr>
      <w:r>
        <w:t>V.10 UCI Measurement Annex Linkage</w:t>
      </w:r>
    </w:p>
    <w:p>
      <w:pPr>
        <w:pStyle w:val="FirstParagraph"/>
      </w:pPr>
      <w:r>
        <w:t>Where a UCI Measurement Annex is available and hash-pinned, implementations SHOULD cite the annex version, indicator registry, normalization rule, staleness rule, missing-data rule, and reviewer protocol used. In the absence of such an annex, UCI claims SHALL remain at the declared measurement-readiness level and MUST NOT be described as cross-domain validated.</w:t>
      </w:r>
    </w:p>
    <w:p>
      <w:pPr>
        <w:pStyle w:val="BodyText"/>
      </w:pPr>
      <w:r>
        <w:t>For this v12.2 release line, UCI Measurement Annex v0.1 is provisional and initially scoped to U3 Community, U4 Organization, and U5 Polity contexts. It does not establish cross-domain validated UCI status.</w:t>
      </w:r>
    </w:p>
    <w:bookmarkEnd w:id="572"/>
    <w:bookmarkStart w:id="573" w:name="X9e2aed162401a0a8d9e2909d4e4c2bc72122919"/>
    <w:p>
      <w:pPr>
        <w:pStyle w:val="Heading2"/>
      </w:pPr>
      <w:r>
        <w:t>V.11 PLSS Calibration and Adjudication Linkage</w:t>
      </w:r>
    </w:p>
    <w:p>
      <w:pPr>
        <w:pStyle w:val="FirstParagraph"/>
      </w:pPr>
      <w:r>
        <w:t>Tier 3 PLSS use SHOULD compare the declared q_u profile against a hash-pinned PLSS calibration or adjudication pack where available. Reviewer disagreement, escalation-trigger disputes, accepted or rejected local-scope rationales, externality-search results, and non-escalation rationales SHALL be recorded in the PCC.</w:t>
      </w:r>
    </w:p>
    <w:p>
      <w:pPr>
        <w:pStyle w:val="BodyText"/>
      </w:pPr>
      <w:r>
        <w:t>The calibration pack does not create empirical validation by itself. It supports reviewer convergence, interpretive consistency, and anti-capture discipline.</w:t>
      </w:r>
    </w:p>
    <w:bookmarkEnd w:id="573"/>
    <w:bookmarkStart w:id="574" w:name="v12-machine-readable-test-vector-rule"/>
    <w:p>
      <w:pPr>
        <w:pStyle w:val="Heading2"/>
      </w:pPr>
      <w:r>
        <w:t>V.12 Machine-Readable Test Vector Rule</w:t>
      </w:r>
    </w:p>
    <w:p>
      <w:pPr>
        <w:pStyle w:val="FirstParagraph"/>
      </w:pPr>
      <w:r>
        <w:t>For any release that claims machine-verifiable, ProofPack-prep, reference-calculator, or validator-supported status, Appendix R SHALL be accompanied by a machine-readable companion file. The current v12.3 core source release does not bundle such files unless they are explicitly listed and hash-pinned in the release manifest. In the absence of manifest-listed machine-readable vectors, Appendix R remains the human-readable normative reference surface, and no machine-verifiable ecosystem-completeness claim is made. When bundled, the companion SHOULD include input options, union and dimension weights, rights impacts, TRC scenario inputs, Containment inputs, RLS expected outputs, UCI/HOI diagnostic inputs where applicable, expected gate verdicts, expected selected or refusal disposition, tolerance rules, and expected error behavior for failure-path examples.</w:t>
      </w:r>
    </w:p>
    <w:p>
      <w:pPr>
        <w:pStyle w:val="BodyText"/>
      </w:pPr>
      <w:r>
        <w:t>A human-readable Appendix R remains normative for explanatory purposes in the current v12.3 core release. Where a machine-readable companion is explicitly manifest-listed for a future release or tooling bundle, that companion becomes the required reference surface for validators and reference calculators within the claim scope declared by that release.</w:t>
      </w:r>
    </w:p>
    <w:bookmarkEnd w:id="574"/>
    <w:bookmarkStart w:id="575" w:name="X5f582094c656f1eb7767fe1f12eda250d570f20"/>
    <w:p>
      <w:pPr>
        <w:pStyle w:val="Heading2"/>
      </w:pPr>
      <w:r>
        <w:t>V.13 False Precision Guardrail (Normative for Tier 2-3 claim-bearing runs)</w:t>
      </w:r>
    </w:p>
    <w:p>
      <w:pPr>
        <w:pStyle w:val="FirstParagraph"/>
      </w:pPr>
      <w:r>
        <w:t>A numerical cell value is not evidence by itself. Every high-impact, high-uncertainty, gate-sensitive, or culturally contested cell SHOULD disclose its evidence source, uncertainty class, reviewer confidence, and sensitivity relevance. Unsupported numerical precision in welfare impacts, probabilities, UCI indicators, SGP-consumed scalars, or PLSS scope declarations SHALL be treated as an epistemic risk rather than as objective certainty.</w:t>
      </w:r>
    </w:p>
    <w:p>
      <w:pPr>
        <w:pStyle w:val="BodyText"/>
      </w:pPr>
      <w:r>
        <w:t>Where a cell value is weakly evidenced, likely to swing an NCRC/TRC/CSV verdict, likely to alter escalation or refusal status, or dependent on disputed subgroup or threshold definitions, the run SHOULD trigger epistemic-humility review, sensitivity analysis, reviewer-disagreement logging, escalation, narrower claim scope, or Refusal. Implementations SHOULD flag Boundary_Gaming_Risk, False_Precision_Risk, Gate_Swing_Cell_Flag, Subgroup_Definition_Risk, Scenario_Probability_Risk, Threshold_Laundering_Risk, and Reviewer_Disagreement_Level where applicable.</w:t>
      </w:r>
    </w:p>
    <w:p>
      <w:pPr>
        <w:pStyle w:val="BodyText"/>
      </w:pPr>
      <w:r>
        <w:t>Meaning, agency, social cohesion, dignity, and ecological integrity cells require particular caution. These dimensions may be measurable in some contexts, but unsupported precision in these cells SHALL NOT be presented as stronger than the underlying evidence, testimony, instruments, or qualitative-to-quantitative coding rules allow.</w:t>
      </w:r>
    </w:p>
    <w:bookmarkEnd w:id="575"/>
    <w:bookmarkEnd w:id="576"/>
    <w:bookmarkStart w:id="587" w:name="Xbdd33f303cee7dd1386fcdf19b9eb35ba8dae01"/>
    <w:p>
      <w:pPr>
        <w:pStyle w:val="Heading1"/>
      </w:pPr>
      <w:r>
        <w:t>APPENDIX W: SCHEMA OWNERSHIP, REGISTRIES, AND MACHINE-VERIFIABLE SURFACES</w:t>
      </w:r>
    </w:p>
    <w:bookmarkStart w:id="577" w:name="w1-purpose"/>
    <w:p>
      <w:pPr>
        <w:pStyle w:val="Heading2"/>
      </w:pPr>
      <w:r>
        <w:t>W.1 Purpose</w:t>
      </w:r>
    </w:p>
    <w:p>
      <w:pPr>
        <w:pStyle w:val="FirstParagraph"/>
      </w:pPr>
      <w:r>
        <w:t>This appendix defines ownership boundaries for machine-readable schemas, registries, generated tables, and validator surfaces. It prevents duplicate schema authorship, manual synchronization drift, and hidden field-definition conflicts across Canon, SGP, ripple.md, Agent System, workbook, and release-integrity files.</w:t>
      </w:r>
    </w:p>
    <w:bookmarkEnd w:id="577"/>
    <w:bookmarkStart w:id="578" w:name="w2-ownership-rule"/>
    <w:p>
      <w:pPr>
        <w:pStyle w:val="Heading2"/>
      </w:pPr>
      <w:r>
        <w:t>W.2 Ownership Rule</w:t>
      </w:r>
    </w:p>
    <w:p>
      <w:pPr>
        <w:pStyle w:val="FirstParagraph"/>
      </w:pPr>
      <w:r>
        <w:t>Each schema or registry has exactly one owner. The owner defines the object. All other artifacts consume the object by id, version, and manifest hash.</w:t>
      </w:r>
    </w:p>
    <w:bookmarkEnd w:id="578"/>
    <w:bookmarkStart w:id="579" w:name="w3-canon-owned-objects"/>
    <w:p>
      <w:pPr>
        <w:pStyle w:val="Heading2"/>
      </w:pPr>
      <w:r>
        <w:t>W.3 Canon-Owned Objects</w:t>
      </w:r>
    </w:p>
    <w:p>
      <w:pPr>
        <w:pStyle w:val="FirstParagraph"/>
      </w:pPr>
      <w:r>
        <w:t>The Canon owns PCC core record, TransitionAdmissibilityRecord, ExecutionStabilityRecord, RippleLogic PrimitiveTraceRecord, FalsificationPlan, ObservableConsequenceRegister, ProjectionPreRegistration, MaturityProfileRecord, Appendix R test vectors, rights registry, catastrophe-cell registry, reason-code registry, uncertainty-method registry, PLSS operator registry, deployment-context enum registry, and Canon audit flags.</w:t>
      </w:r>
    </w:p>
    <w:bookmarkEnd w:id="579"/>
    <w:bookmarkStart w:id="580" w:name="w4-sgp-owned-objects"/>
    <w:p>
      <w:pPr>
        <w:pStyle w:val="Heading2"/>
      </w:pPr>
      <w:r>
        <w:t>W.4 SGP-Owned Objects</w:t>
      </w:r>
    </w:p>
    <w:p>
      <w:pPr>
        <w:pStyle w:val="FirstParagraph"/>
      </w:pPr>
      <w:r>
        <w:t>SGP owns the SGP evaluation record, MPS evidence-family fields, MPS band/interval and MPS-NE status, FPP/GPR/SPR/ICP typed fields, target and identity records, evidence-tier classifications, biological evaluation maturity tokens, and moral-patienthood evidence trace.</w:t>
      </w:r>
    </w:p>
    <w:bookmarkEnd w:id="580"/>
    <w:bookmarkStart w:id="581" w:name="w5-ripplemd-owned-objects"/>
    <w:p>
      <w:pPr>
        <w:pStyle w:val="Heading2"/>
      </w:pPr>
      <w:r>
        <w:t>W.5 ripple.md-Owned Objects</w:t>
      </w:r>
    </w:p>
    <w:p>
      <w:pPr>
        <w:pStyle w:val="FirstParagraph"/>
      </w:pPr>
      <w:r>
        <w:t>ripple.md owns Decision Note schema, Assurance Preconditions Record, waiver records, triage records, update-legitimacy records, wrapper-level refusal records, and wrapper assurance records.</w:t>
      </w:r>
    </w:p>
    <w:bookmarkEnd w:id="581"/>
    <w:bookmarkStart w:id="582" w:name="w6-agent-system-owned-objects"/>
    <w:p>
      <w:pPr>
        <w:pStyle w:val="Heading2"/>
      </w:pPr>
      <w:r>
        <w:t>W.6 Agent-System-Owned Objects</w:t>
      </w:r>
    </w:p>
    <w:p>
      <w:pPr>
        <w:pStyle w:val="FirstParagraph"/>
      </w:pPr>
      <w:r>
        <w:t>The Agent System owns operator envelope, runtime audit log, mode-control records, rollback records, operator authentication records, and runtime conformance records.</w:t>
      </w:r>
    </w:p>
    <w:bookmarkEnd w:id="582"/>
    <w:bookmarkStart w:id="583" w:name="w7-split-objects"/>
    <w:p>
      <w:pPr>
        <w:pStyle w:val="Heading2"/>
      </w:pPr>
      <w:r>
        <w:t>W.7 Split Objects</w:t>
      </w:r>
    </w:p>
    <w:p>
      <w:pPr>
        <w:pStyle w:val="FirstParagraph"/>
      </w:pPr>
      <w:r>
        <w:t>Primitive trace is split: RippleLogic PrimitiveTraceRecord belongs to the Canon; SGP moral-status evidence trace belongs to SGP. Maturity tokens are split: UCI Measurement Readiness, Kernel Use Posture, HDW Capture Audit, PLSS Escalation, and Deployment Context tokens belong to the Canon; Biological Evaluation Maturity tokens belong to SGP. Audit flags are split: Canon flags affect admissibility, claimability, escalation, refusal, or conformance; tool-local flags affect workbook or implementation review surfaces only and do not by themselves invalidate a run unless they trigger a Canon flag.</w:t>
      </w:r>
    </w:p>
    <w:bookmarkEnd w:id="583"/>
    <w:bookmarkStart w:id="584" w:name="w8-versioning-rule"/>
    <w:p>
      <w:pPr>
        <w:pStyle w:val="Heading2"/>
      </w:pPr>
      <w:r>
        <w:t>W.8 Versioning Rule</w:t>
      </w:r>
    </w:p>
    <w:p>
      <w:pPr>
        <w:pStyle w:val="FirstParagraph"/>
      </w:pPr>
      <w:r>
        <w:t>Machine-readable registries and schemas SHOULD use stable filenames with an internal version field. The release manifest SHALL hash-pin each registry and schema. The manifest hash, not filename churn, controls byte-level release identity.</w:t>
      </w:r>
    </w:p>
    <w:bookmarkEnd w:id="584"/>
    <w:bookmarkStart w:id="585" w:name="w9-generator-rule"/>
    <w:p>
      <w:pPr>
        <w:pStyle w:val="Heading2"/>
      </w:pPr>
      <w:r>
        <w:t>W.9 Generator Rule</w:t>
      </w:r>
    </w:p>
    <w:p>
      <w:pPr>
        <w:pStyle w:val="FirstParagraph"/>
      </w:pPr>
      <w:r>
        <w:t>Generated documentation tables, workbook validation ranges, verifier constants, README companion matrices, and manifest scaffolds SHOULD be generated from machine-readable registries whenever possible. Generated files SHOULD include a generated-from note and SHOULD NOT be manually edited except through the owning registry or schema.</w:t>
      </w:r>
    </w:p>
    <w:bookmarkEnd w:id="585"/>
    <w:bookmarkStart w:id="586" w:name="w10-proofpack-boundary"/>
    <w:p>
      <w:pPr>
        <w:pStyle w:val="Heading2"/>
      </w:pPr>
      <w:r>
        <w:t>W.10 ProofPack Boundary</w:t>
      </w:r>
    </w:p>
    <w:p>
      <w:pPr>
        <w:pStyle w:val="FirstParagraph"/>
      </w:pPr>
      <w:r>
        <w:t>The existence of schemas or registries does not by itself create ProofPack readiness. ProofPack readiness requires schemas, validator or CLI, reference calculator, canonical test vectors, replayable PCC bundle, independent replay instructions, hash-pinned replay materials, and public third-party replay path.</w:t>
      </w:r>
    </w:p>
    <w:bookmarkEnd w:id="586"/>
    <w:bookmarkEnd w:id="587"/>
    <w:bookmarkStart w:id="594" w:name="X21bd4cf0f09b1d34c556fc2385cd9a19304c165"/>
    <w:p>
      <w:pPr>
        <w:pStyle w:val="Heading1"/>
      </w:pPr>
      <w:r>
        <w:t>APPENDIX X: REFERENCE CALCULATOR, MACHINE VECTORS, AND PROOFPACK-PREP ROADMAP</w:t>
      </w:r>
    </w:p>
    <w:bookmarkStart w:id="588" w:name="x1-purpose"/>
    <w:p>
      <w:pPr>
        <w:pStyle w:val="Heading2"/>
      </w:pPr>
      <w:r>
        <w:t>X.1 Purpose</w:t>
      </w:r>
    </w:p>
    <w:p>
      <w:pPr>
        <w:pStyle w:val="FirstParagraph"/>
      </w:pPr>
      <w:r>
        <w:t>This appendix records the current-release ProofPack-prep path for machine-readable Appendix R test vectors, starter reference-calculator behavior, golden outputs, validator linkage, and independent replay readiness. It does not create ProofPack readiness by itself.</w:t>
      </w:r>
    </w:p>
    <w:bookmarkEnd w:id="588"/>
    <w:bookmarkStart w:id="589" w:name="x2-machine-readable-appendix-r-vectors"/>
    <w:p>
      <w:pPr>
        <w:pStyle w:val="Heading2"/>
      </w:pPr>
      <w:r>
        <w:t>X.2 Machine-readable Appendix R vectors</w:t>
      </w:r>
    </w:p>
    <w:p>
      <w:pPr>
        <w:pStyle w:val="FirstParagraph"/>
      </w:pPr>
      <w:r>
        <w:t>Future ProofPack-prep and tooling companion releases SHOULD include machine-readable Appendix R vectors. The current v12.3 core release bundles the safety conformance vectors listed in the release manifest; any additional machine-readable Appendix R vectors remain governed by the manifest. When bundled, vectors SHOULD include inputs, union and dimension weights, rights impacts, TRC scenario inputs, Containment inputs, RLS expected outputs, UCI/HOI diagnostic inputs where applicable, expected gate verdicts, selected or refusal disposition, tolerance rules, and expected error behavior for failure-path examples.</w:t>
      </w:r>
    </w:p>
    <w:bookmarkEnd w:id="589"/>
    <w:bookmarkStart w:id="590" w:name="x3-reference-calculator-starter"/>
    <w:p>
      <w:pPr>
        <w:pStyle w:val="Heading2"/>
      </w:pPr>
      <w:r>
        <w:t>X.3 Reference Calculator Starter</w:t>
      </w:r>
    </w:p>
    <w:p>
      <w:pPr>
        <w:pStyle w:val="FirstParagraph"/>
      </w:pPr>
      <w:r>
        <w:t>The reference calculator starter is a scaffolding artifact for reproducing Appendix R expected outputs. It is not a full semantic validator, not a production-grade implementation, and not empirical validation. It becomes claim-strengthening only when it reproduces golden outputs under declared tolerance rules and is independently replayable.</w:t>
      </w:r>
    </w:p>
    <w:bookmarkEnd w:id="590"/>
    <w:bookmarkStart w:id="591" w:name="Xa64b8f20626f4d820d323034853fe87b3bbf4a3"/>
    <w:p>
      <w:pPr>
        <w:pStyle w:val="Heading2"/>
      </w:pPr>
      <w:r>
        <w:t>X.3A Reference Calculator Priority (ProofPack-prep guidance)</w:t>
      </w:r>
    </w:p>
    <w:p>
      <w:pPr>
        <w:pStyle w:val="FirstParagraph"/>
      </w:pPr>
      <w:r>
        <w:t>The next implementation priority is an open reference calculator that reproduces the Canon Appendix B equations and Appendix R test vectors. Reference implementations SHOULD match golden gate verdicts exactly and numerical outputs within declared tolerance rules unless exact arithmetic is used.</w:t>
      </w:r>
    </w:p>
    <w:p>
      <w:pPr>
        <w:pStyle w:val="BodyText"/>
      </w:pPr>
      <w:r>
        <w:t>The reference calculator SHALL NOT be described as empirical validation, a full semantic validator, or ProofPack completion until it is paired with schemas, replayable PCC artifacts, independent replay instructions, manifest/hash pinning, and public third-party replay. Its immediate purpose is narrower and concrete: to make Tier 1-3 calculation reproducible enough for reviewers to detect formula drift, implementation disagreement, and invalid claim expansion.</w:t>
      </w:r>
    </w:p>
    <w:bookmarkEnd w:id="591"/>
    <w:bookmarkStart w:id="592" w:name="x4-ci-and-generated-consistency-checks"/>
    <w:p>
      <w:pPr>
        <w:pStyle w:val="Heading2"/>
      </w:pPr>
      <w:r>
        <w:t>X.4 CI and generated-consistency checks</w:t>
      </w:r>
    </w:p>
    <w:p>
      <w:pPr>
        <w:pStyle w:val="FirstParagraph"/>
      </w:pPr>
      <w:r>
        <w:t>CI checks SHOULD verify manifest hashes, registry/schema ownership, stale pins, generated-file drift, workbook public surfaces, and external-reference sanitation. These checks improve release hygiene but do not establish empirical validation or Tier 4 readiness.</w:t>
      </w:r>
    </w:p>
    <w:bookmarkEnd w:id="592"/>
    <w:bookmarkStart w:id="593" w:name="x5-proofpack-boundary"/>
    <w:p>
      <w:pPr>
        <w:pStyle w:val="Heading2"/>
      </w:pPr>
      <w:r>
        <w:t>X.5 ProofPack boundary</w:t>
      </w:r>
    </w:p>
    <w:p>
      <w:pPr>
        <w:pStyle w:val="FirstParagraph"/>
      </w:pPr>
      <w:r>
        <w:t>ProofPack readiness requires schemas, validator or CLI, reference calculator, canonical test vectors, replayable PCC bundle, independent replay instructions, hash-pinned replay materials, and a public third-party replay path. The current v12.3 release is ProofPack-prep, not ProofPack-ready.</w:t>
      </w:r>
    </w:p>
    <w:bookmarkEnd w:id="593"/>
    <w:bookmarkEnd w:id="594"/>
    <w:bookmarkStart w:id="601" w:name="Xcee47fe3728cc5fc258ba812ba6bf9593ab5247"/>
    <w:p>
      <w:pPr>
        <w:pStyle w:val="Heading1"/>
      </w:pPr>
      <w:r>
        <w:t>Appendix Y: Precision Patch - Legitimacy, Evidence Status, Validation, and Adoption Profiles</w:t>
      </w:r>
    </w:p>
    <w:bookmarkStart w:id="595" w:name="y1-release-delta-v1031--v104"/>
    <w:p>
      <w:pPr>
        <w:pStyle w:val="Heading2"/>
      </w:pPr>
      <w:r>
        <w:t>Y.1 Release Delta (v10.3.1 → v10.4)</w:t>
      </w:r>
    </w:p>
    <w:p>
      <w:pPr>
        <w:pStyle w:val="FirstParagraph"/>
      </w:pPr>
      <w:r>
        <w:t>This patch preserves the v10.3.1 cascade architecture, equations, rights thresholds, TRC mechanics, Containment semantics, SGP binding interface, PLSS/FLGG architecture, and Tier 1-3 claim boundaries. It adds precision safeguards for public legitimacy, evidence-status labeling, SGP patienthood/participation separation, compact institutional profiles, and the validation roadmap. No empirical-validation, ProofPack, Tier 4, machine-verifiable ecosystem-complete, or reference-calculator-complete claim is created by this patch.</w:t>
      </w:r>
    </w:p>
    <w:bookmarkEnd w:id="595"/>
    <w:bookmarkStart w:id="596" w:name="X0821cdbc5158aa6563d3e60bcfc6b97a549c726"/>
    <w:p>
      <w:pPr>
        <w:pStyle w:val="Heading2"/>
      </w:pPr>
      <w:r>
        <w:t>Y.2 Public Legitimacy Boundary (Normative Clarification)</w:t>
      </w:r>
    </w:p>
    <w:p>
      <w:pPr>
        <w:pStyle w:val="FirstParagraph"/>
      </w:pPr>
      <w:r>
        <w:t>RippleLogic may structure, audit, and improve public reasoning, but it does not itself confer democratic legitimacy, legal authority, public mandate, professional licensing, or institutional permission. In public governance contexts, legitimacy requires lawful authority, affected-stakeholder participation, public reason, contestability, appeal or review procedures, and external accountability outside the framework itself. A RippleLogic run may support public justification; it MUST NOT be presented as a substitute for democratic authorization, legal compliance, or domain-specific professional judgment.</w:t>
      </w:r>
    </w:p>
    <w:bookmarkEnd w:id="596"/>
    <w:bookmarkStart w:id="597" w:name="X3123351072ac4f91dd248f4322ff21f710137f5"/>
    <w:p>
      <w:pPr>
        <w:pStyle w:val="Heading2"/>
      </w:pPr>
      <w:r>
        <w:t>Y.3 Evidence Status Tokens (Normative for Tier 2-3 claim-bearing records)</w:t>
      </w:r>
    </w:p>
    <w:p>
      <w:pPr>
        <w:pStyle w:val="FirstParagraph"/>
      </w:pPr>
      <w:r>
        <w:t>For Tier 2-3 claim-bearing records, decision-critical numerical or categorical inputs SHOULD carry an evidence-status token. Where the token is unavailable, the field SHOULD default to UNVALIDATED or NOT_OBSERVED rather than silently appearing as measured fact.</w:t>
      </w:r>
    </w:p>
    <w:bookmarkEnd w:id="597"/>
    <w:bookmarkStart w:id="598" w:name="X912031f0deeec3727757dd288f6ffc401951028"/>
    <w:p>
      <w:pPr>
        <w:pStyle w:val="Heading2"/>
      </w:pPr>
      <w:r>
        <w:t>Y.4 Required Evidence-Status Token Registry</w:t>
      </w:r>
    </w:p>
    <w:p>
      <w:pPr>
        <w:pStyle w:val="FirstParagraph"/>
      </w:pPr>
      <w:r>
        <w:t>MEASURED: directly observed or measured with disclosed method and source. ESTIMATED: calculated or inferred from disclosed evidence. ASSUMED: explicit assumption adopted for the run. EXPERT_JUDGMENT: reviewer or domain expert judgment with role and basis recorded. CONTESTED: materially disputed evidence or interpretation. UNVALIDATED: plausible but not externally validated for the claimed use. NOT_OBSERVED: no direct evidence currently observed. PLACEHOLDER_FOR_SENSITIVITY_ONLY: value used only for sensitivity exploration and not as a factual claim.</w:t>
      </w:r>
    </w:p>
    <w:bookmarkEnd w:id="598"/>
    <w:bookmarkStart w:id="599" w:name="X7553debfa31289797b7165cc9aa3674ef33dd9e"/>
    <w:p>
      <w:pPr>
        <w:pStyle w:val="Heading2"/>
      </w:pPr>
      <w:r>
        <w:t>Y.5 Compact Institutional Profiles (Informative Roadmap)</w:t>
      </w:r>
    </w:p>
    <w:p>
      <w:pPr>
        <w:pStyle w:val="FirstParagraph"/>
      </w:pPr>
      <w:r>
        <w:t>Implementations MAY publish compact profiles for specific institutional contexts, provided they do not waive NCRC, TRC, CSV, Refusal, SGP boundary protections, public legitimacy requirements, or claim-boundary disclosures. Initial compact profiles SHOULD include: RippleLogic-enhanced RIA Profile, RippleLogic Procurement/Vendor-Risk Profile, RippleLogic Agent Deployment Gate Profile, and RippleLogic University AI Policy Review Profile. Each profile should state required inputs, mandatory gates, simplifications allowed, non-waivable controls, output artifact, and escalation triggers.</w:t>
      </w:r>
    </w:p>
    <w:bookmarkEnd w:id="599"/>
    <w:bookmarkStart w:id="600" w:name="Xe7f2b6d8ba51c0162421de3b4bcbd7447f667a5"/>
    <w:p>
      <w:pPr>
        <w:pStyle w:val="Heading2"/>
      </w:pPr>
      <w:r>
        <w:t>Y.6 Validation Roadmap Commitments (Informative, non-validation claim)</w:t>
      </w:r>
    </w:p>
    <w:p>
      <w:pPr>
        <w:pStyle w:val="FirstParagraph"/>
      </w:pPr>
      <w:r>
        <w:t>The next validation layer SHOULD prioritize: reference-calculator fidelity; JSON/YAML schemas for PCC, Decision Note, TRC, CSV, RLS, and SGP interface objects; canonical test vectors; replayable PCC examples; inter-rater reliability for NCRC/TRC/CSV/RLS/SGP; reconstructability audits; PLSS boundary-gaming red-team studies; HDW legitimacy pilots; UCI measurement annex pilots; SGP biological evaluation annex development; and shadow-mode pilots in regulatory impact analysis, public procurement, university AI policy, organizational ethics review, and AI agent deployment review.</w:t>
      </w:r>
    </w:p>
    <w:bookmarkEnd w:id="600"/>
    <w:bookmarkEnd w:id="601"/>
    <w:bookmarkStart w:id="607" w:name="X8b74193d9383f31855d5fbb7c898d99e19b0de8"/>
    <w:p>
      <w:pPr>
        <w:pStyle w:val="Heading1"/>
      </w:pPr>
      <w:r>
        <w:t>Appendix Z: Integration-Hardening Addendum</w:t>
      </w:r>
    </w:p>
    <w:p>
      <w:pPr>
        <w:pStyle w:val="FirstParagraph"/>
      </w:pPr>
      <w:r>
        <w:t>Normative effect statement. This addendum does not alter the canonical cascade, rights thresholds, TRC corridor mechanics, SGP MPS/FPP binding, PLSS/FLGG architecture, or Tier 1-3 claim boundaries. It is a precision integration patch that tightens workbook linkage, evidence-status disclosure, SGP split disclosure, and release-verification discipline.</w:t>
      </w:r>
    </w:p>
    <w:bookmarkStart w:id="602" w:name="z1-workbook-integration-rule"/>
    <w:p>
      <w:pPr>
        <w:pStyle w:val="Heading2"/>
      </w:pPr>
      <w:r>
        <w:t>Z.1 Workbook integration rule</w:t>
      </w:r>
    </w:p>
    <w:p>
      <w:pPr>
        <w:pStyle w:val="FirstParagraph"/>
      </w:pPr>
      <w:r>
        <w:t>Any workbook companion that adds claim-boundary, evidence-status, SGP-split, validation-roadmap, or compact-profile sheets SHOULD include active sanity checks confirming that those sheets are present, populated, and referenced by at least one workbook validation surface. A sheet used to support a release claim MUST NOT remain merely decorative.</w:t>
      </w:r>
    </w:p>
    <w:bookmarkEnd w:id="602"/>
    <w:bookmarkStart w:id="603" w:name="z2-evidence-status-propagation-rule"/>
    <w:p>
      <w:pPr>
        <w:pStyle w:val="Heading2"/>
      </w:pPr>
      <w:r>
        <w:t>Z.2 Evidence-status propagation rule</w:t>
      </w:r>
    </w:p>
    <w:p>
      <w:pPr>
        <w:pStyle w:val="FirstParagraph"/>
      </w:pPr>
      <w:r>
        <w:t>Decision-critical inputs SHOULD disclose an Evidence Status Token. Where a decision-critical input lacks a token, the PCC SHOULD record NOT_OBSERVED, UNVALIDATED, or ASSUMED rather than silently treating the input as measured evidence.</w:t>
      </w:r>
    </w:p>
    <w:bookmarkEnd w:id="603"/>
    <w:bookmarkStart w:id="604" w:name="z3-sgp-split-computation-bridge"/>
    <w:p>
      <w:pPr>
        <w:pStyle w:val="Heading2"/>
      </w:pPr>
      <w:r>
        <w:t>Z.3 SGP split computation bridge</w:t>
      </w:r>
    </w:p>
    <w:p>
      <w:pPr>
        <w:pStyle w:val="FirstParagraph"/>
      </w:pPr>
      <w:r>
        <w:t>MPS, GPR, and SPR may be computed or recorded in workbook companions as disclosure outputs. MPS concerns protection-relevant welfare-bearing standing. GPR concerns role participation readiness. SPR concerns responsibility-bearing authority. Low GPR or SPR MUST NOT reduce MPS or weaken any NCRC, TRC, or CSV protection.</w:t>
      </w:r>
    </w:p>
    <w:bookmarkEnd w:id="604"/>
    <w:bookmarkStart w:id="605" w:name="z4-verifier-sufficiency-rule"/>
    <w:p>
      <w:pPr>
        <w:pStyle w:val="Heading2"/>
      </w:pPr>
      <w:r>
        <w:t>Z.4 Verifier sufficiency rule</w:t>
      </w:r>
    </w:p>
    <w:p>
      <w:pPr>
        <w:pStyle w:val="FirstParagraph"/>
      </w:pPr>
      <w:r>
        <w:t>A release verifier SHOULD test more than filename presence. For workbook-linked additions, it SHOULD check required sheet names, required labels, non-empty expected fields, and representative formula references. This does not make the release ProofPack-ready or machine-verifiable ecosystem complete; it only reduces packaging and integration risk.</w:t>
      </w:r>
    </w:p>
    <w:bookmarkEnd w:id="605"/>
    <w:bookmarkStart w:id="606" w:name="z5-claim-boundary"/>
    <w:p>
      <w:pPr>
        <w:pStyle w:val="Heading2"/>
      </w:pPr>
      <w:r>
        <w:t>Z.5 Claim boundary</w:t>
      </w:r>
    </w:p>
    <w:p>
      <w:pPr>
        <w:pStyle w:val="FirstParagraph"/>
      </w:pPr>
      <w:r>
        <w:t>This addendum improves release integrity and companion calculability. It does not claim empirical validation, ProofPack readiness, Tier 4 readiness, complete reference-calculator status, or machine-verifiable ecosystem completeness.</w:t>
      </w:r>
    </w:p>
    <w:bookmarkEnd w:id="606"/>
    <w:bookmarkEnd w:id="607"/>
    <w:bookmarkStart w:id="612" w:name="Xd34a9bd54fcdcf80d45474f3d6a1b59099d71a9"/>
    <w:p>
      <w:pPr>
        <w:pStyle w:val="Heading1"/>
      </w:pPr>
      <w:r>
        <w:t>APPENDIX AA: PACKAGE-CONTENT BOUNDARY AND TOOLING LINE SEPARATION (CARRIED FORWARD FROM v10.8 THROUGH v12.0)</w:t>
      </w:r>
    </w:p>
    <w:bookmarkStart w:id="608" w:name="aa1-purpose"/>
    <w:p>
      <w:pPr>
        <w:pStyle w:val="Heading2"/>
      </w:pPr>
      <w:r>
        <w:t>AA.1 Purpose</w:t>
      </w:r>
    </w:p>
    <w:p>
      <w:pPr>
        <w:pStyle w:val="FirstParagraph"/>
      </w:pPr>
      <w:r>
        <w:t>This appendix clarifies the boundary between the current v12.3 core source package and companion tooling releases. It is added to prevent asset-presence overclaiming and to keep the canonical framework synchronized with the actual release manifest.</w:t>
      </w:r>
    </w:p>
    <w:bookmarkEnd w:id="608"/>
    <w:bookmarkStart w:id="609" w:name="aa2-package-content-rule"/>
    <w:p>
      <w:pPr>
        <w:pStyle w:val="Heading2"/>
      </w:pPr>
      <w:r>
        <w:t>AA.2 Package-content rule</w:t>
      </w:r>
    </w:p>
    <w:p>
      <w:pPr>
        <w:pStyle w:val="FirstParagraph"/>
      </w:pPr>
      <w:r>
        <w:t>Where this canon references schemas, registries, machine-readable vectors, annexes, reference calculators, CI workflows, evidence registries, validators, or replay bundles, those references describe ownership rules, interface expectations, or roadmap targets unless the corresponding artifact is explicitly listed in the release manifest for the package being claimed.</w:t>
      </w:r>
    </w:p>
    <w:bookmarkEnd w:id="609"/>
    <w:bookmarkStart w:id="610" w:name="aa3-tooling-line-separation"/>
    <w:p>
      <w:pPr>
        <w:pStyle w:val="Heading2"/>
      </w:pPr>
      <w:r>
        <w:t>AA.3 Tooling-line separation</w:t>
      </w:r>
    </w:p>
    <w:p>
      <w:pPr>
        <w:pStyle w:val="FirstParagraph"/>
      </w:pPr>
      <w:r>
        <w:t>The package tooling line is the proper home for schemas, reference-calculator modules, machine-readable test vectors, replayable PCC examples, validators, evidence-hash registries, and external audit protocols. The v12.2 core source line remains the conceptual, normative, and release-clean foundation. Tooling artifacts may support replayability, but they do not supersede the canon.</w:t>
      </w:r>
    </w:p>
    <w:bookmarkEnd w:id="610"/>
    <w:bookmarkStart w:id="611" w:name="aa4-claim-boundary"/>
    <w:p>
      <w:pPr>
        <w:pStyle w:val="Heading2"/>
      </w:pPr>
      <w:r>
        <w:t>AA.4 Claim boundary</w:t>
      </w:r>
    </w:p>
    <w:p>
      <w:pPr>
        <w:pStyle w:val="FirstParagraph"/>
      </w:pPr>
      <w:r>
        <w:t>The existence of tooling, schemas, test vectors, or validators does not by itself create ProofPack readiness, Tier 4 readiness, empirical validation, machine-verifiable ecosystem completeness, legal authority, democratic legitimacy, or consciousness detection. Stronger claims require the separate evidence and replay conditions stated in the relevant release contract.</w:t>
      </w:r>
    </w:p>
    <w:bookmarkEnd w:id="611"/>
    <w:bookmarkEnd w:id="612"/>
    <w:bookmarkStart w:id="620" w:name="appendix-ab-reference-structure-protocol"/>
    <w:p>
      <w:pPr>
        <w:pStyle w:val="Heading1"/>
      </w:pPr>
      <w:r>
        <w:t>APPENDIX AB: REFERENCE STRUCTURE PROTOCOL</w:t>
      </w:r>
    </w:p>
    <w:bookmarkStart w:id="613" w:name="ab1-purpose"/>
    <w:p>
      <w:pPr>
        <w:pStyle w:val="Heading2"/>
      </w:pPr>
      <w:r>
        <w:t>AB.1 Purpose</w:t>
      </w:r>
    </w:p>
    <w:p>
      <w:pPr>
        <w:pStyle w:val="FirstParagraph"/>
      </w:pPr>
      <w:r>
        <w:t>The Reference Structure Protocol specifies how RippleLogic runs declare the structures against which admissibility, causality, stability, welfare, and auditability claims are evaluated.</w:t>
      </w:r>
    </w:p>
    <w:p>
      <w:pPr>
        <w:pStyle w:val="BodyText"/>
      </w:pPr>
      <w:r>
        <w:t>This appendix prevents a common failure mode in governance and AI alignment: one assumption system supervising another assumption system without a sufficiently external, falsifiable, or auditable reference. RippleLogic does not solve this by claiming perfect objectivity. It solves it by requiring that reference structures be declared, evidence-labeled, maturity-bounded, and open to refusal.</w:t>
      </w:r>
    </w:p>
    <w:bookmarkEnd w:id="613"/>
    <w:bookmarkStart w:id="614" w:name="ab2-non-effect-on-the-cascade"/>
    <w:p>
      <w:pPr>
        <w:pStyle w:val="Heading2"/>
      </w:pPr>
      <w:r>
        <w:t>AB.2 Non-Effect on the Cascade</w:t>
      </w:r>
    </w:p>
    <w:p>
      <w:pPr>
        <w:pStyle w:val="FirstParagraph"/>
      </w:pPr>
      <w:r>
        <w:t>The Reference Structure Protocol does not alter the canonical cascade: Reality Grounding → Rights Floor → TRC → CSV → RLS.</w:t>
      </w:r>
    </w:p>
    <w:p>
      <w:pPr>
        <w:pStyle w:val="BodyText"/>
      </w:pPr>
      <w:r>
        <w:t>It does not create a sixth gate. It does not allow RLS, UCI, HOI, SGP, agent tooling, legal permission, or human authority to rescue failure at NCRC, TRC, CSV, or Refusal.</w:t>
      </w:r>
    </w:p>
    <w:bookmarkEnd w:id="614"/>
    <w:bookmarkStart w:id="615" w:name="ab3-reference-stack"/>
    <w:p>
      <w:pPr>
        <w:pStyle w:val="Heading2"/>
      </w:pPr>
      <w:r>
        <w:t>AB.3 Reference Stack</w:t>
      </w:r>
    </w:p>
    <w:p>
      <w:pPr>
        <w:pStyle w:val="FirstParagraph"/>
      </w:pPr>
      <w:r>
        <w:t>A RippleLogic run SHOULD identify which reference layers are active.</w:t>
      </w:r>
    </w:p>
    <w:p>
      <w:pPr>
        <w:pStyle w:val="BodyText"/>
      </w:pPr>
      <w:r>
        <w:t>1. Physical reference: bodies, infrastructure, energy, geography, resources, physical constraints, ecological limits.</w:t>
      </w:r>
    </w:p>
    <w:p>
      <w:pPr>
        <w:pStyle w:val="BodyText"/>
      </w:pPr>
      <w:r>
        <w:t>2. Biological reference: life, health, basic needs, suffering, sentience-relevant evidence, biological dependency.</w:t>
      </w:r>
    </w:p>
    <w:p>
      <w:pPr>
        <w:pStyle w:val="BodyText"/>
      </w:pPr>
      <w:r>
        <w:t>3. Social reference: trust, coordination, institutional stability, conflict risk, social cohesion.</w:t>
      </w:r>
    </w:p>
    <w:p>
      <w:pPr>
        <w:pStyle w:val="BodyText"/>
      </w:pPr>
      <w:r>
        <w:t>4. Ethical-rights reference: rights floors, dignity, due process, non-domination, ecological integrity.</w:t>
      </w:r>
    </w:p>
    <w:p>
      <w:pPr>
        <w:pStyle w:val="BodyText"/>
      </w:pPr>
      <w:r>
        <w:t>5. Risk reference: catastrophic corridors, CVaR assumptions, scenario sets, probability floors, uncertainty bands.</w:t>
      </w:r>
    </w:p>
    <w:p>
      <w:pPr>
        <w:pStyle w:val="BodyText"/>
      </w:pPr>
      <w:r>
        <w:t>6. Governance-authority reference: lawful authority, role authority, democratic legitimacy, professional mandate, procedural permission.</w:t>
      </w:r>
    </w:p>
    <w:p>
      <w:pPr>
        <w:pStyle w:val="BodyText"/>
      </w:pPr>
      <w:r>
        <w:t>7. Epistemic reference: evidence source, measurement method, evidence status, falsification condition, uncertainty class, reviewer disagreement.</w:t>
      </w:r>
    </w:p>
    <w:p>
      <w:pPr>
        <w:pStyle w:val="BodyText"/>
      </w:pPr>
      <w:r>
        <w:t>8. Operational-audit reference: PCC, Decision Note, ProjectionPreRegistration, ExecutionStabilityRecord, TransitionAdmissibilityRecord, hashes, logs, and replay materials.</w:t>
      </w:r>
    </w:p>
    <w:p>
      <w:pPr>
        <w:pStyle w:val="BodyText"/>
      </w:pPr>
      <w:r>
        <w:t>Short rule. Physics constrains possibility; ethics constrains admissibility; evidence constrains claims; governance constrains authority.</w:t>
      </w:r>
    </w:p>
    <w:bookmarkEnd w:id="615"/>
    <w:bookmarkStart w:id="616" w:name="ab4-referencestructurerecord"/>
    <w:p>
      <w:pPr>
        <w:pStyle w:val="Heading2"/>
      </w:pPr>
      <w:r>
        <w:t>AB.4 ReferenceStructureRecord</w:t>
      </w:r>
    </w:p>
    <w:p>
      <w:pPr>
        <w:pStyle w:val="FirstParagraph"/>
      </w:pPr>
      <w:r>
        <w:t>For Tier 3 runs and for Tier 2 high-stakes or claim-bearing runs, the PCC SHOULD include a ReferenceStructureRecord. For Tier 3 public conformance claims, it SHALL include one unless an emergency triage rule explicitly permits a narrower record.</w:t>
      </w:r>
    </w:p>
    <w:p>
      <w:pPr>
        <w:pStyle w:val="BodyText"/>
      </w:pPr>
      <w:r>
        <w:t>A ReferenceStructureRecord contains, at minimum: record_id; decision_id; option_id or option_set_id; claim_scope; decision_boundary; reference_object; active_reference_layers; invariant_constraints; causal_pathway_summary; falsification_conditions; evidence_sources; evidence_status_tokens; measurement_maturity_status; adaptation_boundary; authority_boundary; refusal_triggers; excluded_references; reviewer_disposition; timestamp; artifact_hashes.</w:t>
      </w:r>
    </w:p>
    <w:bookmarkEnd w:id="616"/>
    <w:bookmarkStart w:id="617" w:name="ab5-reference-quality-states"/>
    <w:p>
      <w:pPr>
        <w:pStyle w:val="Heading2"/>
      </w:pPr>
      <w:r>
        <w:t>AB.5 Reference Quality States</w:t>
      </w:r>
    </w:p>
    <w:p>
      <w:pPr>
        <w:pStyle w:val="FirstParagraph"/>
      </w:pPr>
      <w:r>
        <w:t>Each major reference claim SHOULD be classified using one of the following states: MEASURED; ESTIMATED; EXPERT_JUDGMENT; ASSUMED; CONTESTED; UNVALIDATED; NOT_OBSERVED; PLACEHOLDER_FOR_SENSITIVITY_ONLY.</w:t>
      </w:r>
    </w:p>
    <w:p>
      <w:pPr>
        <w:pStyle w:val="BodyText"/>
      </w:pPr>
      <w:r>
        <w:t>Assumed, contested, unvalidated, not-observed, or placeholder references MUST NOT be presented as measured facts.</w:t>
      </w:r>
    </w:p>
    <w:bookmarkEnd w:id="617"/>
    <w:bookmarkStart w:id="618" w:name="X9f2876880261a441fbb5e25bb8b845556bcfa2c"/>
    <w:p>
      <w:pPr>
        <w:pStyle w:val="Heading2"/>
      </w:pPr>
      <w:r>
        <w:t>AB.6 Invalid or Insufficient Reference Structures</w:t>
      </w:r>
    </w:p>
    <w:p>
      <w:pPr>
        <w:pStyle w:val="FirstParagraph"/>
      </w:pPr>
      <w:r>
        <w:t>A reference structure is insufficient for a strong RippleLogic claim where any of the following conditions hold:</w:t>
      </w:r>
    </w:p>
    <w:p>
      <w:pPr>
        <w:pStyle w:val="BodyText"/>
      </w:pPr>
      <w:r>
        <w:t>1. The reference object is missing.</w:t>
      </w:r>
    </w:p>
    <w:p>
      <w:pPr>
        <w:pStyle w:val="BodyText"/>
      </w:pPr>
      <w:r>
        <w:t>2. The reference is circular or self-validating.</w:t>
      </w:r>
    </w:p>
    <w:p>
      <w:pPr>
        <w:pStyle w:val="BodyText"/>
      </w:pPr>
      <w:r>
        <w:t>3. The reference is controlled entirely by the system being evaluated without independent evidence or review.</w:t>
      </w:r>
    </w:p>
    <w:p>
      <w:pPr>
        <w:pStyle w:val="BodyText"/>
      </w:pPr>
      <w:r>
        <w:t>4. The reference cannot be connected to an observable consequence, threshold, or falsification condition.</w:t>
      </w:r>
    </w:p>
    <w:p>
      <w:pPr>
        <w:pStyle w:val="BodyText"/>
      </w:pPr>
      <w:r>
        <w:t>5. The reference is materially stale for the decision horizon.</w:t>
      </w:r>
    </w:p>
    <w:p>
      <w:pPr>
        <w:pStyle w:val="BodyText"/>
      </w:pPr>
      <w:r>
        <w:t>6. The reference depends on a measurement surface whose maturity status does not support the requested claim.</w:t>
      </w:r>
    </w:p>
    <w:p>
      <w:pPr>
        <w:pStyle w:val="BodyText"/>
      </w:pPr>
      <w:r>
        <w:t>7. The reference relies on legal, institutional, or operator permission as a substitute for admissibility.</w:t>
      </w:r>
    </w:p>
    <w:p>
      <w:pPr>
        <w:pStyle w:val="BodyText"/>
      </w:pPr>
      <w:r>
        <w:t>8. The reference relies on scoring outputs to rescue earlier gate uncertainty or failure.</w:t>
      </w:r>
    </w:p>
    <w:p>
      <w:pPr>
        <w:pStyle w:val="BodyText"/>
      </w:pPr>
      <w:r>
        <w:t>9. Two or more materially different reference interpretations remain plausible under the declared evidence and no adjudication rule resolves them.</w:t>
      </w:r>
    </w:p>
    <w:p>
      <w:pPr>
        <w:pStyle w:val="BodyText"/>
      </w:pPr>
      <w:r>
        <w:t>Where the reference structure is insufficient, the run MUST enter Refusal, escalation, narrower claim scope, additional evidence gathering, or bounded triage if delay itself creates material risk.</w:t>
      </w:r>
    </w:p>
    <w:bookmarkEnd w:id="618"/>
    <w:bookmarkStart w:id="619" w:name="X20114087210b5d6f453fd38397f374141366a08"/>
    <w:p>
      <w:pPr>
        <w:pStyle w:val="Heading2"/>
      </w:pPr>
      <w:r>
        <w:t>AB.7 Relationship to PCC and ProjectionPreRegistration</w:t>
      </w:r>
    </w:p>
    <w:p>
      <w:pPr>
        <w:pStyle w:val="FirstParagraph"/>
      </w:pPr>
      <w:r>
        <w:t>The ReferenceStructureRecord SHOULD be stored with the PCC and referenced by hash. Where ProjectionPreRegistration is required, the ReferenceStructureRecord SHOULD be created before cascade computation or included as a pre-registered object.</w:t>
      </w:r>
    </w:p>
    <w:p>
      <w:pPr>
        <w:pStyle w:val="BodyText"/>
      </w:pPr>
      <w:r>
        <w:t>Post-hoc modification of the reference structure that could alter admissibility, selectability, selection, conformance, or deployment-readiness claims is material and requires a new run or documented refusal and re-run procedure.</w:t>
      </w:r>
    </w:p>
    <w:bookmarkEnd w:id="619"/>
    <w:bookmarkEnd w:id="620"/>
    <w:bookmarkStart w:id="621" w:name="X0f6fa76b1b792113bcbd3759a5673338c7d670b"/>
    <w:p>
      <w:pPr>
        <w:pStyle w:val="Heading1"/>
      </w:pPr>
      <w:r>
        <w:t>APPENDIX AC: SPECIFICATION CONTRACT, RELEASE METADATA, AND CLAIM BOUNDARY</w:t>
      </w:r>
    </w:p>
    <w:p>
      <w:pPr>
        <w:pStyle w:val="FirstParagraph"/>
      </w:pPr>
      <w:r>
        <w:t>This appendix preserves release identity, companion-version pins, claim-boundary warnings, and role-map material moved out of the opening pages in v10.4 for reader accessibility. It does not change the canonical cascade or computation.</w:t>
      </w:r>
    </w:p>
    <w:p>
      <w:pPr>
        <w:pStyle w:val="BodyText"/>
      </w:pPr>
      <w:r>
        <w:t>Foundation text finalisation date: 2026-05-11. Canonical release date: governed by the release manifest and the current-line release entry in Appendix M. If dates differ, the release manifest date controls release identity; the title-page date records text finalisation only.</w:t>
      </w:r>
    </w:p>
    <w:p>
      <w:pPr>
        <w:pStyle w:val="BodyText"/>
      </w:pPr>
      <w:r>
        <w:t>Release Label: RippleLogic_v12.3_Canon</w:t>
      </w:r>
    </w:p>
    <w:p>
      <w:pPr>
        <w:pStyle w:val="BodyText"/>
      </w:pPr>
      <w:r>
        <w:t>Current synced companion set for this release line: RippleLogic Agent System v12.1; SGP v8.2.1; ripple.md v5.2; WDBIP v1.3; RippleLogic Aligners Sheet v5.3; Foundations Primer v4.1; Cascade Standard v2.3; CSV Gate Standard v2.1; Reproducibility and Use Standard v1.1; RLS Validation Protocol v2.3; RLS Validation Workbook v0.2 (release status governed by repository manifest and SHA-256 hashes).</w:t>
      </w:r>
    </w:p>
    <w:p>
      <w:pPr>
        <w:pStyle w:val="BodyText"/>
      </w:pPr>
      <w:r>
        <w:t>Single release-registry rule (Normative).</w:t>
      </w:r>
      <w:r>
        <w:t xml:space="preserve"> </w:t>
      </w:r>
      <w:r>
        <w:rPr>
          <w:rStyle w:val="VerbatimChar"/>
        </w:rPr>
        <w:t>VERSION_MANIFEST.yaml</w:t>
      </w:r>
      <w:r>
        <w:t xml:space="preserve"> </w:t>
      </w:r>
      <w:r>
        <w:t>and</w:t>
      </w:r>
      <w:r>
        <w:t xml:space="preserve"> </w:t>
      </w:r>
      <w:r>
        <w:rPr>
          <w:rStyle w:val="VerbatimChar"/>
        </w:rPr>
        <w:t>release/release_manifest.yml</w:t>
      </w:r>
      <w:r>
        <w:t xml:space="preserve"> </w:t>
      </w:r>
      <w:r>
        <w:t>jointly own the exact current component pins. Human-readable matrices in the Canon, Component Map, workbook, and companion files are synchronized mirrors. If a mirror differs, the manifest-listed source files and hashes control release identity and the mismatch is a release-integrity failure.</w:t>
      </w:r>
    </w:p>
    <w:p>
      <w:pPr>
        <w:pStyle w:val="BodyText"/>
      </w:pPr>
      <w:r>
        <w:t>Current-line companion matrix (release-clean reference):</w:t>
      </w:r>
    </w:p>
    <w:p>
      <w:pPr>
        <w:pStyle w:val="Compact"/>
        <w:numPr>
          <w:ilvl w:val="0"/>
          <w:numId w:val="1413"/>
        </w:numPr>
      </w:pPr>
      <w:r>
        <w:t>RippleLogic Canon: v12.3</w:t>
      </w:r>
    </w:p>
    <w:p>
      <w:pPr>
        <w:pStyle w:val="Compact"/>
        <w:numPr>
          <w:ilvl w:val="0"/>
          <w:numId w:val="1413"/>
        </w:numPr>
      </w:pPr>
      <w:r>
        <w:t>SGP: v8.2</w:t>
      </w:r>
    </w:p>
    <w:p>
      <w:pPr>
        <w:pStyle w:val="Compact"/>
        <w:numPr>
          <w:ilvl w:val="0"/>
          <w:numId w:val="1413"/>
        </w:numPr>
      </w:pPr>
      <w:r>
        <w:t>ripple.md: v5.2</w:t>
      </w:r>
    </w:p>
    <w:p>
      <w:pPr>
        <w:pStyle w:val="Compact"/>
        <w:numPr>
          <w:ilvl w:val="0"/>
          <w:numId w:val="1413"/>
        </w:numPr>
      </w:pPr>
      <w:r>
        <w:t>WDBIP: v1.3</w:t>
      </w:r>
    </w:p>
    <w:p>
      <w:pPr>
        <w:pStyle w:val="Compact"/>
        <w:numPr>
          <w:ilvl w:val="0"/>
          <w:numId w:val="1413"/>
        </w:numPr>
      </w:pPr>
      <w:r>
        <w:t>RippleLogic Agent System: v12.1</w:t>
      </w:r>
    </w:p>
    <w:p>
      <w:pPr>
        <w:pStyle w:val="Compact"/>
        <w:numPr>
          <w:ilvl w:val="0"/>
          <w:numId w:val="1413"/>
        </w:numPr>
      </w:pPr>
      <w:r>
        <w:t>Foundations Primer: v4.1</w:t>
      </w:r>
    </w:p>
    <w:p>
      <w:pPr>
        <w:pStyle w:val="Compact"/>
        <w:numPr>
          <w:ilvl w:val="0"/>
          <w:numId w:val="1413"/>
        </w:numPr>
      </w:pPr>
      <w:r>
        <w:t>RippleLogic Aligners Sheet: v5.3</w:t>
      </w:r>
    </w:p>
    <w:p>
      <w:pPr>
        <w:pStyle w:val="Compact"/>
        <w:numPr>
          <w:ilvl w:val="0"/>
          <w:numId w:val="1413"/>
        </w:numPr>
      </w:pPr>
      <w:r>
        <w:t>Cascade Standard: v2.3</w:t>
      </w:r>
    </w:p>
    <w:p>
      <w:pPr>
        <w:pStyle w:val="Compact"/>
        <w:numPr>
          <w:ilvl w:val="0"/>
          <w:numId w:val="1413"/>
        </w:numPr>
      </w:pPr>
      <w:r>
        <w:t>CSV Gate Standard: v2.1</w:t>
      </w:r>
    </w:p>
    <w:p>
      <w:pPr>
        <w:pStyle w:val="Compact"/>
        <w:numPr>
          <w:ilvl w:val="0"/>
          <w:numId w:val="1413"/>
        </w:numPr>
      </w:pPr>
      <w:r>
        <w:t>Reproducibility and Use Standard: v1.1</w:t>
      </w:r>
    </w:p>
    <w:p>
      <w:pPr>
        <w:pStyle w:val="Compact"/>
        <w:numPr>
          <w:ilvl w:val="0"/>
          <w:numId w:val="1413"/>
        </w:numPr>
      </w:pPr>
      <w:r>
        <w:t>RLS Validation Protocol: v2.3</w:t>
      </w:r>
    </w:p>
    <w:p>
      <w:pPr>
        <w:pStyle w:val="Compact"/>
        <w:numPr>
          <w:ilvl w:val="0"/>
          <w:numId w:val="1413"/>
        </w:numPr>
      </w:pPr>
      <w:r>
        <w:t>RLS Validation Workbook: v0.2</w:t>
      </w:r>
    </w:p>
    <w:p>
      <w:pPr>
        <w:pStyle w:val="FirstParagraph"/>
      </w:pPr>
      <w:r>
        <w:t>All public conformance claims for this release line MUST pin this exact component matrix explicitly in the release manifest or PCC; generic release-family references do not replace the exact current component pins and the exact manifest controls publication status.</w:t>
      </w:r>
    </w:p>
    <w:p>
      <w:pPr>
        <w:pStyle w:val="BodyText"/>
      </w:pPr>
      <w:r>
        <w:t>MathGov is the umbrella ethical governance framework. RippleLogic is the canonical name of the decision architecture and operating methodology inside MathGov. Earlier materials may use historical lineage language, but current release interpretation follows this hierarchy.</w:t>
      </w:r>
    </w:p>
    <w:p>
      <w:pPr>
        <w:pStyle w:val="BodyText"/>
      </w:pPr>
      <w:r>
        <w:t>Backward compatibility: Prior PCCs computed under earlier release lines remain interpretable as lineage artifacts. However, any run claiming current-line conformance MUST meet v12.3 canonical requirements and use the v12.3 Canon artifact. A run explicitly pinned to v12.0 remains a historical-lineage run and must pin the v12.0 artifact. Any run referencing v10.8 remains a historical-lineage run and must pin the v10.8 artifact explicitly.</w:t>
      </w:r>
    </w:p>
    <w:p>
      <w:pPr>
        <w:pStyle w:val="BodyText"/>
      </w:pPr>
      <w:r>
        <w:t>AUTHOR STATEMENT AND TRANSPARENCY DISCLOSURE</w:t>
      </w:r>
      <w:r>
        <w:br/>
      </w:r>
      <w:r>
        <w:t>The author conceived, designed, and wrote this specification. Generative AI tools (including OpenAI ChatGPT and Anthropic Claude) were used as drafting and consistency assistants. The author reviewed, verified, and edited all outputs and assumes full responsibility for the content, claims, and citations. This paper presents a theoretical framework. Empirical validation through pilots is planned but not yet completed. No operational deployment claims are made until validation studies are completed.</w:t>
      </w:r>
    </w:p>
    <w:p>
      <w:pPr>
        <w:pStyle w:val="BodyText"/>
      </w:pPr>
      <w:r>
        <w:t>Maturity note. This specification is architecturally complete at the framework level for its declared release scope, but empirical validation, companion machine surfaces, and domain-specific measurement annexes remain active development priorities.</w:t>
      </w:r>
    </w:p>
    <w:p>
      <w:pPr>
        <w:pStyle w:val="BodyText"/>
      </w:pPr>
      <w:r>
        <w:t>Historical release-delta details for v9.6.4, v9.6.5, v10.0-RC1, v10.0-RC2, v10.0, and v10.4 are retained in Appendix M. This front matter states the current v12.3 package release posture only.</w:t>
      </w:r>
    </w:p>
    <w:bookmarkEnd w:id="621"/>
    <w:bookmarkStart w:id="623" w:name="X3a5a672d85e656b3047399df52dcd01b856a538"/>
    <w:p>
      <w:pPr>
        <w:pStyle w:val="Heading1"/>
      </w:pPr>
      <w:r>
        <w:t>CARRIED-FORWARD v10.8 HUMAN PLATEAU / CMIU CALIBRATION AND SGP v5.5 SYNCHRONIZATION NOTICE</w:t>
      </w:r>
    </w:p>
    <w:p>
      <w:pPr>
        <w:pStyle w:val="FirstParagraph"/>
      </w:pPr>
      <w:r>
        <w:t>Release Delta (v10.5 → v10.6). This release integrates the Human Plateau / CMIU calibration clarification and synchronizes the Canon to SGP v5.5. It preserves the existing cascade architecture, equations, rights thresholds, TRC mechanics, Containment semantics, RLS formula, PLSS/FLGG architecture, HDW, PCC, RSP/RefStructRecord, Appendix AD scoring dictionary, and Tier 1-3 claim boundaries. It clarifies that the Human Plateau Rule is not species favoritism: human persons receive non-degradable protection, and humanity is the current evidenced plateau-class reality-managing community within the CMIU, while equivalent plateau extension remains open through SGP governed review.</w:t>
      </w:r>
    </w:p>
    <w:p>
      <w:pPr>
        <w:pStyle w:val="BodyText"/>
      </w:pPr>
      <w:r>
        <w:t>Normative effect statement (carried forward from v10.8). No intended change was made to the canonical admissibility cascade Reality Grounding → Rights Floor → TRC → CSV → RLS, rights coverage sets, TRC corridor mechanics, Containment semantics, RLS formula, PLSS/FLGG architecture, HDW, PCC, RSP/RefStructRecord, or Appendix AD. The v10.8 line updated the SGP companion pin to SGP v5.5 and clarified the human plateau / reality-management rationale without allowing any SGP protection surface to weaken human protections, alter admissibility gates, or grant governance authority by itself. The current v12.3 / SGP v8.2.1 line replaces the legacy scalar interface with MPS/FPP/GPR/SPR/ICP and adds the informative RMCP/P100 calibration surface while preserving protection, participation, capacity, and authority boundaries.</w:t>
      </w:r>
    </w:p>
    <w:p>
      <w:pPr>
        <w:pStyle w:val="BodyText"/>
      </w:pPr>
      <w:r>
        <w:t>Claim boundary table (Informative reading aid).</w:t>
      </w:r>
    </w:p>
    <w:p>
      <w:pPr>
        <w:pStyle w:val="BodyText"/>
      </w:pPr>
      <w:r>
        <w:t>Release-boundary clarification (Normative).</w:t>
      </w:r>
    </w:p>
    <w:p>
      <w:pPr>
        <w:pStyle w:val="BodyText"/>
      </w:pPr>
      <w:r>
        <w:t>“Architecturally complete,” “worked-run claimable,” “audit-ready,” “ProofPack-ready,” and “Tier 4-ready” are distinct statuses and MUST NOT be collapsed.</w:t>
      </w:r>
    </w:p>
    <w:p>
      <w:pPr>
        <w:pStyle w:val="BodyText"/>
      </w:pPr>
      <w:r>
        <w:t>A framework may be architecturally complete without being empirically validated. A worked run may be claimable within its declared scope without the ecosystem being ProofPack-ready. Auditability surfaces may exist without a public replay validator. Tier 4 readiness remains prohibited until a public, independently replayable ProofPack exists.</w:t>
      </w:r>
    </w:p>
    <w:p>
      <w:pPr>
        <w:pStyle w:val="BodyText"/>
      </w:pPr>
      <w:r>
        <w:t>Phase 1 release-boundary hardening (Normative clarification).</w:t>
      </w:r>
    </w:p>
    <w:p>
      <w:pPr>
        <w:pStyle w:val="BodyText"/>
      </w:pPr>
      <w:r>
        <w:t>For public release interpretation, RippleLogic v12.3.1 is a conceptual/core-foundation and Tier 1-3 architectural specification within its declared scope. It is not an empirical validation claim, not a ProofPack-ready claim, not a Tier 4 claim, not a machine-verifiable-ecosystem-completeness claim, not a cross-domain validated UCI claim, not a legal-compliance certification, and not a deployment-readiness certification.</w:t>
      </w:r>
    </w:p>
    <w:p>
      <w:pPr>
        <w:pStyle w:val="BodyText"/>
      </w:pPr>
      <w:r>
        <w:t>The phrase "ethical operating system" is a design-architecture claim. It SHALL NOT be read as a claim of universal cultural consent, lawful authority, empirical completion, automatic moral correctness, or permission to execute consequence-bearing decisions without the required governance authority and evidence.</w:t>
      </w:r>
    </w:p>
    <w:p>
      <w:pPr>
        <w:pStyle w:val="BodyText"/>
      </w:pPr>
      <w:r>
        <w:t>UCI maturity boundary. UCI is structurally load-bearing as a diagnostic and tie-break interface, but empirically provisional until a published UCI Measurement Annex defines instruments, normalization rules, structural-independence checks, calibration procedure, and inter-rater reliability evidence. No current-release artifact may imply cross-domain validated UCI unless that annex and evidence are separately bundled and hash-pinned.</w:t>
      </w:r>
    </w:p>
    <w:p>
      <w:pPr>
        <w:pStyle w:val="BodyText"/>
      </w:pPr>
      <w:r>
        <w:t>Admissibility vs permission (Normative clarification). Admissibility is a structural property determined by the cascade gates. Permission is a separate authorization act performed by an entity with appropriate authority. Compliance is a documentation property. A run that passes the cascade is admissible. An admissible run may still require permission, lawful authority, governance review, or domain-specific licensing before execution. A permitted run is not, by virtue of permission alone, admissible. RippleLogic determines admissibility; it does not grant permission, certify compliance, or substitute for lawful authority.</w:t>
      </w:r>
    </w:p>
    <w:tbl>
      <w:tblPr>
        <w:tblStyle w:val="Table"/>
        <w:tblW w:type="auto" w:w="0"/>
        <w:jc w:val="center"/>
        <w:tblLook w:firstRow="1" w:lastRow="0" w:firstColumn="0" w:lastColumn="0" w:noHBand="0" w:noVBand="0" w:val="0020"/>
      </w:tblPr>
      <w:tblGrid>
        <w:gridCol w:w="2640"/>
        <w:gridCol w:w="2640"/>
        <w:gridCol w:w="2640"/>
      </w:tblGrid>
      <w:tr>
        <w:trPr>
          <w:tblHeader w:val="on"/>
          <w:tblHeader w:val="true"/>
          <w:cantSplit/>
        </w:trPr>
        <w:tc>
          <w:tcPr>
            <w:vAlign w:val="top"/>
            <w:tcMar>
              <w:top w:w="70" w:type="dxa"/>
              <w:start w:w="80" w:type="dxa"/>
              <w:bottom w:w="70" w:type="dxa"/>
              <w:end w:w="80" w:type="dxa"/>
            </w:tcMar>
            <w:shd w:fill="1F4E78"/>
          </w:tcPr>
          <w:p>
            <w:pPr>
              <w:pStyle w:val="Compact"/>
              <w:jc w:val="left"/>
            </w:pPr>
            <w:r>
              <w:rPr>
                <w:rFonts w:ascii="Arial" w:hAnsi="Arial" w:eastAsia="Arial"/>
                <w:b/>
                <w:bCs/>
                <w:color w:val="FFFFFF"/>
                <w:sz w:val="16"/>
              </w:rPr>
              <w:t>Claim type</w:t>
            </w:r>
          </w:p>
        </w:tc>
        <w:tc>
          <w:tcPr>
            <w:vAlign w:val="top"/>
            <w:tcMar>
              <w:top w:w="70" w:type="dxa"/>
              <w:start w:w="80" w:type="dxa"/>
              <w:bottom w:w="70" w:type="dxa"/>
              <w:end w:w="80" w:type="dxa"/>
            </w:tcMar>
            <w:shd w:fill="1F4E78"/>
          </w:tcPr>
          <w:p>
            <w:pPr>
              <w:pStyle w:val="Compact"/>
              <w:jc w:val="left"/>
            </w:pPr>
            <w:r>
              <w:rPr>
                <w:rFonts w:ascii="Arial" w:hAnsi="Arial" w:eastAsia="Arial"/>
                <w:b/>
                <w:color w:val="FFFFFF"/>
                <w:sz w:val="16"/>
              </w:rPr>
              <w:t>Status in v12.2</w:t>
            </w:r>
          </w:p>
        </w:tc>
        <w:tc>
          <w:tcPr>
            <w:vAlign w:val="top"/>
            <w:tcMar>
              <w:top w:w="70" w:type="dxa"/>
              <w:start w:w="80" w:type="dxa"/>
              <w:bottom w:w="70" w:type="dxa"/>
              <w:end w:w="80" w:type="dxa"/>
            </w:tcMar>
            <w:shd w:fill="1F4E78"/>
          </w:tcPr>
          <w:p>
            <w:pPr>
              <w:pStyle w:val="Compact"/>
              <w:jc w:val="left"/>
            </w:pPr>
            <w:r>
              <w:rPr>
                <w:rFonts w:ascii="Arial" w:hAnsi="Arial" w:eastAsia="Arial"/>
                <w:b/>
                <w:bCs/>
                <w:color w:val="FFFFFF"/>
                <w:sz w:val="16"/>
              </w:rPr>
              <w:t>Required condition</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Tier 1-3 architectural completeness</w:t>
            </w:r>
          </w:p>
        </w:tc>
        <w:tc>
          <w:tcPr>
            <w:vAlign w:val="top"/>
            <w:tcMar>
              <w:top w:w="70" w:type="dxa"/>
              <w:start w:w="80" w:type="dxa"/>
              <w:bottom w:w="70" w:type="dxa"/>
              <w:end w:w="80" w:type="dxa"/>
            </w:tcMar>
            <w:shd w:fill="D9EAF7"/>
          </w:tcPr>
          <w:p>
            <w:pPr>
              <w:pStyle w:val="Compact"/>
              <w:jc w:val="left"/>
            </w:pPr>
            <w:r>
              <w:rPr>
                <w:rFonts w:ascii="Arial" w:hAnsi="Arial" w:eastAsia="Arial"/>
                <w:sz w:val="16"/>
              </w:rPr>
              <w:t>Claimable</w:t>
            </w:r>
          </w:p>
        </w:tc>
        <w:tc>
          <w:tcPr>
            <w:vAlign w:val="top"/>
            <w:tcMar>
              <w:top w:w="70" w:type="dxa"/>
              <w:start w:w="80" w:type="dxa"/>
              <w:bottom w:w="70" w:type="dxa"/>
              <w:end w:w="80" w:type="dxa"/>
            </w:tcMar>
            <w:shd w:fill="D9EAF7"/>
          </w:tcPr>
          <w:p>
            <w:pPr>
              <w:pStyle w:val="Compact"/>
              <w:jc w:val="left"/>
            </w:pPr>
            <w:r>
              <w:rPr>
                <w:rFonts w:ascii="Arial" w:hAnsi="Arial" w:eastAsia="Arial"/>
                <w:sz w:val="16"/>
              </w:rPr>
              <w:t>Defined by this canon and appendices for the declared release scope.</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Tier 3 run-level conformance</w:t>
            </w:r>
          </w:p>
        </w:tc>
        <w:tc>
          <w:tcPr>
            <w:vAlign w:val="top"/>
            <w:tcMar>
              <w:top w:w="70" w:type="dxa"/>
              <w:start w:w="80" w:type="dxa"/>
              <w:bottom w:w="70" w:type="dxa"/>
              <w:end w:w="80" w:type="dxa"/>
            </w:tcMar>
            <w:shd w:fill="FFFFFF"/>
          </w:tcPr>
          <w:p>
            <w:pPr>
              <w:pStyle w:val="Compact"/>
              <w:jc w:val="left"/>
            </w:pPr>
            <w:r>
              <w:rPr>
                <w:rFonts w:ascii="Arial" w:hAnsi="Arial" w:eastAsia="Arial"/>
                <w:sz w:val="16"/>
              </w:rPr>
              <w:t>Claimable</w:t>
            </w:r>
          </w:p>
        </w:tc>
        <w:tc>
          <w:tcPr>
            <w:vAlign w:val="top"/>
            <w:tcMar>
              <w:top w:w="70" w:type="dxa"/>
              <w:start w:w="80" w:type="dxa"/>
              <w:bottom w:w="70" w:type="dxa"/>
              <w:end w:w="80" w:type="dxa"/>
            </w:tcMar>
            <w:shd w:fill="FFFFFF"/>
          </w:tcPr>
          <w:p>
            <w:pPr>
              <w:pStyle w:val="Compact"/>
              <w:jc w:val="left"/>
            </w:pPr>
            <w:r>
              <w:rPr>
                <w:rFonts w:ascii="Arial" w:hAnsi="Arial" w:eastAsia="Arial"/>
                <w:sz w:val="16"/>
              </w:rPr>
              <w:t>Run declares required inputs, satisfies tier minima, and emits a valid PCC.</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Framework-level empirical operational-readiness</w:t>
            </w:r>
          </w:p>
        </w:tc>
        <w:tc>
          <w:tcPr>
            <w:vAlign w:val="top"/>
            <w:tcMar>
              <w:top w:w="70" w:type="dxa"/>
              <w:start w:w="80" w:type="dxa"/>
              <w:bottom w:w="70" w:type="dxa"/>
              <w:end w:w="80" w:type="dxa"/>
            </w:tcMar>
            <w:shd w:fill="D9EAF7"/>
          </w:tcPr>
          <w:p>
            <w:pPr>
              <w:pStyle w:val="Compact"/>
              <w:jc w:val="left"/>
            </w:pPr>
            <w:r>
              <w:rPr>
                <w:rFonts w:ascii="Arial" w:hAnsi="Arial" w:eastAsia="Arial"/>
                <w:sz w:val="16"/>
              </w:rPr>
              <w:t>Not yet claimable</w:t>
            </w:r>
          </w:p>
        </w:tc>
        <w:tc>
          <w:tcPr>
            <w:vAlign w:val="top"/>
            <w:tcMar>
              <w:top w:w="70" w:type="dxa"/>
              <w:start w:w="80" w:type="dxa"/>
              <w:bottom w:w="70" w:type="dxa"/>
              <w:end w:w="80" w:type="dxa"/>
            </w:tcMar>
            <w:shd w:fill="D9EAF7"/>
          </w:tcPr>
          <w:p>
            <w:pPr>
              <w:pStyle w:val="Compact"/>
              <w:jc w:val="left"/>
            </w:pPr>
            <w:r>
              <w:rPr>
                <w:rFonts w:ascii="Arial" w:hAnsi="Arial" w:eastAsia="Arial"/>
                <w:sz w:val="16"/>
              </w:rPr>
              <w:t>Requires empirical validation progress, including UCI measurement maturity and related evidence.</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Machine-verifiable ecosystem completeness</w:t>
            </w:r>
          </w:p>
        </w:tc>
        <w:tc>
          <w:tcPr>
            <w:vAlign w:val="top"/>
            <w:tcMar>
              <w:top w:w="70" w:type="dxa"/>
              <w:start w:w="80" w:type="dxa"/>
              <w:bottom w:w="70" w:type="dxa"/>
              <w:end w:w="80" w:type="dxa"/>
            </w:tcMar>
            <w:shd w:fill="FFFFFF"/>
          </w:tcPr>
          <w:p>
            <w:pPr>
              <w:pStyle w:val="Compact"/>
              <w:jc w:val="left"/>
            </w:pPr>
            <w:r>
              <w:rPr>
                <w:rFonts w:ascii="Arial" w:hAnsi="Arial" w:eastAsia="Arial"/>
                <w:sz w:val="16"/>
              </w:rPr>
              <w:t>Not yet claimable</w:t>
            </w:r>
          </w:p>
        </w:tc>
        <w:tc>
          <w:tcPr>
            <w:vAlign w:val="top"/>
            <w:tcMar>
              <w:top w:w="70" w:type="dxa"/>
              <w:start w:w="80" w:type="dxa"/>
              <w:bottom w:w="70" w:type="dxa"/>
              <w:end w:w="80" w:type="dxa"/>
            </w:tcMar>
            <w:shd w:fill="FFFFFF"/>
          </w:tcPr>
          <w:p>
            <w:pPr>
              <w:pStyle w:val="Compact"/>
              <w:jc w:val="left"/>
            </w:pPr>
            <w:r>
              <w:rPr>
                <w:rFonts w:ascii="Arial" w:hAnsi="Arial" w:eastAsia="Arial"/>
                <w:sz w:val="16"/>
              </w:rPr>
              <w:t>Requires companion validator, schema, reference-calculator / registry surfaces, or equivalent ProofPack assets.</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Tier 4 compliance</w:t>
            </w:r>
          </w:p>
        </w:tc>
        <w:tc>
          <w:tcPr>
            <w:vAlign w:val="top"/>
            <w:tcMar>
              <w:top w:w="70" w:type="dxa"/>
              <w:start w:w="80" w:type="dxa"/>
              <w:bottom w:w="70" w:type="dxa"/>
              <w:end w:w="80" w:type="dxa"/>
            </w:tcMar>
            <w:shd w:fill="D9EAF7"/>
          </w:tcPr>
          <w:p>
            <w:pPr>
              <w:pStyle w:val="Compact"/>
              <w:jc w:val="left"/>
            </w:pPr>
            <w:r>
              <w:rPr>
                <w:rFonts w:ascii="Arial" w:hAnsi="Arial" w:eastAsia="Arial"/>
                <w:sz w:val="16"/>
              </w:rPr>
              <w:t>Prohibited</w:t>
            </w:r>
          </w:p>
        </w:tc>
        <w:tc>
          <w:tcPr>
            <w:vAlign w:val="top"/>
            <w:tcMar>
              <w:top w:w="70" w:type="dxa"/>
              <w:start w:w="80" w:type="dxa"/>
              <w:bottom w:w="70" w:type="dxa"/>
              <w:end w:w="80" w:type="dxa"/>
            </w:tcMar>
            <w:shd w:fill="D9EAF7"/>
          </w:tcPr>
          <w:p>
            <w:pPr>
              <w:pStyle w:val="Compact"/>
              <w:jc w:val="left"/>
            </w:pPr>
            <w:r>
              <w:rPr>
                <w:rFonts w:ascii="Arial" w:hAnsi="Arial" w:eastAsia="Arial"/>
                <w:sz w:val="16"/>
              </w:rPr>
              <w:t>No Tier-4 claim until ProofPack is publicly replayable and independently verified.</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Cross-domain calibrated or validated UCI</w:t>
            </w:r>
          </w:p>
        </w:tc>
        <w:tc>
          <w:tcPr>
            <w:vAlign w:val="top"/>
            <w:tcMar>
              <w:top w:w="70" w:type="dxa"/>
              <w:start w:w="80" w:type="dxa"/>
              <w:bottom w:w="70" w:type="dxa"/>
              <w:end w:w="80" w:type="dxa"/>
            </w:tcMar>
            <w:shd w:fill="FFFFFF"/>
          </w:tcPr>
          <w:p>
            <w:pPr>
              <w:pStyle w:val="Compact"/>
              <w:jc w:val="left"/>
            </w:pPr>
            <w:r>
              <w:rPr>
                <w:rFonts w:ascii="Arial" w:hAnsi="Arial" w:eastAsia="Arial"/>
                <w:sz w:val="16"/>
              </w:rPr>
              <w:t>Prohibited</w:t>
            </w:r>
          </w:p>
        </w:tc>
        <w:tc>
          <w:tcPr>
            <w:vAlign w:val="top"/>
            <w:tcMar>
              <w:top w:w="70" w:type="dxa"/>
              <w:start w:w="80" w:type="dxa"/>
              <w:bottom w:w="70" w:type="dxa"/>
              <w:end w:w="80" w:type="dxa"/>
            </w:tcMar>
            <w:shd w:fill="FFFFFF"/>
          </w:tcPr>
          <w:p>
            <w:pPr>
              <w:pStyle w:val="Compact"/>
              <w:jc w:val="left"/>
            </w:pPr>
            <w:r>
              <w:rPr>
                <w:rFonts w:ascii="Arial" w:hAnsi="Arial" w:eastAsia="Arial"/>
                <w:sz w:val="16"/>
              </w:rPr>
              <w:t>Requires a published UCI Measurement Annex with named instruments, normalization rules, structural-independence evidence, and IRR data.</w:t>
            </w:r>
          </w:p>
        </w:tc>
      </w:tr>
    </w:tbl>
    <w:p>
      <w:pPr>
        <w:pStyle w:val="BodyText"/>
      </w:pPr>
      <w:r>
        <w:t>Decision-state summary (Normative shorthand).</w:t>
      </w:r>
    </w:p>
    <w:p>
      <w:pPr>
        <w:pStyle w:val="BodyText"/>
      </w:pPr>
      <w:r>
        <w:t>RippleLogic uses five distinct decision states that implementations MUST NOT collapse.</w:t>
      </w:r>
    </w:p>
    <w:p>
      <w:pPr>
        <w:pStyle w:val="BodyText"/>
      </w:pPr>
      <w:r>
        <w:t>Rights-admissible = passes NCRC.</w:t>
      </w:r>
    </w:p>
    <w:p>
      <w:pPr>
        <w:pStyle w:val="BodyText"/>
      </w:pPr>
      <w:r>
        <w:t>Admissible = passes NCRC and TRC.</w:t>
      </w:r>
    </w:p>
    <w:p>
      <w:pPr>
        <w:pStyle w:val="BodyText"/>
      </w:pPr>
      <w:r>
        <w:t>Selectable = admissible and passes CSV in the applicable containment/structural-viability mode.</w:t>
      </w:r>
    </w:p>
    <w:p>
      <w:pPr>
        <w:pStyle w:val="BodyText"/>
      </w:pPr>
      <w:r>
        <w:t>Selected = chosen from the selectable set after RLS, tie-break, and any required escalation disposition.</w:t>
      </w:r>
    </w:p>
    <w:p>
      <w:pPr>
        <w:pStyle w:val="BodyText"/>
      </w:pPr>
      <w:r>
        <w:t>Refusal = the framework cannot uniquely determine the applicable admissibility or selection state from declared inputs, evidence, projection rules, or layer commitments.</w:t>
      </w:r>
    </w:p>
    <w:p>
      <w:pPr>
        <w:pStyle w:val="BodyText"/>
      </w:pPr>
      <w:r>
        <w:t>A later state MUST NOT be used to infer an earlier one, and no downstream score may rescue failure at an earlier state. Refusal MUST NOT be silently converted into gate failure, gate success, RLS tie-break, or discretionary selection. Refusal means the run lacks sufficient determination for the claim being attempted.</w:t>
      </w:r>
    </w:p>
    <w:p>
      <w:pPr>
        <w:pStyle w:val="BodyText"/>
      </w:pPr>
      <w:r>
        <w:t>Execution Stability Diagnostic (carried-forward v10.8 clarification through v12.0). Execution stability is not a sixth decision state and not a replacement gate. It is a required diagnostic surface for Tier 2 and Tier 3 consequence-bearing execution, and recommended for medium- or high-stakes Tier 1 runs. It classifies the transition after hard admissibility and containment checks but before consequence-bearing execution. The diagnostic cannot rescue a failure at NCRC, TRC, or CSV, cannot convert Refusal into permission, and cannot use local stability to justify domination, rights infringement, or biosphere degradation.</w:t>
      </w:r>
    </w:p>
    <w:p>
      <w:pPr>
        <w:pStyle w:val="BodyText"/>
      </w:pPr>
      <w:r>
        <w:t>CORE ARTIFACT ROLE MAP (release-line orientation)</w:t>
      </w:r>
    </w:p>
    <w:p>
      <w:pPr>
        <w:pStyle w:val="BodyText"/>
      </w:pPr>
      <w:r>
        <w:t>- RippleLogic_v12.3_Canon.md: canonical repository text source and normative source of truth for this release line.</w:t>
      </w:r>
    </w:p>
    <w:p>
      <w:pPr>
        <w:pStyle w:val="BodyText"/>
      </w:pPr>
      <w:r>
        <w:t>- RippleLogic_v12.3.1_Canon.docx: synchronized human-readable publication rendering of the Markdown source. It is hash-identified in the release manifest, but it does not outrank the Markdown source if the two diverge.</w:t>
      </w:r>
    </w:p>
    <w:p>
      <w:pPr>
        <w:pStyle w:val="BodyText"/>
      </w:pPr>
      <w:r>
        <w:t>- SGP v8.2.1: companion moral-patienthood, protection, participation, capacity, and power-readiness protocol. It is authoritative for MPS, FPP, GPR, SPR, optional ICP, RMCP, open P100 calibration, target and identity/collective boundaries, evidence-dependence controls, precaution, governed review, and classification-stability cautions. RippleLogic consumes only typed SGP outputs through Appendix G and MUST NOT define or recompute SGP internals.</w:t>
      </w:r>
    </w:p>
    <w:p>
      <w:pPr>
        <w:pStyle w:val="BodyText"/>
      </w:pPr>
      <w:r>
        <w:t>SGP split-roadmap boundary (Informative but release-controlling for interpretation).</w:t>
      </w:r>
    </w:p>
    <w:p>
      <w:pPr>
        <w:pStyle w:val="BodyText"/>
      </w:pPr>
      <w:r>
        <w:t>SGP v8.2.1 separates moral patienthood, full protection, governance participation, stewardship/power readiness, intelligence, and reality-management capacity as first-class outputs. RippleLogic v12.3.1 consumes only the pinned v8.2.1 interface and MUST NOT infer sentience, intrinsic moral worth, governance authority, voting weight, office eligibility, CMIU membership, or stewardship power from RMCP/P100, MPS, or FPP.</w:t>
      </w:r>
    </w:p>
    <w:p>
      <w:pPr>
        <w:pStyle w:val="BodyText"/>
      </w:pPr>
      <w:r>
        <w:t>This roadmap note does not change the v12.2 SGP v8.2.1 binding interface. It prevents over-reading any MPS band or interval as a consciousness probability or cardinal moral-worth score, and prevents over-reading RMCP/P100 as species supremacy, wisdom, or governance authority.</w:t>
      </w:r>
    </w:p>
    <w:p>
      <w:pPr>
        <w:pStyle w:val="BodyText"/>
      </w:pPr>
      <w:r>
        <w:t>- ripple.md v5.2: portable alignment contract and assurance wrapper for implementations and deployments, including the wrapped-run ExecutionStabilityRecord field for high-stakes consequence-bearing episodes.</w:t>
      </w:r>
    </w:p>
    <w:p>
      <w:pPr>
        <w:pStyle w:val="BodyText"/>
      </w:pPr>
      <w:r>
        <w:t>- RippleLogic Agent System v12.1: deployment/control specification for agentic implementations under the current pinned companion line unless and until a later synchronized agent-system release is promoted.</w:t>
      </w:r>
    </w:p>
    <w:p>
      <w:pPr>
        <w:pStyle w:val="BodyText"/>
      </w:pPr>
      <w:r>
        <w:t>- Ripple Aligners Sheet v5.3: worked-run exemplar companion for replay, disclosure, and training, including the ExecutionStability sheet; not the repository-level validator or schema surface.</w:t>
      </w:r>
    </w:p>
    <w:p>
      <w:pPr>
        <w:pStyle w:val="BodyText"/>
      </w:pPr>
      <w:r>
        <w:t>- Machine-verifiable ecosystem completeness requires additional companion surfaces when claimed, including validator / schema / reference-calculator / registry artifacts or ProofPack assets beyond this core canon line.</w:t>
      </w:r>
    </w:p>
    <w:p>
      <w:pPr>
        <w:pStyle w:val="Compact"/>
        <w:numPr>
          <w:ilvl w:val="0"/>
          <w:numId w:val="1414"/>
        </w:numPr>
      </w:pPr>
      <w:r>
        <w:t>Companion v8.2.1 interface note: RippleLogic treats MPS band/interval, FPP, GPR, SPR, optional ICP, and RMCP/P100 as separate pinned outputs. MPS records control protection posture and the required welfare-inclusion hypothesis sensitivity; they are not cardinal welfare multipliers. FPP controls non-downgrade protection; GPR and SPR remain role-specific; RMCP/P100 remain informative capacity-calibration outputs. No SGP output may weaken admissibility under NCRC, TRC, or CSV, and no legacy v7 scalar may be silently translated.</w:t>
      </w:r>
    </w:p>
    <w:bookmarkStart w:id="622" w:name="X1b28f537ed9291cc1e3b28165d9b5a572dee36f"/>
    <w:p>
      <w:pPr>
        <w:pStyle w:val="Heading2"/>
      </w:pPr>
      <w:r>
        <w:t>AC.1 Specification Contract (moved from front matter in v10.4)</w:t>
      </w:r>
    </w:p>
    <w:bookmarkEnd w:id="622"/>
    <w:bookmarkEnd w:id="623"/>
    <w:bookmarkStart w:id="632" w:name="X97681a37ec4724d14ab1ee84ab176146f0cd452"/>
    <w:p>
      <w:pPr>
        <w:pStyle w:val="Heading1"/>
      </w:pPr>
      <w:r>
        <w:t>SECTION 0: SPECIFICATION CONTRACT (NORMATIVE)</w:t>
      </w:r>
    </w:p>
    <w:bookmarkStart w:id="624" w:name="X70ead11954ebceb378fca9a2d404a85afa51364"/>
    <w:p>
      <w:pPr>
        <w:pStyle w:val="Heading2"/>
      </w:pPr>
      <w:r>
        <w:t>0.1 Normative hierarchy (Single Source of Truth)</w:t>
      </w:r>
    </w:p>
    <w:p>
      <w:pPr>
        <w:pStyle w:val="FirstParagraph"/>
      </w:pPr>
      <w:r>
        <w:t>When interpreting RippleLogic v12.3.1, conflicts MUST be resolved using this precedence order (highest controls lowest):</w:t>
      </w:r>
    </w:p>
    <w:p>
      <w:pPr>
        <w:numPr>
          <w:ilvl w:val="0"/>
          <w:numId w:val="1415"/>
        </w:numPr>
      </w:pPr>
      <w:r>
        <w:t>Main text rules explicitly labeled MUST, SHALL, or PROHIBITED</w:t>
      </w:r>
    </w:p>
    <w:p>
      <w:pPr>
        <w:numPr>
          <w:ilvl w:val="0"/>
          <w:numId w:val="1415"/>
        </w:numPr>
      </w:pPr>
      <w:r>
        <w:t>Appendix B (Canonical Equations)</w:t>
      </w:r>
    </w:p>
    <w:p>
      <w:pPr>
        <w:numPr>
          <w:ilvl w:val="0"/>
          <w:numId w:val="1415"/>
        </w:numPr>
      </w:pPr>
      <w:r>
        <w:t>Appendix C (Rights / NCRC Canon Pack)</w:t>
      </w:r>
    </w:p>
    <w:p>
      <w:pPr>
        <w:numPr>
          <w:ilvl w:val="0"/>
          <w:numId w:val="1415"/>
        </w:numPr>
      </w:pPr>
      <w:r>
        <w:t>Appendix D (TRC and Scenario Governance Canon Pack)</w:t>
      </w:r>
    </w:p>
    <w:p>
      <w:pPr>
        <w:numPr>
          <w:ilvl w:val="0"/>
          <w:numId w:val="1415"/>
        </w:numPr>
      </w:pPr>
      <w:r>
        <w:t>Appendix H (PCC and Audit Flags Canon Pack)</w:t>
      </w:r>
    </w:p>
    <w:p>
      <w:pPr>
        <w:numPr>
          <w:ilvl w:val="0"/>
          <w:numId w:val="1415"/>
        </w:numPr>
      </w:pPr>
      <w:r>
        <w:t>Appendix AG (v10.8 Reality Grounding and Lean Cascade Patch)</w:t>
      </w:r>
    </w:p>
    <w:p>
      <w:pPr>
        <w:numPr>
          <w:ilvl w:val="0"/>
          <w:numId w:val="1415"/>
        </w:numPr>
      </w:pPr>
      <w:r>
        <w:t>Appendix AH (Category Grounding and Primitive Audit Protocol)</w:t>
      </w:r>
    </w:p>
    <w:p>
      <w:pPr>
        <w:numPr>
          <w:ilvl w:val="0"/>
          <w:numId w:val="1415"/>
        </w:numPr>
      </w:pPr>
      <w:r>
        <w:t>Appendix AI (Term Discrimination and Semantic Stability Protocol)</w:t>
      </w:r>
    </w:p>
    <w:p>
      <w:pPr>
        <w:numPr>
          <w:ilvl w:val="0"/>
          <w:numId w:val="1415"/>
        </w:numPr>
      </w:pPr>
      <w:r>
        <w:t>Appendix AJ (Public Release Hardening Addendum)</w:t>
      </w:r>
    </w:p>
    <w:p>
      <w:pPr>
        <w:numPr>
          <w:ilvl w:val="0"/>
          <w:numId w:val="1415"/>
        </w:numPr>
      </w:pPr>
      <w:r>
        <w:t>Appendix AK (Computability vs Realizability Bridge)</w:t>
      </w:r>
    </w:p>
    <w:p>
      <w:pPr>
        <w:numPr>
          <w:ilvl w:val="0"/>
          <w:numId w:val="1415"/>
        </w:numPr>
      </w:pPr>
      <w:r>
        <w:t>Appendix AL (Source-Coupling Integrity and Generative-Source Traceability)</w:t>
      </w:r>
    </w:p>
    <w:p>
      <w:pPr>
        <w:numPr>
          <w:ilvl w:val="0"/>
          <w:numId w:val="1415"/>
        </w:numPr>
      </w:pPr>
      <w:r>
        <w:t>Appendix AM (Physical/Causal Admissibility Evidence Profile)</w:t>
      </w:r>
    </w:p>
    <w:p>
      <w:pPr>
        <w:numPr>
          <w:ilvl w:val="0"/>
          <w:numId w:val="1415"/>
        </w:numPr>
      </w:pPr>
      <w:r>
        <w:t>Appendix AN (Methodological Falsifiability and Dependency Integrity Standard)</w:t>
      </w:r>
    </w:p>
    <w:p>
      <w:pPr>
        <w:numPr>
          <w:ilvl w:val="0"/>
          <w:numId w:val="1415"/>
        </w:numPr>
      </w:pPr>
      <w:r>
        <w:t>Appendix AO (Physical Execution Boundary)</w:t>
      </w:r>
    </w:p>
    <w:p>
      <w:pPr>
        <w:numPr>
          <w:ilvl w:val="0"/>
          <w:numId w:val="1415"/>
        </w:numPr>
      </w:pPr>
      <w:r>
        <w:t>Appendix T (Execution Stability Diagnostic)</w:t>
      </w:r>
    </w:p>
    <w:p>
      <w:pPr>
        <w:numPr>
          <w:ilvl w:val="0"/>
          <w:numId w:val="1415"/>
        </w:numPr>
      </w:pPr>
      <w:r>
        <w:t>Appendix U (Transition Admissibility and Evidence Substrate)</w:t>
      </w:r>
    </w:p>
    <w:p>
      <w:pPr>
        <w:numPr>
          <w:ilvl w:val="0"/>
          <w:numId w:val="1415"/>
        </w:numPr>
      </w:pPr>
      <w:r>
        <w:t>Appendix AE (Layer-Discipline, Falsification, and Adaptive Reserve Addendum)</w:t>
      </w:r>
    </w:p>
    <w:p>
      <w:pPr>
        <w:numPr>
          <w:ilvl w:val="0"/>
          <w:numId w:val="1415"/>
        </w:numPr>
      </w:pPr>
      <w:r>
        <w:t>Appendix AF (Decision Verdict Semantics, Projection Freeze, Closure Status, Falsification Classes, and Authority-Selection Separation)</w:t>
      </w:r>
    </w:p>
    <w:p>
      <w:pPr>
        <w:numPr>
          <w:ilvl w:val="0"/>
          <w:numId w:val="1415"/>
        </w:numPr>
      </w:pPr>
      <w:r>
        <w:t>Appendix R (Tier 1-3 Reference Test Vectors)</w:t>
      </w:r>
    </w:p>
    <w:p>
      <w:pPr>
        <w:numPr>
          <w:ilvl w:val="0"/>
          <w:numId w:val="1415"/>
        </w:numPr>
      </w:pPr>
      <w:r>
        <w:t>Appendix E (UCI Interface and Tier-3 Construction Guidance)</w:t>
      </w:r>
    </w:p>
    <w:p>
      <w:pPr>
        <w:numPr>
          <w:ilvl w:val="0"/>
          <w:numId w:val="1415"/>
        </w:numPr>
      </w:pPr>
      <w:r>
        <w:t>Appendix G (SGP Integration Binding Interface)</w:t>
      </w:r>
    </w:p>
    <w:p>
      <w:pPr>
        <w:numPr>
          <w:ilvl w:val="0"/>
          <w:numId w:val="1415"/>
        </w:numPr>
      </w:pPr>
      <w:r>
        <w:t>Appendix V (Measurement Maturity and Deployment Context Hardening)</w:t>
      </w:r>
    </w:p>
    <w:p>
      <w:pPr>
        <w:numPr>
          <w:ilvl w:val="0"/>
          <w:numId w:val="1415"/>
        </w:numPr>
      </w:pPr>
      <w:r>
        <w:t>Appendix W (Schema Ownership, Registries, and Machine-Verifiable Surfaces)</w:t>
      </w:r>
    </w:p>
    <w:p>
      <w:pPr>
        <w:numPr>
          <w:ilvl w:val="0"/>
          <w:numId w:val="1415"/>
        </w:numPr>
      </w:pPr>
      <w:r>
        <w:t>Appendix X (Reference Calculator, Machine Vectors, and ProofPack-Prep Roadmap)</w:t>
      </w:r>
    </w:p>
    <w:p>
      <w:pPr>
        <w:numPr>
          <w:ilvl w:val="0"/>
          <w:numId w:val="1415"/>
        </w:numPr>
      </w:pPr>
      <w:r>
        <w:t>Appendix Y (Precision Patch: Legitimacy, Evidence Status, Validation, and Adoption Profiles)</w:t>
      </w:r>
    </w:p>
    <w:p>
      <w:pPr>
        <w:numPr>
          <w:ilvl w:val="0"/>
          <w:numId w:val="1415"/>
        </w:numPr>
      </w:pPr>
      <w:r>
        <w:t>Appendix Z (Integration-Hardening Addendum)</w:t>
      </w:r>
    </w:p>
    <w:p>
      <w:pPr>
        <w:numPr>
          <w:ilvl w:val="0"/>
          <w:numId w:val="1415"/>
        </w:numPr>
      </w:pPr>
      <w:r>
        <w:t>Appendix AA (Package-Content Boundary and Tooling-Line Separation)</w:t>
      </w:r>
    </w:p>
    <w:p>
      <w:pPr>
        <w:numPr>
          <w:ilvl w:val="0"/>
          <w:numId w:val="1415"/>
        </w:numPr>
      </w:pPr>
      <w:r>
        <w:t>Appendix AB (Reference Structure Protocol)</w:t>
      </w:r>
    </w:p>
    <w:p>
      <w:pPr>
        <w:numPr>
          <w:ilvl w:val="0"/>
          <w:numId w:val="1415"/>
        </w:numPr>
      </w:pPr>
      <w:r>
        <w:t>Appendix A (Symbols, Domains, and Notation Canon)</w:t>
      </w:r>
    </w:p>
    <w:p>
      <w:pPr>
        <w:numPr>
          <w:ilvl w:val="0"/>
          <w:numId w:val="1415"/>
        </w:numPr>
      </w:pPr>
      <w:r>
        <w:t>Appendix N (Stewardship Pack Canon)</w:t>
      </w:r>
    </w:p>
    <w:p>
      <w:pPr>
        <w:numPr>
          <w:ilvl w:val="0"/>
          <w:numId w:val="1415"/>
        </w:numPr>
      </w:pPr>
      <w:r>
        <w:t>Appendix F (Failure Modes and Anti-Gaming Controls)</w:t>
      </w:r>
    </w:p>
    <w:p>
      <w:pPr>
        <w:numPr>
          <w:ilvl w:val="0"/>
          <w:numId w:val="1415"/>
        </w:numPr>
      </w:pPr>
      <w:r>
        <w:t>Appendix J (Pre-Registration Templates and Scoring Definitions)</w:t>
      </w:r>
    </w:p>
    <w:p>
      <w:pPr>
        <w:numPr>
          <w:ilvl w:val="0"/>
          <w:numId w:val="1415"/>
        </w:numPr>
      </w:pPr>
      <w:r>
        <w:t>Appendix AD (49-Cell Welfare Dictionary): canonical interpretive reference for cell meanings, scoring language, and reviewer checks. Subordinate to Appendix B equations and to all normative gates; governs scoring interpretation and reviewer literacy only. It does not control admissibility, thresholds, or claim boundaries.</w:t>
      </w:r>
    </w:p>
    <w:p>
      <w:pPr>
        <w:numPr>
          <w:ilvl w:val="0"/>
          <w:numId w:val="1415"/>
        </w:numPr>
      </w:pPr>
      <w:r>
        <w:t>Examples, templates, and illustrative values (non-normative; includes Appendix K unless a future version explicitly elevates a named subsection)</w:t>
      </w:r>
    </w:p>
    <w:p>
      <w:pPr>
        <w:numPr>
          <w:ilvl w:val="0"/>
          <w:numId w:val="1415"/>
        </w:numPr>
      </w:pPr>
      <w:r>
        <w:t>Appendix O (Conformance Reference Map; informative pointer layer only)</w:t>
      </w:r>
    </w:p>
    <w:p>
      <w:pPr>
        <w:pStyle w:val="FirstParagraph"/>
      </w:pPr>
      <w:r>
        <w:t>Note (Informative). Version history and release notes are recorded in Appendix M and do not control normative meaning.</w:t>
      </w:r>
    </w:p>
    <w:p>
      <w:pPr>
        <w:pStyle w:val="BodyText"/>
      </w:pPr>
      <w:r>
        <w:t>Priority-direction note (Normative clarification). Item 1 is the highest controlling authority in this list. Higher-numbered items are subordinate to lower-numbered items. Appendix O is informative and cannot override any normative rule.</w:t>
      </w:r>
    </w:p>
    <w:bookmarkEnd w:id="624"/>
    <w:bookmarkStart w:id="625" w:name="X9878b3dd0efc4087d6f7a8b7e0f73acd45e15e7"/>
    <w:p>
      <w:pPr>
        <w:pStyle w:val="Heading2"/>
      </w:pPr>
      <w:r>
        <w:t>0.2 Tier contract and claims (v12.3 Canon line; Core Release 2026.09 package line) Tier 1-3: source-ready and procedurally reproducible within the declared profile and evidence boundary. Exact package identity is Canon v12.3 / SGP v8.2.1 / ripple.md v5.2 / Agent System v12.1 / Primer v4.1 / Aligners Sheet v5.3 / Cascade Standard v2.3 / CSV Gate Standard v2.1 / Reproducibility Standard v1.1 / WDBIP v1.3 / RLS Validation Protocol v2.3 / RLS Validation Workbook v0.2. Any conformance claim MUST pin the exact artifact versions, release manifest, and SHA-256 hashes. Tier 4: PROHIBITED to claim in this release (design target only). Any Tier-4 content remains informational architecture describing what becomes claimable only after ProofPack publication and independent replayability.</w:t>
      </w:r>
    </w:p>
    <w:bookmarkEnd w:id="625"/>
    <w:bookmarkStart w:id="626" w:name="X94000eef18cfeb4c3db73648db7bef9859ca124"/>
    <w:p>
      <w:pPr>
        <w:pStyle w:val="Heading2"/>
      </w:pPr>
      <w:r>
        <w:t>0.3 Conformance vocabulary (Normative) RippleLogic uses distinct predicates; implementations MUST NOT collapse them.</w:t>
      </w:r>
    </w:p>
    <w:p>
      <w:pPr>
        <w:numPr>
          <w:ilvl w:val="0"/>
          <w:numId w:val="1416"/>
        </w:numPr>
      </w:pPr>
      <w:r>
        <w:t>Rights-admissible: passes NCRC.</w:t>
      </w:r>
    </w:p>
    <w:p>
      <w:pPr>
        <w:numPr>
          <w:ilvl w:val="0"/>
          <w:numId w:val="1416"/>
        </w:numPr>
      </w:pPr>
      <w:r>
        <w:t>Admissible: passes NCRC and TRC. Formally: Admissible(a) := NCRC(a) AND TRC(a).</w:t>
      </w:r>
    </w:p>
    <w:p>
      <w:pPr>
        <w:numPr>
          <w:ilvl w:val="0"/>
          <w:numId w:val="1416"/>
        </w:numPr>
      </w:pPr>
      <w:r>
        <w:t>Selectable: admissible and passes CSV (including Containment Mode A where material).</w:t>
      </w:r>
    </w:p>
    <w:p>
      <w:pPr>
        <w:numPr>
          <w:ilvl w:val="0"/>
          <w:numId w:val="1416"/>
        </w:numPr>
      </w:pPr>
      <w:r>
        <w:t>Selected: the final chosen option from the selectable set, either by ALLOW_FRAMEWORK_SELECTION when the framework selection path is decisive or by a separately disclosed AuthoritySelectionRecord when the framework refuses deterministic selection. A selected option MUST NOT be represented as a unique framework verdict when FrameworkVerdict is REFUSE_DETERMINISTIC_SELECTION.</w:t>
      </w:r>
    </w:p>
    <w:bookmarkEnd w:id="626"/>
    <w:bookmarkStart w:id="627" w:name="X12f21882652231ec56abe651ff3c4c3638d6eca"/>
    <w:p>
      <w:pPr>
        <w:pStyle w:val="Heading2"/>
      </w:pPr>
      <w:r>
        <w:t>0.4 Consolidated symbols and core objects (Normative; v12.2, symbol set carried forward from v12.0) Terminology note (Normative). Since v11.0 and carried forward in v12.0, u indexes Union Scopes (short: Scopes). “Union(s)” remains an allowed legacy narrative alias. This clarification SHALL NOT change the meaning of u or cascade semantics. Machine-readable surfaces SHOULD prefer UnionScope / UnionScopes as the canonical identifier family; Union remains a permitted human-readable alias in prose and UI text.</w:t>
      </w:r>
    </w:p>
    <w:p>
      <w:pPr>
        <w:pStyle w:val="FirstParagraph"/>
      </w:pPr>
      <w:r>
        <w:t>Table 0-1. Indices and core symbols</w:t>
      </w:r>
    </w:p>
    <w:tbl>
      <w:tblPr>
        <w:tblStyle w:val="Table"/>
        <w:tblW w:type="auto" w:w="0"/>
        <w:jc w:val="center"/>
        <w:tblLook w:firstRow="1" w:lastRow="0" w:firstColumn="0" w:lastColumn="0" w:noHBand="0" w:noVBand="0" w:val="0020"/>
      </w:tblPr>
      <w:tblGrid>
        <w:gridCol w:w="3960"/>
        <w:gridCol w:w="3960"/>
      </w:tblGrid>
      <w:tr>
        <w:trPr>
          <w:tblHeader w:val="on"/>
          <w:tblHeader w:val="true"/>
          <w:cantSplit/>
        </w:trPr>
        <w:tc>
          <w:tcPr>
            <w:vAlign w:val="top"/>
            <w:tcMar>
              <w:top w:w="70" w:type="dxa"/>
              <w:start w:w="80" w:type="dxa"/>
              <w:bottom w:w="70" w:type="dxa"/>
              <w:end w:w="80" w:type="dxa"/>
            </w:tcMar>
            <w:shd w:fill="1F4E78"/>
          </w:tcPr>
          <w:p>
            <w:pPr>
              <w:pStyle w:val="Compact"/>
              <w:jc w:val="left"/>
            </w:pPr>
            <w:r>
              <w:rPr>
                <w:rFonts w:ascii="Arial" w:hAnsi="Arial" w:eastAsia="Arial"/>
                <w:b/>
                <w:bCs/>
                <w:color w:val="FFFFFF"/>
                <w:sz w:val="16"/>
              </w:rPr>
              <w:t>Symbol</w:t>
            </w:r>
          </w:p>
        </w:tc>
        <w:tc>
          <w:tcPr>
            <w:vAlign w:val="top"/>
            <w:tcMar>
              <w:top w:w="70" w:type="dxa"/>
              <w:start w:w="80" w:type="dxa"/>
              <w:bottom w:w="70" w:type="dxa"/>
              <w:end w:w="80" w:type="dxa"/>
            </w:tcMar>
            <w:shd w:fill="1F4E78"/>
          </w:tcPr>
          <w:p>
            <w:pPr>
              <w:pStyle w:val="Compact"/>
              <w:jc w:val="left"/>
            </w:pPr>
            <w:r>
              <w:rPr>
                <w:rFonts w:ascii="Arial" w:hAnsi="Arial" w:eastAsia="Arial"/>
                <w:b/>
                <w:bCs/>
                <w:color w:val="FFFFFF"/>
                <w:sz w:val="16"/>
              </w:rPr>
              <w:t>Meaning</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u ∈ {1,…,7}</w:t>
            </w:r>
          </w:p>
        </w:tc>
        <w:tc>
          <w:tcPr>
            <w:vAlign w:val="top"/>
            <w:tcMar>
              <w:top w:w="70" w:type="dxa"/>
              <w:start w:w="80" w:type="dxa"/>
              <w:bottom w:w="70" w:type="dxa"/>
              <w:end w:w="80" w:type="dxa"/>
            </w:tcMar>
            <w:shd w:fill="D9EAF7"/>
          </w:tcPr>
          <w:p>
            <w:pPr>
              <w:pStyle w:val="Compact"/>
              <w:jc w:val="left"/>
            </w:pPr>
            <w:r>
              <w:rPr>
                <w:rFonts w:ascii="Arial" w:hAnsi="Arial" w:eastAsia="Arial"/>
                <w:sz w:val="16"/>
              </w:rPr>
              <w:t>Union Scope (Scope) index (legacy alias: union)</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d ∈ {1,…,7}</w:t>
            </w:r>
          </w:p>
        </w:tc>
        <w:tc>
          <w:tcPr>
            <w:vAlign w:val="top"/>
            <w:tcMar>
              <w:top w:w="70" w:type="dxa"/>
              <w:start w:w="80" w:type="dxa"/>
              <w:bottom w:w="70" w:type="dxa"/>
              <w:end w:w="80" w:type="dxa"/>
            </w:tcMar>
            <w:shd w:fill="FFFFFF"/>
          </w:tcPr>
          <w:p>
            <w:pPr>
              <w:pStyle w:val="Compact"/>
              <w:jc w:val="left"/>
            </w:pPr>
            <w:r>
              <w:rPr>
                <w:rFonts w:ascii="Arial" w:hAnsi="Arial" w:eastAsia="Arial"/>
                <w:sz w:val="16"/>
              </w:rPr>
              <w:t>Dimension index</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a ∈ O</w:t>
            </w:r>
          </w:p>
        </w:tc>
        <w:tc>
          <w:tcPr>
            <w:vAlign w:val="top"/>
            <w:tcMar>
              <w:top w:w="70" w:type="dxa"/>
              <w:start w:w="80" w:type="dxa"/>
              <w:bottom w:w="70" w:type="dxa"/>
              <w:end w:w="80" w:type="dxa"/>
            </w:tcMar>
            <w:shd w:fill="D9EAF7"/>
          </w:tcPr>
          <w:p>
            <w:pPr>
              <w:pStyle w:val="Compact"/>
              <w:jc w:val="left"/>
            </w:pPr>
            <w:r>
              <w:rPr>
                <w:rFonts w:ascii="Arial" w:hAnsi="Arial" w:eastAsia="Arial"/>
                <w:sz w:val="16"/>
              </w:rPr>
              <w:t>Candidate option</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s ∈ S</w:t>
            </w:r>
          </w:p>
        </w:tc>
        <w:tc>
          <w:tcPr>
            <w:vAlign w:val="top"/>
            <w:tcMar>
              <w:top w:w="70" w:type="dxa"/>
              <w:start w:w="80" w:type="dxa"/>
              <w:bottom w:w="70" w:type="dxa"/>
              <w:end w:w="80" w:type="dxa"/>
            </w:tcMar>
            <w:shd w:fill="FFFFFF"/>
          </w:tcPr>
          <w:p>
            <w:pPr>
              <w:pStyle w:val="Compact"/>
              <w:jc w:val="left"/>
            </w:pPr>
            <w:r>
              <w:rPr>
                <w:rFonts w:ascii="Arial" w:hAnsi="Arial" w:eastAsia="Arial"/>
                <w:sz w:val="16"/>
              </w:rPr>
              <w:t>Scenario index</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r ∈ R</w:t>
            </w:r>
          </w:p>
        </w:tc>
        <w:tc>
          <w:tcPr>
            <w:vAlign w:val="top"/>
            <w:tcMar>
              <w:top w:w="70" w:type="dxa"/>
              <w:start w:w="80" w:type="dxa"/>
              <w:bottom w:w="70" w:type="dxa"/>
              <w:end w:w="80" w:type="dxa"/>
            </w:tcMar>
            <w:shd w:fill="D9EAF7"/>
          </w:tcPr>
          <w:p>
            <w:pPr>
              <w:pStyle w:val="Compact"/>
              <w:jc w:val="left"/>
            </w:pPr>
            <w:r>
              <w:rPr>
                <w:rFonts w:ascii="Arial" w:hAnsi="Arial" w:eastAsia="Arial"/>
                <w:sz w:val="16"/>
              </w:rPr>
              <w:t>Right index</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k</w:t>
            </w:r>
          </w:p>
        </w:tc>
        <w:tc>
          <w:tcPr>
            <w:vAlign w:val="top"/>
            <w:tcMar>
              <w:top w:w="70" w:type="dxa"/>
              <w:start w:w="80" w:type="dxa"/>
              <w:bottom w:w="70" w:type="dxa"/>
              <w:end w:w="80" w:type="dxa"/>
            </w:tcMar>
            <w:shd w:fill="FFFFFF"/>
          </w:tcPr>
          <w:p>
            <w:pPr>
              <w:pStyle w:val="Compact"/>
              <w:jc w:val="left"/>
            </w:pPr>
            <w:r>
              <w:rPr>
                <w:rFonts w:ascii="Arial" w:hAnsi="Arial" w:eastAsia="Arial"/>
                <w:sz w:val="16"/>
              </w:rPr>
              <w:t>Impact instance index</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g ∈ G_{u,d}</w:t>
            </w:r>
          </w:p>
        </w:tc>
        <w:tc>
          <w:tcPr>
            <w:vAlign w:val="top"/>
            <w:tcMar>
              <w:top w:w="70" w:type="dxa"/>
              <w:start w:w="80" w:type="dxa"/>
              <w:bottom w:w="70" w:type="dxa"/>
              <w:end w:w="80" w:type="dxa"/>
            </w:tcMar>
            <w:shd w:fill="D9EAF7"/>
          </w:tcPr>
          <w:p>
            <w:pPr>
              <w:pStyle w:val="Compact"/>
              <w:jc w:val="left"/>
            </w:pPr>
            <w:r>
              <w:rPr>
                <w:rFonts w:ascii="Arial" w:hAnsi="Arial" w:eastAsia="Arial"/>
                <w:sz w:val="16"/>
              </w:rPr>
              <w:t>Protected subgroup index (for rights checking)</w:t>
            </w:r>
          </w:p>
        </w:tc>
      </w:tr>
    </w:tbl>
    <w:p>
      <w:pPr>
        <w:pStyle w:val="BodyText"/>
      </w:pPr>
      <w:r>
        <w:t>Table 0-2. Core sets</w:t>
      </w:r>
    </w:p>
    <w:tbl>
      <w:tblPr>
        <w:tblStyle w:val="Table"/>
        <w:tblW w:type="auto" w:w="0"/>
        <w:jc w:val="center"/>
        <w:tblLook w:firstRow="1" w:lastRow="0" w:firstColumn="0" w:lastColumn="0" w:noHBand="0" w:noVBand="0" w:val="0020"/>
      </w:tblPr>
      <w:tblGrid>
        <w:gridCol w:w="3960"/>
        <w:gridCol w:w="3960"/>
      </w:tblGrid>
      <w:tr>
        <w:trPr>
          <w:tblHeader w:val="on"/>
          <w:tblHeader w:val="true"/>
          <w:cantSplit/>
        </w:trPr>
        <w:tc>
          <w:tcPr>
            <w:vAlign w:val="top"/>
            <w:tcMar>
              <w:top w:w="70" w:type="dxa"/>
              <w:start w:w="80" w:type="dxa"/>
              <w:bottom w:w="70" w:type="dxa"/>
              <w:end w:w="80" w:type="dxa"/>
            </w:tcMar>
            <w:shd w:fill="1F4E78"/>
          </w:tcPr>
          <w:p>
            <w:pPr>
              <w:pStyle w:val="Compact"/>
              <w:jc w:val="left"/>
            </w:pPr>
            <w:r>
              <w:rPr>
                <w:rFonts w:ascii="Arial" w:hAnsi="Arial" w:eastAsia="Arial"/>
                <w:b/>
                <w:bCs/>
                <w:color w:val="FFFFFF"/>
                <w:sz w:val="16"/>
              </w:rPr>
              <w:t>Set</w:t>
            </w:r>
          </w:p>
        </w:tc>
        <w:tc>
          <w:tcPr>
            <w:vAlign w:val="top"/>
            <w:tcMar>
              <w:top w:w="70" w:type="dxa"/>
              <w:start w:w="80" w:type="dxa"/>
              <w:bottom w:w="70" w:type="dxa"/>
              <w:end w:w="80" w:type="dxa"/>
            </w:tcMar>
            <w:shd w:fill="1F4E78"/>
          </w:tcPr>
          <w:p>
            <w:pPr>
              <w:pStyle w:val="Compact"/>
              <w:jc w:val="left"/>
            </w:pPr>
            <w:r>
              <w:rPr>
                <w:rFonts w:ascii="Arial" w:hAnsi="Arial" w:eastAsia="Arial"/>
                <w:b/>
                <w:bCs/>
                <w:color w:val="FFFFFF"/>
                <w:sz w:val="16"/>
              </w:rPr>
              <w:t>Definition</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U = {U₁,…,U₇}</w:t>
            </w:r>
          </w:p>
        </w:tc>
        <w:tc>
          <w:tcPr>
            <w:vAlign w:val="top"/>
            <w:tcMar>
              <w:top w:w="70" w:type="dxa"/>
              <w:start w:w="80" w:type="dxa"/>
              <w:bottom w:w="70" w:type="dxa"/>
              <w:end w:w="80" w:type="dxa"/>
            </w:tcMar>
            <w:shd w:fill="D9EAF7"/>
          </w:tcPr>
          <w:p>
            <w:pPr>
              <w:pStyle w:val="Compact"/>
              <w:jc w:val="left"/>
            </w:pPr>
            <w:r>
              <w:rPr>
                <w:rFonts w:ascii="Arial" w:hAnsi="Arial" w:eastAsia="Arial"/>
                <w:sz w:val="16"/>
              </w:rPr>
              <w:t>Operational Scopes</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D = {D₁,…,D₇}</w:t>
            </w:r>
          </w:p>
        </w:tc>
        <w:tc>
          <w:tcPr>
            <w:vAlign w:val="top"/>
            <w:tcMar>
              <w:top w:w="70" w:type="dxa"/>
              <w:start w:w="80" w:type="dxa"/>
              <w:bottom w:w="70" w:type="dxa"/>
              <w:end w:w="80" w:type="dxa"/>
            </w:tcMar>
            <w:shd w:fill="FFFFFF"/>
          </w:tcPr>
          <w:p>
            <w:pPr>
              <w:pStyle w:val="Compact"/>
              <w:jc w:val="left"/>
            </w:pPr>
            <w:r>
              <w:rPr>
                <w:rFonts w:ascii="Arial" w:hAnsi="Arial" w:eastAsia="Arial"/>
                <w:sz w:val="16"/>
              </w:rPr>
              <w:t>Welfare dimensions</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R</w:t>
            </w:r>
          </w:p>
        </w:tc>
        <w:tc>
          <w:tcPr>
            <w:vAlign w:val="top"/>
            <w:tcMar>
              <w:top w:w="70" w:type="dxa"/>
              <w:start w:w="80" w:type="dxa"/>
              <w:bottom w:w="70" w:type="dxa"/>
              <w:end w:w="80" w:type="dxa"/>
            </w:tcMar>
            <w:shd w:fill="D9EAF7"/>
          </w:tcPr>
          <w:p>
            <w:pPr>
              <w:pStyle w:val="Compact"/>
              <w:jc w:val="left"/>
            </w:pPr>
            <w:r>
              <w:rPr>
                <w:rFonts w:ascii="Arial" w:hAnsi="Arial" w:eastAsia="Arial"/>
                <w:sz w:val="16"/>
              </w:rPr>
              <w:t>Rights set: {LIFE, BODY, LBTY, NEED, DIGN, PROC, INFO, ECOL}</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C_r ⊆ U×D</w:t>
            </w:r>
          </w:p>
        </w:tc>
        <w:tc>
          <w:tcPr>
            <w:vAlign w:val="top"/>
            <w:tcMar>
              <w:top w:w="70" w:type="dxa"/>
              <w:start w:w="80" w:type="dxa"/>
              <w:bottom w:w="70" w:type="dxa"/>
              <w:end w:w="80" w:type="dxa"/>
            </w:tcMar>
            <w:shd w:fill="FFFFFF"/>
          </w:tcPr>
          <w:p>
            <w:pPr>
              <w:pStyle w:val="Compact"/>
              <w:jc w:val="left"/>
            </w:pPr>
            <w:r>
              <w:rPr>
                <w:rFonts w:ascii="Arial" w:hAnsi="Arial" w:eastAsia="Arial"/>
                <w:sz w:val="16"/>
              </w:rPr>
              <w:t>Rights coverage sets</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C_cat ⊆ U×D</w:t>
            </w:r>
          </w:p>
        </w:tc>
        <w:tc>
          <w:tcPr>
            <w:vAlign w:val="top"/>
            <w:tcMar>
              <w:top w:w="70" w:type="dxa"/>
              <w:start w:w="80" w:type="dxa"/>
              <w:bottom w:w="70" w:type="dxa"/>
              <w:end w:w="80" w:type="dxa"/>
            </w:tcMar>
            <w:shd w:fill="D9EAF7"/>
          </w:tcPr>
          <w:p>
            <w:pPr>
              <w:pStyle w:val="Compact"/>
              <w:jc w:val="left"/>
            </w:pPr>
            <w:r>
              <w:rPr>
                <w:rFonts w:ascii="Arial" w:hAnsi="Arial" w:eastAsia="Arial"/>
                <w:sz w:val="16"/>
              </w:rPr>
              <w:t>Catastrophe cell set for TRC</w:t>
            </w:r>
          </w:p>
        </w:tc>
      </w:tr>
    </w:tbl>
    <w:p>
      <w:pPr>
        <w:pStyle w:val="BodyText"/>
      </w:pPr>
      <w:r>
        <w:t>Table 0-3. Welfare impact objects (all options a)</w:t>
      </w:r>
    </w:p>
    <w:tbl>
      <w:tblPr>
        <w:tblStyle w:val="Table"/>
        <w:tblW w:type="auto" w:w="0"/>
        <w:jc w:val="center"/>
        <w:tblLook w:firstRow="1" w:lastRow="0" w:firstColumn="0" w:lastColumn="0" w:noHBand="0" w:noVBand="0" w:val="0020"/>
      </w:tblPr>
      <w:tblGrid>
        <w:gridCol w:w="2640"/>
        <w:gridCol w:w="2640"/>
        <w:gridCol w:w="2640"/>
      </w:tblGrid>
      <w:tr>
        <w:trPr>
          <w:tblHeader w:val="on"/>
          <w:tblHeader w:val="true"/>
          <w:cantSplit/>
        </w:trPr>
        <w:tc>
          <w:tcPr>
            <w:vAlign w:val="top"/>
            <w:tcMar>
              <w:top w:w="70" w:type="dxa"/>
              <w:start w:w="80" w:type="dxa"/>
              <w:bottom w:w="70" w:type="dxa"/>
              <w:end w:w="80" w:type="dxa"/>
            </w:tcMar>
            <w:shd w:fill="1F4E78"/>
          </w:tcPr>
          <w:p>
            <w:pPr>
              <w:pStyle w:val="Compact"/>
              <w:jc w:val="left"/>
            </w:pPr>
            <w:r>
              <w:rPr>
                <w:rFonts w:ascii="Arial" w:hAnsi="Arial" w:eastAsia="Arial"/>
                <w:b/>
                <w:bCs/>
                <w:color w:val="FFFFFF"/>
                <w:sz w:val="16"/>
              </w:rPr>
              <w:t>Symbol</w:t>
            </w:r>
          </w:p>
        </w:tc>
        <w:tc>
          <w:tcPr>
            <w:vAlign w:val="top"/>
            <w:tcMar>
              <w:top w:w="70" w:type="dxa"/>
              <w:start w:w="80" w:type="dxa"/>
              <w:bottom w:w="70" w:type="dxa"/>
              <w:end w:w="80" w:type="dxa"/>
            </w:tcMar>
            <w:shd w:fill="1F4E78"/>
          </w:tcPr>
          <w:p>
            <w:pPr>
              <w:pStyle w:val="Compact"/>
              <w:jc w:val="left"/>
            </w:pPr>
            <w:r>
              <w:rPr>
                <w:rFonts w:ascii="Arial" w:hAnsi="Arial" w:eastAsia="Arial"/>
                <w:b/>
                <w:bCs/>
                <w:color w:val="FFFFFF"/>
                <w:sz w:val="16"/>
              </w:rPr>
              <w:t>Meaning</w:t>
            </w:r>
          </w:p>
        </w:tc>
        <w:tc>
          <w:tcPr>
            <w:vAlign w:val="top"/>
            <w:tcMar>
              <w:top w:w="70" w:type="dxa"/>
              <w:start w:w="80" w:type="dxa"/>
              <w:bottom w:w="70" w:type="dxa"/>
              <w:end w:w="80" w:type="dxa"/>
            </w:tcMar>
            <w:shd w:fill="1F4E78"/>
          </w:tcPr>
          <w:p>
            <w:pPr>
              <w:pStyle w:val="Compact"/>
              <w:jc w:val="left"/>
            </w:pPr>
            <w:r>
              <w:rPr>
                <w:rFonts w:ascii="Arial" w:hAnsi="Arial" w:eastAsia="Arial"/>
                <w:b/>
                <w:bCs/>
                <w:color w:val="FFFFFF"/>
                <w:sz w:val="16"/>
              </w:rPr>
              <w:t>Range</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I_dir(u,d,a)</w:t>
            </w:r>
          </w:p>
        </w:tc>
        <w:tc>
          <w:tcPr>
            <w:vAlign w:val="top"/>
            <w:tcMar>
              <w:top w:w="70" w:type="dxa"/>
              <w:start w:w="80" w:type="dxa"/>
              <w:bottom w:w="70" w:type="dxa"/>
              <w:end w:w="80" w:type="dxa"/>
            </w:tcMar>
            <w:shd w:fill="D9EAF7"/>
          </w:tcPr>
          <w:p>
            <w:pPr>
              <w:pStyle w:val="Compact"/>
              <w:jc w:val="left"/>
            </w:pPr>
            <w:r>
              <w:rPr>
                <w:rFonts w:ascii="Arial" w:hAnsi="Arial" w:eastAsia="Arial"/>
                <w:sz w:val="16"/>
              </w:rPr>
              <w:t>Direct impact (post-saturation)</w:t>
            </w:r>
          </w:p>
        </w:tc>
        <w:tc>
          <w:tcPr>
            <w:vAlign w:val="top"/>
            <w:tcMar>
              <w:top w:w="70" w:type="dxa"/>
              <w:start w:w="80" w:type="dxa"/>
              <w:bottom w:w="70" w:type="dxa"/>
              <w:end w:w="80" w:type="dxa"/>
            </w:tcMar>
            <w:shd w:fill="D9EAF7"/>
          </w:tcPr>
          <w:p>
            <w:pPr>
              <w:pStyle w:val="Compact"/>
              <w:jc w:val="left"/>
            </w:pPr>
            <w:r>
              <w:rPr>
                <w:rFonts w:ascii="Arial" w:hAnsi="Arial" w:eastAsia="Arial"/>
                <w:sz w:val="16"/>
              </w:rPr>
              <w:t>[-1,+1]</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I_prop(u,d,a)</w:t>
            </w:r>
          </w:p>
        </w:tc>
        <w:tc>
          <w:tcPr>
            <w:vAlign w:val="top"/>
            <w:tcMar>
              <w:top w:w="70" w:type="dxa"/>
              <w:start w:w="80" w:type="dxa"/>
              <w:bottom w:w="70" w:type="dxa"/>
              <w:end w:w="80" w:type="dxa"/>
            </w:tcMar>
            <w:shd w:fill="FFFFFF"/>
          </w:tcPr>
          <w:p>
            <w:pPr>
              <w:pStyle w:val="Compact"/>
              <w:jc w:val="left"/>
            </w:pPr>
            <w:r>
              <w:rPr>
                <w:rFonts w:ascii="Arial" w:hAnsi="Arial" w:eastAsia="Arial"/>
                <w:sz w:val="16"/>
              </w:rPr>
              <w:t>Propagated impact (post-saturation)</w:t>
            </w:r>
          </w:p>
        </w:tc>
        <w:tc>
          <w:tcPr>
            <w:vAlign w:val="top"/>
            <w:tcMar>
              <w:top w:w="70" w:type="dxa"/>
              <w:start w:w="80" w:type="dxa"/>
              <w:bottom w:w="70" w:type="dxa"/>
              <w:end w:w="80" w:type="dxa"/>
            </w:tcMar>
            <w:shd w:fill="FFFFFF"/>
          </w:tcPr>
          <w:p>
            <w:pPr>
              <w:pStyle w:val="Compact"/>
              <w:jc w:val="left"/>
            </w:pPr>
            <w:r>
              <w:rPr>
                <w:rFonts w:ascii="Arial" w:hAnsi="Arial" w:eastAsia="Arial"/>
                <w:sz w:val="16"/>
              </w:rPr>
              <w:t>[-1,+1]</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I_rights(u,d,a)</w:t>
            </w:r>
          </w:p>
        </w:tc>
        <w:tc>
          <w:tcPr>
            <w:vAlign w:val="top"/>
            <w:tcMar>
              <w:top w:w="70" w:type="dxa"/>
              <w:start w:w="80" w:type="dxa"/>
              <w:bottom w:w="70" w:type="dxa"/>
              <w:end w:w="80" w:type="dxa"/>
            </w:tcMar>
            <w:shd w:fill="D9EAF7"/>
          </w:tcPr>
          <w:p>
            <w:pPr>
              <w:pStyle w:val="Compact"/>
              <w:jc w:val="left"/>
            </w:pPr>
            <w:r>
              <w:rPr>
                <w:rFonts w:ascii="Arial" w:hAnsi="Arial" w:eastAsia="Arial"/>
                <w:sz w:val="16"/>
              </w:rPr>
              <w:t>Rights worst-off subgroup impact</w:t>
            </w:r>
          </w:p>
        </w:tc>
        <w:tc>
          <w:tcPr>
            <w:vAlign w:val="top"/>
            <w:tcMar>
              <w:top w:w="70" w:type="dxa"/>
              <w:start w:w="80" w:type="dxa"/>
              <w:bottom w:w="70" w:type="dxa"/>
              <w:end w:w="80" w:type="dxa"/>
            </w:tcMar>
            <w:shd w:fill="D9EAF7"/>
          </w:tcPr>
          <w:p>
            <w:pPr>
              <w:pStyle w:val="Compact"/>
              <w:jc w:val="left"/>
            </w:pPr>
            <w:r>
              <w:rPr>
                <w:rFonts w:ascii="Arial" w:hAnsi="Arial" w:eastAsia="Arial"/>
                <w:sz w:val="16"/>
              </w:rPr>
              <w:t>[-1,+1]</w:t>
            </w:r>
          </w:p>
        </w:tc>
      </w:tr>
    </w:tbl>
    <w:p>
      <w:pPr>
        <w:pStyle w:val="BodyText"/>
      </w:pPr>
      <w:r>
        <w:t>Table 0-4. Kernel, weights, and tail-risk symbols</w:t>
      </w:r>
    </w:p>
    <w:tbl>
      <w:tblPr>
        <w:tblStyle w:val="Table"/>
        <w:tblW w:type="auto" w:w="0"/>
        <w:jc w:val="center"/>
        <w:tblLook w:firstRow="1" w:lastRow="0" w:firstColumn="0" w:lastColumn="0" w:noHBand="0" w:noVBand="0" w:val="0020"/>
      </w:tblPr>
      <w:tblGrid>
        <w:gridCol w:w="2640"/>
        <w:gridCol w:w="2640"/>
        <w:gridCol w:w="2640"/>
      </w:tblGrid>
      <w:tr>
        <w:trPr>
          <w:tblHeader w:val="on"/>
          <w:tblHeader w:val="true"/>
          <w:cantSplit/>
        </w:trPr>
        <w:tc>
          <w:tcPr>
            <w:vAlign w:val="top"/>
            <w:tcMar>
              <w:top w:w="70" w:type="dxa"/>
              <w:start w:w="80" w:type="dxa"/>
              <w:bottom w:w="70" w:type="dxa"/>
              <w:end w:w="80" w:type="dxa"/>
            </w:tcMar>
            <w:shd w:fill="1F4E78"/>
          </w:tcPr>
          <w:p>
            <w:pPr>
              <w:pStyle w:val="Compact"/>
              <w:jc w:val="left"/>
            </w:pPr>
            <w:r>
              <w:rPr>
                <w:rFonts w:ascii="Arial" w:hAnsi="Arial" w:eastAsia="Arial"/>
                <w:b/>
                <w:bCs/>
                <w:color w:val="FFFFFF"/>
                <w:sz w:val="16"/>
              </w:rPr>
              <w:t>Symbol</w:t>
            </w:r>
          </w:p>
        </w:tc>
        <w:tc>
          <w:tcPr>
            <w:vAlign w:val="top"/>
            <w:tcMar>
              <w:top w:w="70" w:type="dxa"/>
              <w:start w:w="80" w:type="dxa"/>
              <w:bottom w:w="70" w:type="dxa"/>
              <w:end w:w="80" w:type="dxa"/>
            </w:tcMar>
            <w:shd w:fill="1F4E78"/>
          </w:tcPr>
          <w:p>
            <w:pPr>
              <w:pStyle w:val="Compact"/>
              <w:jc w:val="left"/>
            </w:pPr>
            <w:r>
              <w:rPr>
                <w:rFonts w:ascii="Arial" w:hAnsi="Arial" w:eastAsia="Arial"/>
                <w:b/>
                <w:bCs/>
                <w:color w:val="FFFFFF"/>
                <w:sz w:val="16"/>
              </w:rPr>
              <w:t>Meaning</w:t>
            </w:r>
          </w:p>
        </w:tc>
        <w:tc>
          <w:tcPr>
            <w:vAlign w:val="top"/>
            <w:tcMar>
              <w:top w:w="70" w:type="dxa"/>
              <w:start w:w="80" w:type="dxa"/>
              <w:bottom w:w="70" w:type="dxa"/>
              <w:end w:w="80" w:type="dxa"/>
            </w:tcMar>
            <w:shd w:fill="1F4E78"/>
          </w:tcPr>
          <w:p>
            <w:pPr>
              <w:pStyle w:val="Compact"/>
              <w:jc w:val="left"/>
            </w:pPr>
            <w:r>
              <w:rPr>
                <w:rFonts w:ascii="Arial" w:hAnsi="Arial" w:eastAsia="Arial"/>
                <w:b/>
                <w:bCs/>
                <w:color w:val="FFFFFF"/>
                <w:sz w:val="16"/>
              </w:rPr>
              <w:t>Constraint / Notes</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K ∈ ℝ^{49×49}</w:t>
            </w:r>
          </w:p>
        </w:tc>
        <w:tc>
          <w:tcPr>
            <w:vAlign w:val="top"/>
            <w:tcMar>
              <w:top w:w="70" w:type="dxa"/>
              <w:start w:w="80" w:type="dxa"/>
              <w:bottom w:w="70" w:type="dxa"/>
              <w:end w:w="80" w:type="dxa"/>
            </w:tcMar>
            <w:shd w:fill="D9EAF7"/>
          </w:tcPr>
          <w:p>
            <w:pPr>
              <w:pStyle w:val="Compact"/>
              <w:jc w:val="left"/>
            </w:pPr>
            <w:r>
              <w:rPr>
                <w:rFonts w:ascii="Arial" w:hAnsi="Arial" w:eastAsia="Arial"/>
                <w:sz w:val="16"/>
              </w:rPr>
              <w:t>Ripple kernel matrix (sparse)</w:t>
            </w:r>
          </w:p>
        </w:tc>
        <w:tc>
          <w:tcPr>
            <w:vAlign w:val="top"/>
            <w:tcMar>
              <w:top w:w="70" w:type="dxa"/>
              <w:start w:w="80" w:type="dxa"/>
              <w:bottom w:w="70" w:type="dxa"/>
              <w:end w:w="80" w:type="dxa"/>
            </w:tcMar>
            <w:shd w:fill="D9EAF7"/>
          </w:tcPr>
          <w:p>
            <w:pPr>
              <w:pStyle w:val="Compact"/>
              <w:jc w:val="left"/>
            </w:pPr>
            <w:r>
              <w:rPr>
                <w:rFonts w:ascii="Arial" w:hAnsi="Arial" w:eastAsia="Arial"/>
                <w:sz w:val="16"/>
              </w:rPr>
              <w:t>Convention: K_{ij} maps source j to target i (target-row, source-column)</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w_u</w:t>
            </w:r>
          </w:p>
        </w:tc>
        <w:tc>
          <w:tcPr>
            <w:vAlign w:val="top"/>
            <w:tcMar>
              <w:top w:w="70" w:type="dxa"/>
              <w:start w:w="80" w:type="dxa"/>
              <w:bottom w:w="70" w:type="dxa"/>
              <w:end w:w="80" w:type="dxa"/>
            </w:tcMar>
            <w:shd w:fill="FFFFFF"/>
          </w:tcPr>
          <w:p>
            <w:pPr>
              <w:pStyle w:val="Compact"/>
              <w:jc w:val="left"/>
            </w:pPr>
            <w:r>
              <w:rPr>
                <w:rFonts w:ascii="Arial" w:hAnsi="Arial" w:eastAsia="Arial"/>
                <w:sz w:val="16"/>
              </w:rPr>
              <w:t>Union weights</w:t>
            </w:r>
          </w:p>
        </w:tc>
        <w:tc>
          <w:tcPr>
            <w:vAlign w:val="top"/>
            <w:tcMar>
              <w:top w:w="70" w:type="dxa"/>
              <w:start w:w="80" w:type="dxa"/>
              <w:bottom w:w="70" w:type="dxa"/>
              <w:end w:w="80" w:type="dxa"/>
            </w:tcMar>
            <w:shd w:fill="FFFFFF"/>
          </w:tcPr>
          <w:p>
            <w:pPr>
              <w:pStyle w:val="Compact"/>
              <w:jc w:val="left"/>
            </w:pPr>
            <w:r>
              <w:rPr>
                <w:rFonts w:ascii="Arial" w:hAnsi="Arial" w:eastAsia="Arial"/>
                <w:sz w:val="16"/>
              </w:rPr>
              <w:t>w_u ≥ 0, Σ_u w_u = 1</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v_d</w:t>
            </w:r>
          </w:p>
        </w:tc>
        <w:tc>
          <w:tcPr>
            <w:vAlign w:val="top"/>
            <w:tcMar>
              <w:top w:w="70" w:type="dxa"/>
              <w:start w:w="80" w:type="dxa"/>
              <w:bottom w:w="70" w:type="dxa"/>
              <w:end w:w="80" w:type="dxa"/>
            </w:tcMar>
            <w:shd w:fill="D9EAF7"/>
          </w:tcPr>
          <w:p>
            <w:pPr>
              <w:pStyle w:val="Compact"/>
              <w:jc w:val="left"/>
            </w:pPr>
            <w:r>
              <w:rPr>
                <w:rFonts w:ascii="Arial" w:hAnsi="Arial" w:eastAsia="Arial"/>
                <w:sz w:val="16"/>
              </w:rPr>
              <w:t>Dimension weights</w:t>
            </w:r>
          </w:p>
        </w:tc>
        <w:tc>
          <w:tcPr>
            <w:vAlign w:val="top"/>
            <w:tcMar>
              <w:top w:w="70" w:type="dxa"/>
              <w:start w:w="80" w:type="dxa"/>
              <w:bottom w:w="70" w:type="dxa"/>
              <w:end w:w="80" w:type="dxa"/>
            </w:tcMar>
            <w:shd w:fill="D9EAF7"/>
          </w:tcPr>
          <w:p>
            <w:pPr>
              <w:pStyle w:val="Compact"/>
              <w:jc w:val="left"/>
            </w:pPr>
            <w:r>
              <w:rPr>
                <w:rFonts w:ascii="Arial" w:hAnsi="Arial" w:eastAsia="Arial"/>
                <w:sz w:val="16"/>
              </w:rPr>
              <w:t>v_d ≥ 0, Σ_d v_d = 1</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m(u,d)</w:t>
            </w:r>
          </w:p>
        </w:tc>
        <w:tc>
          <w:tcPr>
            <w:vAlign w:val="top"/>
            <w:tcMar>
              <w:top w:w="70" w:type="dxa"/>
              <w:start w:w="80" w:type="dxa"/>
              <w:bottom w:w="70" w:type="dxa"/>
              <w:end w:w="80" w:type="dxa"/>
            </w:tcMar>
            <w:shd w:fill="FFFFFF"/>
          </w:tcPr>
          <w:p>
            <w:pPr>
              <w:pStyle w:val="Compact"/>
              <w:jc w:val="left"/>
            </w:pPr>
            <w:r>
              <w:rPr>
                <w:rFonts w:ascii="Arial" w:hAnsi="Arial" w:eastAsia="Arial"/>
                <w:sz w:val="16"/>
              </w:rPr>
              <w:t>Applicability mask</w:t>
            </w:r>
          </w:p>
        </w:tc>
        <w:tc>
          <w:tcPr>
            <w:vAlign w:val="top"/>
            <w:tcMar>
              <w:top w:w="70" w:type="dxa"/>
              <w:start w:w="80" w:type="dxa"/>
              <w:bottom w:w="70" w:type="dxa"/>
              <w:end w:w="80" w:type="dxa"/>
            </w:tcMar>
            <w:shd w:fill="FFFFFF"/>
          </w:tcPr>
          <w:p>
            <w:pPr>
              <w:pStyle w:val="Compact"/>
              <w:jc w:val="left"/>
            </w:pPr>
            <w:r>
              <w:rPr>
                <w:rFonts w:ascii="Arial" w:hAnsi="Arial" w:eastAsia="Arial"/>
                <w:sz w:val="16"/>
              </w:rPr>
              <w:t>m ∈ {0,1} (RLS aggregation only)</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p_s</w:t>
            </w:r>
          </w:p>
        </w:tc>
        <w:tc>
          <w:tcPr>
            <w:vAlign w:val="top"/>
            <w:tcMar>
              <w:top w:w="70" w:type="dxa"/>
              <w:start w:w="80" w:type="dxa"/>
              <w:bottom w:w="70" w:type="dxa"/>
              <w:end w:w="80" w:type="dxa"/>
            </w:tcMar>
            <w:shd w:fill="D9EAF7"/>
          </w:tcPr>
          <w:p>
            <w:pPr>
              <w:pStyle w:val="Compact"/>
              <w:jc w:val="left"/>
            </w:pPr>
            <w:r>
              <w:rPr>
                <w:rFonts w:ascii="Arial" w:hAnsi="Arial" w:eastAsia="Arial"/>
                <w:sz w:val="16"/>
              </w:rPr>
              <w:t>Scenario probabilities</w:t>
            </w:r>
          </w:p>
        </w:tc>
        <w:tc>
          <w:tcPr>
            <w:vAlign w:val="top"/>
            <w:tcMar>
              <w:top w:w="70" w:type="dxa"/>
              <w:start w:w="80" w:type="dxa"/>
              <w:bottom w:w="70" w:type="dxa"/>
              <w:end w:w="80" w:type="dxa"/>
            </w:tcMar>
            <w:shd w:fill="D9EAF7"/>
          </w:tcPr>
          <w:p>
            <w:pPr>
              <w:pStyle w:val="Compact"/>
              <w:jc w:val="left"/>
            </w:pPr>
            <w:r>
              <w:rPr>
                <w:rFonts w:ascii="Arial" w:hAnsi="Arial" w:eastAsia="Arial"/>
                <w:sz w:val="16"/>
              </w:rPr>
              <w:t>p_s ≥ 0, Σ_s p_s = 1</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ω_c</w:t>
            </w:r>
          </w:p>
        </w:tc>
        <w:tc>
          <w:tcPr>
            <w:vAlign w:val="top"/>
            <w:tcMar>
              <w:top w:w="70" w:type="dxa"/>
              <w:start w:w="80" w:type="dxa"/>
              <w:bottom w:w="70" w:type="dxa"/>
              <w:end w:w="80" w:type="dxa"/>
            </w:tcMar>
            <w:shd w:fill="FFFFFF"/>
          </w:tcPr>
          <w:p>
            <w:pPr>
              <w:pStyle w:val="Compact"/>
              <w:jc w:val="left"/>
            </w:pPr>
            <w:r>
              <w:rPr>
                <w:rFonts w:ascii="Arial" w:hAnsi="Arial" w:eastAsia="Arial"/>
                <w:sz w:val="16"/>
              </w:rPr>
              <w:t>Catastrophe weights</w:t>
            </w:r>
          </w:p>
        </w:tc>
        <w:tc>
          <w:tcPr>
            <w:vAlign w:val="top"/>
            <w:tcMar>
              <w:top w:w="70" w:type="dxa"/>
              <w:start w:w="80" w:type="dxa"/>
              <w:bottom w:w="70" w:type="dxa"/>
              <w:end w:w="80" w:type="dxa"/>
            </w:tcMar>
            <w:shd w:fill="FFFFFF"/>
          </w:tcPr>
          <w:p>
            <w:pPr>
              <w:pStyle w:val="Compact"/>
              <w:jc w:val="left"/>
            </w:pPr>
            <w:r>
              <w:rPr>
                <w:rFonts w:ascii="Arial" w:hAnsi="Arial" w:eastAsia="Arial"/>
                <w:sz w:val="16"/>
              </w:rPr>
              <w:t>ω_c ≥ 0, Σ_{c∈C_cat} ω_c = 1</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α</w:t>
            </w:r>
          </w:p>
        </w:tc>
        <w:tc>
          <w:tcPr>
            <w:vAlign w:val="top"/>
            <w:tcMar>
              <w:top w:w="70" w:type="dxa"/>
              <w:start w:w="80" w:type="dxa"/>
              <w:bottom w:w="70" w:type="dxa"/>
              <w:end w:w="80" w:type="dxa"/>
            </w:tcMar>
            <w:shd w:fill="D9EAF7"/>
          </w:tcPr>
          <w:p>
            <w:pPr>
              <w:pStyle w:val="Compact"/>
              <w:jc w:val="left"/>
            </w:pPr>
            <w:r>
              <w:rPr>
                <w:rFonts w:ascii="Arial" w:hAnsi="Arial" w:eastAsia="Arial"/>
                <w:sz w:val="16"/>
              </w:rPr>
              <w:t>CVaR tail level</w:t>
            </w:r>
          </w:p>
        </w:tc>
        <w:tc>
          <w:tcPr>
            <w:vAlign w:val="top"/>
            <w:tcMar>
              <w:top w:w="70" w:type="dxa"/>
              <w:start w:w="80" w:type="dxa"/>
              <w:bottom w:w="70" w:type="dxa"/>
              <w:end w:w="80" w:type="dxa"/>
            </w:tcMar>
            <w:shd w:fill="D9EAF7"/>
          </w:tcPr>
          <w:p>
            <w:pPr>
              <w:pStyle w:val="Compact"/>
              <w:jc w:val="left"/>
            </w:pPr>
            <w:r>
              <w:rPr>
                <w:rFonts w:ascii="Arial" w:hAnsi="Arial" w:eastAsia="Arial"/>
                <w:sz w:val="16"/>
              </w:rPr>
              <w:t>α ∈ (0,1)</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τ_TRC</w:t>
            </w:r>
          </w:p>
        </w:tc>
        <w:tc>
          <w:tcPr>
            <w:vAlign w:val="top"/>
            <w:tcMar>
              <w:top w:w="70" w:type="dxa"/>
              <w:start w:w="80" w:type="dxa"/>
              <w:bottom w:w="70" w:type="dxa"/>
              <w:end w:w="80" w:type="dxa"/>
            </w:tcMar>
            <w:shd w:fill="FFFFFF"/>
          </w:tcPr>
          <w:p>
            <w:pPr>
              <w:pStyle w:val="Compact"/>
              <w:jc w:val="left"/>
            </w:pPr>
            <w:r>
              <w:rPr>
                <w:rFonts w:ascii="Arial" w:hAnsi="Arial" w:eastAsia="Arial"/>
                <w:sz w:val="16"/>
              </w:rPr>
              <w:t>Corridor threshold</w:t>
            </w:r>
          </w:p>
        </w:tc>
        <w:tc>
          <w:tcPr>
            <w:vAlign w:val="top"/>
            <w:tcMar>
              <w:top w:w="70" w:type="dxa"/>
              <w:start w:w="80" w:type="dxa"/>
              <w:bottom w:w="70" w:type="dxa"/>
              <w:end w:w="80" w:type="dxa"/>
            </w:tcMar>
            <w:shd w:fill="FFFFFF"/>
          </w:tcPr>
          <w:p>
            <w:pPr>
              <w:pStyle w:val="Compact"/>
              <w:jc w:val="left"/>
            </w:pPr>
            <w:r>
              <w:rPr>
                <w:rFonts w:ascii="Arial" w:hAnsi="Arial" w:eastAsia="Arial"/>
                <w:sz w:val="16"/>
              </w:rPr>
              <w:t>τ_TRC ∈ (0,1]</w:t>
            </w:r>
          </w:p>
        </w:tc>
      </w:tr>
    </w:tbl>
    <w:p>
      <w:pPr>
        <w:pStyle w:val="BodyText"/>
      </w:pPr>
      <w:r>
        <w:t>Table 0-5. Structural metrics</w:t>
      </w:r>
    </w:p>
    <w:tbl>
      <w:tblPr>
        <w:tblStyle w:val="Table"/>
        <w:tblW w:type="auto" w:w="0"/>
        <w:jc w:val="center"/>
        <w:tblLook w:firstRow="1" w:lastRow="0" w:firstColumn="0" w:lastColumn="0" w:noHBand="0" w:noVBand="0" w:val="0020"/>
      </w:tblPr>
      <w:tblGrid>
        <w:gridCol w:w="2640"/>
        <w:gridCol w:w="2640"/>
        <w:gridCol w:w="2640"/>
      </w:tblGrid>
      <w:tr>
        <w:trPr>
          <w:tblHeader w:val="on"/>
          <w:tblHeader w:val="true"/>
          <w:cantSplit/>
        </w:trPr>
        <w:tc>
          <w:tcPr>
            <w:vAlign w:val="top"/>
            <w:tcMar>
              <w:top w:w="70" w:type="dxa"/>
              <w:start w:w="80" w:type="dxa"/>
              <w:bottom w:w="70" w:type="dxa"/>
              <w:end w:w="80" w:type="dxa"/>
            </w:tcMar>
            <w:shd w:fill="1F4E78"/>
          </w:tcPr>
          <w:p>
            <w:pPr>
              <w:pStyle w:val="Compact"/>
              <w:jc w:val="left"/>
            </w:pPr>
            <w:r>
              <w:rPr>
                <w:rFonts w:ascii="Arial" w:hAnsi="Arial" w:eastAsia="Arial"/>
                <w:b/>
                <w:bCs/>
                <w:color w:val="FFFFFF"/>
                <w:sz w:val="16"/>
              </w:rPr>
              <w:t>Symbol</w:t>
            </w:r>
          </w:p>
        </w:tc>
        <w:tc>
          <w:tcPr>
            <w:vAlign w:val="top"/>
            <w:tcMar>
              <w:top w:w="70" w:type="dxa"/>
              <w:start w:w="80" w:type="dxa"/>
              <w:bottom w:w="70" w:type="dxa"/>
              <w:end w:w="80" w:type="dxa"/>
            </w:tcMar>
            <w:shd w:fill="1F4E78"/>
          </w:tcPr>
          <w:p>
            <w:pPr>
              <w:pStyle w:val="Compact"/>
              <w:jc w:val="left"/>
            </w:pPr>
            <w:r>
              <w:rPr>
                <w:rFonts w:ascii="Arial" w:hAnsi="Arial" w:eastAsia="Arial"/>
                <w:b/>
                <w:bCs/>
                <w:color w:val="FFFFFF"/>
                <w:sz w:val="16"/>
              </w:rPr>
              <w:t>Meaning</w:t>
            </w:r>
          </w:p>
        </w:tc>
        <w:tc>
          <w:tcPr>
            <w:vAlign w:val="top"/>
            <w:tcMar>
              <w:top w:w="70" w:type="dxa"/>
              <w:start w:w="80" w:type="dxa"/>
              <w:bottom w:w="70" w:type="dxa"/>
              <w:end w:w="80" w:type="dxa"/>
            </w:tcMar>
            <w:shd w:fill="1F4E78"/>
          </w:tcPr>
          <w:p>
            <w:pPr>
              <w:pStyle w:val="Compact"/>
              <w:jc w:val="left"/>
            </w:pPr>
            <w:r>
              <w:rPr>
                <w:rFonts w:ascii="Arial" w:hAnsi="Arial" w:eastAsia="Arial"/>
                <w:b/>
                <w:bCs/>
                <w:color w:val="FFFFFF"/>
                <w:sz w:val="16"/>
              </w:rPr>
              <w:t>Range</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UCI_u</w:t>
            </w:r>
          </w:p>
        </w:tc>
        <w:tc>
          <w:tcPr>
            <w:vAlign w:val="top"/>
            <w:tcMar>
              <w:top w:w="70" w:type="dxa"/>
              <w:start w:w="80" w:type="dxa"/>
              <w:bottom w:w="70" w:type="dxa"/>
              <w:end w:w="80" w:type="dxa"/>
            </w:tcMar>
            <w:shd w:fill="D9EAF7"/>
          </w:tcPr>
          <w:p>
            <w:pPr>
              <w:pStyle w:val="Compact"/>
              <w:jc w:val="left"/>
            </w:pPr>
            <w:r>
              <w:rPr>
                <w:rFonts w:ascii="Arial" w:hAnsi="Arial" w:eastAsia="Arial"/>
                <w:sz w:val="16"/>
              </w:rPr>
              <w:t>Union Coherence Index for scope u</w:t>
            </w:r>
          </w:p>
        </w:tc>
        <w:tc>
          <w:tcPr>
            <w:vAlign w:val="top"/>
            <w:tcMar>
              <w:top w:w="70" w:type="dxa"/>
              <w:start w:w="80" w:type="dxa"/>
              <w:bottom w:w="70" w:type="dxa"/>
              <w:end w:w="80" w:type="dxa"/>
            </w:tcMar>
            <w:shd w:fill="D9EAF7"/>
          </w:tcPr>
          <w:p>
            <w:pPr>
              <w:pStyle w:val="Compact"/>
              <w:jc w:val="left"/>
            </w:pPr>
            <w:r>
              <w:rPr>
                <w:rFonts w:ascii="Arial" w:hAnsi="Arial" w:eastAsia="Arial"/>
                <w:sz w:val="16"/>
              </w:rPr>
              <w:t>[0,1]</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ΔUCI_u(a)</w:t>
            </w:r>
          </w:p>
        </w:tc>
        <w:tc>
          <w:tcPr>
            <w:vAlign w:val="top"/>
            <w:tcMar>
              <w:top w:w="70" w:type="dxa"/>
              <w:start w:w="80" w:type="dxa"/>
              <w:bottom w:w="70" w:type="dxa"/>
              <w:end w:w="80" w:type="dxa"/>
            </w:tcMar>
            <w:shd w:fill="FFFFFF"/>
          </w:tcPr>
          <w:p>
            <w:pPr>
              <w:pStyle w:val="Compact"/>
              <w:jc w:val="left"/>
            </w:pPr>
            <w:r>
              <w:rPr>
                <w:rFonts w:ascii="Arial" w:hAnsi="Arial" w:eastAsia="Arial"/>
                <w:sz w:val="16"/>
              </w:rPr>
              <w:t>UCI_u(a) − UCI_u(baseline)</w:t>
            </w:r>
          </w:p>
        </w:tc>
        <w:tc>
          <w:tcPr>
            <w:vAlign w:val="top"/>
            <w:tcMar>
              <w:top w:w="70" w:type="dxa"/>
              <w:start w:w="80" w:type="dxa"/>
              <w:bottom w:w="70" w:type="dxa"/>
              <w:end w:w="80" w:type="dxa"/>
            </w:tcMar>
            <w:shd w:fill="FFFFFF"/>
          </w:tcPr>
          <w:p>
            <w:pPr>
              <w:pStyle w:val="Compact"/>
              <w:jc w:val="left"/>
            </w:pPr>
            <w:r>
              <w:rPr>
                <w:rFonts w:ascii="Arial" w:hAnsi="Arial" w:eastAsia="Arial"/>
                <w:sz w:val="16"/>
              </w:rPr>
              <w:t>[-1,+1]</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HOI</w:t>
            </w:r>
          </w:p>
        </w:tc>
        <w:tc>
          <w:tcPr>
            <w:vAlign w:val="top"/>
            <w:tcMar>
              <w:top w:w="70" w:type="dxa"/>
              <w:start w:w="80" w:type="dxa"/>
              <w:bottom w:w="70" w:type="dxa"/>
              <w:end w:w="80" w:type="dxa"/>
            </w:tcMar>
            <w:shd w:fill="D9EAF7"/>
          </w:tcPr>
          <w:p>
            <w:pPr>
              <w:pStyle w:val="Compact"/>
              <w:jc w:val="left"/>
            </w:pPr>
            <w:r>
              <w:rPr>
                <w:rFonts w:ascii="Arial" w:hAnsi="Arial" w:eastAsia="Arial"/>
                <w:sz w:val="16"/>
              </w:rPr>
              <w:t>Hollowing-Out Index (monitoring diagnostic)</w:t>
            </w:r>
          </w:p>
        </w:tc>
        <w:tc>
          <w:tcPr>
            <w:vAlign w:val="top"/>
            <w:tcMar>
              <w:top w:w="70" w:type="dxa"/>
              <w:start w:w="80" w:type="dxa"/>
              <w:bottom w:w="70" w:type="dxa"/>
              <w:end w:w="80" w:type="dxa"/>
            </w:tcMar>
            <w:shd w:fill="D9EAF7"/>
          </w:tcPr>
          <w:p>
            <w:pPr>
              <w:pStyle w:val="Compact"/>
              <w:jc w:val="left"/>
            </w:pPr>
            <w:r>
              <w:rPr>
                <w:rFonts w:ascii="Arial" w:hAnsi="Arial" w:eastAsia="Arial"/>
                <w:sz w:val="16"/>
              </w:rPr>
              <w:t>unbounded</w:t>
            </w:r>
          </w:p>
        </w:tc>
      </w:tr>
    </w:tbl>
    <w:bookmarkEnd w:id="627"/>
    <w:bookmarkStart w:id="628" w:name="X4e1f9accacd0f083cda7d986ba582fd404bf583"/>
    <w:p>
      <w:pPr>
        <w:pStyle w:val="Heading2"/>
      </w:pPr>
      <w:r>
        <w:t>0.5 Version commitments (Normative; v12.2) The canonical welfare impact scale is [-1,+1] with Baseline-Zero Rule (Section 5). Optional UI scale conversion (non-normative): If a user interface uses a percent-like scale, map the canonical cell impact I(u,d,a) ∈ [-1,+1] to UI points via: points = 100 × I. All admissibility gates (NCRC, TRC, CSV) and RLS calculations MUST be performed on the canonical [-1,+1] scale, or be converted back exactly before computation. Tier 1-3 TRC uses bounded-impact loss (Section 8). Tier 4 is design target only; no Tier-4 claims permitted until ProofPack is publicly replayable. UCI components that are genuinely inapplicable are marked NA, excluded, and the remaining weights are renormalized. For Self (U₁), Equity is ordinarily NA unless a governed within-self equity instrument is declared. For Biosphere (U₇), Equity is ordinarily NA unless a governed ecological-distribution or ecological-justice instrument is declared. Missing evidence for an applicable component is UNKNOWN, not NA or a fixed perfect score.</w:t>
      </w:r>
    </w:p>
    <w:p>
      <w:pPr>
        <w:pStyle w:val="FirstParagraph"/>
      </w:pPr>
      <w:r>
        <w:t>Patch-line interpretation (Normative clarification). References in section headings or appendix titles to v12.0 or v12.1 are origin and lineage labels unless explicitly marked historical or superseded. Unless a rule explicitly names a different controlling version, active normative rules in this artifact apply under the v12.2 line. Same-version hardening MUST preserve the cascade architecture unless an explicit versioned change states otherwise.</w:t>
      </w:r>
    </w:p>
    <w:bookmarkEnd w:id="628"/>
    <w:bookmarkStart w:id="629" w:name="X605c0ca0a6b1b422f97cf14651ca01b328bb463"/>
    <w:p>
      <w:pPr>
        <w:pStyle w:val="Heading2"/>
      </w:pPr>
      <w:r>
        <w:t>0.6 Single Canonical Artifact Rule (Normative; v12.2)</w:t>
      </w:r>
    </w:p>
    <w:p>
      <w:pPr>
        <w:pStyle w:val="FirstParagraph"/>
      </w:pPr>
      <w:r>
        <w:t>This document is the single canonical RippleLogic Foundation Paper for v12.2. Any copy labeled “final,” “regen,” “patched,” “draft,” “fork,” or similar is non-canonical unless it is byte-identical to this artifact. Implementations, manifests, validators, ProofPacks, and downstream specifications MUST pin to the canonical artifact (filename + hash in the release manifest) and MUST NOT treat variant text as authoritative.</w:t>
      </w:r>
    </w:p>
    <w:p>
      <w:pPr>
        <w:pStyle w:val="BodyText"/>
      </w:pPr>
      <w:r>
        <w:t>Retirement clause (Normative). Any artifact labeled v12.2 that is not byte-identical to this canonical artifact is RETIRED and MUST NOT be used as a source of truth for v12.2 interpretation or a v12.2 conformance claim. Prior v12.0, v12.1, and v11.x artifacts remain lineage artifacts only.</w:t>
      </w:r>
    </w:p>
    <w:p>
      <w:pPr>
        <w:pStyle w:val="BodyText"/>
      </w:pPr>
      <w:r>
        <w:t>Integrity note (Informative). The canonical hash MUST be published in a sibling release manifest rather than embedded in the document body, because any edit changes the byte stream.</w:t>
      </w:r>
    </w:p>
    <w:p>
      <w:pPr>
        <w:pStyle w:val="BodyText"/>
      </w:pPr>
      <w:r>
        <w:t>Canonical source designation (Normative). RippleLogic_v12.3_Canon.md is the canonical repository text source for this Foundation Paper. DOCX files are synchronized human-readable publication renderings, and any PDF distributed with the release is a derived render for reading and review. The release manifest identifies the exact byte streams shipped in a release. If Markdown and DOCX/PDF text diverge, the discrepancy is a release defect and the Markdown source governs until synchronized renderings are regenerated.</w:t>
      </w:r>
    </w:p>
    <w:bookmarkEnd w:id="629"/>
    <w:bookmarkStart w:id="630" w:name="X749d4d509faba313ca6086ca9661de450e1b7a4"/>
    <w:p>
      <w:pPr>
        <w:pStyle w:val="Heading2"/>
      </w:pPr>
      <w:r>
        <w:t>0.7 License, Attribution, and Marks (Informative)</w:t>
      </w:r>
    </w:p>
    <w:p>
      <w:pPr>
        <w:pStyle w:val="FirstParagraph"/>
      </w:pPr>
      <w:r>
        <w:t>License (Informative). The v12.2 release package, including this Foundation Paper, documentation, code, schemas, templates, and test fixtures, is distributed under the Apache License 2.0 unless a future file carries an explicit SPDX exception. Attribution: cite this document by canonical filename + SHA-256 and credit James McGaughran (originator / system architect). Marks: “RippleLogic” and “MathGov” may be used to describe compatible implementations, but trademark or branding use is governed separately by the project’s published brand guidelines when available.</w:t>
      </w:r>
    </w:p>
    <w:bookmarkEnd w:id="630"/>
    <w:bookmarkStart w:id="631" w:name="X999d424caeaf3bd63b3aaeed32a407eb0f4c8b8"/>
    <w:p>
      <w:pPr>
        <w:pStyle w:val="Heading2"/>
      </w:pPr>
      <w:r>
        <w:t>0.8 Release Packaging and Integrity Manifests (Informative)</w:t>
      </w:r>
    </w:p>
    <w:p>
      <w:pPr>
        <w:pStyle w:val="FirstParagraph"/>
      </w:pPr>
      <w:r>
        <w:t>Recommended release bundle (Informative). Publish (i) the canonical DOCX/PDF, (ii) a SHA-256 manifest file (for example, RippleLogic_&lt;version&gt;.sha256) listing hashes for each artifact, (iii) a machine-readable release manifest when available (for example YAML), and (iv) optional signatures. The manifest is the stable anchor for byte identity, while the document remains human-readable and editable without self-referential hashing issues. To avoid self-reference problems, a checksum manifest SHOULD hash the release artifacts and MAY omit its own file unless a separate detached signature or higher-level release record governs it.</w:t>
      </w:r>
    </w:p>
    <w:bookmarkEnd w:id="631"/>
    <w:bookmarkEnd w:id="632"/>
    <w:bookmarkStart w:id="650" w:name="Xd32fa001e7c263f89bd9f422387ef16a55f9cbc"/>
    <w:p>
      <w:pPr>
        <w:pStyle w:val="Heading1"/>
      </w:pPr>
      <w:r>
        <w:t>APPENDIX AD: 49-CELL WELFARE DICTIONARY (CANONICAL INTERPRETIVE REFERENCE)</w:t>
      </w:r>
    </w:p>
    <w:p>
      <w:pPr>
        <w:pStyle w:val="FirstParagraph"/>
      </w:pPr>
      <w:r>
        <w:t>Tooling warning (Normative for implementation). Tooling MUST source rights coverage from Section 7.2 / Appendix C.2 and catastrophe cells from Section 8.2, never from Appendix AD icons. Appendix AD icons are interpretive cues, not machine-authoritative gate definitions.</w:t>
      </w:r>
    </w:p>
    <w:p>
      <w:pPr>
        <w:pStyle w:val="BodyText"/>
      </w:pPr>
      <w:r>
        <w:t>Status and boundaries. Appendix AD is the canonical interpretive reference for welfare-cell meanings, baseline-relative scoring language, evidence literacy, and reviewer checks. It is binding for interpreting what each Scope × Dimension cell is about. Its examples, indicator lists, and gate-relevance tags are illustrative and non-exhaustive. Appendix AD does not modify the cascade, equations, NCRC, TRC, CSV, RLS, UCI/HOI, HDW, SGP, PCC, RSP/RefStructRecord, thresholds, or claim boundaries. Gate tags are contextual cues for evaluators, not automated verdicts; admissibility is determined only by running the full cascade against declared evidence in the governed system.</w:t>
      </w:r>
    </w:p>
    <w:p>
      <w:pPr>
        <w:pStyle w:val="BodyText"/>
      </w:pPr>
      <w:r>
        <w:t>The welfare matrix is the surface RLS ranks on: seven union scopes (U1–U7) × seven welfare dimensions (D1–D7), giving forty-nine accountability domains.</w:t>
      </w:r>
    </w:p>
    <w:p>
      <w:pPr>
        <w:pStyle w:val="BodyText"/>
      </w:pPr>
      <w:r>
        <w:t>The 49-cell welfare matrix is a proposed minimal conceptual covering set for systematic welfare-impact review. It is not yet an empirically validated universal measurement ontology, and the seven dimensions are not assumed to be statistically independent. Each cell is scored on a canonical −1 to +1 scale, relative to a declared baseline. A cell score is a claim, not a vibe: it asserts what changes, for whom, how strongly, on what evidence, and under what uncertainty.</w:t>
      </w:r>
    </w:p>
    <w:p>
      <w:pPr>
        <w:pStyle w:val="BodyText"/>
      </w:pPr>
      <w:r>
        <w:t>Scale. +1 strong benefit, +0.5 moderate benefit, 0 no material change from baseline — never “unknown”, −0.5 moderate harm, −1 severe harm. Where an impact is not known, the cell is marked unknown, disclosed, and escalated where gate-relevant.</w:t>
      </w:r>
    </w:p>
    <w:p>
      <w:pPr>
        <w:pStyle w:val="BodyText"/>
      </w:pPr>
      <w:r>
        <w:t>Ordering. Welfare scoring is the last step, not the first. The cascade is sequenced as Reality Grounding → Rights Floor → TRC → CSV → RLS — and an option is ranked across these cells only after it has cleared the rights, tail-risk, and CSV gates. No welfare score rescues an option that failed an earlier gate.</w:t>
      </w:r>
    </w:p>
    <w:p>
      <w:pPr>
        <w:pStyle w:val="BodyText"/>
      </w:pPr>
      <w:r>
        <w:t>Gate-relevance key. Tags below indicate where a cell may become relevant to a gate in a real run; they are contextual cues, not fixed classifications, and do not replace a canonical evaluation. Canonical rights coverage set C_r and declared catastrophe cell set C_cat, not the icon labels alone, control non-maskability and gate status.</w:t>
      </w:r>
    </w:p>
    <w:p>
      <w:pPr>
        <w:pStyle w:val="BodyText"/>
      </w:pPr>
      <w:r>
        <w:t>⚖ Rights-relevance cue — may require NCRC review when the cell lies in the canonical or governed rights coverage set C_r, or when the PCC declares a rights-relevant extension. The canonical C_r, not this icon alone, controls rights-covered status and non-maskability.</w:t>
      </w:r>
    </w:p>
    <w:p>
      <w:pPr>
        <w:pStyle w:val="BodyText"/>
      </w:pPr>
      <w:r>
        <w:t>⚠ Tail-risk relevance cue — may require TRC review when the cell lies in the declared catastrophe cell set C_cat, or when catastrophe relevance is otherwise triggered. The declared C_cat and TRC trigger rules, not this icon alone, control catastrophe-cell status and non-maskability.</w:t>
      </w:r>
    </w:p>
    <w:p>
      <w:pPr>
        <w:pStyle w:val="BodyText"/>
      </w:pPr>
      <w:r>
        <w:t>⛓ Containment-relevant — a local gain may degrade the wider scopes the decision depends on; checked before RLS.</w:t>
      </w:r>
    </w:p>
    <w:p>
      <w:pPr>
        <w:pStyle w:val="BodyText"/>
      </w:pPr>
      <w:r>
        <w:t>◌ Ordinary welfare — ranked by RLS once RF/NCRC, TRC, and CSV are cleared.</w:t>
      </w:r>
    </w:p>
    <w:p>
      <w:pPr>
        <w:pStyle w:val="BodyText"/>
      </w:pPr>
      <w:r>
        <w:t>? Uncertain — evidence weak or contested; mark, disclose, and escalate if gate-relevant.</w:t>
      </w:r>
    </w:p>
    <w:bookmarkStart w:id="649" w:name="ad1-tabular-dictionary"/>
    <w:p>
      <w:pPr>
        <w:pStyle w:val="Heading2"/>
      </w:pPr>
      <w:r>
        <w:t>AD.1 Tabular dictionary</w:t>
      </w:r>
    </w:p>
    <w:p>
      <w:pPr>
        <w:pStyle w:val="FirstParagraph"/>
      </w:pPr>
      <w:r>
        <w:t>Appendix AD now presents the complete 49-cell dictionary in two layers: first a full 7 x 7 orientation map, then detailed Union Scope tables for meaning, positive/negative movement, evidence, gate cues, examples, and reviewer checks. This preserves the full Appendix AD cell structure while making the text easier to read in DOCX, PDF, and GitHub views.</w:t>
      </w:r>
    </w:p>
    <w:p>
      <w:pPr>
        <w:pStyle w:val="BodyText"/>
      </w:pPr>
      <w:r>
        <w:rPr>
          <w:b/>
          <w:bCs/>
        </w:rPr>
        <w:t>Reading rule.</w:t>
      </w:r>
      <w:r>
        <w:t xml:space="preserve"> </w:t>
      </w:r>
      <w:r>
        <w:t>A cell score is baseline-relative.</w:t>
      </w:r>
      <w:r>
        <w:t xml:space="preserve"> </w:t>
      </w:r>
      <w:r>
        <w:rPr>
          <w:rStyle w:val="VerbatimChar"/>
        </w:rPr>
        <w:t>+ Benefit</w:t>
      </w:r>
      <w:r>
        <w:t xml:space="preserve"> </w:t>
      </w:r>
      <w:r>
        <w:t>and</w:t>
      </w:r>
      <w:r>
        <w:t xml:space="preserve"> </w:t>
      </w:r>
      <w:r>
        <w:rPr>
          <w:rStyle w:val="VerbatimChar"/>
        </w:rPr>
        <w:t>- Harm</w:t>
      </w:r>
      <w:r>
        <w:t xml:space="preserve"> </w:t>
      </w:r>
      <w:r>
        <w:t>describe the direction of movement.</w:t>
      </w:r>
      <w:r>
        <w:t xml:space="preserve"> </w:t>
      </w:r>
      <w:r>
        <w:rPr>
          <w:rStyle w:val="VerbatimChar"/>
        </w:rPr>
        <w:t>Evidence and gate cues</w:t>
      </w:r>
      <w:r>
        <w:t xml:space="preserve"> </w:t>
      </w:r>
      <w:r>
        <w:t>identifies typical evidence and possible gate relevance.</w:t>
      </w:r>
      <w:r>
        <w:t xml:space="preserve"> </w:t>
      </w:r>
      <w:r>
        <w:rPr>
          <w:rStyle w:val="VerbatimChar"/>
        </w:rPr>
        <w:t>Example and reviewer check</w:t>
      </w:r>
      <w:r>
        <w:t xml:space="preserve"> </w:t>
      </w:r>
      <w:r>
        <w:t>gives one example and the minimum challenge a reviewer should make. Gate cues are not verdicts; the canonical cascade remains controlling.</w:t>
      </w:r>
    </w:p>
    <w:p>
      <w:pPr>
        <w:pStyle w:val="BodyText"/>
      </w:pPr>
      <w:r>
        <w:rPr>
          <w:b/>
          <w:bCs/>
        </w:rPr>
        <w:t>Machine-readable companion.</w:t>
      </w:r>
      <w:r>
        <w:t xml:space="preserve"> </w:t>
      </w:r>
      <w:r>
        <w:t>The Canon keeps Appendix AD in human-readable split tables for document clarity. A synchronized one-row-per-cell companion is also shipped at</w:t>
      </w:r>
      <w:r>
        <w:t xml:space="preserve"> </w:t>
      </w:r>
      <w:r>
        <w:rPr>
          <w:rStyle w:val="VerbatimChar"/>
        </w:rPr>
        <w:t>docs/canon/AD_49_Cell_Welfare_Dictionary.csv</w:t>
      </w:r>
      <w:r>
        <w:t>. The CSV preserves the older wide-record strength for tooling, audits, and implementation work by keeping each welfare cell on one row with separate fields for meaning, benefit movement, harm movement, evidence, gate cues, example, and reviewer check. The Canon text remains controlling if any companion representation diverges.</w:t>
      </w:r>
    </w:p>
    <w:bookmarkStart w:id="633" w:name="X5d23e2fb2a0112b6f662e79706b48781bebbb5a"/>
    <w:p>
      <w:pPr>
        <w:pStyle w:val="Heading3"/>
      </w:pPr>
      <w:r>
        <w:t>AD.1A Full 49-cell map (all coordinates preserved)</w:t>
      </w:r>
    </w:p>
    <w:p>
      <w:pPr>
        <w:pStyle w:val="FirstParagraph"/>
      </w:pPr>
      <w:r>
        <w:t>This map restores the full 7 x 7 Appendix AD view in one table. Each of the 49 cells appears once. Use this table for orientation; use the detailed tables that follow for meanings, positive/negative movement, evidence, gate cues, examples, and reviewer checks.</w:t>
      </w:r>
    </w:p>
    <w:tbl>
      <w:tblPr>
        <w:tblStyle w:val="Table"/>
        <w:tblW w:type="auto" w:w="0"/>
        <w:jc w:val="center"/>
        <w:tblLook w:firstRow="1" w:lastRow="0" w:firstColumn="0" w:lastColumn="0" w:noHBand="0" w:noVBand="0" w:val="0020"/>
      </w:tblPr>
      <w:tblGrid>
        <w:gridCol w:w="990"/>
        <w:gridCol w:w="990"/>
        <w:gridCol w:w="990"/>
        <w:gridCol w:w="990"/>
        <w:gridCol w:w="990"/>
        <w:gridCol w:w="990"/>
        <w:gridCol w:w="990"/>
        <w:gridCol w:w="990"/>
      </w:tblGrid>
      <w:tr>
        <w:trPr>
          <w:tblHeader w:val="on"/>
          <w:tblHeader w:val="true"/>
          <w:cantSplit/>
        </w:trPr>
        <w:tc>
          <w:tcPr>
            <w:vAlign w:val="top"/>
            <w:tcMar>
              <w:top w:w="70" w:type="dxa"/>
              <w:start w:w="80" w:type="dxa"/>
              <w:bottom w:w="70" w:type="dxa"/>
              <w:end w:w="80" w:type="dxa"/>
            </w:tcMar>
            <w:shd w:fill="1F4E78"/>
          </w:tcPr>
          <w:p>
            <w:pPr>
              <w:pStyle w:val="Compact"/>
              <w:jc w:val="left"/>
            </w:pPr>
            <w:r>
              <w:rPr>
                <w:rFonts w:ascii="Arial" w:hAnsi="Arial" w:eastAsia="Arial"/>
                <w:b/>
                <w:color w:val="FFFFFF"/>
                <w:sz w:val="16"/>
              </w:rPr>
              <w:t>Union Scope</w:t>
            </w:r>
          </w:p>
        </w:tc>
        <w:tc>
          <w:tcPr>
            <w:vAlign w:val="top"/>
            <w:tcMar>
              <w:top w:w="70" w:type="dxa"/>
              <w:start w:w="80" w:type="dxa"/>
              <w:bottom w:w="70" w:type="dxa"/>
              <w:end w:w="80" w:type="dxa"/>
            </w:tcMar>
            <w:shd w:fill="1F4E78"/>
          </w:tcPr>
          <w:p>
            <w:pPr>
              <w:pStyle w:val="Compact"/>
              <w:jc w:val="left"/>
            </w:pPr>
            <w:r>
              <w:rPr>
                <w:rFonts w:ascii="Arial" w:hAnsi="Arial" w:eastAsia="Arial"/>
                <w:b/>
                <w:bCs/>
                <w:color w:val="FFFFFF"/>
                <w:sz w:val="16"/>
              </w:rPr>
              <w:t>D1 Material</w:t>
            </w:r>
          </w:p>
        </w:tc>
        <w:tc>
          <w:tcPr>
            <w:vAlign w:val="top"/>
            <w:tcMar>
              <w:top w:w="70" w:type="dxa"/>
              <w:start w:w="80" w:type="dxa"/>
              <w:bottom w:w="70" w:type="dxa"/>
              <w:end w:w="80" w:type="dxa"/>
            </w:tcMar>
            <w:shd w:fill="1F4E78"/>
          </w:tcPr>
          <w:p>
            <w:pPr>
              <w:pStyle w:val="Compact"/>
              <w:jc w:val="left"/>
            </w:pPr>
            <w:r>
              <w:rPr>
                <w:rFonts w:ascii="Arial" w:hAnsi="Arial" w:eastAsia="Arial"/>
                <w:b/>
                <w:bCs/>
                <w:color w:val="FFFFFF"/>
                <w:sz w:val="16"/>
              </w:rPr>
              <w:t>D2 Health</w:t>
            </w:r>
          </w:p>
        </w:tc>
        <w:tc>
          <w:tcPr>
            <w:vAlign w:val="top"/>
            <w:tcMar>
              <w:top w:w="70" w:type="dxa"/>
              <w:start w:w="80" w:type="dxa"/>
              <w:bottom w:w="70" w:type="dxa"/>
              <w:end w:w="80" w:type="dxa"/>
            </w:tcMar>
            <w:shd w:fill="1F4E78"/>
          </w:tcPr>
          <w:p>
            <w:pPr>
              <w:pStyle w:val="Compact"/>
              <w:jc w:val="left"/>
            </w:pPr>
            <w:r>
              <w:rPr>
                <w:rFonts w:ascii="Arial" w:hAnsi="Arial" w:eastAsia="Arial"/>
                <w:b/>
                <w:bCs/>
                <w:color w:val="FFFFFF"/>
                <w:sz w:val="16"/>
              </w:rPr>
              <w:t>D3 Social</w:t>
            </w:r>
          </w:p>
        </w:tc>
        <w:tc>
          <w:tcPr>
            <w:vAlign w:val="top"/>
            <w:tcMar>
              <w:top w:w="70" w:type="dxa"/>
              <w:start w:w="80" w:type="dxa"/>
              <w:bottom w:w="70" w:type="dxa"/>
              <w:end w:w="80" w:type="dxa"/>
            </w:tcMar>
            <w:shd w:fill="1F4E78"/>
          </w:tcPr>
          <w:p>
            <w:pPr>
              <w:pStyle w:val="Compact"/>
              <w:jc w:val="left"/>
            </w:pPr>
            <w:r>
              <w:rPr>
                <w:rFonts w:ascii="Arial" w:hAnsi="Arial" w:eastAsia="Arial"/>
                <w:b/>
                <w:bCs/>
                <w:color w:val="FFFFFF"/>
                <w:sz w:val="16"/>
              </w:rPr>
              <w:t>D4 Knowledge</w:t>
            </w:r>
          </w:p>
        </w:tc>
        <w:tc>
          <w:tcPr>
            <w:vAlign w:val="top"/>
            <w:tcMar>
              <w:top w:w="70" w:type="dxa"/>
              <w:start w:w="80" w:type="dxa"/>
              <w:bottom w:w="70" w:type="dxa"/>
              <w:end w:w="80" w:type="dxa"/>
            </w:tcMar>
            <w:shd w:fill="1F4E78"/>
          </w:tcPr>
          <w:p>
            <w:pPr>
              <w:pStyle w:val="Compact"/>
              <w:jc w:val="left"/>
            </w:pPr>
            <w:r>
              <w:rPr>
                <w:rFonts w:ascii="Arial" w:hAnsi="Arial" w:eastAsia="Arial"/>
                <w:b/>
                <w:bCs/>
                <w:color w:val="FFFFFF"/>
                <w:sz w:val="16"/>
              </w:rPr>
              <w:t>D5 Agency</w:t>
            </w:r>
          </w:p>
        </w:tc>
        <w:tc>
          <w:tcPr>
            <w:vAlign w:val="top"/>
            <w:tcMar>
              <w:top w:w="70" w:type="dxa"/>
              <w:start w:w="80" w:type="dxa"/>
              <w:bottom w:w="70" w:type="dxa"/>
              <w:end w:w="80" w:type="dxa"/>
            </w:tcMar>
            <w:shd w:fill="1F4E78"/>
          </w:tcPr>
          <w:p>
            <w:pPr>
              <w:pStyle w:val="Compact"/>
              <w:jc w:val="left"/>
            </w:pPr>
            <w:r>
              <w:rPr>
                <w:rFonts w:ascii="Arial" w:hAnsi="Arial" w:eastAsia="Arial"/>
                <w:b/>
                <w:bCs/>
                <w:color w:val="FFFFFF"/>
                <w:sz w:val="16"/>
              </w:rPr>
              <w:t>D6 Meaning</w:t>
            </w:r>
          </w:p>
        </w:tc>
        <w:tc>
          <w:tcPr>
            <w:vAlign w:val="top"/>
            <w:tcMar>
              <w:top w:w="70" w:type="dxa"/>
              <w:start w:w="80" w:type="dxa"/>
              <w:bottom w:w="70" w:type="dxa"/>
              <w:end w:w="80" w:type="dxa"/>
            </w:tcMar>
            <w:shd w:fill="1F4E78"/>
          </w:tcPr>
          <w:p>
            <w:pPr>
              <w:pStyle w:val="Compact"/>
              <w:jc w:val="left"/>
            </w:pPr>
            <w:r>
              <w:rPr>
                <w:rFonts w:ascii="Arial" w:hAnsi="Arial" w:eastAsia="Arial"/>
                <w:b/>
                <w:bCs/>
                <w:color w:val="FFFFFF"/>
                <w:sz w:val="16"/>
              </w:rPr>
              <w:t>D7 Environment</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b/>
                <w:bCs/>
                <w:sz w:val="16"/>
              </w:rPr>
              <w:t>U1 Self</w:t>
            </w:r>
          </w:p>
        </w:tc>
        <w:tc>
          <w:tcPr>
            <w:vAlign w:val="top"/>
            <w:tcMar>
              <w:top w:w="70" w:type="dxa"/>
              <w:start w:w="80" w:type="dxa"/>
              <w:bottom w:w="70" w:type="dxa"/>
              <w:end w:w="80" w:type="dxa"/>
            </w:tcMar>
            <w:shd w:fill="D9EAF7"/>
          </w:tcPr>
          <w:p>
            <w:pPr>
              <w:pStyle w:val="Compact"/>
              <w:jc w:val="left"/>
            </w:pPr>
            <w:r>
              <w:rPr>
                <w:rFonts w:ascii="Arial" w:hAnsi="Arial" w:eastAsia="Arial"/>
                <w:b/>
                <w:bCs/>
                <w:sz w:val="16"/>
              </w:rPr>
              <w:t>U1/D1</w:t>
            </w:r>
            <w:r>
              <w:rPr>
                <w:rFonts w:ascii="Arial" w:hAnsi="Arial" w:eastAsia="Arial"/>
                <w:sz w:val="16"/>
              </w:rPr>
              <w:t xml:space="preserve"> </w:t>
            </w:r>
            <w:r>
              <w:rPr>
                <w:rFonts w:ascii="Arial" w:hAnsi="Arial" w:eastAsia="Arial"/>
                <w:sz w:val="16"/>
              </w:rPr>
              <w:t>- Personal Resources</w:t>
            </w:r>
          </w:p>
        </w:tc>
        <w:tc>
          <w:tcPr>
            <w:vAlign w:val="top"/>
            <w:tcMar>
              <w:top w:w="70" w:type="dxa"/>
              <w:start w:w="80" w:type="dxa"/>
              <w:bottom w:w="70" w:type="dxa"/>
              <w:end w:w="80" w:type="dxa"/>
            </w:tcMar>
            <w:shd w:fill="D9EAF7"/>
          </w:tcPr>
          <w:p>
            <w:pPr>
              <w:pStyle w:val="Compact"/>
              <w:jc w:val="left"/>
            </w:pPr>
            <w:r>
              <w:rPr>
                <w:rFonts w:ascii="Arial" w:hAnsi="Arial" w:eastAsia="Arial"/>
                <w:b/>
                <w:bCs/>
                <w:sz w:val="16"/>
              </w:rPr>
              <w:t>U1/D2</w:t>
            </w:r>
            <w:r>
              <w:rPr>
                <w:rFonts w:ascii="Arial" w:hAnsi="Arial" w:eastAsia="Arial"/>
                <w:sz w:val="16"/>
              </w:rPr>
              <w:t xml:space="preserve"> </w:t>
            </w:r>
            <w:r>
              <w:rPr>
                <w:rFonts w:ascii="Arial" w:hAnsi="Arial" w:eastAsia="Arial"/>
                <w:sz w:val="16"/>
              </w:rPr>
              <w:t>- Personal Health</w:t>
            </w:r>
          </w:p>
        </w:tc>
        <w:tc>
          <w:tcPr>
            <w:vAlign w:val="top"/>
            <w:tcMar>
              <w:top w:w="70" w:type="dxa"/>
              <w:start w:w="80" w:type="dxa"/>
              <w:bottom w:w="70" w:type="dxa"/>
              <w:end w:w="80" w:type="dxa"/>
            </w:tcMar>
            <w:shd w:fill="D9EAF7"/>
          </w:tcPr>
          <w:p>
            <w:pPr>
              <w:pStyle w:val="Compact"/>
              <w:jc w:val="left"/>
            </w:pPr>
            <w:r>
              <w:rPr>
                <w:rFonts w:ascii="Arial" w:hAnsi="Arial" w:eastAsia="Arial"/>
                <w:b/>
                <w:bCs/>
                <w:sz w:val="16"/>
              </w:rPr>
              <w:t>U1/D3</w:t>
            </w:r>
            <w:r>
              <w:rPr>
                <w:rFonts w:ascii="Arial" w:hAnsi="Arial" w:eastAsia="Arial"/>
                <w:sz w:val="16"/>
              </w:rPr>
              <w:t xml:space="preserve"> </w:t>
            </w:r>
            <w:r>
              <w:rPr>
                <w:rFonts w:ascii="Arial" w:hAnsi="Arial" w:eastAsia="Arial"/>
                <w:sz w:val="16"/>
              </w:rPr>
              <w:t>- Relationships</w:t>
            </w:r>
          </w:p>
        </w:tc>
        <w:tc>
          <w:tcPr>
            <w:vAlign w:val="top"/>
            <w:tcMar>
              <w:top w:w="70" w:type="dxa"/>
              <w:start w:w="80" w:type="dxa"/>
              <w:bottom w:w="70" w:type="dxa"/>
              <w:end w:w="80" w:type="dxa"/>
            </w:tcMar>
            <w:shd w:fill="D9EAF7"/>
          </w:tcPr>
          <w:p>
            <w:pPr>
              <w:pStyle w:val="Compact"/>
              <w:jc w:val="left"/>
            </w:pPr>
            <w:r>
              <w:rPr>
                <w:rFonts w:ascii="Arial" w:hAnsi="Arial" w:eastAsia="Arial"/>
                <w:b/>
                <w:bCs/>
                <w:sz w:val="16"/>
              </w:rPr>
              <w:t>U1/D4</w:t>
            </w:r>
            <w:r>
              <w:rPr>
                <w:rFonts w:ascii="Arial" w:hAnsi="Arial" w:eastAsia="Arial"/>
                <w:sz w:val="16"/>
              </w:rPr>
              <w:t xml:space="preserve"> </w:t>
            </w:r>
            <w:r>
              <w:rPr>
                <w:rFonts w:ascii="Arial" w:hAnsi="Arial" w:eastAsia="Arial"/>
                <w:sz w:val="16"/>
              </w:rPr>
              <w:t>- Learning</w:t>
            </w:r>
          </w:p>
        </w:tc>
        <w:tc>
          <w:tcPr>
            <w:vAlign w:val="top"/>
            <w:tcMar>
              <w:top w:w="70" w:type="dxa"/>
              <w:start w:w="80" w:type="dxa"/>
              <w:bottom w:w="70" w:type="dxa"/>
              <w:end w:w="80" w:type="dxa"/>
            </w:tcMar>
            <w:shd w:fill="D9EAF7"/>
          </w:tcPr>
          <w:p>
            <w:pPr>
              <w:pStyle w:val="Compact"/>
              <w:jc w:val="left"/>
            </w:pPr>
            <w:r>
              <w:rPr>
                <w:rFonts w:ascii="Arial" w:hAnsi="Arial" w:eastAsia="Arial"/>
                <w:b/>
                <w:bCs/>
                <w:sz w:val="16"/>
              </w:rPr>
              <w:t>U1/D5</w:t>
            </w:r>
            <w:r>
              <w:rPr>
                <w:rFonts w:ascii="Arial" w:hAnsi="Arial" w:eastAsia="Arial"/>
                <w:sz w:val="16"/>
              </w:rPr>
              <w:t xml:space="preserve"> </w:t>
            </w:r>
            <w:r>
              <w:rPr>
                <w:rFonts w:ascii="Arial" w:hAnsi="Arial" w:eastAsia="Arial"/>
                <w:sz w:val="16"/>
              </w:rPr>
              <w:t>- Personal Agency</w:t>
            </w:r>
          </w:p>
        </w:tc>
        <w:tc>
          <w:tcPr>
            <w:vAlign w:val="top"/>
            <w:tcMar>
              <w:top w:w="70" w:type="dxa"/>
              <w:start w:w="80" w:type="dxa"/>
              <w:bottom w:w="70" w:type="dxa"/>
              <w:end w:w="80" w:type="dxa"/>
            </w:tcMar>
            <w:shd w:fill="D9EAF7"/>
          </w:tcPr>
          <w:p>
            <w:pPr>
              <w:pStyle w:val="Compact"/>
              <w:jc w:val="left"/>
            </w:pPr>
            <w:r>
              <w:rPr>
                <w:rFonts w:ascii="Arial" w:hAnsi="Arial" w:eastAsia="Arial"/>
                <w:b/>
                <w:bCs/>
                <w:sz w:val="16"/>
              </w:rPr>
              <w:t>U1/D6</w:t>
            </w:r>
            <w:r>
              <w:rPr>
                <w:rFonts w:ascii="Arial" w:hAnsi="Arial" w:eastAsia="Arial"/>
                <w:sz w:val="16"/>
              </w:rPr>
              <w:t xml:space="preserve"> </w:t>
            </w:r>
            <w:r>
              <w:rPr>
                <w:rFonts w:ascii="Arial" w:hAnsi="Arial" w:eastAsia="Arial"/>
                <w:sz w:val="16"/>
              </w:rPr>
              <w:t>- Purpose</w:t>
            </w:r>
          </w:p>
        </w:tc>
        <w:tc>
          <w:tcPr>
            <w:vAlign w:val="top"/>
            <w:tcMar>
              <w:top w:w="70" w:type="dxa"/>
              <w:start w:w="80" w:type="dxa"/>
              <w:bottom w:w="70" w:type="dxa"/>
              <w:end w:w="80" w:type="dxa"/>
            </w:tcMar>
            <w:shd w:fill="D9EAF7"/>
          </w:tcPr>
          <w:p>
            <w:pPr>
              <w:pStyle w:val="Compact"/>
              <w:jc w:val="left"/>
            </w:pPr>
            <w:r>
              <w:rPr>
                <w:rFonts w:ascii="Arial" w:hAnsi="Arial" w:eastAsia="Arial"/>
                <w:b/>
                <w:bCs/>
                <w:sz w:val="16"/>
              </w:rPr>
              <w:t>U1/D7</w:t>
            </w:r>
            <w:r>
              <w:rPr>
                <w:rFonts w:ascii="Arial" w:hAnsi="Arial" w:eastAsia="Arial"/>
                <w:sz w:val="16"/>
              </w:rPr>
              <w:t xml:space="preserve"> </w:t>
            </w:r>
            <w:r>
              <w:rPr>
                <w:rFonts w:ascii="Arial" w:hAnsi="Arial" w:eastAsia="Arial"/>
                <w:sz w:val="16"/>
              </w:rPr>
              <w:t>- Local Conditions</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b/>
                <w:bCs/>
                <w:sz w:val="16"/>
              </w:rPr>
              <w:t>U2 Household</w:t>
            </w:r>
          </w:p>
        </w:tc>
        <w:tc>
          <w:tcPr>
            <w:vAlign w:val="top"/>
            <w:tcMar>
              <w:top w:w="70" w:type="dxa"/>
              <w:start w:w="80" w:type="dxa"/>
              <w:bottom w:w="70" w:type="dxa"/>
              <w:end w:w="80" w:type="dxa"/>
            </w:tcMar>
            <w:shd w:fill="FFFFFF"/>
          </w:tcPr>
          <w:p>
            <w:pPr>
              <w:pStyle w:val="Compact"/>
              <w:jc w:val="left"/>
            </w:pPr>
            <w:r>
              <w:rPr>
                <w:rFonts w:ascii="Arial" w:hAnsi="Arial" w:eastAsia="Arial"/>
                <w:b/>
                <w:bCs/>
                <w:sz w:val="16"/>
              </w:rPr>
              <w:t>U2/D1</w:t>
            </w:r>
            <w:r>
              <w:rPr>
                <w:rFonts w:ascii="Arial" w:hAnsi="Arial" w:eastAsia="Arial"/>
                <w:sz w:val="16"/>
              </w:rPr>
              <w:t xml:space="preserve"> </w:t>
            </w:r>
            <w:r>
              <w:rPr>
                <w:rFonts w:ascii="Arial" w:hAnsi="Arial" w:eastAsia="Arial"/>
                <w:sz w:val="16"/>
              </w:rPr>
              <w:t>- Household Resources</w:t>
            </w:r>
          </w:p>
        </w:tc>
        <w:tc>
          <w:tcPr>
            <w:vAlign w:val="top"/>
            <w:tcMar>
              <w:top w:w="70" w:type="dxa"/>
              <w:start w:w="80" w:type="dxa"/>
              <w:bottom w:w="70" w:type="dxa"/>
              <w:end w:w="80" w:type="dxa"/>
            </w:tcMar>
            <w:shd w:fill="FFFFFF"/>
          </w:tcPr>
          <w:p>
            <w:pPr>
              <w:pStyle w:val="Compact"/>
              <w:jc w:val="left"/>
            </w:pPr>
            <w:r>
              <w:rPr>
                <w:rFonts w:ascii="Arial" w:hAnsi="Arial" w:eastAsia="Arial"/>
                <w:b/>
                <w:bCs/>
                <w:sz w:val="16"/>
              </w:rPr>
              <w:t>U2/D2</w:t>
            </w:r>
            <w:r>
              <w:rPr>
                <w:rFonts w:ascii="Arial" w:hAnsi="Arial" w:eastAsia="Arial"/>
                <w:sz w:val="16"/>
              </w:rPr>
              <w:t xml:space="preserve"> </w:t>
            </w:r>
            <w:r>
              <w:rPr>
                <w:rFonts w:ascii="Arial" w:hAnsi="Arial" w:eastAsia="Arial"/>
                <w:sz w:val="16"/>
              </w:rPr>
              <w:t>- Household Health</w:t>
            </w:r>
          </w:p>
        </w:tc>
        <w:tc>
          <w:tcPr>
            <w:vAlign w:val="top"/>
            <w:tcMar>
              <w:top w:w="70" w:type="dxa"/>
              <w:start w:w="80" w:type="dxa"/>
              <w:bottom w:w="70" w:type="dxa"/>
              <w:end w:w="80" w:type="dxa"/>
            </w:tcMar>
            <w:shd w:fill="FFFFFF"/>
          </w:tcPr>
          <w:p>
            <w:pPr>
              <w:pStyle w:val="Compact"/>
              <w:jc w:val="left"/>
            </w:pPr>
            <w:r>
              <w:rPr>
                <w:rFonts w:ascii="Arial" w:hAnsi="Arial" w:eastAsia="Arial"/>
                <w:b/>
                <w:bCs/>
                <w:sz w:val="16"/>
              </w:rPr>
              <w:t>U2/D3</w:t>
            </w:r>
            <w:r>
              <w:rPr>
                <w:rFonts w:ascii="Arial" w:hAnsi="Arial" w:eastAsia="Arial"/>
                <w:sz w:val="16"/>
              </w:rPr>
              <w:t xml:space="preserve"> </w:t>
            </w:r>
            <w:r>
              <w:rPr>
                <w:rFonts w:ascii="Arial" w:hAnsi="Arial" w:eastAsia="Arial"/>
                <w:sz w:val="16"/>
              </w:rPr>
              <w:t>- Family Cohesion</w:t>
            </w:r>
          </w:p>
        </w:tc>
        <w:tc>
          <w:tcPr>
            <w:vAlign w:val="top"/>
            <w:tcMar>
              <w:top w:w="70" w:type="dxa"/>
              <w:start w:w="80" w:type="dxa"/>
              <w:bottom w:w="70" w:type="dxa"/>
              <w:end w:w="80" w:type="dxa"/>
            </w:tcMar>
            <w:shd w:fill="FFFFFF"/>
          </w:tcPr>
          <w:p>
            <w:pPr>
              <w:pStyle w:val="Compact"/>
              <w:jc w:val="left"/>
            </w:pPr>
            <w:r>
              <w:rPr>
                <w:rFonts w:ascii="Arial" w:hAnsi="Arial" w:eastAsia="Arial"/>
                <w:b/>
                <w:bCs/>
                <w:sz w:val="16"/>
              </w:rPr>
              <w:t>U2/D4</w:t>
            </w:r>
            <w:r>
              <w:rPr>
                <w:rFonts w:ascii="Arial" w:hAnsi="Arial" w:eastAsia="Arial"/>
                <w:sz w:val="16"/>
              </w:rPr>
              <w:t xml:space="preserve"> </w:t>
            </w:r>
            <w:r>
              <w:rPr>
                <w:rFonts w:ascii="Arial" w:hAnsi="Arial" w:eastAsia="Arial"/>
                <w:sz w:val="16"/>
              </w:rPr>
              <w:t>- Shared Learning</w:t>
            </w:r>
          </w:p>
        </w:tc>
        <w:tc>
          <w:tcPr>
            <w:vAlign w:val="top"/>
            <w:tcMar>
              <w:top w:w="70" w:type="dxa"/>
              <w:start w:w="80" w:type="dxa"/>
              <w:bottom w:w="70" w:type="dxa"/>
              <w:end w:w="80" w:type="dxa"/>
            </w:tcMar>
            <w:shd w:fill="FFFFFF"/>
          </w:tcPr>
          <w:p>
            <w:pPr>
              <w:pStyle w:val="Compact"/>
              <w:jc w:val="left"/>
            </w:pPr>
            <w:r>
              <w:rPr>
                <w:rFonts w:ascii="Arial" w:hAnsi="Arial" w:eastAsia="Arial"/>
                <w:b/>
                <w:bCs/>
                <w:sz w:val="16"/>
              </w:rPr>
              <w:t>U2/D5</w:t>
            </w:r>
            <w:r>
              <w:rPr>
                <w:rFonts w:ascii="Arial" w:hAnsi="Arial" w:eastAsia="Arial"/>
                <w:sz w:val="16"/>
              </w:rPr>
              <w:t xml:space="preserve"> </w:t>
            </w:r>
            <w:r>
              <w:rPr>
                <w:rFonts w:ascii="Arial" w:hAnsi="Arial" w:eastAsia="Arial"/>
                <w:sz w:val="16"/>
              </w:rPr>
              <w:t>- Household Agency</w:t>
            </w:r>
          </w:p>
        </w:tc>
        <w:tc>
          <w:tcPr>
            <w:vAlign w:val="top"/>
            <w:tcMar>
              <w:top w:w="70" w:type="dxa"/>
              <w:start w:w="80" w:type="dxa"/>
              <w:bottom w:w="70" w:type="dxa"/>
              <w:end w:w="80" w:type="dxa"/>
            </w:tcMar>
            <w:shd w:fill="FFFFFF"/>
          </w:tcPr>
          <w:p>
            <w:pPr>
              <w:pStyle w:val="Compact"/>
              <w:jc w:val="left"/>
            </w:pPr>
            <w:r>
              <w:rPr>
                <w:rFonts w:ascii="Arial" w:hAnsi="Arial" w:eastAsia="Arial"/>
                <w:b/>
                <w:bCs/>
                <w:sz w:val="16"/>
              </w:rPr>
              <w:t>U2/D6</w:t>
            </w:r>
            <w:r>
              <w:rPr>
                <w:rFonts w:ascii="Arial" w:hAnsi="Arial" w:eastAsia="Arial"/>
                <w:sz w:val="16"/>
              </w:rPr>
              <w:t xml:space="preserve"> </w:t>
            </w:r>
            <w:r>
              <w:rPr>
                <w:rFonts w:ascii="Arial" w:hAnsi="Arial" w:eastAsia="Arial"/>
                <w:sz w:val="16"/>
              </w:rPr>
              <w:t>- Family Meaning</w:t>
            </w:r>
          </w:p>
        </w:tc>
        <w:tc>
          <w:tcPr>
            <w:vAlign w:val="top"/>
            <w:tcMar>
              <w:top w:w="70" w:type="dxa"/>
              <w:start w:w="80" w:type="dxa"/>
              <w:bottom w:w="70" w:type="dxa"/>
              <w:end w:w="80" w:type="dxa"/>
            </w:tcMar>
            <w:shd w:fill="FFFFFF"/>
          </w:tcPr>
          <w:p>
            <w:pPr>
              <w:pStyle w:val="Compact"/>
              <w:jc w:val="left"/>
            </w:pPr>
            <w:r>
              <w:rPr>
                <w:rFonts w:ascii="Arial" w:hAnsi="Arial" w:eastAsia="Arial"/>
                <w:b/>
                <w:bCs/>
                <w:sz w:val="16"/>
              </w:rPr>
              <w:t>U2/D7</w:t>
            </w:r>
            <w:r>
              <w:rPr>
                <w:rFonts w:ascii="Arial" w:hAnsi="Arial" w:eastAsia="Arial"/>
                <w:sz w:val="16"/>
              </w:rPr>
              <w:t xml:space="preserve"> </w:t>
            </w:r>
            <w:r>
              <w:rPr>
                <w:rFonts w:ascii="Arial" w:hAnsi="Arial" w:eastAsia="Arial"/>
                <w:sz w:val="16"/>
              </w:rPr>
              <w:t>- Home Environment</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b/>
                <w:bCs/>
                <w:sz w:val="16"/>
              </w:rPr>
              <w:t>U3 Community</w:t>
            </w:r>
          </w:p>
        </w:tc>
        <w:tc>
          <w:tcPr>
            <w:vAlign w:val="top"/>
            <w:tcMar>
              <w:top w:w="70" w:type="dxa"/>
              <w:start w:w="80" w:type="dxa"/>
              <w:bottom w:w="70" w:type="dxa"/>
              <w:end w:w="80" w:type="dxa"/>
            </w:tcMar>
            <w:shd w:fill="D9EAF7"/>
          </w:tcPr>
          <w:p>
            <w:pPr>
              <w:pStyle w:val="Compact"/>
              <w:jc w:val="left"/>
            </w:pPr>
            <w:r>
              <w:rPr>
                <w:rFonts w:ascii="Arial" w:hAnsi="Arial" w:eastAsia="Arial"/>
                <w:b/>
                <w:bCs/>
                <w:sz w:val="16"/>
              </w:rPr>
              <w:t>U3/D1</w:t>
            </w:r>
            <w:r>
              <w:rPr>
                <w:rFonts w:ascii="Arial" w:hAnsi="Arial" w:eastAsia="Arial"/>
                <w:sz w:val="16"/>
              </w:rPr>
              <w:t xml:space="preserve"> </w:t>
            </w:r>
            <w:r>
              <w:rPr>
                <w:rFonts w:ascii="Arial" w:hAnsi="Arial" w:eastAsia="Arial"/>
                <w:sz w:val="16"/>
              </w:rPr>
              <w:t>- Local Resources</w:t>
            </w:r>
          </w:p>
        </w:tc>
        <w:tc>
          <w:tcPr>
            <w:vAlign w:val="top"/>
            <w:tcMar>
              <w:top w:w="70" w:type="dxa"/>
              <w:start w:w="80" w:type="dxa"/>
              <w:bottom w:w="70" w:type="dxa"/>
              <w:end w:w="80" w:type="dxa"/>
            </w:tcMar>
            <w:shd w:fill="D9EAF7"/>
          </w:tcPr>
          <w:p>
            <w:pPr>
              <w:pStyle w:val="Compact"/>
              <w:jc w:val="left"/>
            </w:pPr>
            <w:r>
              <w:rPr>
                <w:rFonts w:ascii="Arial" w:hAnsi="Arial" w:eastAsia="Arial"/>
                <w:b/>
                <w:bCs/>
                <w:sz w:val="16"/>
              </w:rPr>
              <w:t>U3/D2</w:t>
            </w:r>
            <w:r>
              <w:rPr>
                <w:rFonts w:ascii="Arial" w:hAnsi="Arial" w:eastAsia="Arial"/>
                <w:sz w:val="16"/>
              </w:rPr>
              <w:t xml:space="preserve"> </w:t>
            </w:r>
            <w:r>
              <w:rPr>
                <w:rFonts w:ascii="Arial" w:hAnsi="Arial" w:eastAsia="Arial"/>
                <w:sz w:val="16"/>
              </w:rPr>
              <w:t>- Community Health</w:t>
            </w:r>
          </w:p>
        </w:tc>
        <w:tc>
          <w:tcPr>
            <w:vAlign w:val="top"/>
            <w:tcMar>
              <w:top w:w="70" w:type="dxa"/>
              <w:start w:w="80" w:type="dxa"/>
              <w:bottom w:w="70" w:type="dxa"/>
              <w:end w:w="80" w:type="dxa"/>
            </w:tcMar>
            <w:shd w:fill="D9EAF7"/>
          </w:tcPr>
          <w:p>
            <w:pPr>
              <w:pStyle w:val="Compact"/>
              <w:jc w:val="left"/>
            </w:pPr>
            <w:r>
              <w:rPr>
                <w:rFonts w:ascii="Arial" w:hAnsi="Arial" w:eastAsia="Arial"/>
                <w:b/>
                <w:bCs/>
                <w:sz w:val="16"/>
              </w:rPr>
              <w:t>U3/D3</w:t>
            </w:r>
            <w:r>
              <w:rPr>
                <w:rFonts w:ascii="Arial" w:hAnsi="Arial" w:eastAsia="Arial"/>
                <w:sz w:val="16"/>
              </w:rPr>
              <w:t xml:space="preserve"> </w:t>
            </w:r>
            <w:r>
              <w:rPr>
                <w:rFonts w:ascii="Arial" w:hAnsi="Arial" w:eastAsia="Arial"/>
                <w:sz w:val="16"/>
              </w:rPr>
              <w:t>- Community Cohesion</w:t>
            </w:r>
          </w:p>
        </w:tc>
        <w:tc>
          <w:tcPr>
            <w:vAlign w:val="top"/>
            <w:tcMar>
              <w:top w:w="70" w:type="dxa"/>
              <w:start w:w="80" w:type="dxa"/>
              <w:bottom w:w="70" w:type="dxa"/>
              <w:end w:w="80" w:type="dxa"/>
            </w:tcMar>
            <w:shd w:fill="D9EAF7"/>
          </w:tcPr>
          <w:p>
            <w:pPr>
              <w:pStyle w:val="Compact"/>
              <w:jc w:val="left"/>
            </w:pPr>
            <w:r>
              <w:rPr>
                <w:rFonts w:ascii="Arial" w:hAnsi="Arial" w:eastAsia="Arial"/>
                <w:b/>
                <w:bCs/>
                <w:sz w:val="16"/>
              </w:rPr>
              <w:t>U3/D4</w:t>
            </w:r>
            <w:r>
              <w:rPr>
                <w:rFonts w:ascii="Arial" w:hAnsi="Arial" w:eastAsia="Arial"/>
                <w:sz w:val="16"/>
              </w:rPr>
              <w:t xml:space="preserve"> </w:t>
            </w:r>
            <w:r>
              <w:rPr>
                <w:rFonts w:ascii="Arial" w:hAnsi="Arial" w:eastAsia="Arial"/>
                <w:sz w:val="16"/>
              </w:rPr>
              <w:t>- Local Knowledge</w:t>
            </w:r>
          </w:p>
        </w:tc>
        <w:tc>
          <w:tcPr>
            <w:vAlign w:val="top"/>
            <w:tcMar>
              <w:top w:w="70" w:type="dxa"/>
              <w:start w:w="80" w:type="dxa"/>
              <w:bottom w:w="70" w:type="dxa"/>
              <w:end w:w="80" w:type="dxa"/>
            </w:tcMar>
            <w:shd w:fill="D9EAF7"/>
          </w:tcPr>
          <w:p>
            <w:pPr>
              <w:pStyle w:val="Compact"/>
              <w:jc w:val="left"/>
            </w:pPr>
            <w:r>
              <w:rPr>
                <w:rFonts w:ascii="Arial" w:hAnsi="Arial" w:eastAsia="Arial"/>
                <w:b/>
                <w:bCs/>
                <w:sz w:val="16"/>
              </w:rPr>
              <w:t>U3/D5</w:t>
            </w:r>
            <w:r>
              <w:rPr>
                <w:rFonts w:ascii="Arial" w:hAnsi="Arial" w:eastAsia="Arial"/>
                <w:sz w:val="16"/>
              </w:rPr>
              <w:t xml:space="preserve"> </w:t>
            </w:r>
            <w:r>
              <w:rPr>
                <w:rFonts w:ascii="Arial" w:hAnsi="Arial" w:eastAsia="Arial"/>
                <w:sz w:val="16"/>
              </w:rPr>
              <w:t>- Community Agency</w:t>
            </w:r>
          </w:p>
        </w:tc>
        <w:tc>
          <w:tcPr>
            <w:vAlign w:val="top"/>
            <w:tcMar>
              <w:top w:w="70" w:type="dxa"/>
              <w:start w:w="80" w:type="dxa"/>
              <w:bottom w:w="70" w:type="dxa"/>
              <w:end w:w="80" w:type="dxa"/>
            </w:tcMar>
            <w:shd w:fill="D9EAF7"/>
          </w:tcPr>
          <w:p>
            <w:pPr>
              <w:pStyle w:val="Compact"/>
              <w:jc w:val="left"/>
            </w:pPr>
            <w:r>
              <w:rPr>
                <w:rFonts w:ascii="Arial" w:hAnsi="Arial" w:eastAsia="Arial"/>
                <w:b/>
                <w:bCs/>
                <w:sz w:val="16"/>
              </w:rPr>
              <w:t>U3/D6</w:t>
            </w:r>
            <w:r>
              <w:rPr>
                <w:rFonts w:ascii="Arial" w:hAnsi="Arial" w:eastAsia="Arial"/>
                <w:sz w:val="16"/>
              </w:rPr>
              <w:t xml:space="preserve"> </w:t>
            </w:r>
            <w:r>
              <w:rPr>
                <w:rFonts w:ascii="Arial" w:hAnsi="Arial" w:eastAsia="Arial"/>
                <w:sz w:val="16"/>
              </w:rPr>
              <w:t>- Shared Meaning</w:t>
            </w:r>
          </w:p>
        </w:tc>
        <w:tc>
          <w:tcPr>
            <w:vAlign w:val="top"/>
            <w:tcMar>
              <w:top w:w="70" w:type="dxa"/>
              <w:start w:w="80" w:type="dxa"/>
              <w:bottom w:w="70" w:type="dxa"/>
              <w:end w:w="80" w:type="dxa"/>
            </w:tcMar>
            <w:shd w:fill="D9EAF7"/>
          </w:tcPr>
          <w:p>
            <w:pPr>
              <w:pStyle w:val="Compact"/>
              <w:jc w:val="left"/>
            </w:pPr>
            <w:r>
              <w:rPr>
                <w:rFonts w:ascii="Arial" w:hAnsi="Arial" w:eastAsia="Arial"/>
                <w:b/>
                <w:bCs/>
                <w:sz w:val="16"/>
              </w:rPr>
              <w:t>U3/D7</w:t>
            </w:r>
            <w:r>
              <w:rPr>
                <w:rFonts w:ascii="Arial" w:hAnsi="Arial" w:eastAsia="Arial"/>
                <w:sz w:val="16"/>
              </w:rPr>
              <w:t xml:space="preserve"> </w:t>
            </w:r>
            <w:r>
              <w:rPr>
                <w:rFonts w:ascii="Arial" w:hAnsi="Arial" w:eastAsia="Arial"/>
                <w:sz w:val="16"/>
              </w:rPr>
              <w:t>- Local Ecology</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b/>
                <w:bCs/>
                <w:sz w:val="16"/>
              </w:rPr>
              <w:t>U4 Organization</w:t>
            </w:r>
          </w:p>
        </w:tc>
        <w:tc>
          <w:tcPr>
            <w:vAlign w:val="top"/>
            <w:tcMar>
              <w:top w:w="70" w:type="dxa"/>
              <w:start w:w="80" w:type="dxa"/>
              <w:bottom w:w="70" w:type="dxa"/>
              <w:end w:w="80" w:type="dxa"/>
            </w:tcMar>
            <w:shd w:fill="FFFFFF"/>
          </w:tcPr>
          <w:p>
            <w:pPr>
              <w:pStyle w:val="Compact"/>
              <w:jc w:val="left"/>
            </w:pPr>
            <w:r>
              <w:rPr>
                <w:rFonts w:ascii="Arial" w:hAnsi="Arial" w:eastAsia="Arial"/>
                <w:b/>
                <w:bCs/>
                <w:sz w:val="16"/>
              </w:rPr>
              <w:t>U4/D1</w:t>
            </w:r>
            <w:r>
              <w:rPr>
                <w:rFonts w:ascii="Arial" w:hAnsi="Arial" w:eastAsia="Arial"/>
                <w:sz w:val="16"/>
              </w:rPr>
              <w:t xml:space="preserve"> </w:t>
            </w:r>
            <w:r>
              <w:rPr>
                <w:rFonts w:ascii="Arial" w:hAnsi="Arial" w:eastAsia="Arial"/>
                <w:sz w:val="16"/>
              </w:rPr>
              <w:t>- Organizational Resources</w:t>
            </w:r>
          </w:p>
        </w:tc>
        <w:tc>
          <w:tcPr>
            <w:vAlign w:val="top"/>
            <w:tcMar>
              <w:top w:w="70" w:type="dxa"/>
              <w:start w:w="80" w:type="dxa"/>
              <w:bottom w:w="70" w:type="dxa"/>
              <w:end w:w="80" w:type="dxa"/>
            </w:tcMar>
            <w:shd w:fill="FFFFFF"/>
          </w:tcPr>
          <w:p>
            <w:pPr>
              <w:pStyle w:val="Compact"/>
              <w:jc w:val="left"/>
            </w:pPr>
            <w:r>
              <w:rPr>
                <w:rFonts w:ascii="Arial" w:hAnsi="Arial" w:eastAsia="Arial"/>
                <w:b/>
                <w:bCs/>
                <w:sz w:val="16"/>
              </w:rPr>
              <w:t>U4/D2</w:t>
            </w:r>
            <w:r>
              <w:rPr>
                <w:rFonts w:ascii="Arial" w:hAnsi="Arial" w:eastAsia="Arial"/>
                <w:sz w:val="16"/>
              </w:rPr>
              <w:t xml:space="preserve"> </w:t>
            </w:r>
            <w:r>
              <w:rPr>
                <w:rFonts w:ascii="Arial" w:hAnsi="Arial" w:eastAsia="Arial"/>
                <w:sz w:val="16"/>
              </w:rPr>
              <w:t>- Organizational Safety</w:t>
            </w:r>
          </w:p>
        </w:tc>
        <w:tc>
          <w:tcPr>
            <w:vAlign w:val="top"/>
            <w:tcMar>
              <w:top w:w="70" w:type="dxa"/>
              <w:start w:w="80" w:type="dxa"/>
              <w:bottom w:w="70" w:type="dxa"/>
              <w:end w:w="80" w:type="dxa"/>
            </w:tcMar>
            <w:shd w:fill="FFFFFF"/>
          </w:tcPr>
          <w:p>
            <w:pPr>
              <w:pStyle w:val="Compact"/>
              <w:jc w:val="left"/>
            </w:pPr>
            <w:r>
              <w:rPr>
                <w:rFonts w:ascii="Arial" w:hAnsi="Arial" w:eastAsia="Arial"/>
                <w:b/>
                <w:bCs/>
                <w:sz w:val="16"/>
              </w:rPr>
              <w:t>U4/D3</w:t>
            </w:r>
            <w:r>
              <w:rPr>
                <w:rFonts w:ascii="Arial" w:hAnsi="Arial" w:eastAsia="Arial"/>
                <w:sz w:val="16"/>
              </w:rPr>
              <w:t xml:space="preserve"> </w:t>
            </w:r>
            <w:r>
              <w:rPr>
                <w:rFonts w:ascii="Arial" w:hAnsi="Arial" w:eastAsia="Arial"/>
                <w:sz w:val="16"/>
              </w:rPr>
              <w:t>- Organizational Culture</w:t>
            </w:r>
          </w:p>
        </w:tc>
        <w:tc>
          <w:tcPr>
            <w:vAlign w:val="top"/>
            <w:tcMar>
              <w:top w:w="70" w:type="dxa"/>
              <w:start w:w="80" w:type="dxa"/>
              <w:bottom w:w="70" w:type="dxa"/>
              <w:end w:w="80" w:type="dxa"/>
            </w:tcMar>
            <w:shd w:fill="FFFFFF"/>
          </w:tcPr>
          <w:p>
            <w:pPr>
              <w:pStyle w:val="Compact"/>
              <w:jc w:val="left"/>
            </w:pPr>
            <w:r>
              <w:rPr>
                <w:rFonts w:ascii="Arial" w:hAnsi="Arial" w:eastAsia="Arial"/>
                <w:b/>
                <w:bCs/>
                <w:sz w:val="16"/>
              </w:rPr>
              <w:t>U4/D4</w:t>
            </w:r>
            <w:r>
              <w:rPr>
                <w:rFonts w:ascii="Arial" w:hAnsi="Arial" w:eastAsia="Arial"/>
                <w:sz w:val="16"/>
              </w:rPr>
              <w:t xml:space="preserve"> </w:t>
            </w:r>
            <w:r>
              <w:rPr>
                <w:rFonts w:ascii="Arial" w:hAnsi="Arial" w:eastAsia="Arial"/>
                <w:sz w:val="16"/>
              </w:rPr>
              <w:t>- Knowledge Systems</w:t>
            </w:r>
          </w:p>
        </w:tc>
        <w:tc>
          <w:tcPr>
            <w:vAlign w:val="top"/>
            <w:tcMar>
              <w:top w:w="70" w:type="dxa"/>
              <w:start w:w="80" w:type="dxa"/>
              <w:bottom w:w="70" w:type="dxa"/>
              <w:end w:w="80" w:type="dxa"/>
            </w:tcMar>
            <w:shd w:fill="FFFFFF"/>
          </w:tcPr>
          <w:p>
            <w:pPr>
              <w:pStyle w:val="Compact"/>
              <w:jc w:val="left"/>
            </w:pPr>
            <w:r>
              <w:rPr>
                <w:rFonts w:ascii="Arial" w:hAnsi="Arial" w:eastAsia="Arial"/>
                <w:b/>
                <w:bCs/>
                <w:sz w:val="16"/>
              </w:rPr>
              <w:t>U4/D5</w:t>
            </w:r>
            <w:r>
              <w:rPr>
                <w:rFonts w:ascii="Arial" w:hAnsi="Arial" w:eastAsia="Arial"/>
                <w:sz w:val="16"/>
              </w:rPr>
              <w:t xml:space="preserve"> </w:t>
            </w:r>
            <w:r>
              <w:rPr>
                <w:rFonts w:ascii="Arial" w:hAnsi="Arial" w:eastAsia="Arial"/>
                <w:sz w:val="16"/>
              </w:rPr>
              <w:t>- Role Agency</w:t>
            </w:r>
          </w:p>
        </w:tc>
        <w:tc>
          <w:tcPr>
            <w:vAlign w:val="top"/>
            <w:tcMar>
              <w:top w:w="70" w:type="dxa"/>
              <w:start w:w="80" w:type="dxa"/>
              <w:bottom w:w="70" w:type="dxa"/>
              <w:end w:w="80" w:type="dxa"/>
            </w:tcMar>
            <w:shd w:fill="FFFFFF"/>
          </w:tcPr>
          <w:p>
            <w:pPr>
              <w:pStyle w:val="Compact"/>
              <w:jc w:val="left"/>
            </w:pPr>
            <w:r>
              <w:rPr>
                <w:rFonts w:ascii="Arial" w:hAnsi="Arial" w:eastAsia="Arial"/>
                <w:b/>
                <w:bCs/>
                <w:sz w:val="16"/>
              </w:rPr>
              <w:t>U4/D6</w:t>
            </w:r>
            <w:r>
              <w:rPr>
                <w:rFonts w:ascii="Arial" w:hAnsi="Arial" w:eastAsia="Arial"/>
                <w:sz w:val="16"/>
              </w:rPr>
              <w:t xml:space="preserve"> </w:t>
            </w:r>
            <w:r>
              <w:rPr>
                <w:rFonts w:ascii="Arial" w:hAnsi="Arial" w:eastAsia="Arial"/>
                <w:sz w:val="16"/>
              </w:rPr>
              <w:t>- Mission Coherence</w:t>
            </w:r>
          </w:p>
        </w:tc>
        <w:tc>
          <w:tcPr>
            <w:vAlign w:val="top"/>
            <w:tcMar>
              <w:top w:w="70" w:type="dxa"/>
              <w:start w:w="80" w:type="dxa"/>
              <w:bottom w:w="70" w:type="dxa"/>
              <w:end w:w="80" w:type="dxa"/>
            </w:tcMar>
            <w:shd w:fill="FFFFFF"/>
          </w:tcPr>
          <w:p>
            <w:pPr>
              <w:pStyle w:val="Compact"/>
              <w:jc w:val="left"/>
            </w:pPr>
            <w:r>
              <w:rPr>
                <w:rFonts w:ascii="Arial" w:hAnsi="Arial" w:eastAsia="Arial"/>
                <w:b/>
                <w:bCs/>
                <w:sz w:val="16"/>
              </w:rPr>
              <w:t>U4/D7</w:t>
            </w:r>
            <w:r>
              <w:rPr>
                <w:rFonts w:ascii="Arial" w:hAnsi="Arial" w:eastAsia="Arial"/>
                <w:sz w:val="16"/>
              </w:rPr>
              <w:t xml:space="preserve"> </w:t>
            </w:r>
            <w:r>
              <w:rPr>
                <w:rFonts w:ascii="Arial" w:hAnsi="Arial" w:eastAsia="Arial"/>
                <w:sz w:val="16"/>
              </w:rPr>
              <w:t>- Operational Footprint</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b/>
                <w:bCs/>
                <w:sz w:val="16"/>
              </w:rPr>
              <w:t>U5 Polity</w:t>
            </w:r>
          </w:p>
        </w:tc>
        <w:tc>
          <w:tcPr>
            <w:vAlign w:val="top"/>
            <w:tcMar>
              <w:top w:w="70" w:type="dxa"/>
              <w:start w:w="80" w:type="dxa"/>
              <w:bottom w:w="70" w:type="dxa"/>
              <w:end w:w="80" w:type="dxa"/>
            </w:tcMar>
            <w:shd w:fill="D9EAF7"/>
          </w:tcPr>
          <w:p>
            <w:pPr>
              <w:pStyle w:val="Compact"/>
              <w:jc w:val="left"/>
            </w:pPr>
            <w:r>
              <w:rPr>
                <w:rFonts w:ascii="Arial" w:hAnsi="Arial" w:eastAsia="Arial"/>
                <w:b/>
                <w:bCs/>
                <w:sz w:val="16"/>
              </w:rPr>
              <w:t>U5/D1</w:t>
            </w:r>
            <w:r>
              <w:rPr>
                <w:rFonts w:ascii="Arial" w:hAnsi="Arial" w:eastAsia="Arial"/>
                <w:sz w:val="16"/>
              </w:rPr>
              <w:t xml:space="preserve"> </w:t>
            </w:r>
            <w:r>
              <w:rPr>
                <w:rFonts w:ascii="Arial" w:hAnsi="Arial" w:eastAsia="Arial"/>
                <w:sz w:val="16"/>
              </w:rPr>
              <w:t>- Public Resources</w:t>
            </w:r>
          </w:p>
        </w:tc>
        <w:tc>
          <w:tcPr>
            <w:vAlign w:val="top"/>
            <w:tcMar>
              <w:top w:w="70" w:type="dxa"/>
              <w:start w:w="80" w:type="dxa"/>
              <w:bottom w:w="70" w:type="dxa"/>
              <w:end w:w="80" w:type="dxa"/>
            </w:tcMar>
            <w:shd w:fill="D9EAF7"/>
          </w:tcPr>
          <w:p>
            <w:pPr>
              <w:pStyle w:val="Compact"/>
              <w:jc w:val="left"/>
            </w:pPr>
            <w:r>
              <w:rPr>
                <w:rFonts w:ascii="Arial" w:hAnsi="Arial" w:eastAsia="Arial"/>
                <w:b/>
                <w:bCs/>
                <w:sz w:val="16"/>
              </w:rPr>
              <w:t>U5/D2</w:t>
            </w:r>
            <w:r>
              <w:rPr>
                <w:rFonts w:ascii="Arial" w:hAnsi="Arial" w:eastAsia="Arial"/>
                <w:sz w:val="16"/>
              </w:rPr>
              <w:t xml:space="preserve"> </w:t>
            </w:r>
            <w:r>
              <w:rPr>
                <w:rFonts w:ascii="Arial" w:hAnsi="Arial" w:eastAsia="Arial"/>
                <w:sz w:val="16"/>
              </w:rPr>
              <w:t>- Population Health</w:t>
            </w:r>
          </w:p>
        </w:tc>
        <w:tc>
          <w:tcPr>
            <w:vAlign w:val="top"/>
            <w:tcMar>
              <w:top w:w="70" w:type="dxa"/>
              <w:start w:w="80" w:type="dxa"/>
              <w:bottom w:w="70" w:type="dxa"/>
              <w:end w:w="80" w:type="dxa"/>
            </w:tcMar>
            <w:shd w:fill="D9EAF7"/>
          </w:tcPr>
          <w:p>
            <w:pPr>
              <w:pStyle w:val="Compact"/>
              <w:jc w:val="left"/>
            </w:pPr>
            <w:r>
              <w:rPr>
                <w:rFonts w:ascii="Arial" w:hAnsi="Arial" w:eastAsia="Arial"/>
                <w:b/>
                <w:bCs/>
                <w:sz w:val="16"/>
              </w:rPr>
              <w:t>U5/D3</w:t>
            </w:r>
            <w:r>
              <w:rPr>
                <w:rFonts w:ascii="Arial" w:hAnsi="Arial" w:eastAsia="Arial"/>
                <w:sz w:val="16"/>
              </w:rPr>
              <w:t xml:space="preserve"> </w:t>
            </w:r>
            <w:r>
              <w:rPr>
                <w:rFonts w:ascii="Arial" w:hAnsi="Arial" w:eastAsia="Arial"/>
                <w:sz w:val="16"/>
              </w:rPr>
              <w:t>- Legitimacy</w:t>
            </w:r>
          </w:p>
        </w:tc>
        <w:tc>
          <w:tcPr>
            <w:vAlign w:val="top"/>
            <w:tcMar>
              <w:top w:w="70" w:type="dxa"/>
              <w:start w:w="80" w:type="dxa"/>
              <w:bottom w:w="70" w:type="dxa"/>
              <w:end w:w="80" w:type="dxa"/>
            </w:tcMar>
            <w:shd w:fill="D9EAF7"/>
          </w:tcPr>
          <w:p>
            <w:pPr>
              <w:pStyle w:val="Compact"/>
              <w:jc w:val="left"/>
            </w:pPr>
            <w:r>
              <w:rPr>
                <w:rFonts w:ascii="Arial" w:hAnsi="Arial" w:eastAsia="Arial"/>
                <w:b/>
                <w:bCs/>
                <w:sz w:val="16"/>
              </w:rPr>
              <w:t>U5/D4</w:t>
            </w:r>
            <w:r>
              <w:rPr>
                <w:rFonts w:ascii="Arial" w:hAnsi="Arial" w:eastAsia="Arial"/>
                <w:sz w:val="16"/>
              </w:rPr>
              <w:t xml:space="preserve"> </w:t>
            </w:r>
            <w:r>
              <w:rPr>
                <w:rFonts w:ascii="Arial" w:hAnsi="Arial" w:eastAsia="Arial"/>
                <w:sz w:val="16"/>
              </w:rPr>
              <w:t>- Information Access</w:t>
            </w:r>
          </w:p>
        </w:tc>
        <w:tc>
          <w:tcPr>
            <w:vAlign w:val="top"/>
            <w:tcMar>
              <w:top w:w="70" w:type="dxa"/>
              <w:start w:w="80" w:type="dxa"/>
              <w:bottom w:w="70" w:type="dxa"/>
              <w:end w:w="80" w:type="dxa"/>
            </w:tcMar>
            <w:shd w:fill="D9EAF7"/>
          </w:tcPr>
          <w:p>
            <w:pPr>
              <w:pStyle w:val="Compact"/>
              <w:jc w:val="left"/>
            </w:pPr>
            <w:r>
              <w:rPr>
                <w:rFonts w:ascii="Arial" w:hAnsi="Arial" w:eastAsia="Arial"/>
                <w:b/>
                <w:bCs/>
                <w:sz w:val="16"/>
              </w:rPr>
              <w:t>U5/D5</w:t>
            </w:r>
            <w:r>
              <w:rPr>
                <w:rFonts w:ascii="Arial" w:hAnsi="Arial" w:eastAsia="Arial"/>
                <w:sz w:val="16"/>
              </w:rPr>
              <w:t xml:space="preserve"> </w:t>
            </w:r>
            <w:r>
              <w:rPr>
                <w:rFonts w:ascii="Arial" w:hAnsi="Arial" w:eastAsia="Arial"/>
                <w:sz w:val="16"/>
              </w:rPr>
              <w:t>- Civil Agency</w:t>
            </w:r>
          </w:p>
        </w:tc>
        <w:tc>
          <w:tcPr>
            <w:vAlign w:val="top"/>
            <w:tcMar>
              <w:top w:w="70" w:type="dxa"/>
              <w:start w:w="80" w:type="dxa"/>
              <w:bottom w:w="70" w:type="dxa"/>
              <w:end w:w="80" w:type="dxa"/>
            </w:tcMar>
            <w:shd w:fill="D9EAF7"/>
          </w:tcPr>
          <w:p>
            <w:pPr>
              <w:pStyle w:val="Compact"/>
              <w:jc w:val="left"/>
            </w:pPr>
            <w:r>
              <w:rPr>
                <w:rFonts w:ascii="Arial" w:hAnsi="Arial" w:eastAsia="Arial"/>
                <w:b/>
                <w:bCs/>
                <w:sz w:val="16"/>
              </w:rPr>
              <w:t>U5/D6</w:t>
            </w:r>
            <w:r>
              <w:rPr>
                <w:rFonts w:ascii="Arial" w:hAnsi="Arial" w:eastAsia="Arial"/>
                <w:sz w:val="16"/>
              </w:rPr>
              <w:t xml:space="preserve"> </w:t>
            </w:r>
            <w:r>
              <w:rPr>
                <w:rFonts w:ascii="Arial" w:hAnsi="Arial" w:eastAsia="Arial"/>
                <w:sz w:val="16"/>
              </w:rPr>
              <w:t>- Public Meaning</w:t>
            </w:r>
          </w:p>
        </w:tc>
        <w:tc>
          <w:tcPr>
            <w:vAlign w:val="top"/>
            <w:tcMar>
              <w:top w:w="70" w:type="dxa"/>
              <w:start w:w="80" w:type="dxa"/>
              <w:bottom w:w="70" w:type="dxa"/>
              <w:end w:w="80" w:type="dxa"/>
            </w:tcMar>
            <w:shd w:fill="D9EAF7"/>
          </w:tcPr>
          <w:p>
            <w:pPr>
              <w:pStyle w:val="Compact"/>
              <w:jc w:val="left"/>
            </w:pPr>
            <w:r>
              <w:rPr>
                <w:rFonts w:ascii="Arial" w:hAnsi="Arial" w:eastAsia="Arial"/>
                <w:b/>
                <w:bCs/>
                <w:sz w:val="16"/>
              </w:rPr>
              <w:t>U5/D7</w:t>
            </w:r>
            <w:r>
              <w:rPr>
                <w:rFonts w:ascii="Arial" w:hAnsi="Arial" w:eastAsia="Arial"/>
                <w:sz w:val="16"/>
              </w:rPr>
              <w:t xml:space="preserve"> </w:t>
            </w:r>
            <w:r>
              <w:rPr>
                <w:rFonts w:ascii="Arial" w:hAnsi="Arial" w:eastAsia="Arial"/>
                <w:sz w:val="16"/>
              </w:rPr>
              <w:t>- Public Environment</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b/>
                <w:bCs/>
                <w:sz w:val="16"/>
              </w:rPr>
              <w:t>U6 Humanity / Global Coordination</w:t>
            </w:r>
          </w:p>
        </w:tc>
        <w:tc>
          <w:tcPr>
            <w:vAlign w:val="top"/>
            <w:tcMar>
              <w:top w:w="70" w:type="dxa"/>
              <w:start w:w="80" w:type="dxa"/>
              <w:bottom w:w="70" w:type="dxa"/>
              <w:end w:w="80" w:type="dxa"/>
            </w:tcMar>
            <w:shd w:fill="FFFFFF"/>
          </w:tcPr>
          <w:p>
            <w:pPr>
              <w:pStyle w:val="Compact"/>
              <w:jc w:val="left"/>
            </w:pPr>
            <w:r>
              <w:rPr>
                <w:rFonts w:ascii="Arial" w:hAnsi="Arial" w:eastAsia="Arial"/>
                <w:b/>
                <w:bCs/>
                <w:sz w:val="16"/>
              </w:rPr>
              <w:t>U6/D1</w:t>
            </w:r>
            <w:r>
              <w:rPr>
                <w:rFonts w:ascii="Arial" w:hAnsi="Arial" w:eastAsia="Arial"/>
                <w:sz w:val="16"/>
              </w:rPr>
              <w:t xml:space="preserve"> </w:t>
            </w:r>
            <w:r>
              <w:rPr>
                <w:rFonts w:ascii="Arial" w:hAnsi="Arial" w:eastAsia="Arial"/>
                <w:sz w:val="16"/>
              </w:rPr>
              <w:t>- Global Resources</w:t>
            </w:r>
          </w:p>
        </w:tc>
        <w:tc>
          <w:tcPr>
            <w:vAlign w:val="top"/>
            <w:tcMar>
              <w:top w:w="70" w:type="dxa"/>
              <w:start w:w="80" w:type="dxa"/>
              <w:bottom w:w="70" w:type="dxa"/>
              <w:end w:w="80" w:type="dxa"/>
            </w:tcMar>
            <w:shd w:fill="FFFFFF"/>
          </w:tcPr>
          <w:p>
            <w:pPr>
              <w:pStyle w:val="Compact"/>
              <w:jc w:val="left"/>
            </w:pPr>
            <w:r>
              <w:rPr>
                <w:rFonts w:ascii="Arial" w:hAnsi="Arial" w:eastAsia="Arial"/>
                <w:b/>
                <w:bCs/>
                <w:sz w:val="16"/>
              </w:rPr>
              <w:t>U6/D2</w:t>
            </w:r>
            <w:r>
              <w:rPr>
                <w:rFonts w:ascii="Arial" w:hAnsi="Arial" w:eastAsia="Arial"/>
                <w:sz w:val="16"/>
              </w:rPr>
              <w:t xml:space="preserve"> </w:t>
            </w:r>
            <w:r>
              <w:rPr>
                <w:rFonts w:ascii="Arial" w:hAnsi="Arial" w:eastAsia="Arial"/>
                <w:sz w:val="16"/>
              </w:rPr>
              <w:t>- Human Safety</w:t>
            </w:r>
          </w:p>
        </w:tc>
        <w:tc>
          <w:tcPr>
            <w:vAlign w:val="top"/>
            <w:tcMar>
              <w:top w:w="70" w:type="dxa"/>
              <w:start w:w="80" w:type="dxa"/>
              <w:bottom w:w="70" w:type="dxa"/>
              <w:end w:w="80" w:type="dxa"/>
            </w:tcMar>
            <w:shd w:fill="FFFFFF"/>
          </w:tcPr>
          <w:p>
            <w:pPr>
              <w:pStyle w:val="Compact"/>
              <w:jc w:val="left"/>
            </w:pPr>
            <w:r>
              <w:rPr>
                <w:rFonts w:ascii="Arial" w:hAnsi="Arial" w:eastAsia="Arial"/>
                <w:b/>
                <w:bCs/>
                <w:sz w:val="16"/>
              </w:rPr>
              <w:t>U6/D3</w:t>
            </w:r>
            <w:r>
              <w:rPr>
                <w:rFonts w:ascii="Arial" w:hAnsi="Arial" w:eastAsia="Arial"/>
                <w:sz w:val="16"/>
              </w:rPr>
              <w:t xml:space="preserve"> </w:t>
            </w:r>
            <w:r>
              <w:rPr>
                <w:rFonts w:ascii="Arial" w:hAnsi="Arial" w:eastAsia="Arial"/>
                <w:sz w:val="16"/>
              </w:rPr>
              <w:t>- Cooperation</w:t>
            </w:r>
          </w:p>
        </w:tc>
        <w:tc>
          <w:tcPr>
            <w:vAlign w:val="top"/>
            <w:tcMar>
              <w:top w:w="70" w:type="dxa"/>
              <w:start w:w="80" w:type="dxa"/>
              <w:bottom w:w="70" w:type="dxa"/>
              <w:end w:w="80" w:type="dxa"/>
            </w:tcMar>
            <w:shd w:fill="FFFFFF"/>
          </w:tcPr>
          <w:p>
            <w:pPr>
              <w:pStyle w:val="Compact"/>
              <w:jc w:val="left"/>
            </w:pPr>
            <w:r>
              <w:rPr>
                <w:rFonts w:ascii="Arial" w:hAnsi="Arial" w:eastAsia="Arial"/>
                <w:b/>
                <w:bCs/>
                <w:sz w:val="16"/>
              </w:rPr>
              <w:t>U6/D4</w:t>
            </w:r>
            <w:r>
              <w:rPr>
                <w:rFonts w:ascii="Arial" w:hAnsi="Arial" w:eastAsia="Arial"/>
                <w:sz w:val="16"/>
              </w:rPr>
              <w:t xml:space="preserve"> </w:t>
            </w:r>
            <w:r>
              <w:rPr>
                <w:rFonts w:ascii="Arial" w:hAnsi="Arial" w:eastAsia="Arial"/>
                <w:sz w:val="16"/>
              </w:rPr>
              <w:t>- Civilizational Knowledge</w:t>
            </w:r>
          </w:p>
        </w:tc>
        <w:tc>
          <w:tcPr>
            <w:vAlign w:val="top"/>
            <w:tcMar>
              <w:top w:w="70" w:type="dxa"/>
              <w:start w:w="80" w:type="dxa"/>
              <w:bottom w:w="70" w:type="dxa"/>
              <w:end w:w="80" w:type="dxa"/>
            </w:tcMar>
            <w:shd w:fill="FFFFFF"/>
          </w:tcPr>
          <w:p>
            <w:pPr>
              <w:pStyle w:val="Compact"/>
              <w:jc w:val="left"/>
            </w:pPr>
            <w:r>
              <w:rPr>
                <w:rFonts w:ascii="Arial" w:hAnsi="Arial" w:eastAsia="Arial"/>
                <w:b/>
                <w:bCs/>
                <w:sz w:val="16"/>
              </w:rPr>
              <w:t>U6/D5</w:t>
            </w:r>
            <w:r>
              <w:rPr>
                <w:rFonts w:ascii="Arial" w:hAnsi="Arial" w:eastAsia="Arial"/>
                <w:sz w:val="16"/>
              </w:rPr>
              <w:t xml:space="preserve"> </w:t>
            </w:r>
            <w:r>
              <w:rPr>
                <w:rFonts w:ascii="Arial" w:hAnsi="Arial" w:eastAsia="Arial"/>
                <w:sz w:val="16"/>
              </w:rPr>
              <w:t>- Collective Agency</w:t>
            </w:r>
          </w:p>
        </w:tc>
        <w:tc>
          <w:tcPr>
            <w:vAlign w:val="top"/>
            <w:tcMar>
              <w:top w:w="70" w:type="dxa"/>
              <w:start w:w="80" w:type="dxa"/>
              <w:bottom w:w="70" w:type="dxa"/>
              <w:end w:w="80" w:type="dxa"/>
            </w:tcMar>
            <w:shd w:fill="FFFFFF"/>
          </w:tcPr>
          <w:p>
            <w:pPr>
              <w:pStyle w:val="Compact"/>
              <w:jc w:val="left"/>
            </w:pPr>
            <w:r>
              <w:rPr>
                <w:rFonts w:ascii="Arial" w:hAnsi="Arial" w:eastAsia="Arial"/>
                <w:b/>
                <w:bCs/>
                <w:sz w:val="16"/>
              </w:rPr>
              <w:t>U6/D6</w:t>
            </w:r>
            <w:r>
              <w:rPr>
                <w:rFonts w:ascii="Arial" w:hAnsi="Arial" w:eastAsia="Arial"/>
                <w:sz w:val="16"/>
              </w:rPr>
              <w:t xml:space="preserve"> </w:t>
            </w:r>
            <w:r>
              <w:rPr>
                <w:rFonts w:ascii="Arial" w:hAnsi="Arial" w:eastAsia="Arial"/>
                <w:sz w:val="16"/>
              </w:rPr>
              <w:t>- Shared Purpose</w:t>
            </w:r>
          </w:p>
        </w:tc>
        <w:tc>
          <w:tcPr>
            <w:vAlign w:val="top"/>
            <w:tcMar>
              <w:top w:w="70" w:type="dxa"/>
              <w:start w:w="80" w:type="dxa"/>
              <w:bottom w:w="70" w:type="dxa"/>
              <w:end w:w="80" w:type="dxa"/>
            </w:tcMar>
            <w:shd w:fill="FFFFFF"/>
          </w:tcPr>
          <w:p>
            <w:pPr>
              <w:pStyle w:val="Compact"/>
              <w:jc w:val="left"/>
            </w:pPr>
            <w:r>
              <w:rPr>
                <w:rFonts w:ascii="Arial" w:hAnsi="Arial" w:eastAsia="Arial"/>
                <w:b/>
                <w:bCs/>
                <w:sz w:val="16"/>
              </w:rPr>
              <w:t>U6/D7</w:t>
            </w:r>
            <w:r>
              <w:rPr>
                <w:rFonts w:ascii="Arial" w:hAnsi="Arial" w:eastAsia="Arial"/>
                <w:sz w:val="16"/>
              </w:rPr>
              <w:t xml:space="preserve"> </w:t>
            </w:r>
            <w:r>
              <w:rPr>
                <w:rFonts w:ascii="Arial" w:hAnsi="Arial" w:eastAsia="Arial"/>
                <w:sz w:val="16"/>
              </w:rPr>
              <w:t>- Planetary Conditions</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b/>
                <w:bCs/>
                <w:sz w:val="16"/>
              </w:rPr>
              <w:t>U7 Biosphere</w:t>
            </w:r>
          </w:p>
        </w:tc>
        <w:tc>
          <w:tcPr>
            <w:vAlign w:val="top"/>
            <w:tcMar>
              <w:top w:w="70" w:type="dxa"/>
              <w:start w:w="80" w:type="dxa"/>
              <w:bottom w:w="70" w:type="dxa"/>
              <w:end w:w="80" w:type="dxa"/>
            </w:tcMar>
            <w:shd w:fill="D9EAF7"/>
          </w:tcPr>
          <w:p>
            <w:pPr>
              <w:pStyle w:val="Compact"/>
              <w:jc w:val="left"/>
            </w:pPr>
            <w:r>
              <w:rPr>
                <w:rFonts w:ascii="Arial" w:hAnsi="Arial" w:eastAsia="Arial"/>
                <w:b/>
                <w:bCs/>
                <w:sz w:val="16"/>
              </w:rPr>
              <w:t>U7/D1</w:t>
            </w:r>
            <w:r>
              <w:rPr>
                <w:rFonts w:ascii="Arial" w:hAnsi="Arial" w:eastAsia="Arial"/>
                <w:sz w:val="16"/>
              </w:rPr>
              <w:t xml:space="preserve"> </w:t>
            </w:r>
            <w:r>
              <w:rPr>
                <w:rFonts w:ascii="Arial" w:hAnsi="Arial" w:eastAsia="Arial"/>
                <w:sz w:val="16"/>
              </w:rPr>
              <w:t>- Life-Support Resources</w:t>
            </w:r>
          </w:p>
        </w:tc>
        <w:tc>
          <w:tcPr>
            <w:vAlign w:val="top"/>
            <w:tcMar>
              <w:top w:w="70" w:type="dxa"/>
              <w:start w:w="80" w:type="dxa"/>
              <w:bottom w:w="70" w:type="dxa"/>
              <w:end w:w="80" w:type="dxa"/>
            </w:tcMar>
            <w:shd w:fill="D9EAF7"/>
          </w:tcPr>
          <w:p>
            <w:pPr>
              <w:pStyle w:val="Compact"/>
              <w:jc w:val="left"/>
            </w:pPr>
            <w:r>
              <w:rPr>
                <w:rFonts w:ascii="Arial" w:hAnsi="Arial" w:eastAsia="Arial"/>
                <w:b/>
                <w:bCs/>
                <w:sz w:val="16"/>
              </w:rPr>
              <w:t>U7/D2</w:t>
            </w:r>
            <w:r>
              <w:rPr>
                <w:rFonts w:ascii="Arial" w:hAnsi="Arial" w:eastAsia="Arial"/>
                <w:sz w:val="16"/>
              </w:rPr>
              <w:t xml:space="preserve"> </w:t>
            </w:r>
            <w:r>
              <w:rPr>
                <w:rFonts w:ascii="Arial" w:hAnsi="Arial" w:eastAsia="Arial"/>
                <w:sz w:val="16"/>
              </w:rPr>
              <w:t>- Ecosystem Health</w:t>
            </w:r>
          </w:p>
        </w:tc>
        <w:tc>
          <w:tcPr>
            <w:vAlign w:val="top"/>
            <w:tcMar>
              <w:top w:w="70" w:type="dxa"/>
              <w:start w:w="80" w:type="dxa"/>
              <w:bottom w:w="70" w:type="dxa"/>
              <w:end w:w="80" w:type="dxa"/>
            </w:tcMar>
            <w:shd w:fill="D9EAF7"/>
          </w:tcPr>
          <w:p>
            <w:pPr>
              <w:pStyle w:val="Compact"/>
              <w:jc w:val="left"/>
            </w:pPr>
            <w:r>
              <w:rPr>
                <w:rFonts w:ascii="Arial" w:hAnsi="Arial" w:eastAsia="Arial"/>
                <w:b/>
                <w:bCs/>
                <w:sz w:val="16"/>
              </w:rPr>
              <w:t>U7/D3</w:t>
            </w:r>
            <w:r>
              <w:rPr>
                <w:rFonts w:ascii="Arial" w:hAnsi="Arial" w:eastAsia="Arial"/>
                <w:sz w:val="16"/>
              </w:rPr>
              <w:t xml:space="preserve"> </w:t>
            </w:r>
            <w:r>
              <w:rPr>
                <w:rFonts w:ascii="Arial" w:hAnsi="Arial" w:eastAsia="Arial"/>
                <w:sz w:val="16"/>
              </w:rPr>
              <w:t>- Biotic Relations</w:t>
            </w:r>
          </w:p>
        </w:tc>
        <w:tc>
          <w:tcPr>
            <w:vAlign w:val="top"/>
            <w:tcMar>
              <w:top w:w="70" w:type="dxa"/>
              <w:start w:w="80" w:type="dxa"/>
              <w:bottom w:w="70" w:type="dxa"/>
              <w:end w:w="80" w:type="dxa"/>
            </w:tcMar>
            <w:shd w:fill="D9EAF7"/>
          </w:tcPr>
          <w:p>
            <w:pPr>
              <w:pStyle w:val="Compact"/>
              <w:jc w:val="left"/>
            </w:pPr>
            <w:r>
              <w:rPr>
                <w:rFonts w:ascii="Arial" w:hAnsi="Arial" w:eastAsia="Arial"/>
                <w:b/>
                <w:bCs/>
                <w:sz w:val="16"/>
              </w:rPr>
              <w:t>U7/D4</w:t>
            </w:r>
            <w:r>
              <w:rPr>
                <w:rFonts w:ascii="Arial" w:hAnsi="Arial" w:eastAsia="Arial"/>
                <w:sz w:val="16"/>
              </w:rPr>
              <w:t xml:space="preserve"> </w:t>
            </w:r>
            <w:r>
              <w:rPr>
                <w:rFonts w:ascii="Arial" w:hAnsi="Arial" w:eastAsia="Arial"/>
                <w:sz w:val="16"/>
              </w:rPr>
              <w:t>- Ecological Knowledge</w:t>
            </w:r>
          </w:p>
        </w:tc>
        <w:tc>
          <w:tcPr>
            <w:vAlign w:val="top"/>
            <w:tcMar>
              <w:top w:w="70" w:type="dxa"/>
              <w:start w:w="80" w:type="dxa"/>
              <w:bottom w:w="70" w:type="dxa"/>
              <w:end w:w="80" w:type="dxa"/>
            </w:tcMar>
            <w:shd w:fill="D9EAF7"/>
          </w:tcPr>
          <w:p>
            <w:pPr>
              <w:pStyle w:val="Compact"/>
              <w:jc w:val="left"/>
            </w:pPr>
            <w:r>
              <w:rPr>
                <w:rFonts w:ascii="Arial" w:hAnsi="Arial" w:eastAsia="Arial"/>
                <w:b/>
                <w:bCs/>
                <w:sz w:val="16"/>
              </w:rPr>
              <w:t>U7/D5</w:t>
            </w:r>
            <w:r>
              <w:rPr>
                <w:rFonts w:ascii="Arial" w:hAnsi="Arial" w:eastAsia="Arial"/>
                <w:sz w:val="16"/>
              </w:rPr>
              <w:t xml:space="preserve"> </w:t>
            </w:r>
            <w:r>
              <w:rPr>
                <w:rFonts w:ascii="Arial" w:hAnsi="Arial" w:eastAsia="Arial"/>
                <w:sz w:val="16"/>
              </w:rPr>
              <w:t>- Resilience Capacity</w:t>
            </w:r>
          </w:p>
        </w:tc>
        <w:tc>
          <w:tcPr>
            <w:vAlign w:val="top"/>
            <w:tcMar>
              <w:top w:w="70" w:type="dxa"/>
              <w:start w:w="80" w:type="dxa"/>
              <w:bottom w:w="70" w:type="dxa"/>
              <w:end w:w="80" w:type="dxa"/>
            </w:tcMar>
            <w:shd w:fill="D9EAF7"/>
          </w:tcPr>
          <w:p>
            <w:pPr>
              <w:pStyle w:val="Compact"/>
              <w:jc w:val="left"/>
            </w:pPr>
            <w:r>
              <w:rPr>
                <w:rFonts w:ascii="Arial" w:hAnsi="Arial" w:eastAsia="Arial"/>
                <w:b/>
                <w:bCs/>
                <w:sz w:val="16"/>
              </w:rPr>
              <w:t>U7/D6</w:t>
            </w:r>
            <w:r>
              <w:rPr>
                <w:rFonts w:ascii="Arial" w:hAnsi="Arial" w:eastAsia="Arial"/>
                <w:sz w:val="16"/>
              </w:rPr>
              <w:t xml:space="preserve"> </w:t>
            </w:r>
            <w:r>
              <w:rPr>
                <w:rFonts w:ascii="Arial" w:hAnsi="Arial" w:eastAsia="Arial"/>
                <w:sz w:val="16"/>
              </w:rPr>
              <w:t>- Life Continuity</w:t>
            </w:r>
          </w:p>
        </w:tc>
        <w:tc>
          <w:tcPr>
            <w:vAlign w:val="top"/>
            <w:tcMar>
              <w:top w:w="70" w:type="dxa"/>
              <w:start w:w="80" w:type="dxa"/>
              <w:bottom w:w="70" w:type="dxa"/>
              <w:end w:w="80" w:type="dxa"/>
            </w:tcMar>
            <w:shd w:fill="D9EAF7"/>
          </w:tcPr>
          <w:p>
            <w:pPr>
              <w:pStyle w:val="Compact"/>
              <w:jc w:val="left"/>
            </w:pPr>
            <w:r>
              <w:rPr>
                <w:rFonts w:ascii="Arial" w:hAnsi="Arial" w:eastAsia="Arial"/>
                <w:b/>
                <w:bCs/>
                <w:sz w:val="16"/>
              </w:rPr>
              <w:t>U7/D7</w:t>
            </w:r>
            <w:r>
              <w:rPr>
                <w:rFonts w:ascii="Arial" w:hAnsi="Arial" w:eastAsia="Arial"/>
                <w:sz w:val="16"/>
              </w:rPr>
              <w:t xml:space="preserve"> </w:t>
            </w:r>
            <w:r>
              <w:rPr>
                <w:rFonts w:ascii="Arial" w:hAnsi="Arial" w:eastAsia="Arial"/>
                <w:sz w:val="16"/>
              </w:rPr>
              <w:t>- Ecological Integrity</w:t>
            </w:r>
          </w:p>
        </w:tc>
      </w:tr>
    </w:tbl>
    <w:bookmarkEnd w:id="633"/>
    <w:bookmarkStart w:id="634" w:name="ad1b-detailed-49-cell-dictionary"/>
    <w:p>
      <w:pPr>
        <w:pStyle w:val="Heading3"/>
      </w:pPr>
      <w:r>
        <w:t>AD.1B Detailed 49-cell dictionary</w:t>
      </w:r>
    </w:p>
    <w:bookmarkEnd w:id="634"/>
    <w:bookmarkStart w:id="635" w:name="u1-self---meaning-and-movement"/>
    <w:p>
      <w:pPr>
        <w:pStyle w:val="Heading3"/>
      </w:pPr>
      <w:r>
        <w:t>U1 Self - meaning and movement</w:t>
      </w:r>
    </w:p>
    <w:tbl>
      <w:tblPr>
        <w:tblStyle w:val="Table"/>
        <w:tblW w:type="auto" w:w="0"/>
        <w:jc w:val="center"/>
        <w:tblLook w:firstRow="1" w:lastRow="0" w:firstColumn="0" w:lastColumn="0" w:noHBand="0" w:noVBand="0" w:val="0020"/>
      </w:tblPr>
      <w:tblGrid>
        <w:gridCol w:w="1980"/>
        <w:gridCol w:w="1980"/>
        <w:gridCol w:w="1980"/>
        <w:gridCol w:w="1980"/>
      </w:tblGrid>
      <w:tr>
        <w:trPr>
          <w:tblHeader w:val="on"/>
          <w:tblHeader w:val="true"/>
          <w:cantSplit/>
        </w:trPr>
        <w:tc>
          <w:tcPr>
            <w:vAlign w:val="top"/>
            <w:tcMar>
              <w:top w:w="70" w:type="dxa"/>
              <w:start w:w="80" w:type="dxa"/>
              <w:bottom w:w="70" w:type="dxa"/>
              <w:end w:w="80" w:type="dxa"/>
            </w:tcMar>
            <w:shd w:fill="1F4E78"/>
          </w:tcPr>
          <w:p>
            <w:pPr>
              <w:pStyle w:val="Compact"/>
              <w:jc w:val="left"/>
            </w:pPr>
            <w:r>
              <w:rPr>
                <w:rFonts w:ascii="Arial" w:hAnsi="Arial" w:eastAsia="Arial"/>
                <w:b/>
                <w:color w:val="FFFFFF"/>
                <w:sz w:val="16"/>
              </w:rPr>
              <w:t>Cell</w:t>
            </w:r>
          </w:p>
        </w:tc>
        <w:tc>
          <w:tcPr>
            <w:vAlign w:val="top"/>
            <w:tcMar>
              <w:top w:w="70" w:type="dxa"/>
              <w:start w:w="80" w:type="dxa"/>
              <w:bottom w:w="70" w:type="dxa"/>
              <w:end w:w="80" w:type="dxa"/>
            </w:tcMar>
            <w:shd w:fill="1F4E78"/>
          </w:tcPr>
          <w:p>
            <w:pPr>
              <w:pStyle w:val="Compact"/>
              <w:jc w:val="left"/>
            </w:pPr>
            <w:r>
              <w:rPr>
                <w:rFonts w:ascii="Arial" w:hAnsi="Arial" w:eastAsia="Arial"/>
                <w:b/>
                <w:color w:val="FFFFFF"/>
                <w:sz w:val="16"/>
              </w:rPr>
              <w:t>What this cell measures</w:t>
            </w:r>
          </w:p>
        </w:tc>
        <w:tc>
          <w:tcPr>
            <w:vAlign w:val="top"/>
            <w:tcMar>
              <w:top w:w="70" w:type="dxa"/>
              <w:start w:w="80" w:type="dxa"/>
              <w:bottom w:w="70" w:type="dxa"/>
              <w:end w:w="80" w:type="dxa"/>
            </w:tcMar>
            <w:shd w:fill="1F4E78"/>
          </w:tcPr>
          <w:p>
            <w:pPr>
              <w:pStyle w:val="Compact"/>
              <w:jc w:val="left"/>
            </w:pPr>
            <w:r>
              <w:rPr>
                <w:rFonts w:ascii="Arial" w:hAnsi="Arial" w:eastAsia="Arial"/>
                <w:b/>
                <w:color w:val="FFFFFF"/>
                <w:sz w:val="16"/>
              </w:rPr>
              <w:t>+ Benefit</w:t>
            </w:r>
          </w:p>
        </w:tc>
        <w:tc>
          <w:tcPr>
            <w:vAlign w:val="top"/>
            <w:tcMar>
              <w:top w:w="70" w:type="dxa"/>
              <w:start w:w="80" w:type="dxa"/>
              <w:bottom w:w="70" w:type="dxa"/>
              <w:end w:w="80" w:type="dxa"/>
            </w:tcMar>
            <w:shd w:fill="1F4E78"/>
          </w:tcPr>
          <w:p>
            <w:pPr>
              <w:pStyle w:val="Compact"/>
              <w:jc w:val="left"/>
            </w:pPr>
            <w:r>
              <w:rPr>
                <w:rFonts w:ascii="Arial" w:hAnsi="Arial" w:eastAsia="Arial"/>
                <w:b/>
                <w:color w:val="FFFFFF"/>
                <w:sz w:val="16"/>
              </w:rPr>
              <w:t>- Harm</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b/>
                <w:bCs/>
                <w:sz w:val="16"/>
              </w:rPr>
              <w:t>U1/D1</w:t>
            </w:r>
            <w:r>
              <w:rPr>
                <w:rFonts w:ascii="Arial" w:hAnsi="Arial" w:eastAsia="Arial"/>
                <w:sz w:val="16"/>
              </w:rPr>
              <w:t xml:space="preserve"> </w:t>
            </w:r>
            <w:r>
              <w:rPr>
                <w:rFonts w:ascii="Arial" w:hAnsi="Arial" w:eastAsia="Arial"/>
                <w:sz w:val="16"/>
              </w:rPr>
              <w:t>- Personal Resources (label: personal resources)</w:t>
            </w:r>
          </w:p>
        </w:tc>
        <w:tc>
          <w:tcPr>
            <w:vAlign w:val="top"/>
            <w:tcMar>
              <w:top w:w="70" w:type="dxa"/>
              <w:start w:w="80" w:type="dxa"/>
              <w:bottom w:w="70" w:type="dxa"/>
              <w:end w:w="80" w:type="dxa"/>
            </w:tcMar>
            <w:shd w:fill="D9EAF7"/>
          </w:tcPr>
          <w:p>
            <w:pPr>
              <w:pStyle w:val="Compact"/>
              <w:jc w:val="left"/>
            </w:pPr>
            <w:r>
              <w:rPr>
                <w:rFonts w:ascii="Arial" w:hAnsi="Arial" w:eastAsia="Arial"/>
                <w:sz w:val="16"/>
              </w:rPr>
              <w:t>An individual's economic security: income, savings, housing stability, and access to the material means of a decent life.</w:t>
            </w:r>
          </w:p>
        </w:tc>
        <w:tc>
          <w:tcPr>
            <w:vAlign w:val="top"/>
            <w:tcMar>
              <w:top w:w="70" w:type="dxa"/>
              <w:start w:w="80" w:type="dxa"/>
              <w:bottom w:w="70" w:type="dxa"/>
              <w:end w:w="80" w:type="dxa"/>
            </w:tcMar>
            <w:shd w:fill="D9EAF7"/>
          </w:tcPr>
          <w:p>
            <w:pPr>
              <w:pStyle w:val="Compact"/>
              <w:jc w:val="left"/>
            </w:pPr>
            <w:r>
              <w:rPr>
                <w:rFonts w:ascii="Arial" w:hAnsi="Arial" w:eastAsia="Arial"/>
                <w:sz w:val="16"/>
              </w:rPr>
              <w:t>More stable income, affordable housing, reduced debt, secured access to essentials.</w:t>
            </w:r>
          </w:p>
        </w:tc>
        <w:tc>
          <w:tcPr>
            <w:vAlign w:val="top"/>
            <w:tcMar>
              <w:top w:w="70" w:type="dxa"/>
              <w:start w:w="80" w:type="dxa"/>
              <w:bottom w:w="70" w:type="dxa"/>
              <w:end w:w="80" w:type="dxa"/>
            </w:tcMar>
            <w:shd w:fill="D9EAF7"/>
          </w:tcPr>
          <w:p>
            <w:pPr>
              <w:pStyle w:val="Compact"/>
              <w:jc w:val="left"/>
            </w:pPr>
            <w:r>
              <w:rPr>
                <w:rFonts w:ascii="Arial" w:hAnsi="Arial" w:eastAsia="Arial"/>
                <w:sz w:val="16"/>
              </w:rPr>
              <w:t>Job loss, eviction risk, debt spirals, loss of essential goods or services.</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b/>
                <w:bCs/>
                <w:sz w:val="16"/>
              </w:rPr>
              <w:t>U1/D2</w:t>
            </w:r>
            <w:r>
              <w:rPr>
                <w:rFonts w:ascii="Arial" w:hAnsi="Arial" w:eastAsia="Arial"/>
                <w:sz w:val="16"/>
              </w:rPr>
              <w:t xml:space="preserve"> </w:t>
            </w:r>
            <w:r>
              <w:rPr>
                <w:rFonts w:ascii="Arial" w:hAnsi="Arial" w:eastAsia="Arial"/>
                <w:sz w:val="16"/>
              </w:rPr>
              <w:t>- Personal Health (label: personal health)</w:t>
            </w:r>
          </w:p>
        </w:tc>
        <w:tc>
          <w:tcPr>
            <w:vAlign w:val="top"/>
            <w:tcMar>
              <w:top w:w="70" w:type="dxa"/>
              <w:start w:w="80" w:type="dxa"/>
              <w:bottom w:w="70" w:type="dxa"/>
              <w:end w:w="80" w:type="dxa"/>
            </w:tcMar>
            <w:shd w:fill="FFFFFF"/>
          </w:tcPr>
          <w:p>
            <w:pPr>
              <w:pStyle w:val="Compact"/>
              <w:jc w:val="left"/>
            </w:pPr>
            <w:r>
              <w:rPr>
                <w:rFonts w:ascii="Arial" w:hAnsi="Arial" w:eastAsia="Arial"/>
                <w:sz w:val="16"/>
              </w:rPr>
              <w:t>The individual's physical and mental health, safety, and bodily integrity.</w:t>
            </w:r>
          </w:p>
        </w:tc>
        <w:tc>
          <w:tcPr>
            <w:vAlign w:val="top"/>
            <w:tcMar>
              <w:top w:w="70" w:type="dxa"/>
              <w:start w:w="80" w:type="dxa"/>
              <w:bottom w:w="70" w:type="dxa"/>
              <w:end w:w="80" w:type="dxa"/>
            </w:tcMar>
            <w:shd w:fill="FFFFFF"/>
          </w:tcPr>
          <w:p>
            <w:pPr>
              <w:pStyle w:val="Compact"/>
              <w:jc w:val="left"/>
            </w:pPr>
            <w:r>
              <w:rPr>
                <w:rFonts w:ascii="Arial" w:hAnsi="Arial" w:eastAsia="Arial"/>
                <w:sz w:val="16"/>
              </w:rPr>
              <w:t>Lower injury/illness risk, better access to care, improved mental health, safer conditions.</w:t>
            </w:r>
          </w:p>
        </w:tc>
        <w:tc>
          <w:tcPr>
            <w:vAlign w:val="top"/>
            <w:tcMar>
              <w:top w:w="70" w:type="dxa"/>
              <w:start w:w="80" w:type="dxa"/>
              <w:bottom w:w="70" w:type="dxa"/>
              <w:end w:w="80" w:type="dxa"/>
            </w:tcMar>
            <w:shd w:fill="FFFFFF"/>
          </w:tcPr>
          <w:p>
            <w:pPr>
              <w:pStyle w:val="Compact"/>
              <w:jc w:val="left"/>
            </w:pPr>
            <w:r>
              <w:rPr>
                <w:rFonts w:ascii="Arial" w:hAnsi="Arial" w:eastAsia="Arial"/>
                <w:sz w:val="16"/>
              </w:rPr>
              <w:t>Injury, illness, untreated conditions, exposure to hazards, deteriorating mental health.</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b/>
                <w:bCs/>
                <w:sz w:val="16"/>
              </w:rPr>
              <w:t>U1/D3</w:t>
            </w:r>
            <w:r>
              <w:rPr>
                <w:rFonts w:ascii="Arial" w:hAnsi="Arial" w:eastAsia="Arial"/>
                <w:sz w:val="16"/>
              </w:rPr>
              <w:t xml:space="preserve"> </w:t>
            </w:r>
            <w:r>
              <w:rPr>
                <w:rFonts w:ascii="Arial" w:hAnsi="Arial" w:eastAsia="Arial"/>
                <w:sz w:val="16"/>
              </w:rPr>
              <w:t>- Relationships (label: relationships)</w:t>
            </w:r>
          </w:p>
        </w:tc>
        <w:tc>
          <w:tcPr>
            <w:vAlign w:val="top"/>
            <w:tcMar>
              <w:top w:w="70" w:type="dxa"/>
              <w:start w:w="80" w:type="dxa"/>
              <w:bottom w:w="70" w:type="dxa"/>
              <w:end w:w="80" w:type="dxa"/>
            </w:tcMar>
            <w:shd w:fill="D9EAF7"/>
          </w:tcPr>
          <w:p>
            <w:pPr>
              <w:pStyle w:val="Compact"/>
              <w:jc w:val="left"/>
            </w:pPr>
            <w:r>
              <w:rPr>
                <w:rFonts w:ascii="Arial" w:hAnsi="Arial" w:eastAsia="Arial"/>
                <w:sz w:val="16"/>
              </w:rPr>
              <w:t>The quality and stability of a person's close personal relationships and social connection.</w:t>
            </w:r>
          </w:p>
        </w:tc>
        <w:tc>
          <w:tcPr>
            <w:vAlign w:val="top"/>
            <w:tcMar>
              <w:top w:w="70" w:type="dxa"/>
              <w:start w:w="80" w:type="dxa"/>
              <w:bottom w:w="70" w:type="dxa"/>
              <w:end w:w="80" w:type="dxa"/>
            </w:tcMar>
            <w:shd w:fill="D9EAF7"/>
          </w:tcPr>
          <w:p>
            <w:pPr>
              <w:pStyle w:val="Compact"/>
              <w:jc w:val="left"/>
            </w:pPr>
            <w:r>
              <w:rPr>
                <w:rFonts w:ascii="Arial" w:hAnsi="Arial" w:eastAsia="Arial"/>
                <w:sz w:val="16"/>
              </w:rPr>
              <w:t>Stronger bonds, reduced isolation, more supportive networks.</w:t>
            </w:r>
          </w:p>
        </w:tc>
        <w:tc>
          <w:tcPr>
            <w:vAlign w:val="top"/>
            <w:tcMar>
              <w:top w:w="70" w:type="dxa"/>
              <w:start w:w="80" w:type="dxa"/>
              <w:bottom w:w="70" w:type="dxa"/>
              <w:end w:w="80" w:type="dxa"/>
            </w:tcMar>
            <w:shd w:fill="D9EAF7"/>
          </w:tcPr>
          <w:p>
            <w:pPr>
              <w:pStyle w:val="Compact"/>
              <w:jc w:val="left"/>
            </w:pPr>
            <w:r>
              <w:rPr>
                <w:rFonts w:ascii="Arial" w:hAnsi="Arial" w:eastAsia="Arial"/>
                <w:sz w:val="16"/>
              </w:rPr>
              <w:t>Isolation, relationship breakdown, forced separation, loss of support.</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b/>
                <w:bCs/>
                <w:sz w:val="16"/>
              </w:rPr>
              <w:t>U1/D4</w:t>
            </w:r>
            <w:r>
              <w:rPr>
                <w:rFonts w:ascii="Arial" w:hAnsi="Arial" w:eastAsia="Arial"/>
                <w:sz w:val="16"/>
              </w:rPr>
              <w:t xml:space="preserve"> </w:t>
            </w:r>
            <w:r>
              <w:rPr>
                <w:rFonts w:ascii="Arial" w:hAnsi="Arial" w:eastAsia="Arial"/>
                <w:sz w:val="16"/>
              </w:rPr>
              <w:t>- Learning (label: learning)</w:t>
            </w:r>
          </w:p>
        </w:tc>
        <w:tc>
          <w:tcPr>
            <w:vAlign w:val="top"/>
            <w:tcMar>
              <w:top w:w="70" w:type="dxa"/>
              <w:start w:w="80" w:type="dxa"/>
              <w:bottom w:w="70" w:type="dxa"/>
              <w:end w:w="80" w:type="dxa"/>
            </w:tcMar>
            <w:shd w:fill="FFFFFF"/>
          </w:tcPr>
          <w:p>
            <w:pPr>
              <w:pStyle w:val="Compact"/>
              <w:jc w:val="left"/>
            </w:pPr>
            <w:r>
              <w:rPr>
                <w:rFonts w:ascii="Arial" w:hAnsi="Arial" w:eastAsia="Arial"/>
                <w:sz w:val="16"/>
              </w:rPr>
              <w:t>The individual's access to education, skills, and the capacity to learn and develop.</w:t>
            </w:r>
          </w:p>
        </w:tc>
        <w:tc>
          <w:tcPr>
            <w:vAlign w:val="top"/>
            <w:tcMar>
              <w:top w:w="70" w:type="dxa"/>
              <w:start w:w="80" w:type="dxa"/>
              <w:bottom w:w="70" w:type="dxa"/>
              <w:end w:w="80" w:type="dxa"/>
            </w:tcMar>
            <w:shd w:fill="FFFFFF"/>
          </w:tcPr>
          <w:p>
            <w:pPr>
              <w:pStyle w:val="Compact"/>
              <w:jc w:val="left"/>
            </w:pPr>
            <w:r>
              <w:rPr>
                <w:rFonts w:ascii="Arial" w:hAnsi="Arial" w:eastAsia="Arial"/>
                <w:sz w:val="16"/>
              </w:rPr>
              <w:t>Better access to learning, skill gains, expanded opportunity.</w:t>
            </w:r>
          </w:p>
        </w:tc>
        <w:tc>
          <w:tcPr>
            <w:vAlign w:val="top"/>
            <w:tcMar>
              <w:top w:w="70" w:type="dxa"/>
              <w:start w:w="80" w:type="dxa"/>
              <w:bottom w:w="70" w:type="dxa"/>
              <w:end w:w="80" w:type="dxa"/>
            </w:tcMar>
            <w:shd w:fill="FFFFFF"/>
          </w:tcPr>
          <w:p>
            <w:pPr>
              <w:pStyle w:val="Compact"/>
              <w:jc w:val="left"/>
            </w:pPr>
            <w:r>
              <w:rPr>
                <w:rFonts w:ascii="Arial" w:hAnsi="Arial" w:eastAsia="Arial"/>
                <w:sz w:val="16"/>
              </w:rPr>
              <w:t>Lost access to education, deskilling, barriers to learning.</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b/>
                <w:bCs/>
                <w:sz w:val="16"/>
              </w:rPr>
              <w:t>U1/D5</w:t>
            </w:r>
            <w:r>
              <w:rPr>
                <w:rFonts w:ascii="Arial" w:hAnsi="Arial" w:eastAsia="Arial"/>
                <w:sz w:val="16"/>
              </w:rPr>
              <w:t xml:space="preserve"> </w:t>
            </w:r>
            <w:r>
              <w:rPr>
                <w:rFonts w:ascii="Arial" w:hAnsi="Arial" w:eastAsia="Arial"/>
                <w:sz w:val="16"/>
              </w:rPr>
              <w:t>- Personal Agency (label: autonomy)</w:t>
            </w:r>
          </w:p>
        </w:tc>
        <w:tc>
          <w:tcPr>
            <w:vAlign w:val="top"/>
            <w:tcMar>
              <w:top w:w="70" w:type="dxa"/>
              <w:start w:w="80" w:type="dxa"/>
              <w:bottom w:w="70" w:type="dxa"/>
              <w:end w:w="80" w:type="dxa"/>
            </w:tcMar>
            <w:shd w:fill="D9EAF7"/>
          </w:tcPr>
          <w:p>
            <w:pPr>
              <w:pStyle w:val="Compact"/>
              <w:jc w:val="left"/>
            </w:pPr>
            <w:r>
              <w:rPr>
                <w:rFonts w:ascii="Arial" w:hAnsi="Arial" w:eastAsia="Arial"/>
                <w:sz w:val="16"/>
              </w:rPr>
              <w:t>The person's real ability to choose, refuse, consent, act, and shape their own life path.</w:t>
            </w:r>
          </w:p>
        </w:tc>
        <w:tc>
          <w:tcPr>
            <w:vAlign w:val="top"/>
            <w:tcMar>
              <w:top w:w="70" w:type="dxa"/>
              <w:start w:w="80" w:type="dxa"/>
              <w:bottom w:w="70" w:type="dxa"/>
              <w:end w:w="80" w:type="dxa"/>
            </w:tcMar>
            <w:shd w:fill="D9EAF7"/>
          </w:tcPr>
          <w:p>
            <w:pPr>
              <w:pStyle w:val="Compact"/>
              <w:jc w:val="left"/>
            </w:pPr>
            <w:r>
              <w:rPr>
                <w:rFonts w:ascii="Arial" w:hAnsi="Arial" w:eastAsia="Arial"/>
                <w:sz w:val="16"/>
              </w:rPr>
              <w:t>More autonomy, better options, stronger consent, freedom from coercion and surveillance.</w:t>
            </w:r>
          </w:p>
        </w:tc>
        <w:tc>
          <w:tcPr>
            <w:vAlign w:val="top"/>
            <w:tcMar>
              <w:top w:w="70" w:type="dxa"/>
              <w:start w:w="80" w:type="dxa"/>
              <w:bottom w:w="70" w:type="dxa"/>
              <w:end w:w="80" w:type="dxa"/>
            </w:tcMar>
            <w:shd w:fill="D9EAF7"/>
          </w:tcPr>
          <w:p>
            <w:pPr>
              <w:pStyle w:val="Compact"/>
              <w:jc w:val="left"/>
            </w:pPr>
            <w:r>
              <w:rPr>
                <w:rFonts w:ascii="Arial" w:hAnsi="Arial" w:eastAsia="Arial"/>
                <w:sz w:val="16"/>
              </w:rPr>
              <w:t>Coercion, manipulation, surveillance, forced dependency, loss of meaningful choice.</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b/>
                <w:bCs/>
                <w:sz w:val="16"/>
              </w:rPr>
              <w:t>U1/D6</w:t>
            </w:r>
            <w:r>
              <w:rPr>
                <w:rFonts w:ascii="Arial" w:hAnsi="Arial" w:eastAsia="Arial"/>
                <w:sz w:val="16"/>
              </w:rPr>
              <w:t xml:space="preserve"> </w:t>
            </w:r>
            <w:r>
              <w:rPr>
                <w:rFonts w:ascii="Arial" w:hAnsi="Arial" w:eastAsia="Arial"/>
                <w:sz w:val="16"/>
              </w:rPr>
              <w:t>- Purpose (label: purpose)</w:t>
            </w:r>
          </w:p>
        </w:tc>
        <w:tc>
          <w:tcPr>
            <w:vAlign w:val="top"/>
            <w:tcMar>
              <w:top w:w="70" w:type="dxa"/>
              <w:start w:w="80" w:type="dxa"/>
              <w:bottom w:w="70" w:type="dxa"/>
              <w:end w:w="80" w:type="dxa"/>
            </w:tcMar>
            <w:shd w:fill="FFFFFF"/>
          </w:tcPr>
          <w:p>
            <w:pPr>
              <w:pStyle w:val="Compact"/>
              <w:jc w:val="left"/>
            </w:pPr>
            <w:r>
              <w:rPr>
                <w:rFonts w:ascii="Arial" w:hAnsi="Arial" w:eastAsia="Arial"/>
                <w:sz w:val="16"/>
              </w:rPr>
              <w:t>The individual's sense of meaning, dignity, and worth in their life and work.</w:t>
            </w:r>
          </w:p>
        </w:tc>
        <w:tc>
          <w:tcPr>
            <w:vAlign w:val="top"/>
            <w:tcMar>
              <w:top w:w="70" w:type="dxa"/>
              <w:start w:w="80" w:type="dxa"/>
              <w:bottom w:w="70" w:type="dxa"/>
              <w:end w:w="80" w:type="dxa"/>
            </w:tcMar>
            <w:shd w:fill="FFFFFF"/>
          </w:tcPr>
          <w:p>
            <w:pPr>
              <w:pStyle w:val="Compact"/>
              <w:jc w:val="left"/>
            </w:pPr>
            <w:r>
              <w:rPr>
                <w:rFonts w:ascii="Arial" w:hAnsi="Arial" w:eastAsia="Arial"/>
                <w:sz w:val="16"/>
              </w:rPr>
              <w:t>Greater sense of purpose, recognition, dignity, and self-respect.</w:t>
            </w:r>
          </w:p>
        </w:tc>
        <w:tc>
          <w:tcPr>
            <w:vAlign w:val="top"/>
            <w:tcMar>
              <w:top w:w="70" w:type="dxa"/>
              <w:start w:w="80" w:type="dxa"/>
              <w:bottom w:w="70" w:type="dxa"/>
              <w:end w:w="80" w:type="dxa"/>
            </w:tcMar>
            <w:shd w:fill="FFFFFF"/>
          </w:tcPr>
          <w:p>
            <w:pPr>
              <w:pStyle w:val="Compact"/>
              <w:jc w:val="left"/>
            </w:pPr>
            <w:r>
              <w:rPr>
                <w:rFonts w:ascii="Arial" w:hAnsi="Arial" w:eastAsia="Arial"/>
                <w:sz w:val="16"/>
              </w:rPr>
              <w:t>Humiliation, alienation, loss of role or recognition, indignity.</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b/>
                <w:bCs/>
                <w:sz w:val="16"/>
              </w:rPr>
              <w:t>U1/D7</w:t>
            </w:r>
            <w:r>
              <w:rPr>
                <w:rFonts w:ascii="Arial" w:hAnsi="Arial" w:eastAsia="Arial"/>
                <w:sz w:val="16"/>
              </w:rPr>
              <w:t xml:space="preserve"> </w:t>
            </w:r>
            <w:r>
              <w:rPr>
                <w:rFonts w:ascii="Arial" w:hAnsi="Arial" w:eastAsia="Arial"/>
                <w:sz w:val="16"/>
              </w:rPr>
              <w:t>- Local Conditions (label: local conditions)</w:t>
            </w:r>
          </w:p>
        </w:tc>
        <w:tc>
          <w:tcPr>
            <w:vAlign w:val="top"/>
            <w:tcMar>
              <w:top w:w="70" w:type="dxa"/>
              <w:start w:w="80" w:type="dxa"/>
              <w:bottom w:w="70" w:type="dxa"/>
              <w:end w:w="80" w:type="dxa"/>
            </w:tcMar>
            <w:shd w:fill="D9EAF7"/>
          </w:tcPr>
          <w:p>
            <w:pPr>
              <w:pStyle w:val="Compact"/>
              <w:jc w:val="left"/>
            </w:pPr>
            <w:r>
              <w:rPr>
                <w:rFonts w:ascii="Arial" w:hAnsi="Arial" w:eastAsia="Arial"/>
                <w:sz w:val="16"/>
              </w:rPr>
              <w:t>The immediate physical environment a person lives in: air, noise, water, hazards, and surroundings.</w:t>
            </w:r>
          </w:p>
        </w:tc>
        <w:tc>
          <w:tcPr>
            <w:vAlign w:val="top"/>
            <w:tcMar>
              <w:top w:w="70" w:type="dxa"/>
              <w:start w:w="80" w:type="dxa"/>
              <w:bottom w:w="70" w:type="dxa"/>
              <w:end w:w="80" w:type="dxa"/>
            </w:tcMar>
            <w:shd w:fill="D9EAF7"/>
          </w:tcPr>
          <w:p>
            <w:pPr>
              <w:pStyle w:val="Compact"/>
              <w:jc w:val="left"/>
            </w:pPr>
            <w:r>
              <w:rPr>
                <w:rFonts w:ascii="Arial" w:hAnsi="Arial" w:eastAsia="Arial"/>
                <w:sz w:val="16"/>
              </w:rPr>
              <w:t>Cleaner air/water, less noise, fewer local hazards, healthier surroundings.</w:t>
            </w:r>
          </w:p>
        </w:tc>
        <w:tc>
          <w:tcPr>
            <w:vAlign w:val="top"/>
            <w:tcMar>
              <w:top w:w="70" w:type="dxa"/>
              <w:start w:w="80" w:type="dxa"/>
              <w:bottom w:w="70" w:type="dxa"/>
              <w:end w:w="80" w:type="dxa"/>
            </w:tcMar>
            <w:shd w:fill="D9EAF7"/>
          </w:tcPr>
          <w:p>
            <w:pPr>
              <w:pStyle w:val="Compact"/>
              <w:jc w:val="left"/>
            </w:pPr>
            <w:r>
              <w:rPr>
                <w:rFonts w:ascii="Arial" w:hAnsi="Arial" w:eastAsia="Arial"/>
                <w:sz w:val="16"/>
              </w:rPr>
              <w:t>Pollution exposure, noise, contamination, environmental hazards near the person.</w:t>
            </w:r>
          </w:p>
        </w:tc>
      </w:tr>
    </w:tbl>
    <w:bookmarkEnd w:id="635"/>
    <w:bookmarkStart w:id="636" w:name="u1-self---evidence-and-review"/>
    <w:p>
      <w:pPr>
        <w:pStyle w:val="Heading3"/>
      </w:pPr>
      <w:r>
        <w:t>U1 Self - evidence and review</w:t>
      </w:r>
    </w:p>
    <w:tbl>
      <w:tblPr>
        <w:tblStyle w:val="Table"/>
        <w:tblW w:type="auto" w:w="0"/>
        <w:jc w:val="center"/>
        <w:tblLook w:firstRow="1" w:lastRow="0" w:firstColumn="0" w:lastColumn="0" w:noHBand="0" w:noVBand="0" w:val="0020"/>
      </w:tblPr>
      <w:tblGrid>
        <w:gridCol w:w="2640"/>
        <w:gridCol w:w="2640"/>
        <w:gridCol w:w="2640"/>
      </w:tblGrid>
      <w:tr>
        <w:trPr>
          <w:tblHeader w:val="on"/>
          <w:tblHeader w:val="true"/>
          <w:cantSplit/>
        </w:trPr>
        <w:tc>
          <w:tcPr>
            <w:vAlign w:val="top"/>
            <w:tcMar>
              <w:top w:w="70" w:type="dxa"/>
              <w:start w:w="80" w:type="dxa"/>
              <w:bottom w:w="70" w:type="dxa"/>
              <w:end w:w="80" w:type="dxa"/>
            </w:tcMar>
            <w:shd w:fill="1F4E78"/>
          </w:tcPr>
          <w:p>
            <w:pPr>
              <w:pStyle w:val="Compact"/>
              <w:jc w:val="left"/>
            </w:pPr>
            <w:r>
              <w:rPr>
                <w:rFonts w:ascii="Arial" w:hAnsi="Arial" w:eastAsia="Arial"/>
                <w:b/>
                <w:color w:val="FFFFFF"/>
                <w:sz w:val="16"/>
              </w:rPr>
              <w:t>Cell</w:t>
            </w:r>
          </w:p>
        </w:tc>
        <w:tc>
          <w:tcPr>
            <w:vAlign w:val="top"/>
            <w:tcMar>
              <w:top w:w="70" w:type="dxa"/>
              <w:start w:w="80" w:type="dxa"/>
              <w:bottom w:w="70" w:type="dxa"/>
              <w:end w:w="80" w:type="dxa"/>
            </w:tcMar>
            <w:shd w:fill="1F4E78"/>
          </w:tcPr>
          <w:p>
            <w:pPr>
              <w:pStyle w:val="Compact"/>
              <w:jc w:val="left"/>
            </w:pPr>
            <w:r>
              <w:rPr>
                <w:rFonts w:ascii="Arial" w:hAnsi="Arial" w:eastAsia="Arial"/>
                <w:b/>
                <w:color w:val="FFFFFF"/>
                <w:sz w:val="16"/>
              </w:rPr>
              <w:t>Evidence and gate cues</w:t>
            </w:r>
          </w:p>
        </w:tc>
        <w:tc>
          <w:tcPr>
            <w:vAlign w:val="top"/>
            <w:tcMar>
              <w:top w:w="70" w:type="dxa"/>
              <w:start w:w="80" w:type="dxa"/>
              <w:bottom w:w="70" w:type="dxa"/>
              <w:end w:w="80" w:type="dxa"/>
            </w:tcMar>
            <w:shd w:fill="1F4E78"/>
          </w:tcPr>
          <w:p>
            <w:pPr>
              <w:pStyle w:val="Compact"/>
              <w:jc w:val="left"/>
            </w:pPr>
            <w:r>
              <w:rPr>
                <w:rFonts w:ascii="Arial" w:hAnsi="Arial" w:eastAsia="Arial"/>
                <w:b/>
                <w:color w:val="FFFFFF"/>
                <w:sz w:val="16"/>
              </w:rPr>
              <w:t>Example and reviewer check</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b/>
                <w:bCs/>
                <w:sz w:val="16"/>
              </w:rPr>
              <w:t>U1/D1</w:t>
            </w:r>
            <w:r>
              <w:rPr>
                <w:rFonts w:ascii="Arial" w:hAnsi="Arial" w:eastAsia="Arial"/>
                <w:sz w:val="16"/>
              </w:rPr>
              <w:t xml:space="preserve"> </w:t>
            </w:r>
            <w:r>
              <w:rPr>
                <w:rFonts w:ascii="Arial" w:hAnsi="Arial" w:eastAsia="Arial"/>
                <w:sz w:val="16"/>
              </w:rPr>
              <w:t>- Personal Resources (label: personal resources)</w:t>
            </w:r>
          </w:p>
        </w:tc>
        <w:tc>
          <w:tcPr>
            <w:vAlign w:val="top"/>
            <w:tcMar>
              <w:top w:w="70" w:type="dxa"/>
              <w:start w:w="80" w:type="dxa"/>
              <w:bottom w:w="70" w:type="dxa"/>
              <w:end w:w="80" w:type="dxa"/>
            </w:tcMar>
            <w:shd w:fill="D9EAF7"/>
          </w:tcPr>
          <w:p>
            <w:pPr>
              <w:pStyle w:val="Compact"/>
              <w:jc w:val="left"/>
            </w:pPr>
            <w:r>
              <w:rPr>
                <w:rFonts w:ascii="Arial" w:hAnsi="Arial" w:eastAsia="Arial"/>
                <w:sz w:val="16"/>
              </w:rPr>
              <w:t>Evidence: income and employment records; housing stability / eviction data; debt and arrears; cost-of-living and benefit uptake; Gate classes: Ordinary welfare. Uncertainty: Standard assessment. Interpretation: Ordinary welfare in most cases; can escalate to rights-covered where a subsistence or social-minimum floor is legally recognised.</w:t>
            </w:r>
          </w:p>
        </w:tc>
        <w:tc>
          <w:tcPr>
            <w:vAlign w:val="top"/>
            <w:tcMar>
              <w:top w:w="70" w:type="dxa"/>
              <w:start w:w="80" w:type="dxa"/>
              <w:bottom w:w="70" w:type="dxa"/>
              <w:end w:w="80" w:type="dxa"/>
            </w:tcMar>
            <w:shd w:fill="D9EAF7"/>
          </w:tcPr>
          <w:p>
            <w:pPr>
              <w:pStyle w:val="Compact"/>
              <w:jc w:val="left"/>
            </w:pPr>
            <w:r>
              <w:rPr>
                <w:rFonts w:ascii="Arial" w:hAnsi="Arial" w:eastAsia="Arial"/>
                <w:sz w:val="16"/>
              </w:rPr>
              <w:t>Example: A wage policy that lifts low-income workers above a local living-wage line improves U1/D1.; Reviewer check: A reviewer checks whether the income/housing change is measured against a declared baseline cohort, not anecdote.</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b/>
                <w:bCs/>
                <w:sz w:val="16"/>
              </w:rPr>
              <w:t>U1/D2</w:t>
            </w:r>
            <w:r>
              <w:rPr>
                <w:rFonts w:ascii="Arial" w:hAnsi="Arial" w:eastAsia="Arial"/>
                <w:sz w:val="16"/>
              </w:rPr>
              <w:t xml:space="preserve"> </w:t>
            </w:r>
            <w:r>
              <w:rPr>
                <w:rFonts w:ascii="Arial" w:hAnsi="Arial" w:eastAsia="Arial"/>
                <w:sz w:val="16"/>
              </w:rPr>
              <w:t>- Personal Health (label: personal health)</w:t>
            </w:r>
          </w:p>
        </w:tc>
        <w:tc>
          <w:tcPr>
            <w:vAlign w:val="top"/>
            <w:tcMar>
              <w:top w:w="70" w:type="dxa"/>
              <w:start w:w="80" w:type="dxa"/>
              <w:bottom w:w="70" w:type="dxa"/>
              <w:end w:w="80" w:type="dxa"/>
            </w:tcMar>
            <w:shd w:fill="FFFFFF"/>
          </w:tcPr>
          <w:p>
            <w:pPr>
              <w:pStyle w:val="Compact"/>
              <w:jc w:val="left"/>
            </w:pPr>
            <w:r>
              <w:rPr>
                <w:rFonts w:ascii="Arial" w:hAnsi="Arial" w:eastAsia="Arial"/>
                <w:sz w:val="16"/>
              </w:rPr>
              <w:t>Evidence: morbidity / mortality data; care access and waiting times; injury and exposure records; validated mental-health measures; Gate classes: Rights Floor; Ordinary welfare. Uncertainty: Standard assessment. Interpretation: Frequently rights-covered: bodily integrity and access-to-care floors can trigger NCRC. Severe individual harm escalates regardless of aggregate benefit.</w:t>
            </w:r>
          </w:p>
        </w:tc>
        <w:tc>
          <w:tcPr>
            <w:vAlign w:val="top"/>
            <w:tcMar>
              <w:top w:w="70" w:type="dxa"/>
              <w:start w:w="80" w:type="dxa"/>
              <w:bottom w:w="70" w:type="dxa"/>
              <w:end w:w="80" w:type="dxa"/>
            </w:tcMar>
            <w:shd w:fill="FFFFFF"/>
          </w:tcPr>
          <w:p>
            <w:pPr>
              <w:pStyle w:val="Compact"/>
              <w:jc w:val="left"/>
            </w:pPr>
            <w:r>
              <w:rPr>
                <w:rFonts w:ascii="Arial" w:hAnsi="Arial" w:eastAsia="Arial"/>
                <w:sz w:val="16"/>
              </w:rPr>
              <w:t>Example: A treatment-access change that removes a barrier for a chronic-illness group improves U1/D2.; Reviewer check: A reviewer asks whether a claimed health gain rests on outcome data or only on inputs (e.g. clinics built ≠ health improved).</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b/>
                <w:bCs/>
                <w:sz w:val="16"/>
              </w:rPr>
              <w:t>U1/D3</w:t>
            </w:r>
            <w:r>
              <w:rPr>
                <w:rFonts w:ascii="Arial" w:hAnsi="Arial" w:eastAsia="Arial"/>
                <w:sz w:val="16"/>
              </w:rPr>
              <w:t xml:space="preserve"> </w:t>
            </w:r>
            <w:r>
              <w:rPr>
                <w:rFonts w:ascii="Arial" w:hAnsi="Arial" w:eastAsia="Arial"/>
                <w:sz w:val="16"/>
              </w:rPr>
              <w:t>- Relationships (label: relationships)</w:t>
            </w:r>
          </w:p>
        </w:tc>
        <w:tc>
          <w:tcPr>
            <w:vAlign w:val="top"/>
            <w:tcMar>
              <w:top w:w="70" w:type="dxa"/>
              <w:start w:w="80" w:type="dxa"/>
              <w:bottom w:w="70" w:type="dxa"/>
              <w:end w:w="80" w:type="dxa"/>
            </w:tcMar>
            <w:shd w:fill="D9EAF7"/>
          </w:tcPr>
          <w:p>
            <w:pPr>
              <w:pStyle w:val="Compact"/>
              <w:jc w:val="left"/>
            </w:pPr>
            <w:r>
              <w:rPr>
                <w:rFonts w:ascii="Arial" w:hAnsi="Arial" w:eastAsia="Arial"/>
                <w:sz w:val="16"/>
              </w:rPr>
              <w:t>Evidence: loneliness / connection surveys; support-network mapping; separation or displacement records; Gate classes: Ordinary welfare. Uncertainty: Explicitly elevated. Interpretation: Usually ordinary welfare; measurement is often soft, so uncertainty should be marked explicitly.</w:t>
            </w:r>
          </w:p>
        </w:tc>
        <w:tc>
          <w:tcPr>
            <w:vAlign w:val="top"/>
            <w:tcMar>
              <w:top w:w="70" w:type="dxa"/>
              <w:start w:w="80" w:type="dxa"/>
              <w:bottom w:w="70" w:type="dxa"/>
              <w:end w:w="80" w:type="dxa"/>
            </w:tcMar>
            <w:shd w:fill="D9EAF7"/>
          </w:tcPr>
          <w:p>
            <w:pPr>
              <w:pStyle w:val="Compact"/>
              <w:jc w:val="left"/>
            </w:pPr>
            <w:r>
              <w:rPr>
                <w:rFonts w:ascii="Arial" w:hAnsi="Arial" w:eastAsia="Arial"/>
                <w:sz w:val="16"/>
              </w:rPr>
              <w:t>Example: A relocation program that keeps support networks intact protects U1/D3.; Reviewer check: A reviewer challenges whether a relationship claim is evidenced or inferred from a proxy like attendance.</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b/>
                <w:bCs/>
                <w:sz w:val="16"/>
              </w:rPr>
              <w:t>U1/D4</w:t>
            </w:r>
            <w:r>
              <w:rPr>
                <w:rFonts w:ascii="Arial" w:hAnsi="Arial" w:eastAsia="Arial"/>
                <w:sz w:val="16"/>
              </w:rPr>
              <w:t xml:space="preserve"> </w:t>
            </w:r>
            <w:r>
              <w:rPr>
                <w:rFonts w:ascii="Arial" w:hAnsi="Arial" w:eastAsia="Arial"/>
                <w:sz w:val="16"/>
              </w:rPr>
              <w:t>- Learning (label: learning)</w:t>
            </w:r>
          </w:p>
        </w:tc>
        <w:tc>
          <w:tcPr>
            <w:vAlign w:val="top"/>
            <w:tcMar>
              <w:top w:w="70" w:type="dxa"/>
              <w:start w:w="80" w:type="dxa"/>
              <w:bottom w:w="70" w:type="dxa"/>
              <w:end w:w="80" w:type="dxa"/>
            </w:tcMar>
            <w:shd w:fill="FFFFFF"/>
          </w:tcPr>
          <w:p>
            <w:pPr>
              <w:pStyle w:val="Compact"/>
              <w:jc w:val="left"/>
            </w:pPr>
            <w:r>
              <w:rPr>
                <w:rFonts w:ascii="Arial" w:hAnsi="Arial" w:eastAsia="Arial"/>
                <w:sz w:val="16"/>
              </w:rPr>
              <w:t>Evidence: enrolment and completion; skills assessments; access and dropout data; Gate classes: Ordinary welfare. Uncertainty: Standard assessment. Interpretation: Ordinary welfare; can touch rights where a basic-education entitlement exists.</w:t>
            </w:r>
          </w:p>
        </w:tc>
        <w:tc>
          <w:tcPr>
            <w:vAlign w:val="top"/>
            <w:tcMar>
              <w:top w:w="70" w:type="dxa"/>
              <w:start w:w="80" w:type="dxa"/>
              <w:bottom w:w="70" w:type="dxa"/>
              <w:end w:w="80" w:type="dxa"/>
            </w:tcMar>
            <w:shd w:fill="FFFFFF"/>
          </w:tcPr>
          <w:p>
            <w:pPr>
              <w:pStyle w:val="Compact"/>
              <w:jc w:val="left"/>
            </w:pPr>
            <w:r>
              <w:rPr>
                <w:rFonts w:ascii="Arial" w:hAnsi="Arial" w:eastAsia="Arial"/>
                <w:sz w:val="16"/>
              </w:rPr>
              <w:t>Example: A reskilling program for displaced workers improves U1/D4.; Reviewer check: A reviewer asks whether learning outcomes are demonstrated or only opportunity offered.</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b/>
                <w:bCs/>
                <w:sz w:val="16"/>
              </w:rPr>
              <w:t>U1/D5</w:t>
            </w:r>
            <w:r>
              <w:rPr>
                <w:rFonts w:ascii="Arial" w:hAnsi="Arial" w:eastAsia="Arial"/>
                <w:sz w:val="16"/>
              </w:rPr>
              <w:t xml:space="preserve"> </w:t>
            </w:r>
            <w:r>
              <w:rPr>
                <w:rFonts w:ascii="Arial" w:hAnsi="Arial" w:eastAsia="Arial"/>
                <w:sz w:val="16"/>
              </w:rPr>
              <w:t>- Personal Agency (label: autonomy)</w:t>
            </w:r>
          </w:p>
        </w:tc>
        <w:tc>
          <w:tcPr>
            <w:vAlign w:val="top"/>
            <w:tcMar>
              <w:top w:w="70" w:type="dxa"/>
              <w:start w:w="80" w:type="dxa"/>
              <w:bottom w:w="70" w:type="dxa"/>
              <w:end w:w="80" w:type="dxa"/>
            </w:tcMar>
            <w:shd w:fill="D9EAF7"/>
          </w:tcPr>
          <w:p>
            <w:pPr>
              <w:pStyle w:val="Compact"/>
              <w:jc w:val="left"/>
            </w:pPr>
            <w:r>
              <w:rPr>
                <w:rFonts w:ascii="Arial" w:hAnsi="Arial" w:eastAsia="Arial"/>
                <w:sz w:val="16"/>
              </w:rPr>
              <w:t>Evidence: consent quality; availability of alternatives / opt-out; coercion complaints; mobility and accessibility data; applicable legal protections; Gate classes: Rights Floor; Ordinary welfare. Uncertainty: Standard assessment. Interpretation: Often rights-covered. Triggers NCRC when liberty, bodily integrity, due process, dignity, or information rights are impaired — non-compensatory regardless of welfare gains elsewhere.</w:t>
            </w:r>
          </w:p>
        </w:tc>
        <w:tc>
          <w:tcPr>
            <w:vAlign w:val="top"/>
            <w:tcMar>
              <w:top w:w="70" w:type="dxa"/>
              <w:start w:w="80" w:type="dxa"/>
              <w:bottom w:w="70" w:type="dxa"/>
              <w:end w:w="80" w:type="dxa"/>
            </w:tcMar>
            <w:shd w:fill="D9EAF7"/>
          </w:tcPr>
          <w:p>
            <w:pPr>
              <w:pStyle w:val="Compact"/>
              <w:jc w:val="left"/>
            </w:pPr>
            <w:r>
              <w:rPr>
                <w:rFonts w:ascii="Arial" w:hAnsi="Arial" w:eastAsia="Arial"/>
                <w:sz w:val="16"/>
              </w:rPr>
              <w:t>Example: A transport policy that gives disabled residents reliable independent mobility improves U1/D5.; Reviewer check: A reviewer tests whether consent was genuine and revocable, or merely formal.</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b/>
                <w:bCs/>
                <w:sz w:val="16"/>
              </w:rPr>
              <w:t>U1/D6</w:t>
            </w:r>
            <w:r>
              <w:rPr>
                <w:rFonts w:ascii="Arial" w:hAnsi="Arial" w:eastAsia="Arial"/>
                <w:sz w:val="16"/>
              </w:rPr>
              <w:t xml:space="preserve"> </w:t>
            </w:r>
            <w:r>
              <w:rPr>
                <w:rFonts w:ascii="Arial" w:hAnsi="Arial" w:eastAsia="Arial"/>
                <w:sz w:val="16"/>
              </w:rPr>
              <w:t>- Purpose (label: purpose)</w:t>
            </w:r>
          </w:p>
        </w:tc>
        <w:tc>
          <w:tcPr>
            <w:vAlign w:val="top"/>
            <w:tcMar>
              <w:top w:w="70" w:type="dxa"/>
              <w:start w:w="80" w:type="dxa"/>
              <w:bottom w:w="70" w:type="dxa"/>
              <w:end w:w="80" w:type="dxa"/>
            </w:tcMar>
            <w:shd w:fill="FFFFFF"/>
          </w:tcPr>
          <w:p>
            <w:pPr>
              <w:pStyle w:val="Compact"/>
              <w:jc w:val="left"/>
            </w:pPr>
            <w:r>
              <w:rPr>
                <w:rFonts w:ascii="Arial" w:hAnsi="Arial" w:eastAsia="Arial"/>
                <w:sz w:val="16"/>
              </w:rPr>
              <w:t>Evidence: dignity / recognition measures; role and identity surveys; qualitative testimony; Gate classes: Rights Floor. Uncertainty: Explicitly elevated. Interpretation: Can be rights-covered where human dignity is implicated; otherwise ordinary. Often hard to measure — mark uncertainty.</w:t>
            </w:r>
          </w:p>
        </w:tc>
        <w:tc>
          <w:tcPr>
            <w:vAlign w:val="top"/>
            <w:tcMar>
              <w:top w:w="70" w:type="dxa"/>
              <w:start w:w="80" w:type="dxa"/>
              <w:bottom w:w="70" w:type="dxa"/>
              <w:end w:w="80" w:type="dxa"/>
            </w:tcMar>
            <w:shd w:fill="FFFFFF"/>
          </w:tcPr>
          <w:p>
            <w:pPr>
              <w:pStyle w:val="Compact"/>
              <w:jc w:val="left"/>
            </w:pPr>
            <w:r>
              <w:rPr>
                <w:rFonts w:ascii="Arial" w:hAnsi="Arial" w:eastAsia="Arial"/>
                <w:sz w:val="16"/>
              </w:rPr>
              <w:t>Example: A program that treats welfare recipients with dignified, non-stigmatising processes supports U1/D6.; Reviewer check: A reviewer distinguishes a genuine dignity effect from sentiment unsupported by experience data.</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b/>
                <w:bCs/>
                <w:sz w:val="16"/>
              </w:rPr>
              <w:t>U1/D7</w:t>
            </w:r>
            <w:r>
              <w:rPr>
                <w:rFonts w:ascii="Arial" w:hAnsi="Arial" w:eastAsia="Arial"/>
                <w:sz w:val="16"/>
              </w:rPr>
              <w:t xml:space="preserve"> </w:t>
            </w:r>
            <w:r>
              <w:rPr>
                <w:rFonts w:ascii="Arial" w:hAnsi="Arial" w:eastAsia="Arial"/>
                <w:sz w:val="16"/>
              </w:rPr>
              <w:t>- Local Conditions (label: local conditions)</w:t>
            </w:r>
          </w:p>
        </w:tc>
        <w:tc>
          <w:tcPr>
            <w:vAlign w:val="top"/>
            <w:tcMar>
              <w:top w:w="70" w:type="dxa"/>
              <w:start w:w="80" w:type="dxa"/>
              <w:bottom w:w="70" w:type="dxa"/>
              <w:end w:w="80" w:type="dxa"/>
            </w:tcMar>
            <w:shd w:fill="D9EAF7"/>
          </w:tcPr>
          <w:p>
            <w:pPr>
              <w:pStyle w:val="Compact"/>
              <w:jc w:val="left"/>
            </w:pPr>
            <w:r>
              <w:rPr>
                <w:rFonts w:ascii="Arial" w:hAnsi="Arial" w:eastAsia="Arial"/>
                <w:sz w:val="16"/>
              </w:rPr>
              <w:t>Evidence: local air/water/noise monitoring; hazard proximity; exposure records; Gate classes: Rights Floor; Ordinary welfare. Uncertainty: Standard assessment. Interpretation: Ordinary welfare; can become rights-covered under environmental-health protections and disproportionate-exposure (environmental-justice) concerns.</w:t>
            </w:r>
          </w:p>
        </w:tc>
        <w:tc>
          <w:tcPr>
            <w:vAlign w:val="top"/>
            <w:tcMar>
              <w:top w:w="70" w:type="dxa"/>
              <w:start w:w="80" w:type="dxa"/>
              <w:bottom w:w="70" w:type="dxa"/>
              <w:end w:w="80" w:type="dxa"/>
            </w:tcMar>
            <w:shd w:fill="D9EAF7"/>
          </w:tcPr>
          <w:p>
            <w:pPr>
              <w:pStyle w:val="Compact"/>
              <w:jc w:val="left"/>
            </w:pPr>
            <w:r>
              <w:rPr>
                <w:rFonts w:ascii="Arial" w:hAnsi="Arial" w:eastAsia="Arial"/>
                <w:sz w:val="16"/>
              </w:rPr>
              <w:t>Example: A factory buffer-zone rule that cuts a household's pollutant exposure improves U1/D7.; Reviewer check: A reviewer checks measured exposure change against the affected location, not a city-wide average.</w:t>
            </w:r>
          </w:p>
        </w:tc>
      </w:tr>
    </w:tbl>
    <w:bookmarkEnd w:id="636"/>
    <w:bookmarkStart w:id="637" w:name="u2-household---meaning-and-movement"/>
    <w:p>
      <w:pPr>
        <w:pStyle w:val="Heading3"/>
      </w:pPr>
      <w:r>
        <w:t>U2 Household - meaning and movement</w:t>
      </w:r>
    </w:p>
    <w:tbl>
      <w:tblPr>
        <w:tblStyle w:val="Table"/>
        <w:tblW w:type="auto" w:w="0"/>
        <w:jc w:val="center"/>
        <w:tblLook w:firstRow="1" w:lastRow="0" w:firstColumn="0" w:lastColumn="0" w:noHBand="0" w:noVBand="0" w:val="0020"/>
      </w:tblPr>
      <w:tblGrid>
        <w:gridCol w:w="1980"/>
        <w:gridCol w:w="1980"/>
        <w:gridCol w:w="1980"/>
        <w:gridCol w:w="1980"/>
      </w:tblGrid>
      <w:tr>
        <w:trPr>
          <w:tblHeader w:val="on"/>
          <w:tblHeader w:val="true"/>
          <w:cantSplit/>
        </w:trPr>
        <w:tc>
          <w:tcPr>
            <w:vAlign w:val="top"/>
            <w:tcMar>
              <w:top w:w="70" w:type="dxa"/>
              <w:start w:w="80" w:type="dxa"/>
              <w:bottom w:w="70" w:type="dxa"/>
              <w:end w:w="80" w:type="dxa"/>
            </w:tcMar>
            <w:shd w:fill="1F4E78"/>
          </w:tcPr>
          <w:p>
            <w:pPr>
              <w:pStyle w:val="Compact"/>
              <w:jc w:val="left"/>
            </w:pPr>
            <w:r>
              <w:rPr>
                <w:rFonts w:ascii="Arial" w:hAnsi="Arial" w:eastAsia="Arial"/>
                <w:b/>
                <w:color w:val="FFFFFF"/>
                <w:sz w:val="16"/>
              </w:rPr>
              <w:t>Cell</w:t>
            </w:r>
          </w:p>
        </w:tc>
        <w:tc>
          <w:tcPr>
            <w:vAlign w:val="top"/>
            <w:tcMar>
              <w:top w:w="70" w:type="dxa"/>
              <w:start w:w="80" w:type="dxa"/>
              <w:bottom w:w="70" w:type="dxa"/>
              <w:end w:w="80" w:type="dxa"/>
            </w:tcMar>
            <w:shd w:fill="1F4E78"/>
          </w:tcPr>
          <w:p>
            <w:pPr>
              <w:pStyle w:val="Compact"/>
              <w:jc w:val="left"/>
            </w:pPr>
            <w:r>
              <w:rPr>
                <w:rFonts w:ascii="Arial" w:hAnsi="Arial" w:eastAsia="Arial"/>
                <w:b/>
                <w:color w:val="FFFFFF"/>
                <w:sz w:val="16"/>
              </w:rPr>
              <w:t>What this cell measures</w:t>
            </w:r>
          </w:p>
        </w:tc>
        <w:tc>
          <w:tcPr>
            <w:vAlign w:val="top"/>
            <w:tcMar>
              <w:top w:w="70" w:type="dxa"/>
              <w:start w:w="80" w:type="dxa"/>
              <w:bottom w:w="70" w:type="dxa"/>
              <w:end w:w="80" w:type="dxa"/>
            </w:tcMar>
            <w:shd w:fill="1F4E78"/>
          </w:tcPr>
          <w:p>
            <w:pPr>
              <w:pStyle w:val="Compact"/>
              <w:jc w:val="left"/>
            </w:pPr>
            <w:r>
              <w:rPr>
                <w:rFonts w:ascii="Arial" w:hAnsi="Arial" w:eastAsia="Arial"/>
                <w:b/>
                <w:color w:val="FFFFFF"/>
                <w:sz w:val="16"/>
              </w:rPr>
              <w:t>+ Benefit</w:t>
            </w:r>
          </w:p>
        </w:tc>
        <w:tc>
          <w:tcPr>
            <w:vAlign w:val="top"/>
            <w:tcMar>
              <w:top w:w="70" w:type="dxa"/>
              <w:start w:w="80" w:type="dxa"/>
              <w:bottom w:w="70" w:type="dxa"/>
              <w:end w:w="80" w:type="dxa"/>
            </w:tcMar>
            <w:shd w:fill="1F4E78"/>
          </w:tcPr>
          <w:p>
            <w:pPr>
              <w:pStyle w:val="Compact"/>
              <w:jc w:val="left"/>
            </w:pPr>
            <w:r>
              <w:rPr>
                <w:rFonts w:ascii="Arial" w:hAnsi="Arial" w:eastAsia="Arial"/>
                <w:b/>
                <w:color w:val="FFFFFF"/>
                <w:sz w:val="16"/>
              </w:rPr>
              <w:t>- Harm</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b/>
                <w:bCs/>
                <w:sz w:val="16"/>
              </w:rPr>
              <w:t>U2/D1</w:t>
            </w:r>
            <w:r>
              <w:rPr>
                <w:rFonts w:ascii="Arial" w:hAnsi="Arial" w:eastAsia="Arial"/>
                <w:sz w:val="16"/>
              </w:rPr>
              <w:t xml:space="preserve"> </w:t>
            </w:r>
            <w:r>
              <w:rPr>
                <w:rFonts w:ascii="Arial" w:hAnsi="Arial" w:eastAsia="Arial"/>
                <w:sz w:val="16"/>
              </w:rPr>
              <w:t>- Household Resources (label: household resources)</w:t>
            </w:r>
          </w:p>
        </w:tc>
        <w:tc>
          <w:tcPr>
            <w:vAlign w:val="top"/>
            <w:tcMar>
              <w:top w:w="70" w:type="dxa"/>
              <w:start w:w="80" w:type="dxa"/>
              <w:bottom w:w="70" w:type="dxa"/>
              <w:end w:w="80" w:type="dxa"/>
            </w:tcMar>
            <w:shd w:fill="D9EAF7"/>
          </w:tcPr>
          <w:p>
            <w:pPr>
              <w:pStyle w:val="Compact"/>
              <w:jc w:val="left"/>
            </w:pPr>
            <w:r>
              <w:rPr>
                <w:rFonts w:ascii="Arial" w:hAnsi="Arial" w:eastAsia="Arial"/>
                <w:sz w:val="16"/>
              </w:rPr>
              <w:t>The economic security of the household unit: shared income, assets, housing, and ability to meet needs.</w:t>
            </w:r>
          </w:p>
        </w:tc>
        <w:tc>
          <w:tcPr>
            <w:vAlign w:val="top"/>
            <w:tcMar>
              <w:top w:w="70" w:type="dxa"/>
              <w:start w:w="80" w:type="dxa"/>
              <w:bottom w:w="70" w:type="dxa"/>
              <w:end w:w="80" w:type="dxa"/>
            </w:tcMar>
            <w:shd w:fill="D9EAF7"/>
          </w:tcPr>
          <w:p>
            <w:pPr>
              <w:pStyle w:val="Compact"/>
              <w:jc w:val="left"/>
            </w:pPr>
            <w:r>
              <w:rPr>
                <w:rFonts w:ascii="Arial" w:hAnsi="Arial" w:eastAsia="Arial"/>
                <w:sz w:val="16"/>
              </w:rPr>
              <w:t>Improved household finances, housing security, reduced shared debt.</w:t>
            </w:r>
          </w:p>
        </w:tc>
        <w:tc>
          <w:tcPr>
            <w:vAlign w:val="top"/>
            <w:tcMar>
              <w:top w:w="70" w:type="dxa"/>
              <w:start w:w="80" w:type="dxa"/>
              <w:bottom w:w="70" w:type="dxa"/>
              <w:end w:w="80" w:type="dxa"/>
            </w:tcMar>
            <w:shd w:fill="D9EAF7"/>
          </w:tcPr>
          <w:p>
            <w:pPr>
              <w:pStyle w:val="Compact"/>
              <w:jc w:val="left"/>
            </w:pPr>
            <w:r>
              <w:rPr>
                <w:rFonts w:ascii="Arial" w:hAnsi="Arial" w:eastAsia="Arial"/>
                <w:sz w:val="16"/>
              </w:rPr>
              <w:t>Household impoverishment, housing loss, debt, inability to meet needs.</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b/>
                <w:bCs/>
                <w:sz w:val="16"/>
              </w:rPr>
              <w:t>U2/D2</w:t>
            </w:r>
            <w:r>
              <w:rPr>
                <w:rFonts w:ascii="Arial" w:hAnsi="Arial" w:eastAsia="Arial"/>
                <w:sz w:val="16"/>
              </w:rPr>
              <w:t xml:space="preserve"> </w:t>
            </w:r>
            <w:r>
              <w:rPr>
                <w:rFonts w:ascii="Arial" w:hAnsi="Arial" w:eastAsia="Arial"/>
                <w:sz w:val="16"/>
              </w:rPr>
              <w:t>- Household Health (label: household health)</w:t>
            </w:r>
          </w:p>
        </w:tc>
        <w:tc>
          <w:tcPr>
            <w:vAlign w:val="top"/>
            <w:tcMar>
              <w:top w:w="70" w:type="dxa"/>
              <w:start w:w="80" w:type="dxa"/>
              <w:bottom w:w="70" w:type="dxa"/>
              <w:end w:w="80" w:type="dxa"/>
            </w:tcMar>
            <w:shd w:fill="FFFFFF"/>
          </w:tcPr>
          <w:p>
            <w:pPr>
              <w:pStyle w:val="Compact"/>
              <w:jc w:val="left"/>
            </w:pPr>
            <w:r>
              <w:rPr>
                <w:rFonts w:ascii="Arial" w:hAnsi="Arial" w:eastAsia="Arial"/>
                <w:sz w:val="16"/>
              </w:rPr>
              <w:t>The collective physical and mental health and safety of household members, including dependents.</w:t>
            </w:r>
          </w:p>
        </w:tc>
        <w:tc>
          <w:tcPr>
            <w:vAlign w:val="top"/>
            <w:tcMar>
              <w:top w:w="70" w:type="dxa"/>
              <w:start w:w="80" w:type="dxa"/>
              <w:bottom w:w="70" w:type="dxa"/>
              <w:end w:w="80" w:type="dxa"/>
            </w:tcMar>
            <w:shd w:fill="FFFFFF"/>
          </w:tcPr>
          <w:p>
            <w:pPr>
              <w:pStyle w:val="Compact"/>
              <w:jc w:val="left"/>
            </w:pPr>
            <w:r>
              <w:rPr>
                <w:rFonts w:ascii="Arial" w:hAnsi="Arial" w:eastAsia="Arial"/>
                <w:sz w:val="16"/>
              </w:rPr>
              <w:t>Better shared health, safer home, improved care for dependents and caregivers.</w:t>
            </w:r>
          </w:p>
        </w:tc>
        <w:tc>
          <w:tcPr>
            <w:vAlign w:val="top"/>
            <w:tcMar>
              <w:top w:w="70" w:type="dxa"/>
              <w:start w:w="80" w:type="dxa"/>
              <w:bottom w:w="70" w:type="dxa"/>
              <w:end w:w="80" w:type="dxa"/>
            </w:tcMar>
            <w:shd w:fill="FFFFFF"/>
          </w:tcPr>
          <w:p>
            <w:pPr>
              <w:pStyle w:val="Compact"/>
              <w:jc w:val="left"/>
            </w:pPr>
            <w:r>
              <w:rPr>
                <w:rFonts w:ascii="Arial" w:hAnsi="Arial" w:eastAsia="Arial"/>
                <w:sz w:val="16"/>
              </w:rPr>
              <w:t>Household illness, unsafe housing, caregiver burnout, harm to dependents.</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b/>
                <w:bCs/>
                <w:sz w:val="16"/>
              </w:rPr>
              <w:t>U2/D3</w:t>
            </w:r>
            <w:r>
              <w:rPr>
                <w:rFonts w:ascii="Arial" w:hAnsi="Arial" w:eastAsia="Arial"/>
                <w:sz w:val="16"/>
              </w:rPr>
              <w:t xml:space="preserve"> </w:t>
            </w:r>
            <w:r>
              <w:rPr>
                <w:rFonts w:ascii="Arial" w:hAnsi="Arial" w:eastAsia="Arial"/>
                <w:sz w:val="16"/>
              </w:rPr>
              <w:t>- Family Cohesion (label: family cohesion)</w:t>
            </w:r>
          </w:p>
        </w:tc>
        <w:tc>
          <w:tcPr>
            <w:vAlign w:val="top"/>
            <w:tcMar>
              <w:top w:w="70" w:type="dxa"/>
              <w:start w:w="80" w:type="dxa"/>
              <w:bottom w:w="70" w:type="dxa"/>
              <w:end w:w="80" w:type="dxa"/>
            </w:tcMar>
            <w:shd w:fill="D9EAF7"/>
          </w:tcPr>
          <w:p>
            <w:pPr>
              <w:pStyle w:val="Compact"/>
              <w:jc w:val="left"/>
            </w:pPr>
            <w:r>
              <w:rPr>
                <w:rFonts w:ascii="Arial" w:hAnsi="Arial" w:eastAsia="Arial"/>
                <w:sz w:val="16"/>
              </w:rPr>
              <w:t>The strength, stability, and supportive quality of relationships within the household.</w:t>
            </w:r>
          </w:p>
        </w:tc>
        <w:tc>
          <w:tcPr>
            <w:vAlign w:val="top"/>
            <w:tcMar>
              <w:top w:w="70" w:type="dxa"/>
              <w:start w:w="80" w:type="dxa"/>
              <w:bottom w:w="70" w:type="dxa"/>
              <w:end w:w="80" w:type="dxa"/>
            </w:tcMar>
            <w:shd w:fill="D9EAF7"/>
          </w:tcPr>
          <w:p>
            <w:pPr>
              <w:pStyle w:val="Compact"/>
              <w:jc w:val="left"/>
            </w:pPr>
            <w:r>
              <w:rPr>
                <w:rFonts w:ascii="Arial" w:hAnsi="Arial" w:eastAsia="Arial"/>
                <w:sz w:val="16"/>
              </w:rPr>
              <w:t>Stronger family bonds, stability, reduced conflict, kept-together units.</w:t>
            </w:r>
          </w:p>
        </w:tc>
        <w:tc>
          <w:tcPr>
            <w:vAlign w:val="top"/>
            <w:tcMar>
              <w:top w:w="70" w:type="dxa"/>
              <w:start w:w="80" w:type="dxa"/>
              <w:bottom w:w="70" w:type="dxa"/>
              <w:end w:w="80" w:type="dxa"/>
            </w:tcMar>
            <w:shd w:fill="D9EAF7"/>
          </w:tcPr>
          <w:p>
            <w:pPr>
              <w:pStyle w:val="Compact"/>
              <w:jc w:val="left"/>
            </w:pPr>
            <w:r>
              <w:rPr>
                <w:rFonts w:ascii="Arial" w:hAnsi="Arial" w:eastAsia="Arial"/>
                <w:sz w:val="16"/>
              </w:rPr>
              <w:t>Family breakdown, forced separation, household conflict, instability.</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b/>
                <w:bCs/>
                <w:sz w:val="16"/>
              </w:rPr>
              <w:t>U2/D4</w:t>
            </w:r>
            <w:r>
              <w:rPr>
                <w:rFonts w:ascii="Arial" w:hAnsi="Arial" w:eastAsia="Arial"/>
                <w:sz w:val="16"/>
              </w:rPr>
              <w:t xml:space="preserve"> </w:t>
            </w:r>
            <w:r>
              <w:rPr>
                <w:rFonts w:ascii="Arial" w:hAnsi="Arial" w:eastAsia="Arial"/>
                <w:sz w:val="16"/>
              </w:rPr>
              <w:t>- Shared Learning (label: shared learning)</w:t>
            </w:r>
          </w:p>
        </w:tc>
        <w:tc>
          <w:tcPr>
            <w:vAlign w:val="top"/>
            <w:tcMar>
              <w:top w:w="70" w:type="dxa"/>
              <w:start w:w="80" w:type="dxa"/>
              <w:bottom w:w="70" w:type="dxa"/>
              <w:end w:w="80" w:type="dxa"/>
            </w:tcMar>
            <w:shd w:fill="FFFFFF"/>
          </w:tcPr>
          <w:p>
            <w:pPr>
              <w:pStyle w:val="Compact"/>
              <w:jc w:val="left"/>
            </w:pPr>
            <w:r>
              <w:rPr>
                <w:rFonts w:ascii="Arial" w:hAnsi="Arial" w:eastAsia="Arial"/>
                <w:sz w:val="16"/>
              </w:rPr>
              <w:t>The household's collective access to information, education, and learning capacity.</w:t>
            </w:r>
          </w:p>
        </w:tc>
        <w:tc>
          <w:tcPr>
            <w:vAlign w:val="top"/>
            <w:tcMar>
              <w:top w:w="70" w:type="dxa"/>
              <w:start w:w="80" w:type="dxa"/>
              <w:bottom w:w="70" w:type="dxa"/>
              <w:end w:w="80" w:type="dxa"/>
            </w:tcMar>
            <w:shd w:fill="FFFFFF"/>
          </w:tcPr>
          <w:p>
            <w:pPr>
              <w:pStyle w:val="Compact"/>
              <w:jc w:val="left"/>
            </w:pPr>
            <w:r>
              <w:rPr>
                <w:rFonts w:ascii="Arial" w:hAnsi="Arial" w:eastAsia="Arial"/>
                <w:sz w:val="16"/>
              </w:rPr>
              <w:t>Better shared access to education and information, intergenerational learning.</w:t>
            </w:r>
          </w:p>
        </w:tc>
        <w:tc>
          <w:tcPr>
            <w:vAlign w:val="top"/>
            <w:tcMar>
              <w:top w:w="70" w:type="dxa"/>
              <w:start w:w="80" w:type="dxa"/>
              <w:bottom w:w="70" w:type="dxa"/>
              <w:end w:w="80" w:type="dxa"/>
            </w:tcMar>
            <w:shd w:fill="FFFFFF"/>
          </w:tcPr>
          <w:p>
            <w:pPr>
              <w:pStyle w:val="Compact"/>
              <w:jc w:val="left"/>
            </w:pPr>
            <w:r>
              <w:rPr>
                <w:rFonts w:ascii="Arial" w:hAnsi="Arial" w:eastAsia="Arial"/>
                <w:sz w:val="16"/>
              </w:rPr>
              <w:t>Loss of household educational access, information poverty.</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b/>
                <w:bCs/>
                <w:sz w:val="16"/>
              </w:rPr>
              <w:t>U2/D5</w:t>
            </w:r>
            <w:r>
              <w:rPr>
                <w:rFonts w:ascii="Arial" w:hAnsi="Arial" w:eastAsia="Arial"/>
                <w:sz w:val="16"/>
              </w:rPr>
              <w:t xml:space="preserve"> </w:t>
            </w:r>
            <w:r>
              <w:rPr>
                <w:rFonts w:ascii="Arial" w:hAnsi="Arial" w:eastAsia="Arial"/>
                <w:sz w:val="16"/>
              </w:rPr>
              <w:t>- Household Agency (label: household agency)</w:t>
            </w:r>
          </w:p>
        </w:tc>
        <w:tc>
          <w:tcPr>
            <w:vAlign w:val="top"/>
            <w:tcMar>
              <w:top w:w="70" w:type="dxa"/>
              <w:start w:w="80" w:type="dxa"/>
              <w:bottom w:w="70" w:type="dxa"/>
              <w:end w:w="80" w:type="dxa"/>
            </w:tcMar>
            <w:shd w:fill="D9EAF7"/>
          </w:tcPr>
          <w:p>
            <w:pPr>
              <w:pStyle w:val="Compact"/>
              <w:jc w:val="left"/>
            </w:pPr>
            <w:r>
              <w:rPr>
                <w:rFonts w:ascii="Arial" w:hAnsi="Arial" w:eastAsia="Arial"/>
                <w:sz w:val="16"/>
              </w:rPr>
              <w:t>The household's collective ability to make decisions, plan, and control its own circumstances.</w:t>
            </w:r>
          </w:p>
        </w:tc>
        <w:tc>
          <w:tcPr>
            <w:vAlign w:val="top"/>
            <w:tcMar>
              <w:top w:w="70" w:type="dxa"/>
              <w:start w:w="80" w:type="dxa"/>
              <w:bottom w:w="70" w:type="dxa"/>
              <w:end w:w="80" w:type="dxa"/>
            </w:tcMar>
            <w:shd w:fill="D9EAF7"/>
          </w:tcPr>
          <w:p>
            <w:pPr>
              <w:pStyle w:val="Compact"/>
              <w:jc w:val="left"/>
            </w:pPr>
            <w:r>
              <w:rPr>
                <w:rFonts w:ascii="Arial" w:hAnsi="Arial" w:eastAsia="Arial"/>
                <w:sz w:val="16"/>
              </w:rPr>
              <w:t>Greater household self-determination, planning ability, freedom from external control.</w:t>
            </w:r>
          </w:p>
        </w:tc>
        <w:tc>
          <w:tcPr>
            <w:vAlign w:val="top"/>
            <w:tcMar>
              <w:top w:w="70" w:type="dxa"/>
              <w:start w:w="80" w:type="dxa"/>
              <w:bottom w:w="70" w:type="dxa"/>
              <w:end w:w="80" w:type="dxa"/>
            </w:tcMar>
            <w:shd w:fill="D9EAF7"/>
          </w:tcPr>
          <w:p>
            <w:pPr>
              <w:pStyle w:val="Compact"/>
              <w:jc w:val="left"/>
            </w:pPr>
            <w:r>
              <w:rPr>
                <w:rFonts w:ascii="Arial" w:hAnsi="Arial" w:eastAsia="Arial"/>
                <w:sz w:val="16"/>
              </w:rPr>
              <w:t>Loss of household control, externally imposed decisions, dependency.</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b/>
                <w:bCs/>
                <w:sz w:val="16"/>
              </w:rPr>
              <w:t>U2/D6</w:t>
            </w:r>
            <w:r>
              <w:rPr>
                <w:rFonts w:ascii="Arial" w:hAnsi="Arial" w:eastAsia="Arial"/>
                <w:sz w:val="16"/>
              </w:rPr>
              <w:t xml:space="preserve"> </w:t>
            </w:r>
            <w:r>
              <w:rPr>
                <w:rFonts w:ascii="Arial" w:hAnsi="Arial" w:eastAsia="Arial"/>
                <w:sz w:val="16"/>
              </w:rPr>
              <w:t>- Family Meaning (label: family meaning)</w:t>
            </w:r>
          </w:p>
        </w:tc>
        <w:tc>
          <w:tcPr>
            <w:vAlign w:val="top"/>
            <w:tcMar>
              <w:top w:w="70" w:type="dxa"/>
              <w:start w:w="80" w:type="dxa"/>
              <w:bottom w:w="70" w:type="dxa"/>
              <w:end w:w="80" w:type="dxa"/>
            </w:tcMar>
            <w:shd w:fill="FFFFFF"/>
          </w:tcPr>
          <w:p>
            <w:pPr>
              <w:pStyle w:val="Compact"/>
              <w:jc w:val="left"/>
            </w:pPr>
            <w:r>
              <w:rPr>
                <w:rFonts w:ascii="Arial" w:hAnsi="Arial" w:eastAsia="Arial"/>
                <w:sz w:val="16"/>
              </w:rPr>
              <w:t>The household's shared sense of identity, belonging, dignity, and purpose.</w:t>
            </w:r>
          </w:p>
        </w:tc>
        <w:tc>
          <w:tcPr>
            <w:vAlign w:val="top"/>
            <w:tcMar>
              <w:top w:w="70" w:type="dxa"/>
              <w:start w:w="80" w:type="dxa"/>
              <w:bottom w:w="70" w:type="dxa"/>
              <w:end w:w="80" w:type="dxa"/>
            </w:tcMar>
            <w:shd w:fill="FFFFFF"/>
          </w:tcPr>
          <w:p>
            <w:pPr>
              <w:pStyle w:val="Compact"/>
              <w:jc w:val="left"/>
            </w:pPr>
            <w:r>
              <w:rPr>
                <w:rFonts w:ascii="Arial" w:hAnsi="Arial" w:eastAsia="Arial"/>
                <w:sz w:val="16"/>
              </w:rPr>
              <w:t>Stronger shared identity, belonging, dignity, and continuity.</w:t>
            </w:r>
          </w:p>
        </w:tc>
        <w:tc>
          <w:tcPr>
            <w:vAlign w:val="top"/>
            <w:tcMar>
              <w:top w:w="70" w:type="dxa"/>
              <w:start w:w="80" w:type="dxa"/>
              <w:bottom w:w="70" w:type="dxa"/>
              <w:end w:w="80" w:type="dxa"/>
            </w:tcMar>
            <w:shd w:fill="FFFFFF"/>
          </w:tcPr>
          <w:p>
            <w:pPr>
              <w:pStyle w:val="Compact"/>
              <w:jc w:val="left"/>
            </w:pPr>
            <w:r>
              <w:rPr>
                <w:rFonts w:ascii="Arial" w:hAnsi="Arial" w:eastAsia="Arial"/>
                <w:sz w:val="16"/>
              </w:rPr>
              <w:t>Loss of household identity, stigma, indignity, eroded belonging.</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b/>
                <w:bCs/>
                <w:sz w:val="16"/>
              </w:rPr>
              <w:t>U2/D7</w:t>
            </w:r>
            <w:r>
              <w:rPr>
                <w:rFonts w:ascii="Arial" w:hAnsi="Arial" w:eastAsia="Arial"/>
                <w:sz w:val="16"/>
              </w:rPr>
              <w:t xml:space="preserve"> </w:t>
            </w:r>
            <w:r>
              <w:rPr>
                <w:rFonts w:ascii="Arial" w:hAnsi="Arial" w:eastAsia="Arial"/>
                <w:sz w:val="16"/>
              </w:rPr>
              <w:t>- Home Environment (label: home environment)</w:t>
            </w:r>
          </w:p>
        </w:tc>
        <w:tc>
          <w:tcPr>
            <w:vAlign w:val="top"/>
            <w:tcMar>
              <w:top w:w="70" w:type="dxa"/>
              <w:start w:w="80" w:type="dxa"/>
              <w:bottom w:w="70" w:type="dxa"/>
              <w:end w:w="80" w:type="dxa"/>
            </w:tcMar>
            <w:shd w:fill="D9EAF7"/>
          </w:tcPr>
          <w:p>
            <w:pPr>
              <w:pStyle w:val="Compact"/>
              <w:jc w:val="left"/>
            </w:pPr>
            <w:r>
              <w:rPr>
                <w:rFonts w:ascii="Arial" w:hAnsi="Arial" w:eastAsia="Arial"/>
                <w:sz w:val="16"/>
              </w:rPr>
              <w:t>The physical environmental quality of the home and its immediate setting.</w:t>
            </w:r>
          </w:p>
        </w:tc>
        <w:tc>
          <w:tcPr>
            <w:vAlign w:val="top"/>
            <w:tcMar>
              <w:top w:w="70" w:type="dxa"/>
              <w:start w:w="80" w:type="dxa"/>
              <w:bottom w:w="70" w:type="dxa"/>
              <w:end w:w="80" w:type="dxa"/>
            </w:tcMar>
            <w:shd w:fill="D9EAF7"/>
          </w:tcPr>
          <w:p>
            <w:pPr>
              <w:pStyle w:val="Compact"/>
              <w:jc w:val="left"/>
            </w:pPr>
            <w:r>
              <w:rPr>
                <w:rFonts w:ascii="Arial" w:hAnsi="Arial" w:eastAsia="Arial"/>
                <w:sz w:val="16"/>
              </w:rPr>
              <w:t>Healthier home conditions, reduced indoor hazards, better surroundings.</w:t>
            </w:r>
          </w:p>
        </w:tc>
        <w:tc>
          <w:tcPr>
            <w:vAlign w:val="top"/>
            <w:tcMar>
              <w:top w:w="70" w:type="dxa"/>
              <w:start w:w="80" w:type="dxa"/>
              <w:bottom w:w="70" w:type="dxa"/>
              <w:end w:w="80" w:type="dxa"/>
            </w:tcMar>
            <w:shd w:fill="D9EAF7"/>
          </w:tcPr>
          <w:p>
            <w:pPr>
              <w:pStyle w:val="Compact"/>
              <w:jc w:val="left"/>
            </w:pPr>
            <w:r>
              <w:rPr>
                <w:rFonts w:ascii="Arial" w:hAnsi="Arial" w:eastAsia="Arial"/>
                <w:sz w:val="16"/>
              </w:rPr>
              <w:t>Indoor pollution, mould, hazards, degraded immediate environment.</w:t>
            </w:r>
          </w:p>
        </w:tc>
      </w:tr>
    </w:tbl>
    <w:bookmarkEnd w:id="637"/>
    <w:bookmarkStart w:id="638" w:name="u2-household---evidence-and-review"/>
    <w:p>
      <w:pPr>
        <w:pStyle w:val="Heading3"/>
      </w:pPr>
      <w:r>
        <w:t>U2 Household - evidence and review</w:t>
      </w:r>
    </w:p>
    <w:tbl>
      <w:tblPr>
        <w:tblStyle w:val="Table"/>
        <w:tblW w:type="auto" w:w="0"/>
        <w:jc w:val="center"/>
        <w:tblLook w:firstRow="1" w:lastRow="0" w:firstColumn="0" w:lastColumn="0" w:noHBand="0" w:noVBand="0" w:val="0020"/>
      </w:tblPr>
      <w:tblGrid>
        <w:gridCol w:w="2640"/>
        <w:gridCol w:w="2640"/>
        <w:gridCol w:w="2640"/>
      </w:tblGrid>
      <w:tr>
        <w:trPr>
          <w:tblHeader w:val="on"/>
          <w:tblHeader w:val="true"/>
          <w:cantSplit/>
        </w:trPr>
        <w:tc>
          <w:tcPr>
            <w:vAlign w:val="top"/>
            <w:tcMar>
              <w:top w:w="70" w:type="dxa"/>
              <w:start w:w="80" w:type="dxa"/>
              <w:bottom w:w="70" w:type="dxa"/>
              <w:end w:w="80" w:type="dxa"/>
            </w:tcMar>
            <w:shd w:fill="1F4E78"/>
          </w:tcPr>
          <w:p>
            <w:pPr>
              <w:pStyle w:val="Compact"/>
              <w:jc w:val="left"/>
            </w:pPr>
            <w:r>
              <w:rPr>
                <w:rFonts w:ascii="Arial" w:hAnsi="Arial" w:eastAsia="Arial"/>
                <w:b/>
                <w:color w:val="FFFFFF"/>
                <w:sz w:val="16"/>
              </w:rPr>
              <w:t>Cell</w:t>
            </w:r>
          </w:p>
        </w:tc>
        <w:tc>
          <w:tcPr>
            <w:vAlign w:val="top"/>
            <w:tcMar>
              <w:top w:w="70" w:type="dxa"/>
              <w:start w:w="80" w:type="dxa"/>
              <w:bottom w:w="70" w:type="dxa"/>
              <w:end w:w="80" w:type="dxa"/>
            </w:tcMar>
            <w:shd w:fill="1F4E78"/>
          </w:tcPr>
          <w:p>
            <w:pPr>
              <w:pStyle w:val="Compact"/>
              <w:jc w:val="left"/>
            </w:pPr>
            <w:r>
              <w:rPr>
                <w:rFonts w:ascii="Arial" w:hAnsi="Arial" w:eastAsia="Arial"/>
                <w:b/>
                <w:color w:val="FFFFFF"/>
                <w:sz w:val="16"/>
              </w:rPr>
              <w:t>Evidence and gate cues</w:t>
            </w:r>
          </w:p>
        </w:tc>
        <w:tc>
          <w:tcPr>
            <w:vAlign w:val="top"/>
            <w:tcMar>
              <w:top w:w="70" w:type="dxa"/>
              <w:start w:w="80" w:type="dxa"/>
              <w:bottom w:w="70" w:type="dxa"/>
              <w:end w:w="80" w:type="dxa"/>
            </w:tcMar>
            <w:shd w:fill="1F4E78"/>
          </w:tcPr>
          <w:p>
            <w:pPr>
              <w:pStyle w:val="Compact"/>
              <w:jc w:val="left"/>
            </w:pPr>
            <w:r>
              <w:rPr>
                <w:rFonts w:ascii="Arial" w:hAnsi="Arial" w:eastAsia="Arial"/>
                <w:b/>
                <w:color w:val="FFFFFF"/>
                <w:sz w:val="16"/>
              </w:rPr>
              <w:t>Example and reviewer check</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b/>
                <w:bCs/>
                <w:sz w:val="16"/>
              </w:rPr>
              <w:t>U2/D1</w:t>
            </w:r>
            <w:r>
              <w:rPr>
                <w:rFonts w:ascii="Arial" w:hAnsi="Arial" w:eastAsia="Arial"/>
                <w:sz w:val="16"/>
              </w:rPr>
              <w:t xml:space="preserve"> </w:t>
            </w:r>
            <w:r>
              <w:rPr>
                <w:rFonts w:ascii="Arial" w:hAnsi="Arial" w:eastAsia="Arial"/>
                <w:sz w:val="16"/>
              </w:rPr>
              <w:t>- Household Resources (label: household resources)</w:t>
            </w:r>
          </w:p>
        </w:tc>
        <w:tc>
          <w:tcPr>
            <w:vAlign w:val="top"/>
            <w:tcMar>
              <w:top w:w="70" w:type="dxa"/>
              <w:start w:w="80" w:type="dxa"/>
              <w:bottom w:w="70" w:type="dxa"/>
              <w:end w:w="80" w:type="dxa"/>
            </w:tcMar>
            <w:shd w:fill="D9EAF7"/>
          </w:tcPr>
          <w:p>
            <w:pPr>
              <w:pStyle w:val="Compact"/>
              <w:jc w:val="left"/>
            </w:pPr>
            <w:r>
              <w:rPr>
                <w:rFonts w:ascii="Arial" w:hAnsi="Arial" w:eastAsia="Arial"/>
                <w:sz w:val="16"/>
              </w:rPr>
              <w:t>Evidence: household income and assets; housing tenure; arrears and food-security data; Gate classes: Ordinary welfare. Uncertainty: Standard assessment. Interpretation: Ordinary welfare; escalates toward rights where dependents (children, disabled members) face a subsistence floor.</w:t>
            </w:r>
          </w:p>
        </w:tc>
        <w:tc>
          <w:tcPr>
            <w:vAlign w:val="top"/>
            <w:tcMar>
              <w:top w:w="70" w:type="dxa"/>
              <w:start w:w="80" w:type="dxa"/>
              <w:bottom w:w="70" w:type="dxa"/>
              <w:end w:w="80" w:type="dxa"/>
            </w:tcMar>
            <w:shd w:fill="D9EAF7"/>
          </w:tcPr>
          <w:p>
            <w:pPr>
              <w:pStyle w:val="Compact"/>
              <w:jc w:val="left"/>
            </w:pPr>
            <w:r>
              <w:rPr>
                <w:rFonts w:ascii="Arial" w:hAnsi="Arial" w:eastAsia="Arial"/>
                <w:sz w:val="16"/>
              </w:rPr>
              <w:t>Example: A childcare subsidy that frees household income improves U2/D1.; Reviewer check: A reviewer asks whether the household, not just the earner, is the measured unit.</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b/>
                <w:bCs/>
                <w:sz w:val="16"/>
              </w:rPr>
              <w:t>U2/D2</w:t>
            </w:r>
            <w:r>
              <w:rPr>
                <w:rFonts w:ascii="Arial" w:hAnsi="Arial" w:eastAsia="Arial"/>
                <w:sz w:val="16"/>
              </w:rPr>
              <w:t xml:space="preserve"> </w:t>
            </w:r>
            <w:r>
              <w:rPr>
                <w:rFonts w:ascii="Arial" w:hAnsi="Arial" w:eastAsia="Arial"/>
                <w:sz w:val="16"/>
              </w:rPr>
              <w:t>- Household Health (label: household health)</w:t>
            </w:r>
          </w:p>
        </w:tc>
        <w:tc>
          <w:tcPr>
            <w:vAlign w:val="top"/>
            <w:tcMar>
              <w:top w:w="70" w:type="dxa"/>
              <w:start w:w="80" w:type="dxa"/>
              <w:bottom w:w="70" w:type="dxa"/>
              <w:end w:w="80" w:type="dxa"/>
            </w:tcMar>
            <w:shd w:fill="FFFFFF"/>
          </w:tcPr>
          <w:p>
            <w:pPr>
              <w:pStyle w:val="Compact"/>
              <w:jc w:val="left"/>
            </w:pPr>
            <w:r>
              <w:rPr>
                <w:rFonts w:ascii="Arial" w:hAnsi="Arial" w:eastAsia="Arial"/>
                <w:sz w:val="16"/>
              </w:rPr>
              <w:t>Evidence: household health surveys; home-safety inspections; caregiver-strain measures; dependent outcome data; Gate classes: Rights Floor; Ordinary welfare. Uncertainty: Standard assessment. Interpretation: Frequently rights-covered where children or dependents are affected; child welfare can trigger NCRC. Caregiver harm is easily hidden — surface it.</w:t>
            </w:r>
          </w:p>
        </w:tc>
        <w:tc>
          <w:tcPr>
            <w:vAlign w:val="top"/>
            <w:tcMar>
              <w:top w:w="70" w:type="dxa"/>
              <w:start w:w="80" w:type="dxa"/>
              <w:bottom w:w="70" w:type="dxa"/>
              <w:end w:w="80" w:type="dxa"/>
            </w:tcMar>
            <w:shd w:fill="FFFFFF"/>
          </w:tcPr>
          <w:p>
            <w:pPr>
              <w:pStyle w:val="Compact"/>
              <w:jc w:val="left"/>
            </w:pPr>
            <w:r>
              <w:rPr>
                <w:rFonts w:ascii="Arial" w:hAnsi="Arial" w:eastAsia="Arial"/>
                <w:sz w:val="16"/>
              </w:rPr>
              <w:t>Example: A home-care support program that reduces caregiver strain and improves a dependent's health raises U2/D2.; Reviewer check: A reviewer checks that dependents and caregivers are scored separately, not blended into one household figure.</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b/>
                <w:bCs/>
                <w:sz w:val="16"/>
              </w:rPr>
              <w:t>U2/D3</w:t>
            </w:r>
            <w:r>
              <w:rPr>
                <w:rFonts w:ascii="Arial" w:hAnsi="Arial" w:eastAsia="Arial"/>
                <w:sz w:val="16"/>
              </w:rPr>
              <w:t xml:space="preserve"> </w:t>
            </w:r>
            <w:r>
              <w:rPr>
                <w:rFonts w:ascii="Arial" w:hAnsi="Arial" w:eastAsia="Arial"/>
                <w:sz w:val="16"/>
              </w:rPr>
              <w:t>- Family Cohesion (label: family cohesion)</w:t>
            </w:r>
          </w:p>
        </w:tc>
        <w:tc>
          <w:tcPr>
            <w:vAlign w:val="top"/>
            <w:tcMar>
              <w:top w:w="70" w:type="dxa"/>
              <w:start w:w="80" w:type="dxa"/>
              <w:bottom w:w="70" w:type="dxa"/>
              <w:end w:w="80" w:type="dxa"/>
            </w:tcMar>
            <w:shd w:fill="D9EAF7"/>
          </w:tcPr>
          <w:p>
            <w:pPr>
              <w:pStyle w:val="Compact"/>
              <w:jc w:val="left"/>
            </w:pPr>
            <w:r>
              <w:rPr>
                <w:rFonts w:ascii="Arial" w:hAnsi="Arial" w:eastAsia="Arial"/>
                <w:sz w:val="16"/>
              </w:rPr>
              <w:t>Evidence: family-stability surveys; separation / removal records; conflict indicators; Gate classes: Rights Floor; Ordinary welfare. Uncertainty: Explicitly elevated. Interpretation: Can be rights-covered (family unity, child rights); otherwise ordinary. Measurement is soft — mark uncertainty.</w:t>
            </w:r>
          </w:p>
        </w:tc>
        <w:tc>
          <w:tcPr>
            <w:vAlign w:val="top"/>
            <w:tcMar>
              <w:top w:w="70" w:type="dxa"/>
              <w:start w:w="80" w:type="dxa"/>
              <w:bottom w:w="70" w:type="dxa"/>
              <w:end w:w="80" w:type="dxa"/>
            </w:tcMar>
            <w:shd w:fill="D9EAF7"/>
          </w:tcPr>
          <w:p>
            <w:pPr>
              <w:pStyle w:val="Compact"/>
              <w:jc w:val="left"/>
            </w:pPr>
            <w:r>
              <w:rPr>
                <w:rFonts w:ascii="Arial" w:hAnsi="Arial" w:eastAsia="Arial"/>
                <w:sz w:val="16"/>
              </w:rPr>
              <w:t>Example: A policy that avoids unnecessary family separation in housing transitions protects U2/D3.; Reviewer check: A reviewer asks whether a cohesion claim rests on outcomes or on assumed effects of a program.</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b/>
                <w:bCs/>
                <w:sz w:val="16"/>
              </w:rPr>
              <w:t>U2/D4</w:t>
            </w:r>
            <w:r>
              <w:rPr>
                <w:rFonts w:ascii="Arial" w:hAnsi="Arial" w:eastAsia="Arial"/>
                <w:sz w:val="16"/>
              </w:rPr>
              <w:t xml:space="preserve"> </w:t>
            </w:r>
            <w:r>
              <w:rPr>
                <w:rFonts w:ascii="Arial" w:hAnsi="Arial" w:eastAsia="Arial"/>
                <w:sz w:val="16"/>
              </w:rPr>
              <w:t>- Shared Learning (label: shared learning)</w:t>
            </w:r>
          </w:p>
        </w:tc>
        <w:tc>
          <w:tcPr>
            <w:vAlign w:val="top"/>
            <w:tcMar>
              <w:top w:w="70" w:type="dxa"/>
              <w:start w:w="80" w:type="dxa"/>
              <w:bottom w:w="70" w:type="dxa"/>
              <w:end w:w="80" w:type="dxa"/>
            </w:tcMar>
            <w:shd w:fill="FFFFFF"/>
          </w:tcPr>
          <w:p>
            <w:pPr>
              <w:pStyle w:val="Compact"/>
              <w:jc w:val="left"/>
            </w:pPr>
            <w:r>
              <w:rPr>
                <w:rFonts w:ascii="Arial" w:hAnsi="Arial" w:eastAsia="Arial"/>
                <w:sz w:val="16"/>
              </w:rPr>
              <w:t>Evidence: household connectivity / device access; children's schooling continuity; adult-learning access; Gate classes: Ordinary welfare. Uncertainty: Standard assessment. Interpretation: Ordinary welfare; touches rights where basic-education entitlements for children apply.</w:t>
            </w:r>
          </w:p>
        </w:tc>
        <w:tc>
          <w:tcPr>
            <w:vAlign w:val="top"/>
            <w:tcMar>
              <w:top w:w="70" w:type="dxa"/>
              <w:start w:w="80" w:type="dxa"/>
              <w:bottom w:w="70" w:type="dxa"/>
              <w:end w:w="80" w:type="dxa"/>
            </w:tcMar>
            <w:shd w:fill="FFFFFF"/>
          </w:tcPr>
          <w:p>
            <w:pPr>
              <w:pStyle w:val="Compact"/>
              <w:jc w:val="left"/>
            </w:pPr>
            <w:r>
              <w:rPr>
                <w:rFonts w:ascii="Arial" w:hAnsi="Arial" w:eastAsia="Arial"/>
                <w:sz w:val="16"/>
              </w:rPr>
              <w:t>Example: A home-broadband program that enables children's remote schooling improves U2/D4.; Reviewer check: A reviewer checks access actually reaches the household, not just the area.</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b/>
                <w:bCs/>
                <w:sz w:val="16"/>
              </w:rPr>
              <w:t>U2/D5</w:t>
            </w:r>
            <w:r>
              <w:rPr>
                <w:rFonts w:ascii="Arial" w:hAnsi="Arial" w:eastAsia="Arial"/>
                <w:sz w:val="16"/>
              </w:rPr>
              <w:t xml:space="preserve"> </w:t>
            </w:r>
            <w:r>
              <w:rPr>
                <w:rFonts w:ascii="Arial" w:hAnsi="Arial" w:eastAsia="Arial"/>
                <w:sz w:val="16"/>
              </w:rPr>
              <w:t>- Household Agency (label: household agency)</w:t>
            </w:r>
          </w:p>
        </w:tc>
        <w:tc>
          <w:tcPr>
            <w:vAlign w:val="top"/>
            <w:tcMar>
              <w:top w:w="70" w:type="dxa"/>
              <w:start w:w="80" w:type="dxa"/>
              <w:bottom w:w="70" w:type="dxa"/>
              <w:end w:w="80" w:type="dxa"/>
            </w:tcMar>
            <w:shd w:fill="D9EAF7"/>
          </w:tcPr>
          <w:p>
            <w:pPr>
              <w:pStyle w:val="Compact"/>
              <w:jc w:val="left"/>
            </w:pPr>
            <w:r>
              <w:rPr>
                <w:rFonts w:ascii="Arial" w:hAnsi="Arial" w:eastAsia="Arial"/>
                <w:sz w:val="16"/>
              </w:rPr>
              <w:t>Evidence: decision-autonomy surveys; dependency / conditionality of support; forced-relocation data; Gate classes: Rights Floor; Ordinary welfare. Uncertainty: Standard assessment. Interpretation: Can be rights-covered (family privacy, autonomy); otherwise ordinary.</w:t>
            </w:r>
          </w:p>
        </w:tc>
        <w:tc>
          <w:tcPr>
            <w:vAlign w:val="top"/>
            <w:tcMar>
              <w:top w:w="70" w:type="dxa"/>
              <w:start w:w="80" w:type="dxa"/>
              <w:bottom w:w="70" w:type="dxa"/>
              <w:end w:w="80" w:type="dxa"/>
            </w:tcMar>
            <w:shd w:fill="D9EAF7"/>
          </w:tcPr>
          <w:p>
            <w:pPr>
              <w:pStyle w:val="Compact"/>
              <w:jc w:val="left"/>
            </w:pPr>
            <w:r>
              <w:rPr>
                <w:rFonts w:ascii="Arial" w:hAnsi="Arial" w:eastAsia="Arial"/>
                <w:sz w:val="16"/>
              </w:rPr>
              <w:t>Example: A flexible-benefit design that lets households allocate support to their own priorities raises U2/D5.; Reviewer check: A reviewer tests whether household choice is real or constrained by conditions.</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b/>
                <w:bCs/>
                <w:sz w:val="16"/>
              </w:rPr>
              <w:t>U2/D6</w:t>
            </w:r>
            <w:r>
              <w:rPr>
                <w:rFonts w:ascii="Arial" w:hAnsi="Arial" w:eastAsia="Arial"/>
                <w:sz w:val="16"/>
              </w:rPr>
              <w:t xml:space="preserve"> </w:t>
            </w:r>
            <w:r>
              <w:rPr>
                <w:rFonts w:ascii="Arial" w:hAnsi="Arial" w:eastAsia="Arial"/>
                <w:sz w:val="16"/>
              </w:rPr>
              <w:t>- Family Meaning (label: family meaning)</w:t>
            </w:r>
          </w:p>
        </w:tc>
        <w:tc>
          <w:tcPr>
            <w:vAlign w:val="top"/>
            <w:tcMar>
              <w:top w:w="70" w:type="dxa"/>
              <w:start w:w="80" w:type="dxa"/>
              <w:bottom w:w="70" w:type="dxa"/>
              <w:end w:w="80" w:type="dxa"/>
            </w:tcMar>
            <w:shd w:fill="FFFFFF"/>
          </w:tcPr>
          <w:p>
            <w:pPr>
              <w:pStyle w:val="Compact"/>
              <w:jc w:val="left"/>
            </w:pPr>
            <w:r>
              <w:rPr>
                <w:rFonts w:ascii="Arial" w:hAnsi="Arial" w:eastAsia="Arial"/>
                <w:sz w:val="16"/>
              </w:rPr>
              <w:t>Evidence: belonging / identity surveys; stigma indicators; qualitative testimony; Gate classes: Ordinary welfare. Uncertainty: Explicitly elevated. Interpretation: Usually ordinary welfare; can touch dignity rights. Soft to measure — mark uncertainty.</w:t>
            </w:r>
          </w:p>
        </w:tc>
        <w:tc>
          <w:tcPr>
            <w:vAlign w:val="top"/>
            <w:tcMar>
              <w:top w:w="70" w:type="dxa"/>
              <w:start w:w="80" w:type="dxa"/>
              <w:bottom w:w="70" w:type="dxa"/>
              <w:end w:w="80" w:type="dxa"/>
            </w:tcMar>
            <w:shd w:fill="FFFFFF"/>
          </w:tcPr>
          <w:p>
            <w:pPr>
              <w:pStyle w:val="Compact"/>
              <w:jc w:val="left"/>
            </w:pPr>
            <w:r>
              <w:rPr>
                <w:rFonts w:ascii="Arial" w:hAnsi="Arial" w:eastAsia="Arial"/>
                <w:sz w:val="16"/>
              </w:rPr>
              <w:t>Example: A culturally-respectful resettlement process preserves U2/D6.; Reviewer check: A reviewer separates a real meaning effect from program rhetoric.</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b/>
                <w:bCs/>
                <w:sz w:val="16"/>
              </w:rPr>
              <w:t>U2/D7</w:t>
            </w:r>
            <w:r>
              <w:rPr>
                <w:rFonts w:ascii="Arial" w:hAnsi="Arial" w:eastAsia="Arial"/>
                <w:sz w:val="16"/>
              </w:rPr>
              <w:t xml:space="preserve"> </w:t>
            </w:r>
            <w:r>
              <w:rPr>
                <w:rFonts w:ascii="Arial" w:hAnsi="Arial" w:eastAsia="Arial"/>
                <w:sz w:val="16"/>
              </w:rPr>
              <w:t>- Home Environment (label: home environment)</w:t>
            </w:r>
          </w:p>
        </w:tc>
        <w:tc>
          <w:tcPr>
            <w:vAlign w:val="top"/>
            <w:tcMar>
              <w:top w:w="70" w:type="dxa"/>
              <w:start w:w="80" w:type="dxa"/>
              <w:bottom w:w="70" w:type="dxa"/>
              <w:end w:w="80" w:type="dxa"/>
            </w:tcMar>
            <w:shd w:fill="D9EAF7"/>
          </w:tcPr>
          <w:p>
            <w:pPr>
              <w:pStyle w:val="Compact"/>
              <w:jc w:val="left"/>
            </w:pPr>
            <w:r>
              <w:rPr>
                <w:rFonts w:ascii="Arial" w:hAnsi="Arial" w:eastAsia="Arial"/>
                <w:sz w:val="16"/>
              </w:rPr>
              <w:t>Evidence: housing-quality inspections; indoor air / damp measures; hazard records; Gate classes: Rights Floor; Ordinary welfare. Uncertainty: Standard assessment. Interpretation: Ordinary welfare; rights-relevant under habitability standards.</w:t>
            </w:r>
          </w:p>
        </w:tc>
        <w:tc>
          <w:tcPr>
            <w:vAlign w:val="top"/>
            <w:tcMar>
              <w:top w:w="70" w:type="dxa"/>
              <w:start w:w="80" w:type="dxa"/>
              <w:bottom w:w="70" w:type="dxa"/>
              <w:end w:w="80" w:type="dxa"/>
            </w:tcMar>
            <w:shd w:fill="D9EAF7"/>
          </w:tcPr>
          <w:p>
            <w:pPr>
              <w:pStyle w:val="Compact"/>
              <w:jc w:val="left"/>
            </w:pPr>
            <w:r>
              <w:rPr>
                <w:rFonts w:ascii="Arial" w:hAnsi="Arial" w:eastAsia="Arial"/>
                <w:sz w:val="16"/>
              </w:rPr>
              <w:t>Example: A retrofit program that removes household mould improves U2/D7.; Reviewer check: A reviewer checks measured home conditions, not self-report alone.</w:t>
            </w:r>
          </w:p>
        </w:tc>
      </w:tr>
    </w:tbl>
    <w:bookmarkEnd w:id="638"/>
    <w:bookmarkStart w:id="639" w:name="u3-community---meaning-and-movement"/>
    <w:p>
      <w:pPr>
        <w:pStyle w:val="Heading3"/>
      </w:pPr>
      <w:r>
        <w:t>U3 Community - meaning and movement</w:t>
      </w:r>
    </w:p>
    <w:tbl>
      <w:tblPr>
        <w:tblStyle w:val="Table"/>
        <w:tblW w:type="auto" w:w="0"/>
        <w:jc w:val="center"/>
        <w:tblLook w:firstRow="1" w:lastRow="0" w:firstColumn="0" w:lastColumn="0" w:noHBand="0" w:noVBand="0" w:val="0020"/>
      </w:tblPr>
      <w:tblGrid>
        <w:gridCol w:w="1980"/>
        <w:gridCol w:w="1980"/>
        <w:gridCol w:w="1980"/>
        <w:gridCol w:w="1980"/>
      </w:tblGrid>
      <w:tr>
        <w:trPr>
          <w:tblHeader w:val="on"/>
          <w:tblHeader w:val="true"/>
          <w:cantSplit/>
        </w:trPr>
        <w:tc>
          <w:tcPr>
            <w:vAlign w:val="top"/>
            <w:tcMar>
              <w:top w:w="70" w:type="dxa"/>
              <w:start w:w="80" w:type="dxa"/>
              <w:bottom w:w="70" w:type="dxa"/>
              <w:end w:w="80" w:type="dxa"/>
            </w:tcMar>
            <w:shd w:fill="1F4E78"/>
          </w:tcPr>
          <w:p>
            <w:pPr>
              <w:pStyle w:val="Compact"/>
              <w:jc w:val="left"/>
            </w:pPr>
            <w:r>
              <w:rPr>
                <w:rFonts w:ascii="Arial" w:hAnsi="Arial" w:eastAsia="Arial"/>
                <w:b/>
                <w:color w:val="FFFFFF"/>
                <w:sz w:val="16"/>
              </w:rPr>
              <w:t>Cell</w:t>
            </w:r>
          </w:p>
        </w:tc>
        <w:tc>
          <w:tcPr>
            <w:vAlign w:val="top"/>
            <w:tcMar>
              <w:top w:w="70" w:type="dxa"/>
              <w:start w:w="80" w:type="dxa"/>
              <w:bottom w:w="70" w:type="dxa"/>
              <w:end w:w="80" w:type="dxa"/>
            </w:tcMar>
            <w:shd w:fill="1F4E78"/>
          </w:tcPr>
          <w:p>
            <w:pPr>
              <w:pStyle w:val="Compact"/>
              <w:jc w:val="left"/>
            </w:pPr>
            <w:r>
              <w:rPr>
                <w:rFonts w:ascii="Arial" w:hAnsi="Arial" w:eastAsia="Arial"/>
                <w:b/>
                <w:color w:val="FFFFFF"/>
                <w:sz w:val="16"/>
              </w:rPr>
              <w:t>What this cell measures</w:t>
            </w:r>
          </w:p>
        </w:tc>
        <w:tc>
          <w:tcPr>
            <w:vAlign w:val="top"/>
            <w:tcMar>
              <w:top w:w="70" w:type="dxa"/>
              <w:start w:w="80" w:type="dxa"/>
              <w:bottom w:w="70" w:type="dxa"/>
              <w:end w:w="80" w:type="dxa"/>
            </w:tcMar>
            <w:shd w:fill="1F4E78"/>
          </w:tcPr>
          <w:p>
            <w:pPr>
              <w:pStyle w:val="Compact"/>
              <w:jc w:val="left"/>
            </w:pPr>
            <w:r>
              <w:rPr>
                <w:rFonts w:ascii="Arial" w:hAnsi="Arial" w:eastAsia="Arial"/>
                <w:b/>
                <w:color w:val="FFFFFF"/>
                <w:sz w:val="16"/>
              </w:rPr>
              <w:t>+ Benefit</w:t>
            </w:r>
          </w:p>
        </w:tc>
        <w:tc>
          <w:tcPr>
            <w:vAlign w:val="top"/>
            <w:tcMar>
              <w:top w:w="70" w:type="dxa"/>
              <w:start w:w="80" w:type="dxa"/>
              <w:bottom w:w="70" w:type="dxa"/>
              <w:end w:w="80" w:type="dxa"/>
            </w:tcMar>
            <w:shd w:fill="1F4E78"/>
          </w:tcPr>
          <w:p>
            <w:pPr>
              <w:pStyle w:val="Compact"/>
              <w:jc w:val="left"/>
            </w:pPr>
            <w:r>
              <w:rPr>
                <w:rFonts w:ascii="Arial" w:hAnsi="Arial" w:eastAsia="Arial"/>
                <w:b/>
                <w:color w:val="FFFFFF"/>
                <w:sz w:val="16"/>
              </w:rPr>
              <w:t>- Harm</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b/>
                <w:bCs/>
                <w:sz w:val="16"/>
              </w:rPr>
              <w:t>U3/D1</w:t>
            </w:r>
            <w:r>
              <w:rPr>
                <w:rFonts w:ascii="Arial" w:hAnsi="Arial" w:eastAsia="Arial"/>
                <w:sz w:val="16"/>
              </w:rPr>
              <w:t xml:space="preserve"> </w:t>
            </w:r>
            <w:r>
              <w:rPr>
                <w:rFonts w:ascii="Arial" w:hAnsi="Arial" w:eastAsia="Arial"/>
                <w:sz w:val="16"/>
              </w:rPr>
              <w:t>- Local Resources (label: local resources)</w:t>
            </w:r>
          </w:p>
        </w:tc>
        <w:tc>
          <w:tcPr>
            <w:vAlign w:val="top"/>
            <w:tcMar>
              <w:top w:w="70" w:type="dxa"/>
              <w:start w:w="80" w:type="dxa"/>
              <w:bottom w:w="70" w:type="dxa"/>
              <w:end w:w="80" w:type="dxa"/>
            </w:tcMar>
            <w:shd w:fill="D9EAF7"/>
          </w:tcPr>
          <w:p>
            <w:pPr>
              <w:pStyle w:val="Compact"/>
              <w:jc w:val="left"/>
            </w:pPr>
            <w:r>
              <w:rPr>
                <w:rFonts w:ascii="Arial" w:hAnsi="Arial" w:eastAsia="Arial"/>
                <w:sz w:val="16"/>
              </w:rPr>
              <w:t>The shared economic resources, infrastructure, and services available to a local community.</w:t>
            </w:r>
          </w:p>
        </w:tc>
        <w:tc>
          <w:tcPr>
            <w:vAlign w:val="top"/>
            <w:tcMar>
              <w:top w:w="70" w:type="dxa"/>
              <w:start w:w="80" w:type="dxa"/>
              <w:bottom w:w="70" w:type="dxa"/>
              <w:end w:w="80" w:type="dxa"/>
            </w:tcMar>
            <w:shd w:fill="D9EAF7"/>
          </w:tcPr>
          <w:p>
            <w:pPr>
              <w:pStyle w:val="Compact"/>
              <w:jc w:val="left"/>
            </w:pPr>
            <w:r>
              <w:rPr>
                <w:rFonts w:ascii="Arial" w:hAnsi="Arial" w:eastAsia="Arial"/>
                <w:sz w:val="16"/>
              </w:rPr>
              <w:t>Better local infrastructure, services, and economic opportunity.</w:t>
            </w:r>
          </w:p>
        </w:tc>
        <w:tc>
          <w:tcPr>
            <w:vAlign w:val="top"/>
            <w:tcMar>
              <w:top w:w="70" w:type="dxa"/>
              <w:start w:w="80" w:type="dxa"/>
              <w:bottom w:w="70" w:type="dxa"/>
              <w:end w:w="80" w:type="dxa"/>
            </w:tcMar>
            <w:shd w:fill="D9EAF7"/>
          </w:tcPr>
          <w:p>
            <w:pPr>
              <w:pStyle w:val="Compact"/>
              <w:jc w:val="left"/>
            </w:pPr>
            <w:r>
              <w:rPr>
                <w:rFonts w:ascii="Arial" w:hAnsi="Arial" w:eastAsia="Arial"/>
                <w:sz w:val="16"/>
              </w:rPr>
              <w:t>Loss of services, infrastructure decay, local economic decline.</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b/>
                <w:bCs/>
                <w:sz w:val="16"/>
              </w:rPr>
              <w:t>U3/D2</w:t>
            </w:r>
            <w:r>
              <w:rPr>
                <w:rFonts w:ascii="Arial" w:hAnsi="Arial" w:eastAsia="Arial"/>
                <w:sz w:val="16"/>
              </w:rPr>
              <w:t xml:space="preserve"> </w:t>
            </w:r>
            <w:r>
              <w:rPr>
                <w:rFonts w:ascii="Arial" w:hAnsi="Arial" w:eastAsia="Arial"/>
                <w:sz w:val="16"/>
              </w:rPr>
              <w:t>- Community Health (label: public health)</w:t>
            </w:r>
          </w:p>
        </w:tc>
        <w:tc>
          <w:tcPr>
            <w:vAlign w:val="top"/>
            <w:tcMar>
              <w:top w:w="70" w:type="dxa"/>
              <w:start w:w="80" w:type="dxa"/>
              <w:bottom w:w="70" w:type="dxa"/>
              <w:end w:w="80" w:type="dxa"/>
            </w:tcMar>
            <w:shd w:fill="FFFFFF"/>
          </w:tcPr>
          <w:p>
            <w:pPr>
              <w:pStyle w:val="Compact"/>
              <w:jc w:val="left"/>
            </w:pPr>
            <w:r>
              <w:rPr>
                <w:rFonts w:ascii="Arial" w:hAnsi="Arial" w:eastAsia="Arial"/>
                <w:sz w:val="16"/>
              </w:rPr>
              <w:t>The collective physical and mental health and safety of the local population.</w:t>
            </w:r>
          </w:p>
        </w:tc>
        <w:tc>
          <w:tcPr>
            <w:vAlign w:val="top"/>
            <w:tcMar>
              <w:top w:w="70" w:type="dxa"/>
              <w:start w:w="80" w:type="dxa"/>
              <w:bottom w:w="70" w:type="dxa"/>
              <w:end w:w="80" w:type="dxa"/>
            </w:tcMar>
            <w:shd w:fill="FFFFFF"/>
          </w:tcPr>
          <w:p>
            <w:pPr>
              <w:pStyle w:val="Compact"/>
              <w:jc w:val="left"/>
            </w:pPr>
            <w:r>
              <w:rPr>
                <w:rFonts w:ascii="Arial" w:hAnsi="Arial" w:eastAsia="Arial"/>
                <w:sz w:val="16"/>
              </w:rPr>
              <w:t>Lower community disease/injury burden, better local care access, safer environment.</w:t>
            </w:r>
          </w:p>
        </w:tc>
        <w:tc>
          <w:tcPr>
            <w:vAlign w:val="top"/>
            <w:tcMar>
              <w:top w:w="70" w:type="dxa"/>
              <w:start w:w="80" w:type="dxa"/>
              <w:bottom w:w="70" w:type="dxa"/>
              <w:end w:w="80" w:type="dxa"/>
            </w:tcMar>
            <w:shd w:fill="FFFFFF"/>
          </w:tcPr>
          <w:p>
            <w:pPr>
              <w:pStyle w:val="Compact"/>
              <w:jc w:val="left"/>
            </w:pPr>
            <w:r>
              <w:rPr>
                <w:rFonts w:ascii="Arial" w:hAnsi="Arial" w:eastAsia="Arial"/>
                <w:sz w:val="16"/>
              </w:rPr>
              <w:t>Local disease spread, unsafe conditions, reduced care access, environmental health harm.</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b/>
                <w:bCs/>
                <w:sz w:val="16"/>
              </w:rPr>
              <w:t>U3/D3</w:t>
            </w:r>
            <w:r>
              <w:rPr>
                <w:rFonts w:ascii="Arial" w:hAnsi="Arial" w:eastAsia="Arial"/>
                <w:sz w:val="16"/>
              </w:rPr>
              <w:t xml:space="preserve"> </w:t>
            </w:r>
            <w:r>
              <w:rPr>
                <w:rFonts w:ascii="Arial" w:hAnsi="Arial" w:eastAsia="Arial"/>
                <w:sz w:val="16"/>
              </w:rPr>
              <w:t>- Community Cohesion (label: trust and cohesion)</w:t>
            </w:r>
          </w:p>
        </w:tc>
        <w:tc>
          <w:tcPr>
            <w:vAlign w:val="top"/>
            <w:tcMar>
              <w:top w:w="70" w:type="dxa"/>
              <w:start w:w="80" w:type="dxa"/>
              <w:bottom w:w="70" w:type="dxa"/>
              <w:end w:w="80" w:type="dxa"/>
            </w:tcMar>
            <w:shd w:fill="D9EAF7"/>
          </w:tcPr>
          <w:p>
            <w:pPr>
              <w:pStyle w:val="Compact"/>
              <w:jc w:val="left"/>
            </w:pPr>
            <w:r>
              <w:rPr>
                <w:rFonts w:ascii="Arial" w:hAnsi="Arial" w:eastAsia="Arial"/>
                <w:sz w:val="16"/>
              </w:rPr>
              <w:t>The quality of trust, cooperation, belonging, safety, and relational fabric within a community.</w:t>
            </w:r>
          </w:p>
        </w:tc>
        <w:tc>
          <w:tcPr>
            <w:vAlign w:val="top"/>
            <w:tcMar>
              <w:top w:w="70" w:type="dxa"/>
              <w:start w:w="80" w:type="dxa"/>
              <w:bottom w:w="70" w:type="dxa"/>
              <w:end w:w="80" w:type="dxa"/>
            </w:tcMar>
            <w:shd w:fill="D9EAF7"/>
          </w:tcPr>
          <w:p>
            <w:pPr>
              <w:pStyle w:val="Compact"/>
              <w:jc w:val="left"/>
            </w:pPr>
            <w:r>
              <w:rPr>
                <w:rFonts w:ascii="Arial" w:hAnsi="Arial" w:eastAsia="Arial"/>
                <w:sz w:val="16"/>
              </w:rPr>
              <w:t>Increased trust, reduced isolation, better cooperation, stronger neighbourhood resilience.</w:t>
            </w:r>
          </w:p>
        </w:tc>
        <w:tc>
          <w:tcPr>
            <w:vAlign w:val="top"/>
            <w:tcMar>
              <w:top w:w="70" w:type="dxa"/>
              <w:start w:w="80" w:type="dxa"/>
              <w:bottom w:w="70" w:type="dxa"/>
              <w:end w:w="80" w:type="dxa"/>
            </w:tcMar>
            <w:shd w:fill="D9EAF7"/>
          </w:tcPr>
          <w:p>
            <w:pPr>
              <w:pStyle w:val="Compact"/>
              <w:jc w:val="left"/>
            </w:pPr>
            <w:r>
              <w:rPr>
                <w:rFonts w:ascii="Arial" w:hAnsi="Arial" w:eastAsia="Arial"/>
                <w:sz w:val="16"/>
              </w:rPr>
              <w:t>Polarisation, exclusion, displacement, fear, social fragmentation.</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b/>
                <w:bCs/>
                <w:sz w:val="16"/>
              </w:rPr>
              <w:t>U3/D4</w:t>
            </w:r>
            <w:r>
              <w:rPr>
                <w:rFonts w:ascii="Arial" w:hAnsi="Arial" w:eastAsia="Arial"/>
                <w:sz w:val="16"/>
              </w:rPr>
              <w:t xml:space="preserve"> </w:t>
            </w:r>
            <w:r>
              <w:rPr>
                <w:rFonts w:ascii="Arial" w:hAnsi="Arial" w:eastAsia="Arial"/>
                <w:sz w:val="16"/>
              </w:rPr>
              <w:t>- Local Knowledge (label: local knowledge)</w:t>
            </w:r>
          </w:p>
        </w:tc>
        <w:tc>
          <w:tcPr>
            <w:vAlign w:val="top"/>
            <w:tcMar>
              <w:top w:w="70" w:type="dxa"/>
              <w:start w:w="80" w:type="dxa"/>
              <w:bottom w:w="70" w:type="dxa"/>
              <w:end w:w="80" w:type="dxa"/>
            </w:tcMar>
            <w:shd w:fill="FFFFFF"/>
          </w:tcPr>
          <w:p>
            <w:pPr>
              <w:pStyle w:val="Compact"/>
              <w:jc w:val="left"/>
            </w:pPr>
            <w:r>
              <w:rPr>
                <w:rFonts w:ascii="Arial" w:hAnsi="Arial" w:eastAsia="Arial"/>
                <w:sz w:val="16"/>
              </w:rPr>
              <w:t>The community's shared knowledge, information access, and local expertise.</w:t>
            </w:r>
          </w:p>
        </w:tc>
        <w:tc>
          <w:tcPr>
            <w:vAlign w:val="top"/>
            <w:tcMar>
              <w:top w:w="70" w:type="dxa"/>
              <w:start w:w="80" w:type="dxa"/>
              <w:bottom w:w="70" w:type="dxa"/>
              <w:end w:w="80" w:type="dxa"/>
            </w:tcMar>
            <w:shd w:fill="FFFFFF"/>
          </w:tcPr>
          <w:p>
            <w:pPr>
              <w:pStyle w:val="Compact"/>
              <w:jc w:val="left"/>
            </w:pPr>
            <w:r>
              <w:rPr>
                <w:rFonts w:ascii="Arial" w:hAnsi="Arial" w:eastAsia="Arial"/>
                <w:sz w:val="16"/>
              </w:rPr>
              <w:t>Better local information access, preserved local/Indigenous knowledge, stronger civic literacy.</w:t>
            </w:r>
          </w:p>
        </w:tc>
        <w:tc>
          <w:tcPr>
            <w:vAlign w:val="top"/>
            <w:tcMar>
              <w:top w:w="70" w:type="dxa"/>
              <w:start w:w="80" w:type="dxa"/>
              <w:bottom w:w="70" w:type="dxa"/>
              <w:end w:w="80" w:type="dxa"/>
            </w:tcMar>
            <w:shd w:fill="FFFFFF"/>
          </w:tcPr>
          <w:p>
            <w:pPr>
              <w:pStyle w:val="Compact"/>
              <w:jc w:val="left"/>
            </w:pPr>
            <w:r>
              <w:rPr>
                <w:rFonts w:ascii="Arial" w:hAnsi="Arial" w:eastAsia="Arial"/>
                <w:sz w:val="16"/>
              </w:rPr>
              <w:t>Information loss, erosion of local knowledge, misinformation spread.</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b/>
                <w:bCs/>
                <w:sz w:val="16"/>
              </w:rPr>
              <w:t>U3/D5</w:t>
            </w:r>
            <w:r>
              <w:rPr>
                <w:rFonts w:ascii="Arial" w:hAnsi="Arial" w:eastAsia="Arial"/>
                <w:sz w:val="16"/>
              </w:rPr>
              <w:t xml:space="preserve"> </w:t>
            </w:r>
            <w:r>
              <w:rPr>
                <w:rFonts w:ascii="Arial" w:hAnsi="Arial" w:eastAsia="Arial"/>
                <w:sz w:val="16"/>
              </w:rPr>
              <w:t>- Community Agency (label: community agency)</w:t>
            </w:r>
          </w:p>
        </w:tc>
        <w:tc>
          <w:tcPr>
            <w:vAlign w:val="top"/>
            <w:tcMar>
              <w:top w:w="70" w:type="dxa"/>
              <w:start w:w="80" w:type="dxa"/>
              <w:bottom w:w="70" w:type="dxa"/>
              <w:end w:w="80" w:type="dxa"/>
            </w:tcMar>
            <w:shd w:fill="D9EAF7"/>
          </w:tcPr>
          <w:p>
            <w:pPr>
              <w:pStyle w:val="Compact"/>
              <w:jc w:val="left"/>
            </w:pPr>
            <w:r>
              <w:rPr>
                <w:rFonts w:ascii="Arial" w:hAnsi="Arial" w:eastAsia="Arial"/>
                <w:sz w:val="16"/>
              </w:rPr>
              <w:t>The community's collective capacity to organise, participate, and influence decisions affecting it.</w:t>
            </w:r>
          </w:p>
        </w:tc>
        <w:tc>
          <w:tcPr>
            <w:vAlign w:val="top"/>
            <w:tcMar>
              <w:top w:w="70" w:type="dxa"/>
              <w:start w:w="80" w:type="dxa"/>
              <w:bottom w:w="70" w:type="dxa"/>
              <w:end w:w="80" w:type="dxa"/>
            </w:tcMar>
            <w:shd w:fill="D9EAF7"/>
          </w:tcPr>
          <w:p>
            <w:pPr>
              <w:pStyle w:val="Compact"/>
              <w:jc w:val="left"/>
            </w:pPr>
            <w:r>
              <w:rPr>
                <w:rFonts w:ascii="Arial" w:hAnsi="Arial" w:eastAsia="Arial"/>
                <w:sz w:val="16"/>
              </w:rPr>
              <w:t>Stronger local voice, participation, self-organisation, and contestability.</w:t>
            </w:r>
          </w:p>
        </w:tc>
        <w:tc>
          <w:tcPr>
            <w:vAlign w:val="top"/>
            <w:tcMar>
              <w:top w:w="70" w:type="dxa"/>
              <w:start w:w="80" w:type="dxa"/>
              <w:bottom w:w="70" w:type="dxa"/>
              <w:end w:w="80" w:type="dxa"/>
            </w:tcMar>
            <w:shd w:fill="D9EAF7"/>
          </w:tcPr>
          <w:p>
            <w:pPr>
              <w:pStyle w:val="Compact"/>
              <w:jc w:val="left"/>
            </w:pPr>
            <w:r>
              <w:rPr>
                <w:rFonts w:ascii="Arial" w:hAnsi="Arial" w:eastAsia="Arial"/>
                <w:sz w:val="16"/>
              </w:rPr>
              <w:t>Disenfranchisement, suppressed organising, exclusion from decisions.</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b/>
                <w:bCs/>
                <w:sz w:val="16"/>
              </w:rPr>
              <w:t>U3/D6</w:t>
            </w:r>
            <w:r>
              <w:rPr>
                <w:rFonts w:ascii="Arial" w:hAnsi="Arial" w:eastAsia="Arial"/>
                <w:sz w:val="16"/>
              </w:rPr>
              <w:t xml:space="preserve"> </w:t>
            </w:r>
            <w:r>
              <w:rPr>
                <w:rFonts w:ascii="Arial" w:hAnsi="Arial" w:eastAsia="Arial"/>
                <w:sz w:val="16"/>
              </w:rPr>
              <w:t>- Shared Meaning (label: shared meaning)</w:t>
            </w:r>
          </w:p>
        </w:tc>
        <w:tc>
          <w:tcPr>
            <w:vAlign w:val="top"/>
            <w:tcMar>
              <w:top w:w="70" w:type="dxa"/>
              <w:start w:w="80" w:type="dxa"/>
              <w:bottom w:w="70" w:type="dxa"/>
              <w:end w:w="80" w:type="dxa"/>
            </w:tcMar>
            <w:shd w:fill="FFFFFF"/>
          </w:tcPr>
          <w:p>
            <w:pPr>
              <w:pStyle w:val="Compact"/>
              <w:jc w:val="left"/>
            </w:pPr>
            <w:r>
              <w:rPr>
                <w:rFonts w:ascii="Arial" w:hAnsi="Arial" w:eastAsia="Arial"/>
                <w:sz w:val="16"/>
              </w:rPr>
              <w:t>The community's shared identity, culture, dignity, and sense of collective purpose.</w:t>
            </w:r>
          </w:p>
        </w:tc>
        <w:tc>
          <w:tcPr>
            <w:vAlign w:val="top"/>
            <w:tcMar>
              <w:top w:w="70" w:type="dxa"/>
              <w:start w:w="80" w:type="dxa"/>
              <w:bottom w:w="70" w:type="dxa"/>
              <w:end w:w="80" w:type="dxa"/>
            </w:tcMar>
            <w:shd w:fill="FFFFFF"/>
          </w:tcPr>
          <w:p>
            <w:pPr>
              <w:pStyle w:val="Compact"/>
              <w:jc w:val="left"/>
            </w:pPr>
            <w:r>
              <w:rPr>
                <w:rFonts w:ascii="Arial" w:hAnsi="Arial" w:eastAsia="Arial"/>
                <w:sz w:val="16"/>
              </w:rPr>
              <w:t>Stronger shared identity, cultural continuity, pride, and belonging.</w:t>
            </w:r>
          </w:p>
        </w:tc>
        <w:tc>
          <w:tcPr>
            <w:vAlign w:val="top"/>
            <w:tcMar>
              <w:top w:w="70" w:type="dxa"/>
              <w:start w:w="80" w:type="dxa"/>
              <w:bottom w:w="70" w:type="dxa"/>
              <w:end w:w="80" w:type="dxa"/>
            </w:tcMar>
            <w:shd w:fill="FFFFFF"/>
          </w:tcPr>
          <w:p>
            <w:pPr>
              <w:pStyle w:val="Compact"/>
              <w:jc w:val="left"/>
            </w:pPr>
            <w:r>
              <w:rPr>
                <w:rFonts w:ascii="Arial" w:hAnsi="Arial" w:eastAsia="Arial"/>
                <w:sz w:val="16"/>
              </w:rPr>
              <w:t>Cultural erosion, stigma, loss of identity, collective humiliation.</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b/>
                <w:bCs/>
                <w:sz w:val="16"/>
              </w:rPr>
              <w:t>U3/D7</w:t>
            </w:r>
            <w:r>
              <w:rPr>
                <w:rFonts w:ascii="Arial" w:hAnsi="Arial" w:eastAsia="Arial"/>
                <w:sz w:val="16"/>
              </w:rPr>
              <w:t xml:space="preserve"> </w:t>
            </w:r>
            <w:r>
              <w:rPr>
                <w:rFonts w:ascii="Arial" w:hAnsi="Arial" w:eastAsia="Arial"/>
                <w:sz w:val="16"/>
              </w:rPr>
              <w:t>- Local Ecology (label: local ecology)</w:t>
            </w:r>
          </w:p>
        </w:tc>
        <w:tc>
          <w:tcPr>
            <w:vAlign w:val="top"/>
            <w:tcMar>
              <w:top w:w="70" w:type="dxa"/>
              <w:start w:w="80" w:type="dxa"/>
              <w:bottom w:w="70" w:type="dxa"/>
              <w:end w:w="80" w:type="dxa"/>
            </w:tcMar>
            <w:shd w:fill="D9EAF7"/>
          </w:tcPr>
          <w:p>
            <w:pPr>
              <w:pStyle w:val="Compact"/>
              <w:jc w:val="left"/>
            </w:pPr>
            <w:r>
              <w:rPr>
                <w:rFonts w:ascii="Arial" w:hAnsi="Arial" w:eastAsia="Arial"/>
                <w:sz w:val="16"/>
              </w:rPr>
              <w:t>The ecological condition of the community's local environment: green space, biodiversity, water, land.</w:t>
            </w:r>
          </w:p>
        </w:tc>
        <w:tc>
          <w:tcPr>
            <w:vAlign w:val="top"/>
            <w:tcMar>
              <w:top w:w="70" w:type="dxa"/>
              <w:start w:w="80" w:type="dxa"/>
              <w:bottom w:w="70" w:type="dxa"/>
              <w:end w:w="80" w:type="dxa"/>
            </w:tcMar>
            <w:shd w:fill="D9EAF7"/>
          </w:tcPr>
          <w:p>
            <w:pPr>
              <w:pStyle w:val="Compact"/>
              <w:jc w:val="left"/>
            </w:pPr>
            <w:r>
              <w:rPr>
                <w:rFonts w:ascii="Arial" w:hAnsi="Arial" w:eastAsia="Arial"/>
                <w:sz w:val="16"/>
              </w:rPr>
              <w:t>Restored habitat, cleaner local environment, protected green space.</w:t>
            </w:r>
          </w:p>
        </w:tc>
        <w:tc>
          <w:tcPr>
            <w:vAlign w:val="top"/>
            <w:tcMar>
              <w:top w:w="70" w:type="dxa"/>
              <w:start w:w="80" w:type="dxa"/>
              <w:bottom w:w="70" w:type="dxa"/>
              <w:end w:w="80" w:type="dxa"/>
            </w:tcMar>
            <w:shd w:fill="D9EAF7"/>
          </w:tcPr>
          <w:p>
            <w:pPr>
              <w:pStyle w:val="Compact"/>
              <w:jc w:val="left"/>
            </w:pPr>
            <w:r>
              <w:rPr>
                <w:rFonts w:ascii="Arial" w:hAnsi="Arial" w:eastAsia="Arial"/>
                <w:sz w:val="16"/>
              </w:rPr>
              <w:t>Habitat loss, local pollution, degraded green space, contamination.</w:t>
            </w:r>
          </w:p>
        </w:tc>
      </w:tr>
    </w:tbl>
    <w:bookmarkEnd w:id="639"/>
    <w:bookmarkStart w:id="640" w:name="u3-community---evidence-and-review"/>
    <w:p>
      <w:pPr>
        <w:pStyle w:val="Heading3"/>
      </w:pPr>
      <w:r>
        <w:t>U3 Community - evidence and review</w:t>
      </w:r>
    </w:p>
    <w:tbl>
      <w:tblPr>
        <w:tblStyle w:val="Table"/>
        <w:tblW w:type="auto" w:w="0"/>
        <w:jc w:val="center"/>
        <w:tblLook w:firstRow="1" w:lastRow="0" w:firstColumn="0" w:lastColumn="0" w:noHBand="0" w:noVBand="0" w:val="0020"/>
      </w:tblPr>
      <w:tblGrid>
        <w:gridCol w:w="2640"/>
        <w:gridCol w:w="2640"/>
        <w:gridCol w:w="2640"/>
      </w:tblGrid>
      <w:tr>
        <w:trPr>
          <w:tblHeader w:val="on"/>
          <w:tblHeader w:val="true"/>
          <w:cantSplit/>
        </w:trPr>
        <w:tc>
          <w:tcPr>
            <w:vAlign w:val="top"/>
            <w:tcMar>
              <w:top w:w="70" w:type="dxa"/>
              <w:start w:w="80" w:type="dxa"/>
              <w:bottom w:w="70" w:type="dxa"/>
              <w:end w:w="80" w:type="dxa"/>
            </w:tcMar>
            <w:shd w:fill="1F4E78"/>
          </w:tcPr>
          <w:p>
            <w:pPr>
              <w:pStyle w:val="Compact"/>
              <w:jc w:val="left"/>
            </w:pPr>
            <w:r>
              <w:rPr>
                <w:rFonts w:ascii="Arial" w:hAnsi="Arial" w:eastAsia="Arial"/>
                <w:b/>
                <w:color w:val="FFFFFF"/>
                <w:sz w:val="16"/>
              </w:rPr>
              <w:t>Cell</w:t>
            </w:r>
          </w:p>
        </w:tc>
        <w:tc>
          <w:tcPr>
            <w:vAlign w:val="top"/>
            <w:tcMar>
              <w:top w:w="70" w:type="dxa"/>
              <w:start w:w="80" w:type="dxa"/>
              <w:bottom w:w="70" w:type="dxa"/>
              <w:end w:w="80" w:type="dxa"/>
            </w:tcMar>
            <w:shd w:fill="1F4E78"/>
          </w:tcPr>
          <w:p>
            <w:pPr>
              <w:pStyle w:val="Compact"/>
              <w:jc w:val="left"/>
            </w:pPr>
            <w:r>
              <w:rPr>
                <w:rFonts w:ascii="Arial" w:hAnsi="Arial" w:eastAsia="Arial"/>
                <w:b/>
                <w:color w:val="FFFFFF"/>
                <w:sz w:val="16"/>
              </w:rPr>
              <w:t>Evidence and gate cues</w:t>
            </w:r>
          </w:p>
        </w:tc>
        <w:tc>
          <w:tcPr>
            <w:vAlign w:val="top"/>
            <w:tcMar>
              <w:top w:w="70" w:type="dxa"/>
              <w:start w:w="80" w:type="dxa"/>
              <w:bottom w:w="70" w:type="dxa"/>
              <w:end w:w="80" w:type="dxa"/>
            </w:tcMar>
            <w:shd w:fill="1F4E78"/>
          </w:tcPr>
          <w:p>
            <w:pPr>
              <w:pStyle w:val="Compact"/>
              <w:jc w:val="left"/>
            </w:pPr>
            <w:r>
              <w:rPr>
                <w:rFonts w:ascii="Arial" w:hAnsi="Arial" w:eastAsia="Arial"/>
                <w:b/>
                <w:color w:val="FFFFFF"/>
                <w:sz w:val="16"/>
              </w:rPr>
              <w:t>Example and reviewer check</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b/>
                <w:bCs/>
                <w:sz w:val="16"/>
              </w:rPr>
              <w:t>U3/D1</w:t>
            </w:r>
            <w:r>
              <w:rPr>
                <w:rFonts w:ascii="Arial" w:hAnsi="Arial" w:eastAsia="Arial"/>
                <w:sz w:val="16"/>
              </w:rPr>
              <w:t xml:space="preserve"> </w:t>
            </w:r>
            <w:r>
              <w:rPr>
                <w:rFonts w:ascii="Arial" w:hAnsi="Arial" w:eastAsia="Arial"/>
                <w:sz w:val="16"/>
              </w:rPr>
              <w:t>- Local Resources (label: local resources)</w:t>
            </w:r>
          </w:p>
        </w:tc>
        <w:tc>
          <w:tcPr>
            <w:vAlign w:val="top"/>
            <w:tcMar>
              <w:top w:w="70" w:type="dxa"/>
              <w:start w:w="80" w:type="dxa"/>
              <w:bottom w:w="70" w:type="dxa"/>
              <w:end w:w="80" w:type="dxa"/>
            </w:tcMar>
            <w:shd w:fill="D9EAF7"/>
          </w:tcPr>
          <w:p>
            <w:pPr>
              <w:pStyle w:val="Compact"/>
              <w:jc w:val="left"/>
            </w:pPr>
            <w:r>
              <w:rPr>
                <w:rFonts w:ascii="Arial" w:hAnsi="Arial" w:eastAsia="Arial"/>
                <w:sz w:val="16"/>
              </w:rPr>
              <w:t>Evidence: local service provision; infrastructure condition; local employment / business data; Gate classes: Containment / Structural Viability; Ordinary welfare. Uncertainty: Standard assessment. Interpretation: Ordinary welfare; containment-relevant when local gains are extracted at the cost of wider scopes, or when shared infrastructure is hollowed out.</w:t>
            </w:r>
          </w:p>
        </w:tc>
        <w:tc>
          <w:tcPr>
            <w:vAlign w:val="top"/>
            <w:tcMar>
              <w:top w:w="70" w:type="dxa"/>
              <w:start w:w="80" w:type="dxa"/>
              <w:bottom w:w="70" w:type="dxa"/>
              <w:end w:w="80" w:type="dxa"/>
            </w:tcMar>
            <w:shd w:fill="D9EAF7"/>
          </w:tcPr>
          <w:p>
            <w:pPr>
              <w:pStyle w:val="Compact"/>
              <w:jc w:val="left"/>
            </w:pPr>
            <w:r>
              <w:rPr>
                <w:rFonts w:ascii="Arial" w:hAnsi="Arial" w:eastAsia="Arial"/>
                <w:sz w:val="16"/>
              </w:rPr>
              <w:t>Example: A community facility upgrade that adds usable shared services improves U3/D1.; Reviewer check: A reviewer asks whether the benefit is genuinely shared or captured by a subgroup.</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b/>
                <w:bCs/>
                <w:sz w:val="16"/>
              </w:rPr>
              <w:t>U3/D2</w:t>
            </w:r>
            <w:r>
              <w:rPr>
                <w:rFonts w:ascii="Arial" w:hAnsi="Arial" w:eastAsia="Arial"/>
                <w:sz w:val="16"/>
              </w:rPr>
              <w:t xml:space="preserve"> </w:t>
            </w:r>
            <w:r>
              <w:rPr>
                <w:rFonts w:ascii="Arial" w:hAnsi="Arial" w:eastAsia="Arial"/>
                <w:sz w:val="16"/>
              </w:rPr>
              <w:t>- Community Health (label: public health)</w:t>
            </w:r>
          </w:p>
        </w:tc>
        <w:tc>
          <w:tcPr>
            <w:vAlign w:val="top"/>
            <w:tcMar>
              <w:top w:w="70" w:type="dxa"/>
              <w:start w:w="80" w:type="dxa"/>
              <w:bottom w:w="70" w:type="dxa"/>
              <w:end w:w="80" w:type="dxa"/>
            </w:tcMar>
            <w:shd w:fill="FFFFFF"/>
          </w:tcPr>
          <w:p>
            <w:pPr>
              <w:pStyle w:val="Compact"/>
              <w:jc w:val="left"/>
            </w:pPr>
            <w:r>
              <w:rPr>
                <w:rFonts w:ascii="Arial" w:hAnsi="Arial" w:eastAsia="Arial"/>
                <w:sz w:val="16"/>
              </w:rPr>
              <w:t>Evidence: local public-health surveillance; care-access data; injury / safety statistics; environmental-health monitoring; Gate classes: Rights Floor; Tail Risk; Ordinary welfare. Uncertainty: Standard assessment. Interpretation: Ordinary welfare normally; rights-relevant under disproportionate harm or care-access floors; tail-relevant where local outbreaks or contamination could cascade.</w:t>
            </w:r>
          </w:p>
        </w:tc>
        <w:tc>
          <w:tcPr>
            <w:vAlign w:val="top"/>
            <w:tcMar>
              <w:top w:w="70" w:type="dxa"/>
              <w:start w:w="80" w:type="dxa"/>
              <w:bottom w:w="70" w:type="dxa"/>
              <w:end w:w="80" w:type="dxa"/>
            </w:tcMar>
            <w:shd w:fill="FFFFFF"/>
          </w:tcPr>
          <w:p>
            <w:pPr>
              <w:pStyle w:val="Compact"/>
              <w:jc w:val="left"/>
            </w:pPr>
            <w:r>
              <w:rPr>
                <w:rFonts w:ascii="Arial" w:hAnsi="Arial" w:eastAsia="Arial"/>
                <w:sz w:val="16"/>
              </w:rPr>
              <w:t>Example: A clean-water intervention that cuts a community's disease burden improves U3/D2.; Reviewer check: A reviewer checks whether subgroup harms are masked by a favourable community average.</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b/>
                <w:bCs/>
                <w:sz w:val="16"/>
              </w:rPr>
              <w:t>U3/D3</w:t>
            </w:r>
            <w:r>
              <w:rPr>
                <w:rFonts w:ascii="Arial" w:hAnsi="Arial" w:eastAsia="Arial"/>
                <w:sz w:val="16"/>
              </w:rPr>
              <w:t xml:space="preserve"> </w:t>
            </w:r>
            <w:r>
              <w:rPr>
                <w:rFonts w:ascii="Arial" w:hAnsi="Arial" w:eastAsia="Arial"/>
                <w:sz w:val="16"/>
              </w:rPr>
              <w:t>- Community Cohesion (label: trust and cohesion)</w:t>
            </w:r>
          </w:p>
        </w:tc>
        <w:tc>
          <w:tcPr>
            <w:vAlign w:val="top"/>
            <w:tcMar>
              <w:top w:w="70" w:type="dxa"/>
              <w:start w:w="80" w:type="dxa"/>
              <w:bottom w:w="70" w:type="dxa"/>
              <w:end w:w="80" w:type="dxa"/>
            </w:tcMar>
            <w:shd w:fill="D9EAF7"/>
          </w:tcPr>
          <w:p>
            <w:pPr>
              <w:pStyle w:val="Compact"/>
              <w:jc w:val="left"/>
            </w:pPr>
            <w:r>
              <w:rPr>
                <w:rFonts w:ascii="Arial" w:hAnsi="Arial" w:eastAsia="Arial"/>
                <w:sz w:val="16"/>
              </w:rPr>
              <w:t>Evidence: community trust surveys; participation rates; crime / fear-of-crime data; displacement records; Gate classes: Rights Floor; Containment / Structural Viability; Ordinary welfare. Uncertainty: Standard assessment. Interpretation: Containment-relevant because eroded social fabric degrades the wider system; rights-relevant if discrimination, exclusion, or targeted domination appears.</w:t>
            </w:r>
          </w:p>
        </w:tc>
        <w:tc>
          <w:tcPr>
            <w:vAlign w:val="top"/>
            <w:tcMar>
              <w:top w:w="70" w:type="dxa"/>
              <w:start w:w="80" w:type="dxa"/>
              <w:bottom w:w="70" w:type="dxa"/>
              <w:end w:w="80" w:type="dxa"/>
            </w:tcMar>
            <w:shd w:fill="D9EAF7"/>
          </w:tcPr>
          <w:p>
            <w:pPr>
              <w:pStyle w:val="Compact"/>
              <w:jc w:val="left"/>
            </w:pPr>
            <w:r>
              <w:rPr>
                <w:rFonts w:ascii="Arial" w:hAnsi="Arial" w:eastAsia="Arial"/>
                <w:sz w:val="16"/>
              </w:rPr>
              <w:t>Example: A public-space renovation that increases safe cross-group interaction improves U3/D3.; Reviewer check: A reviewer asks whether cohesion gains for some came via exclusion of others.</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b/>
                <w:bCs/>
                <w:sz w:val="16"/>
              </w:rPr>
              <w:t>U3/D4</w:t>
            </w:r>
            <w:r>
              <w:rPr>
                <w:rFonts w:ascii="Arial" w:hAnsi="Arial" w:eastAsia="Arial"/>
                <w:sz w:val="16"/>
              </w:rPr>
              <w:t xml:space="preserve"> </w:t>
            </w:r>
            <w:r>
              <w:rPr>
                <w:rFonts w:ascii="Arial" w:hAnsi="Arial" w:eastAsia="Arial"/>
                <w:sz w:val="16"/>
              </w:rPr>
              <w:t>- Local Knowledge (label: local knowledge)</w:t>
            </w:r>
          </w:p>
        </w:tc>
        <w:tc>
          <w:tcPr>
            <w:vAlign w:val="top"/>
            <w:tcMar>
              <w:top w:w="70" w:type="dxa"/>
              <w:start w:w="80" w:type="dxa"/>
              <w:bottom w:w="70" w:type="dxa"/>
              <w:end w:w="80" w:type="dxa"/>
            </w:tcMar>
            <w:shd w:fill="FFFFFF"/>
          </w:tcPr>
          <w:p>
            <w:pPr>
              <w:pStyle w:val="Compact"/>
              <w:jc w:val="left"/>
            </w:pPr>
            <w:r>
              <w:rPr>
                <w:rFonts w:ascii="Arial" w:hAnsi="Arial" w:eastAsia="Arial"/>
                <w:sz w:val="16"/>
              </w:rPr>
              <w:t>Evidence: information-access measures; local-knowledge preservation records; misinformation prevalence; Gate classes: Containment / Structural Viability; Ordinary welfare. Uncertainty: Explicitly elevated. Interpretation: Ordinary welfare; containment-relevant where an epistemic commons is degraded. Can be rights-relevant for Indigenous knowledge.</w:t>
            </w:r>
          </w:p>
        </w:tc>
        <w:tc>
          <w:tcPr>
            <w:vAlign w:val="top"/>
            <w:tcMar>
              <w:top w:w="70" w:type="dxa"/>
              <w:start w:w="80" w:type="dxa"/>
              <w:bottom w:w="70" w:type="dxa"/>
              <w:end w:w="80" w:type="dxa"/>
            </w:tcMar>
            <w:shd w:fill="FFFFFF"/>
          </w:tcPr>
          <w:p>
            <w:pPr>
              <w:pStyle w:val="Compact"/>
              <w:jc w:val="left"/>
            </w:pPr>
            <w:r>
              <w:rPr>
                <w:rFonts w:ascii="Arial" w:hAnsi="Arial" w:eastAsia="Arial"/>
                <w:sz w:val="16"/>
              </w:rPr>
              <w:t>Example: A program documenting local ecological knowledge with community consent improves U3/D4.; Reviewer check: A reviewer checks consent and ownership of the knowledge claimed as preserved.</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b/>
                <w:bCs/>
                <w:sz w:val="16"/>
              </w:rPr>
              <w:t>U3/D5</w:t>
            </w:r>
            <w:r>
              <w:rPr>
                <w:rFonts w:ascii="Arial" w:hAnsi="Arial" w:eastAsia="Arial"/>
                <w:sz w:val="16"/>
              </w:rPr>
              <w:t xml:space="preserve"> </w:t>
            </w:r>
            <w:r>
              <w:rPr>
                <w:rFonts w:ascii="Arial" w:hAnsi="Arial" w:eastAsia="Arial"/>
                <w:sz w:val="16"/>
              </w:rPr>
              <w:t>- Community Agency (label: community agency)</w:t>
            </w:r>
          </w:p>
        </w:tc>
        <w:tc>
          <w:tcPr>
            <w:vAlign w:val="top"/>
            <w:tcMar>
              <w:top w:w="70" w:type="dxa"/>
              <w:start w:w="80" w:type="dxa"/>
              <w:bottom w:w="70" w:type="dxa"/>
              <w:end w:w="80" w:type="dxa"/>
            </w:tcMar>
            <w:shd w:fill="D9EAF7"/>
          </w:tcPr>
          <w:p>
            <w:pPr>
              <w:pStyle w:val="Compact"/>
              <w:jc w:val="left"/>
            </w:pPr>
            <w:r>
              <w:rPr>
                <w:rFonts w:ascii="Arial" w:hAnsi="Arial" w:eastAsia="Arial"/>
                <w:sz w:val="16"/>
              </w:rPr>
              <w:t>Evidence: participation in local governance; consultation quality; association / assembly freedom; Gate classes: Rights Floor; Containment / Structural Viability; Ordinary welfare. Uncertainty: Standard assessment. Interpretation: Often rights-covered (assembly, association, participation); containment-relevant where civic capacity underpins system stability.</w:t>
            </w:r>
          </w:p>
        </w:tc>
        <w:tc>
          <w:tcPr>
            <w:vAlign w:val="top"/>
            <w:tcMar>
              <w:top w:w="70" w:type="dxa"/>
              <w:start w:w="80" w:type="dxa"/>
              <w:bottom w:w="70" w:type="dxa"/>
              <w:end w:w="80" w:type="dxa"/>
            </w:tcMar>
            <w:shd w:fill="D9EAF7"/>
          </w:tcPr>
          <w:p>
            <w:pPr>
              <w:pStyle w:val="Compact"/>
              <w:jc w:val="left"/>
            </w:pPr>
            <w:r>
              <w:rPr>
                <w:rFonts w:ascii="Arial" w:hAnsi="Arial" w:eastAsia="Arial"/>
                <w:sz w:val="16"/>
              </w:rPr>
              <w:t>Example: A binding community-consultation requirement on local development raises U3/D5.; Reviewer check: A reviewer tests whether participation was substantive or a procedural formality.</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b/>
                <w:bCs/>
                <w:sz w:val="16"/>
              </w:rPr>
              <w:t>U3/D6</w:t>
            </w:r>
            <w:r>
              <w:rPr>
                <w:rFonts w:ascii="Arial" w:hAnsi="Arial" w:eastAsia="Arial"/>
                <w:sz w:val="16"/>
              </w:rPr>
              <w:t xml:space="preserve"> </w:t>
            </w:r>
            <w:r>
              <w:rPr>
                <w:rFonts w:ascii="Arial" w:hAnsi="Arial" w:eastAsia="Arial"/>
                <w:sz w:val="16"/>
              </w:rPr>
              <w:t>- Shared Meaning (label: shared meaning)</w:t>
            </w:r>
          </w:p>
        </w:tc>
        <w:tc>
          <w:tcPr>
            <w:vAlign w:val="top"/>
            <w:tcMar>
              <w:top w:w="70" w:type="dxa"/>
              <w:start w:w="80" w:type="dxa"/>
              <w:bottom w:w="70" w:type="dxa"/>
              <w:end w:w="80" w:type="dxa"/>
            </w:tcMar>
            <w:shd w:fill="FFFFFF"/>
          </w:tcPr>
          <w:p>
            <w:pPr>
              <w:pStyle w:val="Compact"/>
              <w:jc w:val="left"/>
            </w:pPr>
            <w:r>
              <w:rPr>
                <w:rFonts w:ascii="Arial" w:hAnsi="Arial" w:eastAsia="Arial"/>
                <w:sz w:val="16"/>
              </w:rPr>
              <w:t>Evidence: cultural-participation data; heritage continuity; community-identity surveys; Gate classes: Rights Floor; Ordinary welfare. Uncertainty: Explicitly elevated. Interpretation: Ordinary welfare; rights-relevant for cultural rights and minority protection. Soft to measure — mark uncertainty.</w:t>
            </w:r>
          </w:p>
        </w:tc>
        <w:tc>
          <w:tcPr>
            <w:vAlign w:val="top"/>
            <w:tcMar>
              <w:top w:w="70" w:type="dxa"/>
              <w:start w:w="80" w:type="dxa"/>
              <w:bottom w:w="70" w:type="dxa"/>
              <w:end w:w="80" w:type="dxa"/>
            </w:tcMar>
            <w:shd w:fill="FFFFFF"/>
          </w:tcPr>
          <w:p>
            <w:pPr>
              <w:pStyle w:val="Compact"/>
              <w:jc w:val="left"/>
            </w:pPr>
            <w:r>
              <w:rPr>
                <w:rFonts w:ascii="Arial" w:hAnsi="Arial" w:eastAsia="Arial"/>
                <w:sz w:val="16"/>
              </w:rPr>
              <w:t>Example: Protecting a culturally significant site during redevelopment preserves U3/D6.; Reviewer check: A reviewer separates a genuine cultural effect from a symbolic gesture.</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b/>
                <w:bCs/>
                <w:sz w:val="16"/>
              </w:rPr>
              <w:t>U3/D7</w:t>
            </w:r>
            <w:r>
              <w:rPr>
                <w:rFonts w:ascii="Arial" w:hAnsi="Arial" w:eastAsia="Arial"/>
                <w:sz w:val="16"/>
              </w:rPr>
              <w:t xml:space="preserve"> </w:t>
            </w:r>
            <w:r>
              <w:rPr>
                <w:rFonts w:ascii="Arial" w:hAnsi="Arial" w:eastAsia="Arial"/>
                <w:sz w:val="16"/>
              </w:rPr>
              <w:t>- Local Ecology (label: local ecology)</w:t>
            </w:r>
          </w:p>
        </w:tc>
        <w:tc>
          <w:tcPr>
            <w:vAlign w:val="top"/>
            <w:tcMar>
              <w:top w:w="70" w:type="dxa"/>
              <w:start w:w="80" w:type="dxa"/>
              <w:bottom w:w="70" w:type="dxa"/>
              <w:end w:w="80" w:type="dxa"/>
            </w:tcMar>
            <w:shd w:fill="D9EAF7"/>
          </w:tcPr>
          <w:p>
            <w:pPr>
              <w:pStyle w:val="Compact"/>
              <w:jc w:val="left"/>
            </w:pPr>
            <w:r>
              <w:rPr>
                <w:rFonts w:ascii="Arial" w:hAnsi="Arial" w:eastAsia="Arial"/>
                <w:sz w:val="16"/>
              </w:rPr>
              <w:t>Evidence: local biodiversity / green-space data; pollution monitoring; land-use change; Gate classes: Tail Risk; Containment / Structural Viability; Ordinary welfare. Uncertainty: Standard assessment. Interpretation: Containment-relevant (local ecology supports wider systems); tail-relevant where degradation is irreversible or contamination could cascade.</w:t>
            </w:r>
          </w:p>
        </w:tc>
        <w:tc>
          <w:tcPr>
            <w:vAlign w:val="top"/>
            <w:tcMar>
              <w:top w:w="70" w:type="dxa"/>
              <w:start w:w="80" w:type="dxa"/>
              <w:bottom w:w="70" w:type="dxa"/>
              <w:end w:w="80" w:type="dxa"/>
            </w:tcMar>
            <w:shd w:fill="D9EAF7"/>
          </w:tcPr>
          <w:p>
            <w:pPr>
              <w:pStyle w:val="Compact"/>
              <w:jc w:val="left"/>
            </w:pPr>
            <w:r>
              <w:rPr>
                <w:rFonts w:ascii="Arial" w:hAnsi="Arial" w:eastAsia="Arial"/>
                <w:sz w:val="16"/>
              </w:rPr>
              <w:t>Example: A watershed-protection rule that prevents local contamination improves U3/D7.; Reviewer check: A reviewer asks whether 'no local effect' was measured or merely assumed.</w:t>
            </w:r>
          </w:p>
        </w:tc>
      </w:tr>
    </w:tbl>
    <w:bookmarkEnd w:id="640"/>
    <w:bookmarkStart w:id="641" w:name="u4-organization---meaning-and-movement"/>
    <w:p>
      <w:pPr>
        <w:pStyle w:val="Heading3"/>
      </w:pPr>
      <w:r>
        <w:t>U4 Organization - meaning and movement</w:t>
      </w:r>
    </w:p>
    <w:tbl>
      <w:tblPr>
        <w:tblStyle w:val="Table"/>
        <w:tblW w:type="auto" w:w="0"/>
        <w:jc w:val="center"/>
        <w:tblLook w:firstRow="1" w:lastRow="0" w:firstColumn="0" w:lastColumn="0" w:noHBand="0" w:noVBand="0" w:val="0020"/>
      </w:tblPr>
      <w:tblGrid>
        <w:gridCol w:w="1980"/>
        <w:gridCol w:w="1980"/>
        <w:gridCol w:w="1980"/>
        <w:gridCol w:w="1980"/>
      </w:tblGrid>
      <w:tr>
        <w:trPr>
          <w:tblHeader w:val="on"/>
          <w:tblHeader w:val="true"/>
          <w:cantSplit/>
        </w:trPr>
        <w:tc>
          <w:tcPr>
            <w:vAlign w:val="top"/>
            <w:tcMar>
              <w:top w:w="70" w:type="dxa"/>
              <w:start w:w="80" w:type="dxa"/>
              <w:bottom w:w="70" w:type="dxa"/>
              <w:end w:w="80" w:type="dxa"/>
            </w:tcMar>
            <w:shd w:fill="1F4E78"/>
          </w:tcPr>
          <w:p>
            <w:pPr>
              <w:pStyle w:val="Compact"/>
              <w:jc w:val="left"/>
            </w:pPr>
            <w:r>
              <w:rPr>
                <w:rFonts w:ascii="Arial" w:hAnsi="Arial" w:eastAsia="Arial"/>
                <w:b/>
                <w:color w:val="FFFFFF"/>
                <w:sz w:val="16"/>
              </w:rPr>
              <w:t>Cell</w:t>
            </w:r>
          </w:p>
        </w:tc>
        <w:tc>
          <w:tcPr>
            <w:vAlign w:val="top"/>
            <w:tcMar>
              <w:top w:w="70" w:type="dxa"/>
              <w:start w:w="80" w:type="dxa"/>
              <w:bottom w:w="70" w:type="dxa"/>
              <w:end w:w="80" w:type="dxa"/>
            </w:tcMar>
            <w:shd w:fill="1F4E78"/>
          </w:tcPr>
          <w:p>
            <w:pPr>
              <w:pStyle w:val="Compact"/>
              <w:jc w:val="left"/>
            </w:pPr>
            <w:r>
              <w:rPr>
                <w:rFonts w:ascii="Arial" w:hAnsi="Arial" w:eastAsia="Arial"/>
                <w:b/>
                <w:color w:val="FFFFFF"/>
                <w:sz w:val="16"/>
              </w:rPr>
              <w:t>What this cell measures</w:t>
            </w:r>
          </w:p>
        </w:tc>
        <w:tc>
          <w:tcPr>
            <w:vAlign w:val="top"/>
            <w:tcMar>
              <w:top w:w="70" w:type="dxa"/>
              <w:start w:w="80" w:type="dxa"/>
              <w:bottom w:w="70" w:type="dxa"/>
              <w:end w:w="80" w:type="dxa"/>
            </w:tcMar>
            <w:shd w:fill="1F4E78"/>
          </w:tcPr>
          <w:p>
            <w:pPr>
              <w:pStyle w:val="Compact"/>
              <w:jc w:val="left"/>
            </w:pPr>
            <w:r>
              <w:rPr>
                <w:rFonts w:ascii="Arial" w:hAnsi="Arial" w:eastAsia="Arial"/>
                <w:b/>
                <w:color w:val="FFFFFF"/>
                <w:sz w:val="16"/>
              </w:rPr>
              <w:t>+ Benefit</w:t>
            </w:r>
          </w:p>
        </w:tc>
        <w:tc>
          <w:tcPr>
            <w:vAlign w:val="top"/>
            <w:tcMar>
              <w:top w:w="70" w:type="dxa"/>
              <w:start w:w="80" w:type="dxa"/>
              <w:bottom w:w="70" w:type="dxa"/>
              <w:end w:w="80" w:type="dxa"/>
            </w:tcMar>
            <w:shd w:fill="1F4E78"/>
          </w:tcPr>
          <w:p>
            <w:pPr>
              <w:pStyle w:val="Compact"/>
              <w:jc w:val="left"/>
            </w:pPr>
            <w:r>
              <w:rPr>
                <w:rFonts w:ascii="Arial" w:hAnsi="Arial" w:eastAsia="Arial"/>
                <w:b/>
                <w:color w:val="FFFFFF"/>
                <w:sz w:val="16"/>
              </w:rPr>
              <w:t>- Harm</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b/>
                <w:bCs/>
                <w:sz w:val="16"/>
              </w:rPr>
              <w:t>U4/D1</w:t>
            </w:r>
            <w:r>
              <w:rPr>
                <w:rFonts w:ascii="Arial" w:hAnsi="Arial" w:eastAsia="Arial"/>
                <w:sz w:val="16"/>
              </w:rPr>
              <w:t xml:space="preserve"> </w:t>
            </w:r>
            <w:r>
              <w:rPr>
                <w:rFonts w:ascii="Arial" w:hAnsi="Arial" w:eastAsia="Arial"/>
                <w:sz w:val="16"/>
              </w:rPr>
              <w:t>- Organizational Resources (label: operating resources)</w:t>
            </w:r>
          </w:p>
        </w:tc>
        <w:tc>
          <w:tcPr>
            <w:vAlign w:val="top"/>
            <w:tcMar>
              <w:top w:w="70" w:type="dxa"/>
              <w:start w:w="80" w:type="dxa"/>
              <w:bottom w:w="70" w:type="dxa"/>
              <w:end w:w="80" w:type="dxa"/>
            </w:tcMar>
            <w:shd w:fill="D9EAF7"/>
          </w:tcPr>
          <w:p>
            <w:pPr>
              <w:pStyle w:val="Compact"/>
              <w:jc w:val="left"/>
            </w:pPr>
            <w:r>
              <w:rPr>
                <w:rFonts w:ascii="Arial" w:hAnsi="Arial" w:eastAsia="Arial"/>
                <w:sz w:val="16"/>
              </w:rPr>
              <w:t>An organization's operating means: finances, capital, staffing, and capacity to function and deliver.</w:t>
            </w:r>
          </w:p>
        </w:tc>
        <w:tc>
          <w:tcPr>
            <w:vAlign w:val="top"/>
            <w:tcMar>
              <w:top w:w="70" w:type="dxa"/>
              <w:start w:w="80" w:type="dxa"/>
              <w:bottom w:w="70" w:type="dxa"/>
              <w:end w:w="80" w:type="dxa"/>
            </w:tcMar>
            <w:shd w:fill="D9EAF7"/>
          </w:tcPr>
          <w:p>
            <w:pPr>
              <w:pStyle w:val="Compact"/>
              <w:jc w:val="left"/>
            </w:pPr>
            <w:r>
              <w:rPr>
                <w:rFonts w:ascii="Arial" w:hAnsi="Arial" w:eastAsia="Arial"/>
                <w:sz w:val="16"/>
              </w:rPr>
              <w:t>Stronger finances, capacity, staffing, and operational sustainability.</w:t>
            </w:r>
          </w:p>
        </w:tc>
        <w:tc>
          <w:tcPr>
            <w:vAlign w:val="top"/>
            <w:tcMar>
              <w:top w:w="70" w:type="dxa"/>
              <w:start w:w="80" w:type="dxa"/>
              <w:bottom w:w="70" w:type="dxa"/>
              <w:end w:w="80" w:type="dxa"/>
            </w:tcMar>
            <w:shd w:fill="D9EAF7"/>
          </w:tcPr>
          <w:p>
            <w:pPr>
              <w:pStyle w:val="Compact"/>
              <w:jc w:val="left"/>
            </w:pPr>
            <w:r>
              <w:rPr>
                <w:rFonts w:ascii="Arial" w:hAnsi="Arial" w:eastAsia="Arial"/>
                <w:sz w:val="16"/>
              </w:rPr>
              <w:t>Insolvency risk, capacity loss, layoffs, operational decline.</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b/>
                <w:bCs/>
                <w:sz w:val="16"/>
              </w:rPr>
              <w:t>U4/D2</w:t>
            </w:r>
            <w:r>
              <w:rPr>
                <w:rFonts w:ascii="Arial" w:hAnsi="Arial" w:eastAsia="Arial"/>
                <w:sz w:val="16"/>
              </w:rPr>
              <w:t xml:space="preserve"> </w:t>
            </w:r>
            <w:r>
              <w:rPr>
                <w:rFonts w:ascii="Arial" w:hAnsi="Arial" w:eastAsia="Arial"/>
                <w:sz w:val="16"/>
              </w:rPr>
              <w:t>- Organizational Safety (label: safety)</w:t>
            </w:r>
          </w:p>
        </w:tc>
        <w:tc>
          <w:tcPr>
            <w:vAlign w:val="top"/>
            <w:tcMar>
              <w:top w:w="70" w:type="dxa"/>
              <w:start w:w="80" w:type="dxa"/>
              <w:bottom w:w="70" w:type="dxa"/>
              <w:end w:w="80" w:type="dxa"/>
            </w:tcMar>
            <w:shd w:fill="FFFFFF"/>
          </w:tcPr>
          <w:p>
            <w:pPr>
              <w:pStyle w:val="Compact"/>
              <w:jc w:val="left"/>
            </w:pPr>
            <w:r>
              <w:rPr>
                <w:rFonts w:ascii="Arial" w:hAnsi="Arial" w:eastAsia="Arial"/>
                <w:sz w:val="16"/>
              </w:rPr>
              <w:t>The safety of people within and affected by the organization: workers, users, and the public.</w:t>
            </w:r>
          </w:p>
        </w:tc>
        <w:tc>
          <w:tcPr>
            <w:vAlign w:val="top"/>
            <w:tcMar>
              <w:top w:w="70" w:type="dxa"/>
              <w:start w:w="80" w:type="dxa"/>
              <w:bottom w:w="70" w:type="dxa"/>
              <w:end w:w="80" w:type="dxa"/>
            </w:tcMar>
            <w:shd w:fill="FFFFFF"/>
          </w:tcPr>
          <w:p>
            <w:pPr>
              <w:pStyle w:val="Compact"/>
              <w:jc w:val="left"/>
            </w:pPr>
            <w:r>
              <w:rPr>
                <w:rFonts w:ascii="Arial" w:hAnsi="Arial" w:eastAsia="Arial"/>
                <w:sz w:val="16"/>
              </w:rPr>
              <w:t>Fewer injuries, safer operations, better safety culture and compliance.</w:t>
            </w:r>
          </w:p>
        </w:tc>
        <w:tc>
          <w:tcPr>
            <w:vAlign w:val="top"/>
            <w:tcMar>
              <w:top w:w="70" w:type="dxa"/>
              <w:start w:w="80" w:type="dxa"/>
              <w:bottom w:w="70" w:type="dxa"/>
              <w:end w:w="80" w:type="dxa"/>
            </w:tcMar>
            <w:shd w:fill="FFFFFF"/>
          </w:tcPr>
          <w:p>
            <w:pPr>
              <w:pStyle w:val="Compact"/>
              <w:jc w:val="left"/>
            </w:pPr>
            <w:r>
              <w:rPr>
                <w:rFonts w:ascii="Arial" w:hAnsi="Arial" w:eastAsia="Arial"/>
                <w:sz w:val="16"/>
              </w:rPr>
              <w:t>Workplace injury, unsafe products/services, public-safety incidents.</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b/>
                <w:bCs/>
                <w:sz w:val="16"/>
              </w:rPr>
              <w:t>U4/D3</w:t>
            </w:r>
            <w:r>
              <w:rPr>
                <w:rFonts w:ascii="Arial" w:hAnsi="Arial" w:eastAsia="Arial"/>
                <w:sz w:val="16"/>
              </w:rPr>
              <w:t xml:space="preserve"> </w:t>
            </w:r>
            <w:r>
              <w:rPr>
                <w:rFonts w:ascii="Arial" w:hAnsi="Arial" w:eastAsia="Arial"/>
                <w:sz w:val="16"/>
              </w:rPr>
              <w:t>- Organizational Culture (label: culture)</w:t>
            </w:r>
          </w:p>
        </w:tc>
        <w:tc>
          <w:tcPr>
            <w:vAlign w:val="top"/>
            <w:tcMar>
              <w:top w:w="70" w:type="dxa"/>
              <w:start w:w="80" w:type="dxa"/>
              <w:bottom w:w="70" w:type="dxa"/>
              <w:end w:w="80" w:type="dxa"/>
            </w:tcMar>
            <w:shd w:fill="D9EAF7"/>
          </w:tcPr>
          <w:p>
            <w:pPr>
              <w:pStyle w:val="Compact"/>
              <w:jc w:val="left"/>
            </w:pPr>
            <w:r>
              <w:rPr>
                <w:rFonts w:ascii="Arial" w:hAnsi="Arial" w:eastAsia="Arial"/>
                <w:sz w:val="16"/>
              </w:rPr>
              <w:t>The internal relational health of the organization: trust, fairness, inclusion, and cooperation.</w:t>
            </w:r>
          </w:p>
        </w:tc>
        <w:tc>
          <w:tcPr>
            <w:vAlign w:val="top"/>
            <w:tcMar>
              <w:top w:w="70" w:type="dxa"/>
              <w:start w:w="80" w:type="dxa"/>
              <w:bottom w:w="70" w:type="dxa"/>
              <w:end w:w="80" w:type="dxa"/>
            </w:tcMar>
            <w:shd w:fill="D9EAF7"/>
          </w:tcPr>
          <w:p>
            <w:pPr>
              <w:pStyle w:val="Compact"/>
              <w:jc w:val="left"/>
            </w:pPr>
            <w:r>
              <w:rPr>
                <w:rFonts w:ascii="Arial" w:hAnsi="Arial" w:eastAsia="Arial"/>
                <w:sz w:val="16"/>
              </w:rPr>
              <w:t>Healthier culture, fairer treatment, reduced harassment, stronger cooperation.</w:t>
            </w:r>
          </w:p>
        </w:tc>
        <w:tc>
          <w:tcPr>
            <w:vAlign w:val="top"/>
            <w:tcMar>
              <w:top w:w="70" w:type="dxa"/>
              <w:start w:w="80" w:type="dxa"/>
              <w:bottom w:w="70" w:type="dxa"/>
              <w:end w:w="80" w:type="dxa"/>
            </w:tcMar>
            <w:shd w:fill="D9EAF7"/>
          </w:tcPr>
          <w:p>
            <w:pPr>
              <w:pStyle w:val="Compact"/>
              <w:jc w:val="left"/>
            </w:pPr>
            <w:r>
              <w:rPr>
                <w:rFonts w:ascii="Arial" w:hAnsi="Arial" w:eastAsia="Arial"/>
                <w:sz w:val="16"/>
              </w:rPr>
              <w:t>Toxic culture, discrimination, harassment, low trust, burnout.</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b/>
                <w:bCs/>
                <w:sz w:val="16"/>
              </w:rPr>
              <w:t>U4/D4</w:t>
            </w:r>
            <w:r>
              <w:rPr>
                <w:rFonts w:ascii="Arial" w:hAnsi="Arial" w:eastAsia="Arial"/>
                <w:sz w:val="16"/>
              </w:rPr>
              <w:t xml:space="preserve"> </w:t>
            </w:r>
            <w:r>
              <w:rPr>
                <w:rFonts w:ascii="Arial" w:hAnsi="Arial" w:eastAsia="Arial"/>
                <w:sz w:val="16"/>
              </w:rPr>
              <w:t>- Knowledge Systems (label: knowledge systems)</w:t>
            </w:r>
          </w:p>
        </w:tc>
        <w:tc>
          <w:tcPr>
            <w:vAlign w:val="top"/>
            <w:tcMar>
              <w:top w:w="70" w:type="dxa"/>
              <w:start w:w="80" w:type="dxa"/>
              <w:bottom w:w="70" w:type="dxa"/>
              <w:end w:w="80" w:type="dxa"/>
            </w:tcMar>
            <w:shd w:fill="FFFFFF"/>
          </w:tcPr>
          <w:p>
            <w:pPr>
              <w:pStyle w:val="Compact"/>
              <w:jc w:val="left"/>
            </w:pPr>
            <w:r>
              <w:rPr>
                <w:rFonts w:ascii="Arial" w:hAnsi="Arial" w:eastAsia="Arial"/>
                <w:sz w:val="16"/>
              </w:rPr>
              <w:t>The organization's knowledge, data integrity, institutional memory, and learning systems.</w:t>
            </w:r>
          </w:p>
        </w:tc>
        <w:tc>
          <w:tcPr>
            <w:vAlign w:val="top"/>
            <w:tcMar>
              <w:top w:w="70" w:type="dxa"/>
              <w:start w:w="80" w:type="dxa"/>
              <w:bottom w:w="70" w:type="dxa"/>
              <w:end w:w="80" w:type="dxa"/>
            </w:tcMar>
            <w:shd w:fill="FFFFFF"/>
          </w:tcPr>
          <w:p>
            <w:pPr>
              <w:pStyle w:val="Compact"/>
              <w:jc w:val="left"/>
            </w:pPr>
            <w:r>
              <w:rPr>
                <w:rFonts w:ascii="Arial" w:hAnsi="Arial" w:eastAsia="Arial"/>
                <w:sz w:val="16"/>
              </w:rPr>
              <w:t>Better knowledge retention, data integrity, transparency, and learning.</w:t>
            </w:r>
          </w:p>
        </w:tc>
        <w:tc>
          <w:tcPr>
            <w:vAlign w:val="top"/>
            <w:tcMar>
              <w:top w:w="70" w:type="dxa"/>
              <w:start w:w="80" w:type="dxa"/>
              <w:bottom w:w="70" w:type="dxa"/>
              <w:end w:w="80" w:type="dxa"/>
            </w:tcMar>
            <w:shd w:fill="FFFFFF"/>
          </w:tcPr>
          <w:p>
            <w:pPr>
              <w:pStyle w:val="Compact"/>
              <w:jc w:val="left"/>
            </w:pPr>
            <w:r>
              <w:rPr>
                <w:rFonts w:ascii="Arial" w:hAnsi="Arial" w:eastAsia="Arial"/>
                <w:sz w:val="16"/>
              </w:rPr>
              <w:t>Knowledge loss, data corruption, opacity, broken institutional memory.</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b/>
                <w:bCs/>
                <w:sz w:val="16"/>
              </w:rPr>
              <w:t>U4/D5</w:t>
            </w:r>
            <w:r>
              <w:rPr>
                <w:rFonts w:ascii="Arial" w:hAnsi="Arial" w:eastAsia="Arial"/>
                <w:sz w:val="16"/>
              </w:rPr>
              <w:t xml:space="preserve"> </w:t>
            </w:r>
            <w:r>
              <w:rPr>
                <w:rFonts w:ascii="Arial" w:hAnsi="Arial" w:eastAsia="Arial"/>
                <w:sz w:val="16"/>
              </w:rPr>
              <w:t>- Role Agency (label: role agency)</w:t>
            </w:r>
          </w:p>
        </w:tc>
        <w:tc>
          <w:tcPr>
            <w:vAlign w:val="top"/>
            <w:tcMar>
              <w:top w:w="70" w:type="dxa"/>
              <w:start w:w="80" w:type="dxa"/>
              <w:bottom w:w="70" w:type="dxa"/>
              <w:end w:w="80" w:type="dxa"/>
            </w:tcMar>
            <w:shd w:fill="D9EAF7"/>
          </w:tcPr>
          <w:p>
            <w:pPr>
              <w:pStyle w:val="Compact"/>
              <w:jc w:val="left"/>
            </w:pPr>
            <w:r>
              <w:rPr>
                <w:rFonts w:ascii="Arial" w:hAnsi="Arial" w:eastAsia="Arial"/>
                <w:sz w:val="16"/>
              </w:rPr>
              <w:t>The meaningful autonomy, voice, and fair treatment of individuals in their organizational roles.</w:t>
            </w:r>
          </w:p>
        </w:tc>
        <w:tc>
          <w:tcPr>
            <w:vAlign w:val="top"/>
            <w:tcMar>
              <w:top w:w="70" w:type="dxa"/>
              <w:start w:w="80" w:type="dxa"/>
              <w:bottom w:w="70" w:type="dxa"/>
              <w:end w:w="80" w:type="dxa"/>
            </w:tcMar>
            <w:shd w:fill="D9EAF7"/>
          </w:tcPr>
          <w:p>
            <w:pPr>
              <w:pStyle w:val="Compact"/>
              <w:jc w:val="left"/>
            </w:pPr>
            <w:r>
              <w:rPr>
                <w:rFonts w:ascii="Arial" w:hAnsi="Arial" w:eastAsia="Arial"/>
                <w:sz w:val="16"/>
              </w:rPr>
              <w:t>More voice, fair process, reasonable autonomy, freedom from arbitrary treatment.</w:t>
            </w:r>
          </w:p>
        </w:tc>
        <w:tc>
          <w:tcPr>
            <w:vAlign w:val="top"/>
            <w:tcMar>
              <w:top w:w="70" w:type="dxa"/>
              <w:start w:w="80" w:type="dxa"/>
              <w:bottom w:w="70" w:type="dxa"/>
              <w:end w:w="80" w:type="dxa"/>
            </w:tcMar>
            <w:shd w:fill="D9EAF7"/>
          </w:tcPr>
          <w:p>
            <w:pPr>
              <w:pStyle w:val="Compact"/>
              <w:jc w:val="left"/>
            </w:pPr>
            <w:r>
              <w:rPr>
                <w:rFonts w:ascii="Arial" w:hAnsi="Arial" w:eastAsia="Arial"/>
                <w:sz w:val="16"/>
              </w:rPr>
              <w:t>Arbitrary power, suppressed voice, exploitation, loss of role autonomy.</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b/>
                <w:bCs/>
                <w:sz w:val="16"/>
              </w:rPr>
              <w:t>U4/D6</w:t>
            </w:r>
            <w:r>
              <w:rPr>
                <w:rFonts w:ascii="Arial" w:hAnsi="Arial" w:eastAsia="Arial"/>
                <w:sz w:val="16"/>
              </w:rPr>
              <w:t xml:space="preserve"> </w:t>
            </w:r>
            <w:r>
              <w:rPr>
                <w:rFonts w:ascii="Arial" w:hAnsi="Arial" w:eastAsia="Arial"/>
                <w:sz w:val="16"/>
              </w:rPr>
              <w:t>- Mission Coherence (label: mission coherence)</w:t>
            </w:r>
          </w:p>
        </w:tc>
        <w:tc>
          <w:tcPr>
            <w:vAlign w:val="top"/>
            <w:tcMar>
              <w:top w:w="70" w:type="dxa"/>
              <w:start w:w="80" w:type="dxa"/>
              <w:bottom w:w="70" w:type="dxa"/>
              <w:end w:w="80" w:type="dxa"/>
            </w:tcMar>
            <w:shd w:fill="FFFFFF"/>
          </w:tcPr>
          <w:p>
            <w:pPr>
              <w:pStyle w:val="Compact"/>
              <w:jc w:val="left"/>
            </w:pPr>
            <w:r>
              <w:rPr>
                <w:rFonts w:ascii="Arial" w:hAnsi="Arial" w:eastAsia="Arial"/>
                <w:sz w:val="16"/>
              </w:rPr>
              <w:t>The alignment between the organization's stated purpose and its actual conduct and effects.</w:t>
            </w:r>
          </w:p>
        </w:tc>
        <w:tc>
          <w:tcPr>
            <w:vAlign w:val="top"/>
            <w:tcMar>
              <w:top w:w="70" w:type="dxa"/>
              <w:start w:w="80" w:type="dxa"/>
              <w:bottom w:w="70" w:type="dxa"/>
              <w:end w:w="80" w:type="dxa"/>
            </w:tcMar>
            <w:shd w:fill="FFFFFF"/>
          </w:tcPr>
          <w:p>
            <w:pPr>
              <w:pStyle w:val="Compact"/>
              <w:jc w:val="left"/>
            </w:pPr>
            <w:r>
              <w:rPr>
                <w:rFonts w:ascii="Arial" w:hAnsi="Arial" w:eastAsia="Arial"/>
                <w:sz w:val="16"/>
              </w:rPr>
              <w:t>Stronger purpose-conduct alignment, integrity, and legitimate mission delivery.</w:t>
            </w:r>
          </w:p>
        </w:tc>
        <w:tc>
          <w:tcPr>
            <w:vAlign w:val="top"/>
            <w:tcMar>
              <w:top w:w="70" w:type="dxa"/>
              <w:start w:w="80" w:type="dxa"/>
              <w:bottom w:w="70" w:type="dxa"/>
              <w:end w:w="80" w:type="dxa"/>
            </w:tcMar>
            <w:shd w:fill="FFFFFF"/>
          </w:tcPr>
          <w:p>
            <w:pPr>
              <w:pStyle w:val="Compact"/>
              <w:jc w:val="left"/>
            </w:pPr>
            <w:r>
              <w:rPr>
                <w:rFonts w:ascii="Arial" w:hAnsi="Arial" w:eastAsia="Arial"/>
                <w:sz w:val="16"/>
              </w:rPr>
              <w:t>Mission drift, purpose-washing, hollow mandate, loss of legitimacy.</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b/>
                <w:bCs/>
                <w:sz w:val="16"/>
              </w:rPr>
              <w:t>U4/D7</w:t>
            </w:r>
            <w:r>
              <w:rPr>
                <w:rFonts w:ascii="Arial" w:hAnsi="Arial" w:eastAsia="Arial"/>
                <w:sz w:val="16"/>
              </w:rPr>
              <w:t xml:space="preserve"> </w:t>
            </w:r>
            <w:r>
              <w:rPr>
                <w:rFonts w:ascii="Arial" w:hAnsi="Arial" w:eastAsia="Arial"/>
                <w:sz w:val="16"/>
              </w:rPr>
              <w:t>- Operational Footprint (label: operational footprint)</w:t>
            </w:r>
          </w:p>
        </w:tc>
        <w:tc>
          <w:tcPr>
            <w:vAlign w:val="top"/>
            <w:tcMar>
              <w:top w:w="70" w:type="dxa"/>
              <w:start w:w="80" w:type="dxa"/>
              <w:bottom w:w="70" w:type="dxa"/>
              <w:end w:w="80" w:type="dxa"/>
            </w:tcMar>
            <w:shd w:fill="D9EAF7"/>
          </w:tcPr>
          <w:p>
            <w:pPr>
              <w:pStyle w:val="Compact"/>
              <w:jc w:val="left"/>
            </w:pPr>
            <w:r>
              <w:rPr>
                <w:rFonts w:ascii="Arial" w:hAnsi="Arial" w:eastAsia="Arial"/>
                <w:sz w:val="16"/>
              </w:rPr>
              <w:t>The environmental impact of the organization's operations: emissions, waste, resource use, land.</w:t>
            </w:r>
          </w:p>
        </w:tc>
        <w:tc>
          <w:tcPr>
            <w:vAlign w:val="top"/>
            <w:tcMar>
              <w:top w:w="70" w:type="dxa"/>
              <w:start w:w="80" w:type="dxa"/>
              <w:bottom w:w="70" w:type="dxa"/>
              <w:end w:w="80" w:type="dxa"/>
            </w:tcMar>
            <w:shd w:fill="D9EAF7"/>
          </w:tcPr>
          <w:p>
            <w:pPr>
              <w:pStyle w:val="Compact"/>
              <w:jc w:val="left"/>
            </w:pPr>
            <w:r>
              <w:rPr>
                <w:rFonts w:ascii="Arial" w:hAnsi="Arial" w:eastAsia="Arial"/>
                <w:sz w:val="16"/>
              </w:rPr>
              <w:t>Lower emissions/waste, reduced resource intensity, smaller harmful footprint.</w:t>
            </w:r>
          </w:p>
        </w:tc>
        <w:tc>
          <w:tcPr>
            <w:vAlign w:val="top"/>
            <w:tcMar>
              <w:top w:w="70" w:type="dxa"/>
              <w:start w:w="80" w:type="dxa"/>
              <w:bottom w:w="70" w:type="dxa"/>
              <w:end w:w="80" w:type="dxa"/>
            </w:tcMar>
            <w:shd w:fill="D9EAF7"/>
          </w:tcPr>
          <w:p>
            <w:pPr>
              <w:pStyle w:val="Compact"/>
              <w:jc w:val="left"/>
            </w:pPr>
            <w:r>
              <w:rPr>
                <w:rFonts w:ascii="Arial" w:hAnsi="Arial" w:eastAsia="Arial"/>
                <w:sz w:val="16"/>
              </w:rPr>
              <w:t>Pollution, emissions, waste, resource depletion, ecological damage.</w:t>
            </w:r>
          </w:p>
        </w:tc>
      </w:tr>
    </w:tbl>
    <w:bookmarkEnd w:id="641"/>
    <w:bookmarkStart w:id="642" w:name="u4-organization---evidence-and-review"/>
    <w:p>
      <w:pPr>
        <w:pStyle w:val="Heading3"/>
      </w:pPr>
      <w:r>
        <w:t>U4 Organization - evidence and review</w:t>
      </w:r>
    </w:p>
    <w:tbl>
      <w:tblPr>
        <w:tblStyle w:val="Table"/>
        <w:tblW w:type="auto" w:w="0"/>
        <w:jc w:val="center"/>
        <w:tblLook w:firstRow="1" w:lastRow="0" w:firstColumn="0" w:lastColumn="0" w:noHBand="0" w:noVBand="0" w:val="0020"/>
      </w:tblPr>
      <w:tblGrid>
        <w:gridCol w:w="2640"/>
        <w:gridCol w:w="2640"/>
        <w:gridCol w:w="2640"/>
      </w:tblGrid>
      <w:tr>
        <w:trPr>
          <w:tblHeader w:val="on"/>
          <w:tblHeader w:val="true"/>
          <w:cantSplit/>
        </w:trPr>
        <w:tc>
          <w:tcPr>
            <w:vAlign w:val="top"/>
            <w:tcMar>
              <w:top w:w="70" w:type="dxa"/>
              <w:start w:w="80" w:type="dxa"/>
              <w:bottom w:w="70" w:type="dxa"/>
              <w:end w:w="80" w:type="dxa"/>
            </w:tcMar>
            <w:shd w:fill="1F4E78"/>
          </w:tcPr>
          <w:p>
            <w:pPr>
              <w:pStyle w:val="Compact"/>
              <w:jc w:val="left"/>
            </w:pPr>
            <w:r>
              <w:rPr>
                <w:rFonts w:ascii="Arial" w:hAnsi="Arial" w:eastAsia="Arial"/>
                <w:b/>
                <w:color w:val="FFFFFF"/>
                <w:sz w:val="16"/>
              </w:rPr>
              <w:t>Cell</w:t>
            </w:r>
          </w:p>
        </w:tc>
        <w:tc>
          <w:tcPr>
            <w:vAlign w:val="top"/>
            <w:tcMar>
              <w:top w:w="70" w:type="dxa"/>
              <w:start w:w="80" w:type="dxa"/>
              <w:bottom w:w="70" w:type="dxa"/>
              <w:end w:w="80" w:type="dxa"/>
            </w:tcMar>
            <w:shd w:fill="1F4E78"/>
          </w:tcPr>
          <w:p>
            <w:pPr>
              <w:pStyle w:val="Compact"/>
              <w:jc w:val="left"/>
            </w:pPr>
            <w:r>
              <w:rPr>
                <w:rFonts w:ascii="Arial" w:hAnsi="Arial" w:eastAsia="Arial"/>
                <w:b/>
                <w:color w:val="FFFFFF"/>
                <w:sz w:val="16"/>
              </w:rPr>
              <w:t>Evidence and gate cues</w:t>
            </w:r>
          </w:p>
        </w:tc>
        <w:tc>
          <w:tcPr>
            <w:vAlign w:val="top"/>
            <w:tcMar>
              <w:top w:w="70" w:type="dxa"/>
              <w:start w:w="80" w:type="dxa"/>
              <w:bottom w:w="70" w:type="dxa"/>
              <w:end w:w="80" w:type="dxa"/>
            </w:tcMar>
            <w:shd w:fill="1F4E78"/>
          </w:tcPr>
          <w:p>
            <w:pPr>
              <w:pStyle w:val="Compact"/>
              <w:jc w:val="left"/>
            </w:pPr>
            <w:r>
              <w:rPr>
                <w:rFonts w:ascii="Arial" w:hAnsi="Arial" w:eastAsia="Arial"/>
                <w:b/>
                <w:color w:val="FFFFFF"/>
                <w:sz w:val="16"/>
              </w:rPr>
              <w:t>Example and reviewer check</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b/>
                <w:bCs/>
                <w:sz w:val="16"/>
              </w:rPr>
              <w:t>U4/D1</w:t>
            </w:r>
            <w:r>
              <w:rPr>
                <w:rFonts w:ascii="Arial" w:hAnsi="Arial" w:eastAsia="Arial"/>
                <w:sz w:val="16"/>
              </w:rPr>
              <w:t xml:space="preserve"> </w:t>
            </w:r>
            <w:r>
              <w:rPr>
                <w:rFonts w:ascii="Arial" w:hAnsi="Arial" w:eastAsia="Arial"/>
                <w:sz w:val="16"/>
              </w:rPr>
              <w:t>- Organizational Resources (label: operating resources)</w:t>
            </w:r>
          </w:p>
        </w:tc>
        <w:tc>
          <w:tcPr>
            <w:vAlign w:val="top"/>
            <w:tcMar>
              <w:top w:w="70" w:type="dxa"/>
              <w:start w:w="80" w:type="dxa"/>
              <w:bottom w:w="70" w:type="dxa"/>
              <w:end w:w="80" w:type="dxa"/>
            </w:tcMar>
            <w:shd w:fill="D9EAF7"/>
          </w:tcPr>
          <w:p>
            <w:pPr>
              <w:pStyle w:val="Compact"/>
              <w:jc w:val="left"/>
            </w:pPr>
            <w:r>
              <w:rPr>
                <w:rFonts w:ascii="Arial" w:hAnsi="Arial" w:eastAsia="Arial"/>
                <w:sz w:val="16"/>
              </w:rPr>
              <w:t>Evidence: financial statements; staffing and capacity data; service-delivery metrics; Gate classes: Containment / Structural Viability; Ordinary welfare. Uncertainty: Standard assessment. Interpretation: Ordinary welfare; containment-relevant when organizational gains are extracted by externalising harm onto community, polity, or biosphere scopes.</w:t>
            </w:r>
          </w:p>
        </w:tc>
        <w:tc>
          <w:tcPr>
            <w:vAlign w:val="top"/>
            <w:tcMar>
              <w:top w:w="70" w:type="dxa"/>
              <w:start w:w="80" w:type="dxa"/>
              <w:bottom w:w="70" w:type="dxa"/>
              <w:end w:w="80" w:type="dxa"/>
            </w:tcMar>
            <w:shd w:fill="D9EAF7"/>
          </w:tcPr>
          <w:p>
            <w:pPr>
              <w:pStyle w:val="Compact"/>
              <w:jc w:val="left"/>
            </w:pPr>
            <w:r>
              <w:rPr>
                <w:rFonts w:ascii="Arial" w:hAnsi="Arial" w:eastAsia="Arial"/>
                <w:sz w:val="16"/>
              </w:rPr>
              <w:t>Example: A funding change that stabilises a hospital's operating budget improves U4/D1.; Reviewer check: A reviewer checks whether the organizational gain creates uncosted externalities in other cells (the classic 'operating resources up, U7 down' trap).</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b/>
                <w:bCs/>
                <w:sz w:val="16"/>
              </w:rPr>
              <w:t>U4/D2</w:t>
            </w:r>
            <w:r>
              <w:rPr>
                <w:rFonts w:ascii="Arial" w:hAnsi="Arial" w:eastAsia="Arial"/>
                <w:sz w:val="16"/>
              </w:rPr>
              <w:t xml:space="preserve"> </w:t>
            </w:r>
            <w:r>
              <w:rPr>
                <w:rFonts w:ascii="Arial" w:hAnsi="Arial" w:eastAsia="Arial"/>
                <w:sz w:val="16"/>
              </w:rPr>
              <w:t>- Organizational Safety (label: safety)</w:t>
            </w:r>
          </w:p>
        </w:tc>
        <w:tc>
          <w:tcPr>
            <w:vAlign w:val="top"/>
            <w:tcMar>
              <w:top w:w="70" w:type="dxa"/>
              <w:start w:w="80" w:type="dxa"/>
              <w:bottom w:w="70" w:type="dxa"/>
              <w:end w:w="80" w:type="dxa"/>
            </w:tcMar>
            <w:shd w:fill="FFFFFF"/>
          </w:tcPr>
          <w:p>
            <w:pPr>
              <w:pStyle w:val="Compact"/>
              <w:jc w:val="left"/>
            </w:pPr>
            <w:r>
              <w:rPr>
                <w:rFonts w:ascii="Arial" w:hAnsi="Arial" w:eastAsia="Arial"/>
                <w:sz w:val="16"/>
              </w:rPr>
              <w:t>Evidence: incident and injury rates; safety-compliance audits; near-miss reporting; Gate classes: Rights Floor; Tail Risk; Ordinary welfare. Uncertainty: Standard assessment. Interpretation: Rights-covered via labour and safety protections; tail-relevant where failure could cause catastrophic or mass-casualty events.</w:t>
            </w:r>
          </w:p>
        </w:tc>
        <w:tc>
          <w:tcPr>
            <w:vAlign w:val="top"/>
            <w:tcMar>
              <w:top w:w="70" w:type="dxa"/>
              <w:start w:w="80" w:type="dxa"/>
              <w:bottom w:w="70" w:type="dxa"/>
              <w:end w:w="80" w:type="dxa"/>
            </w:tcMar>
            <w:shd w:fill="FFFFFF"/>
          </w:tcPr>
          <w:p>
            <w:pPr>
              <w:pStyle w:val="Compact"/>
              <w:jc w:val="left"/>
            </w:pPr>
            <w:r>
              <w:rPr>
                <w:rFonts w:ascii="Arial" w:hAnsi="Arial" w:eastAsia="Arial"/>
                <w:sz w:val="16"/>
              </w:rPr>
              <w:t>Example: A maintenance regime that cuts industrial-accident rates improves U4/D2.; Reviewer check: A reviewer checks whether reported safety reflects outcomes or only paperwork compliance.</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b/>
                <w:bCs/>
                <w:sz w:val="16"/>
              </w:rPr>
              <w:t>U4/D3</w:t>
            </w:r>
            <w:r>
              <w:rPr>
                <w:rFonts w:ascii="Arial" w:hAnsi="Arial" w:eastAsia="Arial"/>
                <w:sz w:val="16"/>
              </w:rPr>
              <w:t xml:space="preserve"> </w:t>
            </w:r>
            <w:r>
              <w:rPr>
                <w:rFonts w:ascii="Arial" w:hAnsi="Arial" w:eastAsia="Arial"/>
                <w:sz w:val="16"/>
              </w:rPr>
              <w:t>- Organizational Culture (label: culture)</w:t>
            </w:r>
          </w:p>
        </w:tc>
        <w:tc>
          <w:tcPr>
            <w:vAlign w:val="top"/>
            <w:tcMar>
              <w:top w:w="70" w:type="dxa"/>
              <w:start w:w="80" w:type="dxa"/>
              <w:bottom w:w="70" w:type="dxa"/>
              <w:end w:w="80" w:type="dxa"/>
            </w:tcMar>
            <w:shd w:fill="D9EAF7"/>
          </w:tcPr>
          <w:p>
            <w:pPr>
              <w:pStyle w:val="Compact"/>
              <w:jc w:val="left"/>
            </w:pPr>
            <w:r>
              <w:rPr>
                <w:rFonts w:ascii="Arial" w:hAnsi="Arial" w:eastAsia="Arial"/>
                <w:sz w:val="16"/>
              </w:rPr>
              <w:t>Evidence: staff-climate surveys; grievance and turnover data; fairness / inclusion measures; Gate classes: Rights Floor; Ordinary welfare. Uncertainty: Standard assessment. Interpretation: Ordinary welfare; rights-relevant where discrimination or harassment occurs.</w:t>
            </w:r>
          </w:p>
        </w:tc>
        <w:tc>
          <w:tcPr>
            <w:vAlign w:val="top"/>
            <w:tcMar>
              <w:top w:w="70" w:type="dxa"/>
              <w:start w:w="80" w:type="dxa"/>
              <w:bottom w:w="70" w:type="dxa"/>
              <w:end w:w="80" w:type="dxa"/>
            </w:tcMar>
            <w:shd w:fill="D9EAF7"/>
          </w:tcPr>
          <w:p>
            <w:pPr>
              <w:pStyle w:val="Compact"/>
              <w:jc w:val="left"/>
            </w:pPr>
            <w:r>
              <w:rPr>
                <w:rFonts w:ascii="Arial" w:hAnsi="Arial" w:eastAsia="Arial"/>
                <w:sz w:val="16"/>
              </w:rPr>
              <w:t>Example: An anti-harassment reform that reduces verified grievances improves U4/D3.; Reviewer check: A reviewer asks whether culture data is independent or self-reported by leadership.</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b/>
                <w:bCs/>
                <w:sz w:val="16"/>
              </w:rPr>
              <w:t>U4/D4</w:t>
            </w:r>
            <w:r>
              <w:rPr>
                <w:rFonts w:ascii="Arial" w:hAnsi="Arial" w:eastAsia="Arial"/>
                <w:sz w:val="16"/>
              </w:rPr>
              <w:t xml:space="preserve"> </w:t>
            </w:r>
            <w:r>
              <w:rPr>
                <w:rFonts w:ascii="Arial" w:hAnsi="Arial" w:eastAsia="Arial"/>
                <w:sz w:val="16"/>
              </w:rPr>
              <w:t>- Knowledge Systems (label: knowledge systems)</w:t>
            </w:r>
          </w:p>
        </w:tc>
        <w:tc>
          <w:tcPr>
            <w:vAlign w:val="top"/>
            <w:tcMar>
              <w:top w:w="70" w:type="dxa"/>
              <w:start w:w="80" w:type="dxa"/>
              <w:bottom w:w="70" w:type="dxa"/>
              <w:end w:w="80" w:type="dxa"/>
            </w:tcMar>
            <w:shd w:fill="FFFFFF"/>
          </w:tcPr>
          <w:p>
            <w:pPr>
              <w:pStyle w:val="Compact"/>
              <w:jc w:val="left"/>
            </w:pPr>
            <w:r>
              <w:rPr>
                <w:rFonts w:ascii="Arial" w:hAnsi="Arial" w:eastAsia="Arial"/>
                <w:sz w:val="16"/>
              </w:rPr>
              <w:t>Evidence: data-integrity audits; documentation completeness; knowledge-retention metrics; Gate classes: Containment / Structural Viability; Ordinary welfare. Uncertainty: Standard assessment. Interpretation: Ordinary welfare; containment-relevant where degraded knowledge systems undermine accountability or wider-system reliability.</w:t>
            </w:r>
          </w:p>
        </w:tc>
        <w:tc>
          <w:tcPr>
            <w:vAlign w:val="top"/>
            <w:tcMar>
              <w:top w:w="70" w:type="dxa"/>
              <w:start w:w="80" w:type="dxa"/>
              <w:bottom w:w="70" w:type="dxa"/>
              <w:end w:w="80" w:type="dxa"/>
            </w:tcMar>
            <w:shd w:fill="FFFFFF"/>
          </w:tcPr>
          <w:p>
            <w:pPr>
              <w:pStyle w:val="Compact"/>
              <w:jc w:val="left"/>
            </w:pPr>
            <w:r>
              <w:rPr>
                <w:rFonts w:ascii="Arial" w:hAnsi="Arial" w:eastAsia="Arial"/>
                <w:sz w:val="16"/>
              </w:rPr>
              <w:t>Example: A records-integrity upgrade that makes decisions auditable improves U4/D4.; Reviewer check: A reviewer tests whether claimed integrity is verifiable or asserted.</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b/>
                <w:bCs/>
                <w:sz w:val="16"/>
              </w:rPr>
              <w:t>U4/D5</w:t>
            </w:r>
            <w:r>
              <w:rPr>
                <w:rFonts w:ascii="Arial" w:hAnsi="Arial" w:eastAsia="Arial"/>
                <w:sz w:val="16"/>
              </w:rPr>
              <w:t xml:space="preserve"> </w:t>
            </w:r>
            <w:r>
              <w:rPr>
                <w:rFonts w:ascii="Arial" w:hAnsi="Arial" w:eastAsia="Arial"/>
                <w:sz w:val="16"/>
              </w:rPr>
              <w:t>- Role Agency (label: role agency)</w:t>
            </w:r>
          </w:p>
        </w:tc>
        <w:tc>
          <w:tcPr>
            <w:vAlign w:val="top"/>
            <w:tcMar>
              <w:top w:w="70" w:type="dxa"/>
              <w:start w:w="80" w:type="dxa"/>
              <w:bottom w:w="70" w:type="dxa"/>
              <w:end w:w="80" w:type="dxa"/>
            </w:tcMar>
            <w:shd w:fill="D9EAF7"/>
          </w:tcPr>
          <w:p>
            <w:pPr>
              <w:pStyle w:val="Compact"/>
              <w:jc w:val="left"/>
            </w:pPr>
            <w:r>
              <w:rPr>
                <w:rFonts w:ascii="Arial" w:hAnsi="Arial" w:eastAsia="Arial"/>
                <w:sz w:val="16"/>
              </w:rPr>
              <w:t>Evidence: worker-voice mechanisms; grievance outcomes; autonomy / discretion measures; Gate classes: Rights Floor; Ordinary welfare. Uncertainty: Standard assessment. Interpretation: Rights-relevant via labour rights and freedom of association; otherwise ordinary.</w:t>
            </w:r>
          </w:p>
        </w:tc>
        <w:tc>
          <w:tcPr>
            <w:vAlign w:val="top"/>
            <w:tcMar>
              <w:top w:w="70" w:type="dxa"/>
              <w:start w:w="80" w:type="dxa"/>
              <w:bottom w:w="70" w:type="dxa"/>
              <w:end w:w="80" w:type="dxa"/>
            </w:tcMar>
            <w:shd w:fill="D9EAF7"/>
          </w:tcPr>
          <w:p>
            <w:pPr>
              <w:pStyle w:val="Compact"/>
              <w:jc w:val="left"/>
            </w:pPr>
            <w:r>
              <w:rPr>
                <w:rFonts w:ascii="Arial" w:hAnsi="Arial" w:eastAsia="Arial"/>
                <w:sz w:val="16"/>
              </w:rPr>
              <w:t>Example: A grievance process with real remedy improves U4/D5.; Reviewer check: A reviewer checks whether voice mechanisms produce outcomes or are decorative.</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b/>
                <w:bCs/>
                <w:sz w:val="16"/>
              </w:rPr>
              <w:t>U4/D6</w:t>
            </w:r>
            <w:r>
              <w:rPr>
                <w:rFonts w:ascii="Arial" w:hAnsi="Arial" w:eastAsia="Arial"/>
                <w:sz w:val="16"/>
              </w:rPr>
              <w:t xml:space="preserve"> </w:t>
            </w:r>
            <w:r>
              <w:rPr>
                <w:rFonts w:ascii="Arial" w:hAnsi="Arial" w:eastAsia="Arial"/>
                <w:sz w:val="16"/>
              </w:rPr>
              <w:t>- Mission Coherence (label: mission coherence)</w:t>
            </w:r>
          </w:p>
        </w:tc>
        <w:tc>
          <w:tcPr>
            <w:vAlign w:val="top"/>
            <w:tcMar>
              <w:top w:w="70" w:type="dxa"/>
              <w:start w:w="80" w:type="dxa"/>
              <w:bottom w:w="70" w:type="dxa"/>
              <w:end w:w="80" w:type="dxa"/>
            </w:tcMar>
            <w:shd w:fill="FFFFFF"/>
          </w:tcPr>
          <w:p>
            <w:pPr>
              <w:pStyle w:val="Compact"/>
              <w:jc w:val="left"/>
            </w:pPr>
            <w:r>
              <w:rPr>
                <w:rFonts w:ascii="Arial" w:hAnsi="Arial" w:eastAsia="Arial"/>
                <w:sz w:val="16"/>
              </w:rPr>
              <w:t>Evidence: mission-vs-outcome analysis; stakeholder-trust measures; conduct audits; Gate classes: Containment / Structural Viability; Ordinary welfare. Uncertainty: Explicitly elevated. Interpretation: Ordinary welfare; containment-relevant where mission decay (HOI-adjacent) hollows out the institution. Distinct from the formal HOI diagnostic.</w:t>
            </w:r>
          </w:p>
        </w:tc>
        <w:tc>
          <w:tcPr>
            <w:vAlign w:val="top"/>
            <w:tcMar>
              <w:top w:w="70" w:type="dxa"/>
              <w:start w:w="80" w:type="dxa"/>
              <w:bottom w:w="70" w:type="dxa"/>
              <w:end w:w="80" w:type="dxa"/>
            </w:tcMar>
            <w:shd w:fill="FFFFFF"/>
          </w:tcPr>
          <w:p>
            <w:pPr>
              <w:pStyle w:val="Compact"/>
              <w:jc w:val="left"/>
            </w:pPr>
            <w:r>
              <w:rPr>
                <w:rFonts w:ascii="Arial" w:hAnsi="Arial" w:eastAsia="Arial"/>
                <w:sz w:val="16"/>
              </w:rPr>
              <w:t>Example: A governance reform that realigns conduct with mandate improves U4/D6.; Reviewer check: A reviewer asks whether coherence is evidenced by conduct or only by restated values.</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b/>
                <w:bCs/>
                <w:sz w:val="16"/>
              </w:rPr>
              <w:t>U4/D7</w:t>
            </w:r>
            <w:r>
              <w:rPr>
                <w:rFonts w:ascii="Arial" w:hAnsi="Arial" w:eastAsia="Arial"/>
                <w:sz w:val="16"/>
              </w:rPr>
              <w:t xml:space="preserve"> </w:t>
            </w:r>
            <w:r>
              <w:rPr>
                <w:rFonts w:ascii="Arial" w:hAnsi="Arial" w:eastAsia="Arial"/>
                <w:sz w:val="16"/>
              </w:rPr>
              <w:t>- Operational Footprint (label: operational footprint)</w:t>
            </w:r>
          </w:p>
        </w:tc>
        <w:tc>
          <w:tcPr>
            <w:vAlign w:val="top"/>
            <w:tcMar>
              <w:top w:w="70" w:type="dxa"/>
              <w:start w:w="80" w:type="dxa"/>
              <w:bottom w:w="70" w:type="dxa"/>
              <w:end w:w="80" w:type="dxa"/>
            </w:tcMar>
            <w:shd w:fill="D9EAF7"/>
          </w:tcPr>
          <w:p>
            <w:pPr>
              <w:pStyle w:val="Compact"/>
              <w:jc w:val="left"/>
            </w:pPr>
            <w:r>
              <w:rPr>
                <w:rFonts w:ascii="Arial" w:hAnsi="Arial" w:eastAsia="Arial"/>
                <w:sz w:val="16"/>
              </w:rPr>
              <w:t>Evidence: emissions and waste data; resource-use intensity; environmental-compliance records; Gate classes: Tail Risk; Containment / Structural Viability; Ordinary welfare. Uncertainty: Standard assessment. Interpretation: Containment-relevant (footprint degrades wider scopes); tail-relevant where the footprint contributes to irreversible or large-scale harm. The canonical 'local win, wider loss' cell.</w:t>
            </w:r>
          </w:p>
        </w:tc>
        <w:tc>
          <w:tcPr>
            <w:vAlign w:val="top"/>
            <w:tcMar>
              <w:top w:w="70" w:type="dxa"/>
              <w:start w:w="80" w:type="dxa"/>
              <w:bottom w:w="70" w:type="dxa"/>
              <w:end w:w="80" w:type="dxa"/>
            </w:tcMar>
            <w:shd w:fill="D9EAF7"/>
          </w:tcPr>
          <w:p>
            <w:pPr>
              <w:pStyle w:val="Compact"/>
              <w:jc w:val="left"/>
            </w:pPr>
            <w:r>
              <w:rPr>
                <w:rFonts w:ascii="Arial" w:hAnsi="Arial" w:eastAsia="Arial"/>
                <w:sz w:val="16"/>
              </w:rPr>
              <w:t>Example: A process change that cuts a plant's emissions while sustaining output improves U4/D7.; Reviewer check: A reviewer checks footprint against measured externalities, not offset claims alone.</w:t>
            </w:r>
          </w:p>
        </w:tc>
      </w:tr>
    </w:tbl>
    <w:bookmarkEnd w:id="642"/>
    <w:bookmarkStart w:id="643" w:name="u5-polity---meaning-and-movement"/>
    <w:p>
      <w:pPr>
        <w:pStyle w:val="Heading3"/>
      </w:pPr>
      <w:r>
        <w:t>U5 Polity - meaning and movement</w:t>
      </w:r>
    </w:p>
    <w:tbl>
      <w:tblPr>
        <w:tblStyle w:val="Table"/>
        <w:tblW w:type="auto" w:w="0"/>
        <w:jc w:val="center"/>
        <w:tblLook w:firstRow="1" w:lastRow="0" w:firstColumn="0" w:lastColumn="0" w:noHBand="0" w:noVBand="0" w:val="0020"/>
      </w:tblPr>
      <w:tblGrid>
        <w:gridCol w:w="1980"/>
        <w:gridCol w:w="1980"/>
        <w:gridCol w:w="1980"/>
        <w:gridCol w:w="1980"/>
      </w:tblGrid>
      <w:tr>
        <w:trPr>
          <w:tblHeader w:val="on"/>
          <w:tblHeader w:val="true"/>
          <w:cantSplit/>
        </w:trPr>
        <w:tc>
          <w:tcPr>
            <w:vAlign w:val="top"/>
            <w:tcMar>
              <w:top w:w="70" w:type="dxa"/>
              <w:start w:w="80" w:type="dxa"/>
              <w:bottom w:w="70" w:type="dxa"/>
              <w:end w:w="80" w:type="dxa"/>
            </w:tcMar>
            <w:shd w:fill="1F4E78"/>
          </w:tcPr>
          <w:p>
            <w:pPr>
              <w:pStyle w:val="Compact"/>
              <w:jc w:val="left"/>
            </w:pPr>
            <w:r>
              <w:rPr>
                <w:rFonts w:ascii="Arial" w:hAnsi="Arial" w:eastAsia="Arial"/>
                <w:b/>
                <w:color w:val="FFFFFF"/>
                <w:sz w:val="16"/>
              </w:rPr>
              <w:t>Cell</w:t>
            </w:r>
          </w:p>
        </w:tc>
        <w:tc>
          <w:tcPr>
            <w:vAlign w:val="top"/>
            <w:tcMar>
              <w:top w:w="70" w:type="dxa"/>
              <w:start w:w="80" w:type="dxa"/>
              <w:bottom w:w="70" w:type="dxa"/>
              <w:end w:w="80" w:type="dxa"/>
            </w:tcMar>
            <w:shd w:fill="1F4E78"/>
          </w:tcPr>
          <w:p>
            <w:pPr>
              <w:pStyle w:val="Compact"/>
              <w:jc w:val="left"/>
            </w:pPr>
            <w:r>
              <w:rPr>
                <w:rFonts w:ascii="Arial" w:hAnsi="Arial" w:eastAsia="Arial"/>
                <w:b/>
                <w:color w:val="FFFFFF"/>
                <w:sz w:val="16"/>
              </w:rPr>
              <w:t>What this cell measures</w:t>
            </w:r>
          </w:p>
        </w:tc>
        <w:tc>
          <w:tcPr>
            <w:vAlign w:val="top"/>
            <w:tcMar>
              <w:top w:w="70" w:type="dxa"/>
              <w:start w:w="80" w:type="dxa"/>
              <w:bottom w:w="70" w:type="dxa"/>
              <w:end w:w="80" w:type="dxa"/>
            </w:tcMar>
            <w:shd w:fill="1F4E78"/>
          </w:tcPr>
          <w:p>
            <w:pPr>
              <w:pStyle w:val="Compact"/>
              <w:jc w:val="left"/>
            </w:pPr>
            <w:r>
              <w:rPr>
                <w:rFonts w:ascii="Arial" w:hAnsi="Arial" w:eastAsia="Arial"/>
                <w:b/>
                <w:color w:val="FFFFFF"/>
                <w:sz w:val="16"/>
              </w:rPr>
              <w:t>+ Benefit</w:t>
            </w:r>
          </w:p>
        </w:tc>
        <w:tc>
          <w:tcPr>
            <w:vAlign w:val="top"/>
            <w:tcMar>
              <w:top w:w="70" w:type="dxa"/>
              <w:start w:w="80" w:type="dxa"/>
              <w:bottom w:w="70" w:type="dxa"/>
              <w:end w:w="80" w:type="dxa"/>
            </w:tcMar>
            <w:shd w:fill="1F4E78"/>
          </w:tcPr>
          <w:p>
            <w:pPr>
              <w:pStyle w:val="Compact"/>
              <w:jc w:val="left"/>
            </w:pPr>
            <w:r>
              <w:rPr>
                <w:rFonts w:ascii="Arial" w:hAnsi="Arial" w:eastAsia="Arial"/>
                <w:b/>
                <w:color w:val="FFFFFF"/>
                <w:sz w:val="16"/>
              </w:rPr>
              <w:t>- Harm</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b/>
                <w:bCs/>
                <w:sz w:val="16"/>
              </w:rPr>
              <w:t>U5/D1</w:t>
            </w:r>
            <w:r>
              <w:rPr>
                <w:rFonts w:ascii="Arial" w:hAnsi="Arial" w:eastAsia="Arial"/>
                <w:sz w:val="16"/>
              </w:rPr>
              <w:t xml:space="preserve"> </w:t>
            </w:r>
            <w:r>
              <w:rPr>
                <w:rFonts w:ascii="Arial" w:hAnsi="Arial" w:eastAsia="Arial"/>
                <w:sz w:val="16"/>
              </w:rPr>
              <w:t>- Public Resources (label: public resources)</w:t>
            </w:r>
          </w:p>
        </w:tc>
        <w:tc>
          <w:tcPr>
            <w:vAlign w:val="top"/>
            <w:tcMar>
              <w:top w:w="70" w:type="dxa"/>
              <w:start w:w="80" w:type="dxa"/>
              <w:bottom w:w="70" w:type="dxa"/>
              <w:end w:w="80" w:type="dxa"/>
            </w:tcMar>
            <w:shd w:fill="D9EAF7"/>
          </w:tcPr>
          <w:p>
            <w:pPr>
              <w:pStyle w:val="Compact"/>
              <w:jc w:val="left"/>
            </w:pPr>
            <w:r>
              <w:rPr>
                <w:rFonts w:ascii="Arial" w:hAnsi="Arial" w:eastAsia="Arial"/>
                <w:sz w:val="16"/>
              </w:rPr>
              <w:t>The polity's fiscal and material capacity: public finances, infrastructure, and provisioning.</w:t>
            </w:r>
          </w:p>
        </w:tc>
        <w:tc>
          <w:tcPr>
            <w:vAlign w:val="top"/>
            <w:tcMar>
              <w:top w:w="70" w:type="dxa"/>
              <w:start w:w="80" w:type="dxa"/>
              <w:bottom w:w="70" w:type="dxa"/>
              <w:end w:w="80" w:type="dxa"/>
            </w:tcMar>
            <w:shd w:fill="D9EAF7"/>
          </w:tcPr>
          <w:p>
            <w:pPr>
              <w:pStyle w:val="Compact"/>
              <w:jc w:val="left"/>
            </w:pPr>
            <w:r>
              <w:rPr>
                <w:rFonts w:ascii="Arial" w:hAnsi="Arial" w:eastAsia="Arial"/>
                <w:sz w:val="16"/>
              </w:rPr>
              <w:t>Sounder public finances, better infrastructure, sustainable provisioning.</w:t>
            </w:r>
          </w:p>
        </w:tc>
        <w:tc>
          <w:tcPr>
            <w:vAlign w:val="top"/>
            <w:tcMar>
              <w:top w:w="70" w:type="dxa"/>
              <w:start w:w="80" w:type="dxa"/>
              <w:bottom w:w="70" w:type="dxa"/>
              <w:end w:w="80" w:type="dxa"/>
            </w:tcMar>
            <w:shd w:fill="D9EAF7"/>
          </w:tcPr>
          <w:p>
            <w:pPr>
              <w:pStyle w:val="Compact"/>
              <w:jc w:val="left"/>
            </w:pPr>
            <w:r>
              <w:rPr>
                <w:rFonts w:ascii="Arial" w:hAnsi="Arial" w:eastAsia="Arial"/>
                <w:sz w:val="16"/>
              </w:rPr>
              <w:t>Fiscal crisis, infrastructure decay, depleted public capacity.</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b/>
                <w:bCs/>
                <w:sz w:val="16"/>
              </w:rPr>
              <w:t>U5/D2</w:t>
            </w:r>
            <w:r>
              <w:rPr>
                <w:rFonts w:ascii="Arial" w:hAnsi="Arial" w:eastAsia="Arial"/>
                <w:sz w:val="16"/>
              </w:rPr>
              <w:t xml:space="preserve"> </w:t>
            </w:r>
            <w:r>
              <w:rPr>
                <w:rFonts w:ascii="Arial" w:hAnsi="Arial" w:eastAsia="Arial"/>
                <w:sz w:val="16"/>
              </w:rPr>
              <w:t>- Population Health (label: population health)</w:t>
            </w:r>
          </w:p>
        </w:tc>
        <w:tc>
          <w:tcPr>
            <w:vAlign w:val="top"/>
            <w:tcMar>
              <w:top w:w="70" w:type="dxa"/>
              <w:start w:w="80" w:type="dxa"/>
              <w:bottom w:w="70" w:type="dxa"/>
              <w:end w:w="80" w:type="dxa"/>
            </w:tcMar>
            <w:shd w:fill="FFFFFF"/>
          </w:tcPr>
          <w:p>
            <w:pPr>
              <w:pStyle w:val="Compact"/>
              <w:jc w:val="left"/>
            </w:pPr>
            <w:r>
              <w:rPr>
                <w:rFonts w:ascii="Arial" w:hAnsi="Arial" w:eastAsia="Arial"/>
                <w:sz w:val="16"/>
              </w:rPr>
              <w:t>The health, safety, and mortality outcomes of the whole population within a polity.</w:t>
            </w:r>
          </w:p>
        </w:tc>
        <w:tc>
          <w:tcPr>
            <w:vAlign w:val="top"/>
            <w:tcMar>
              <w:top w:w="70" w:type="dxa"/>
              <w:start w:w="80" w:type="dxa"/>
              <w:bottom w:w="70" w:type="dxa"/>
              <w:end w:w="80" w:type="dxa"/>
            </w:tcMar>
            <w:shd w:fill="FFFFFF"/>
          </w:tcPr>
          <w:p>
            <w:pPr>
              <w:pStyle w:val="Compact"/>
              <w:jc w:val="left"/>
            </w:pPr>
            <w:r>
              <w:rPr>
                <w:rFonts w:ascii="Arial" w:hAnsi="Arial" w:eastAsia="Arial"/>
                <w:sz w:val="16"/>
              </w:rPr>
              <w:t>Lower population mortality/morbidity, better system-wide care, stronger resilience.</w:t>
            </w:r>
          </w:p>
        </w:tc>
        <w:tc>
          <w:tcPr>
            <w:vAlign w:val="top"/>
            <w:tcMar>
              <w:top w:w="70" w:type="dxa"/>
              <w:start w:w="80" w:type="dxa"/>
              <w:bottom w:w="70" w:type="dxa"/>
              <w:end w:w="80" w:type="dxa"/>
            </w:tcMar>
            <w:shd w:fill="FFFFFF"/>
          </w:tcPr>
          <w:p>
            <w:pPr>
              <w:pStyle w:val="Compact"/>
              <w:jc w:val="left"/>
            </w:pPr>
            <w:r>
              <w:rPr>
                <w:rFonts w:ascii="Arial" w:hAnsi="Arial" w:eastAsia="Arial"/>
                <w:sz w:val="16"/>
              </w:rPr>
              <w:t>Rising mortality, system overload, reduced care access, public-health crises.</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b/>
                <w:bCs/>
                <w:sz w:val="16"/>
              </w:rPr>
              <w:t>U5/D3</w:t>
            </w:r>
            <w:r>
              <w:rPr>
                <w:rFonts w:ascii="Arial" w:hAnsi="Arial" w:eastAsia="Arial"/>
                <w:sz w:val="16"/>
              </w:rPr>
              <w:t xml:space="preserve"> </w:t>
            </w:r>
            <w:r>
              <w:rPr>
                <w:rFonts w:ascii="Arial" w:hAnsi="Arial" w:eastAsia="Arial"/>
                <w:sz w:val="16"/>
              </w:rPr>
              <w:t>- Legitimacy (label: legitimacy)</w:t>
            </w:r>
          </w:p>
        </w:tc>
        <w:tc>
          <w:tcPr>
            <w:vAlign w:val="top"/>
            <w:tcMar>
              <w:top w:w="70" w:type="dxa"/>
              <w:start w:w="80" w:type="dxa"/>
              <w:bottom w:w="70" w:type="dxa"/>
              <w:end w:w="80" w:type="dxa"/>
            </w:tcMar>
            <w:shd w:fill="D9EAF7"/>
          </w:tcPr>
          <w:p>
            <w:pPr>
              <w:pStyle w:val="Compact"/>
              <w:jc w:val="left"/>
            </w:pPr>
            <w:r>
              <w:rPr>
                <w:rFonts w:ascii="Arial" w:hAnsi="Arial" w:eastAsia="Arial"/>
                <w:sz w:val="16"/>
              </w:rPr>
              <w:t>The rule of law, due process, accountability, and perceived legitimacy of public institutions.</w:t>
            </w:r>
          </w:p>
        </w:tc>
        <w:tc>
          <w:tcPr>
            <w:vAlign w:val="top"/>
            <w:tcMar>
              <w:top w:w="70" w:type="dxa"/>
              <w:start w:w="80" w:type="dxa"/>
              <w:bottom w:w="70" w:type="dxa"/>
              <w:end w:w="80" w:type="dxa"/>
            </w:tcMar>
            <w:shd w:fill="D9EAF7"/>
          </w:tcPr>
          <w:p>
            <w:pPr>
              <w:pStyle w:val="Compact"/>
              <w:jc w:val="left"/>
            </w:pPr>
            <w:r>
              <w:rPr>
                <w:rFonts w:ascii="Arial" w:hAnsi="Arial" w:eastAsia="Arial"/>
                <w:sz w:val="16"/>
              </w:rPr>
              <w:t>Stronger rule of law, due process, accountability, and institutional trust.</w:t>
            </w:r>
          </w:p>
        </w:tc>
        <w:tc>
          <w:tcPr>
            <w:vAlign w:val="top"/>
            <w:tcMar>
              <w:top w:w="70" w:type="dxa"/>
              <w:start w:w="80" w:type="dxa"/>
              <w:bottom w:w="70" w:type="dxa"/>
              <w:end w:w="80" w:type="dxa"/>
            </w:tcMar>
            <w:shd w:fill="D9EAF7"/>
          </w:tcPr>
          <w:p>
            <w:pPr>
              <w:pStyle w:val="Compact"/>
              <w:jc w:val="left"/>
            </w:pPr>
            <w:r>
              <w:rPr>
                <w:rFonts w:ascii="Arial" w:hAnsi="Arial" w:eastAsia="Arial"/>
                <w:sz w:val="16"/>
              </w:rPr>
              <w:t>Erosion of rule of law, impunity, corruption, collapse of institutional trust.</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b/>
                <w:bCs/>
                <w:sz w:val="16"/>
              </w:rPr>
              <w:t>U5/D4</w:t>
            </w:r>
            <w:r>
              <w:rPr>
                <w:rFonts w:ascii="Arial" w:hAnsi="Arial" w:eastAsia="Arial"/>
                <w:sz w:val="16"/>
              </w:rPr>
              <w:t xml:space="preserve"> </w:t>
            </w:r>
            <w:r>
              <w:rPr>
                <w:rFonts w:ascii="Arial" w:hAnsi="Arial" w:eastAsia="Arial"/>
                <w:sz w:val="16"/>
              </w:rPr>
              <w:t>- Information Access (label: information access)</w:t>
            </w:r>
          </w:p>
        </w:tc>
        <w:tc>
          <w:tcPr>
            <w:vAlign w:val="top"/>
            <w:tcMar>
              <w:top w:w="70" w:type="dxa"/>
              <w:start w:w="80" w:type="dxa"/>
              <w:bottom w:w="70" w:type="dxa"/>
              <w:end w:w="80" w:type="dxa"/>
            </w:tcMar>
            <w:shd w:fill="FFFFFF"/>
          </w:tcPr>
          <w:p>
            <w:pPr>
              <w:pStyle w:val="Compact"/>
              <w:jc w:val="left"/>
            </w:pPr>
            <w:r>
              <w:rPr>
                <w:rFonts w:ascii="Arial" w:hAnsi="Arial" w:eastAsia="Arial"/>
                <w:sz w:val="16"/>
              </w:rPr>
              <w:t>The polity's information environment: access, transparency, free expression, and epistemic integrity.</w:t>
            </w:r>
          </w:p>
        </w:tc>
        <w:tc>
          <w:tcPr>
            <w:vAlign w:val="top"/>
            <w:tcMar>
              <w:top w:w="70" w:type="dxa"/>
              <w:start w:w="80" w:type="dxa"/>
              <w:bottom w:w="70" w:type="dxa"/>
              <w:end w:w="80" w:type="dxa"/>
            </w:tcMar>
            <w:shd w:fill="FFFFFF"/>
          </w:tcPr>
          <w:p>
            <w:pPr>
              <w:pStyle w:val="Compact"/>
              <w:jc w:val="left"/>
            </w:pPr>
            <w:r>
              <w:rPr>
                <w:rFonts w:ascii="Arial" w:hAnsi="Arial" w:eastAsia="Arial"/>
                <w:sz w:val="16"/>
              </w:rPr>
              <w:t>Better transparency, information access, free expression, healthier epistemic commons.</w:t>
            </w:r>
          </w:p>
        </w:tc>
        <w:tc>
          <w:tcPr>
            <w:vAlign w:val="top"/>
            <w:tcMar>
              <w:top w:w="70" w:type="dxa"/>
              <w:start w:w="80" w:type="dxa"/>
              <w:bottom w:w="70" w:type="dxa"/>
              <w:end w:w="80" w:type="dxa"/>
            </w:tcMar>
            <w:shd w:fill="FFFFFF"/>
          </w:tcPr>
          <w:p>
            <w:pPr>
              <w:pStyle w:val="Compact"/>
              <w:jc w:val="left"/>
            </w:pPr>
            <w:r>
              <w:rPr>
                <w:rFonts w:ascii="Arial" w:hAnsi="Arial" w:eastAsia="Arial"/>
                <w:sz w:val="16"/>
              </w:rPr>
              <w:t>Censorship, opacity, disinformation, surveillance chilling, epistemic capture.</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b/>
                <w:bCs/>
                <w:sz w:val="16"/>
              </w:rPr>
              <w:t>U5/D5</w:t>
            </w:r>
            <w:r>
              <w:rPr>
                <w:rFonts w:ascii="Arial" w:hAnsi="Arial" w:eastAsia="Arial"/>
                <w:sz w:val="16"/>
              </w:rPr>
              <w:t xml:space="preserve"> </w:t>
            </w:r>
            <w:r>
              <w:rPr>
                <w:rFonts w:ascii="Arial" w:hAnsi="Arial" w:eastAsia="Arial"/>
                <w:sz w:val="16"/>
              </w:rPr>
              <w:t>- Civil Agency (label: civil agency)</w:t>
            </w:r>
          </w:p>
        </w:tc>
        <w:tc>
          <w:tcPr>
            <w:vAlign w:val="top"/>
            <w:tcMar>
              <w:top w:w="70" w:type="dxa"/>
              <w:start w:w="80" w:type="dxa"/>
              <w:bottom w:w="70" w:type="dxa"/>
              <w:end w:w="80" w:type="dxa"/>
            </w:tcMar>
            <w:shd w:fill="D9EAF7"/>
          </w:tcPr>
          <w:p>
            <w:pPr>
              <w:pStyle w:val="Compact"/>
              <w:jc w:val="left"/>
            </w:pPr>
            <w:r>
              <w:rPr>
                <w:rFonts w:ascii="Arial" w:hAnsi="Arial" w:eastAsia="Arial"/>
                <w:sz w:val="16"/>
              </w:rPr>
              <w:t>People's ability to participate in public life, exercise rights, contest authority, and influence governance.</w:t>
            </w:r>
          </w:p>
        </w:tc>
        <w:tc>
          <w:tcPr>
            <w:vAlign w:val="top"/>
            <w:tcMar>
              <w:top w:w="70" w:type="dxa"/>
              <w:start w:w="80" w:type="dxa"/>
              <w:bottom w:w="70" w:type="dxa"/>
              <w:end w:w="80" w:type="dxa"/>
            </w:tcMar>
            <w:shd w:fill="D9EAF7"/>
          </w:tcPr>
          <w:p>
            <w:pPr>
              <w:pStyle w:val="Compact"/>
              <w:jc w:val="left"/>
            </w:pPr>
            <w:r>
              <w:rPr>
                <w:rFonts w:ascii="Arial" w:hAnsi="Arial" w:eastAsia="Arial"/>
                <w:sz w:val="16"/>
              </w:rPr>
              <w:t>Stronger voting access, participation, transparency, due process, and contestability.</w:t>
            </w:r>
          </w:p>
        </w:tc>
        <w:tc>
          <w:tcPr>
            <w:vAlign w:val="top"/>
            <w:tcMar>
              <w:top w:w="70" w:type="dxa"/>
              <w:start w:w="80" w:type="dxa"/>
              <w:bottom w:w="70" w:type="dxa"/>
              <w:end w:w="80" w:type="dxa"/>
            </w:tcMar>
            <w:shd w:fill="D9EAF7"/>
          </w:tcPr>
          <w:p>
            <w:pPr>
              <w:pStyle w:val="Compact"/>
              <w:jc w:val="left"/>
            </w:pPr>
            <w:r>
              <w:rPr>
                <w:rFonts w:ascii="Arial" w:hAnsi="Arial" w:eastAsia="Arial"/>
                <w:sz w:val="16"/>
              </w:rPr>
              <w:t>Suppression, censorship, corruption, procedural exclusion, arbitrary enforcement, reduced civic voice.</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b/>
                <w:bCs/>
                <w:sz w:val="16"/>
              </w:rPr>
              <w:t>U5/D6</w:t>
            </w:r>
            <w:r>
              <w:rPr>
                <w:rFonts w:ascii="Arial" w:hAnsi="Arial" w:eastAsia="Arial"/>
                <w:sz w:val="16"/>
              </w:rPr>
              <w:t xml:space="preserve"> </w:t>
            </w:r>
            <w:r>
              <w:rPr>
                <w:rFonts w:ascii="Arial" w:hAnsi="Arial" w:eastAsia="Arial"/>
                <w:sz w:val="16"/>
              </w:rPr>
              <w:t>- Public Meaning (label: public meaning)</w:t>
            </w:r>
          </w:p>
        </w:tc>
        <w:tc>
          <w:tcPr>
            <w:vAlign w:val="top"/>
            <w:tcMar>
              <w:top w:w="70" w:type="dxa"/>
              <w:start w:w="80" w:type="dxa"/>
              <w:bottom w:w="70" w:type="dxa"/>
              <w:end w:w="80" w:type="dxa"/>
            </w:tcMar>
            <w:shd w:fill="FFFFFF"/>
          </w:tcPr>
          <w:p>
            <w:pPr>
              <w:pStyle w:val="Compact"/>
              <w:jc w:val="left"/>
            </w:pPr>
            <w:r>
              <w:rPr>
                <w:rFonts w:ascii="Arial" w:hAnsi="Arial" w:eastAsia="Arial"/>
                <w:sz w:val="16"/>
              </w:rPr>
              <w:t>Shared civic identity, dignity, social contract, and non-domination across the polity.</w:t>
            </w:r>
          </w:p>
        </w:tc>
        <w:tc>
          <w:tcPr>
            <w:vAlign w:val="top"/>
            <w:tcMar>
              <w:top w:w="70" w:type="dxa"/>
              <w:start w:w="80" w:type="dxa"/>
              <w:bottom w:w="70" w:type="dxa"/>
              <w:end w:w="80" w:type="dxa"/>
            </w:tcMar>
            <w:shd w:fill="FFFFFF"/>
          </w:tcPr>
          <w:p>
            <w:pPr>
              <w:pStyle w:val="Compact"/>
              <w:jc w:val="left"/>
            </w:pPr>
            <w:r>
              <w:rPr>
                <w:rFonts w:ascii="Arial" w:hAnsi="Arial" w:eastAsia="Arial"/>
                <w:sz w:val="16"/>
              </w:rPr>
              <w:t>Stronger civic dignity, inclusion, fair recognition, and a credible social contract.</w:t>
            </w:r>
          </w:p>
        </w:tc>
        <w:tc>
          <w:tcPr>
            <w:vAlign w:val="top"/>
            <w:tcMar>
              <w:top w:w="70" w:type="dxa"/>
              <w:start w:w="80" w:type="dxa"/>
              <w:bottom w:w="70" w:type="dxa"/>
              <w:end w:w="80" w:type="dxa"/>
            </w:tcMar>
            <w:shd w:fill="FFFFFF"/>
          </w:tcPr>
          <w:p>
            <w:pPr>
              <w:pStyle w:val="Compact"/>
              <w:jc w:val="left"/>
            </w:pPr>
            <w:r>
              <w:rPr>
                <w:rFonts w:ascii="Arial" w:hAnsi="Arial" w:eastAsia="Arial"/>
                <w:sz w:val="16"/>
              </w:rPr>
              <w:t>Domination, civic humiliation, exclusionary identity, eroded social contract.</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b/>
                <w:bCs/>
                <w:sz w:val="16"/>
              </w:rPr>
              <w:t>U5/D7</w:t>
            </w:r>
            <w:r>
              <w:rPr>
                <w:rFonts w:ascii="Arial" w:hAnsi="Arial" w:eastAsia="Arial"/>
                <w:sz w:val="16"/>
              </w:rPr>
              <w:t xml:space="preserve"> </w:t>
            </w:r>
            <w:r>
              <w:rPr>
                <w:rFonts w:ascii="Arial" w:hAnsi="Arial" w:eastAsia="Arial"/>
                <w:sz w:val="16"/>
              </w:rPr>
              <w:t>- Public Environment (label: public environment)</w:t>
            </w:r>
          </w:p>
        </w:tc>
        <w:tc>
          <w:tcPr>
            <w:vAlign w:val="top"/>
            <w:tcMar>
              <w:top w:w="70" w:type="dxa"/>
              <w:start w:w="80" w:type="dxa"/>
              <w:bottom w:w="70" w:type="dxa"/>
              <w:end w:w="80" w:type="dxa"/>
            </w:tcMar>
            <w:shd w:fill="D9EAF7"/>
          </w:tcPr>
          <w:p>
            <w:pPr>
              <w:pStyle w:val="Compact"/>
              <w:jc w:val="left"/>
            </w:pPr>
            <w:r>
              <w:rPr>
                <w:rFonts w:ascii="Arial" w:hAnsi="Arial" w:eastAsia="Arial"/>
                <w:sz w:val="16"/>
              </w:rPr>
              <w:t>The environmental quality and ecological sustainability managed at the polity scale.</w:t>
            </w:r>
          </w:p>
        </w:tc>
        <w:tc>
          <w:tcPr>
            <w:vAlign w:val="top"/>
            <w:tcMar>
              <w:top w:w="70" w:type="dxa"/>
              <w:start w:w="80" w:type="dxa"/>
              <w:bottom w:w="70" w:type="dxa"/>
              <w:end w:w="80" w:type="dxa"/>
            </w:tcMar>
            <w:shd w:fill="D9EAF7"/>
          </w:tcPr>
          <w:p>
            <w:pPr>
              <w:pStyle w:val="Compact"/>
              <w:jc w:val="left"/>
            </w:pPr>
            <w:r>
              <w:rPr>
                <w:rFonts w:ascii="Arial" w:hAnsi="Arial" w:eastAsia="Arial"/>
                <w:sz w:val="16"/>
              </w:rPr>
              <w:t>Better regional environmental quality, sustainable resource management, reduced systemic pollution.</w:t>
            </w:r>
          </w:p>
        </w:tc>
        <w:tc>
          <w:tcPr>
            <w:vAlign w:val="top"/>
            <w:tcMar>
              <w:top w:w="70" w:type="dxa"/>
              <w:start w:w="80" w:type="dxa"/>
              <w:bottom w:w="70" w:type="dxa"/>
              <w:end w:w="80" w:type="dxa"/>
            </w:tcMar>
            <w:shd w:fill="D9EAF7"/>
          </w:tcPr>
          <w:p>
            <w:pPr>
              <w:pStyle w:val="Compact"/>
              <w:jc w:val="left"/>
            </w:pPr>
            <w:r>
              <w:rPr>
                <w:rFonts w:ascii="Arial" w:hAnsi="Arial" w:eastAsia="Arial"/>
                <w:sz w:val="16"/>
              </w:rPr>
              <w:t>Regional pollution, resource depletion, ecosystem degradation, environmental injustice.</w:t>
            </w:r>
          </w:p>
        </w:tc>
      </w:tr>
    </w:tbl>
    <w:bookmarkEnd w:id="643"/>
    <w:bookmarkStart w:id="644" w:name="u5-polity---evidence-and-review"/>
    <w:p>
      <w:pPr>
        <w:pStyle w:val="Heading3"/>
      </w:pPr>
      <w:r>
        <w:t>U5 Polity - evidence and review</w:t>
      </w:r>
    </w:p>
    <w:tbl>
      <w:tblPr>
        <w:tblStyle w:val="Table"/>
        <w:tblW w:type="auto" w:w="0"/>
        <w:jc w:val="center"/>
        <w:tblLook w:firstRow="1" w:lastRow="0" w:firstColumn="0" w:lastColumn="0" w:noHBand="0" w:noVBand="0" w:val="0020"/>
      </w:tblPr>
      <w:tblGrid>
        <w:gridCol w:w="2640"/>
        <w:gridCol w:w="2640"/>
        <w:gridCol w:w="2640"/>
      </w:tblGrid>
      <w:tr>
        <w:trPr>
          <w:tblHeader w:val="on"/>
          <w:tblHeader w:val="true"/>
          <w:cantSplit/>
        </w:trPr>
        <w:tc>
          <w:tcPr>
            <w:vAlign w:val="top"/>
            <w:tcMar>
              <w:top w:w="70" w:type="dxa"/>
              <w:start w:w="80" w:type="dxa"/>
              <w:bottom w:w="70" w:type="dxa"/>
              <w:end w:w="80" w:type="dxa"/>
            </w:tcMar>
            <w:shd w:fill="1F4E78"/>
          </w:tcPr>
          <w:p>
            <w:pPr>
              <w:pStyle w:val="Compact"/>
              <w:jc w:val="left"/>
            </w:pPr>
            <w:r>
              <w:rPr>
                <w:rFonts w:ascii="Arial" w:hAnsi="Arial" w:eastAsia="Arial"/>
                <w:b/>
                <w:color w:val="FFFFFF"/>
                <w:sz w:val="16"/>
              </w:rPr>
              <w:t>Cell</w:t>
            </w:r>
          </w:p>
        </w:tc>
        <w:tc>
          <w:tcPr>
            <w:vAlign w:val="top"/>
            <w:tcMar>
              <w:top w:w="70" w:type="dxa"/>
              <w:start w:w="80" w:type="dxa"/>
              <w:bottom w:w="70" w:type="dxa"/>
              <w:end w:w="80" w:type="dxa"/>
            </w:tcMar>
            <w:shd w:fill="1F4E78"/>
          </w:tcPr>
          <w:p>
            <w:pPr>
              <w:pStyle w:val="Compact"/>
              <w:jc w:val="left"/>
            </w:pPr>
            <w:r>
              <w:rPr>
                <w:rFonts w:ascii="Arial" w:hAnsi="Arial" w:eastAsia="Arial"/>
                <w:b/>
                <w:color w:val="FFFFFF"/>
                <w:sz w:val="16"/>
              </w:rPr>
              <w:t>Evidence and gate cues</w:t>
            </w:r>
          </w:p>
        </w:tc>
        <w:tc>
          <w:tcPr>
            <w:vAlign w:val="top"/>
            <w:tcMar>
              <w:top w:w="70" w:type="dxa"/>
              <w:start w:w="80" w:type="dxa"/>
              <w:bottom w:w="70" w:type="dxa"/>
              <w:end w:w="80" w:type="dxa"/>
            </w:tcMar>
            <w:shd w:fill="1F4E78"/>
          </w:tcPr>
          <w:p>
            <w:pPr>
              <w:pStyle w:val="Compact"/>
              <w:jc w:val="left"/>
            </w:pPr>
            <w:r>
              <w:rPr>
                <w:rFonts w:ascii="Arial" w:hAnsi="Arial" w:eastAsia="Arial"/>
                <w:b/>
                <w:color w:val="FFFFFF"/>
                <w:sz w:val="16"/>
              </w:rPr>
              <w:t>Example and reviewer check</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b/>
                <w:bCs/>
                <w:sz w:val="16"/>
              </w:rPr>
              <w:t>U5/D1</w:t>
            </w:r>
            <w:r>
              <w:rPr>
                <w:rFonts w:ascii="Arial" w:hAnsi="Arial" w:eastAsia="Arial"/>
                <w:sz w:val="16"/>
              </w:rPr>
              <w:t xml:space="preserve"> </w:t>
            </w:r>
            <w:r>
              <w:rPr>
                <w:rFonts w:ascii="Arial" w:hAnsi="Arial" w:eastAsia="Arial"/>
                <w:sz w:val="16"/>
              </w:rPr>
              <w:t>- Public Resources (label: public resources)</w:t>
            </w:r>
          </w:p>
        </w:tc>
        <w:tc>
          <w:tcPr>
            <w:vAlign w:val="top"/>
            <w:tcMar>
              <w:top w:w="70" w:type="dxa"/>
              <w:start w:w="80" w:type="dxa"/>
              <w:bottom w:w="70" w:type="dxa"/>
              <w:end w:w="80" w:type="dxa"/>
            </w:tcMar>
            <w:shd w:fill="D9EAF7"/>
          </w:tcPr>
          <w:p>
            <w:pPr>
              <w:pStyle w:val="Compact"/>
              <w:jc w:val="left"/>
            </w:pPr>
            <w:r>
              <w:rPr>
                <w:rFonts w:ascii="Arial" w:hAnsi="Arial" w:eastAsia="Arial"/>
                <w:sz w:val="16"/>
              </w:rPr>
              <w:t>Evidence: public-finance data; infrastructure condition indices; fiscal-sustainability metrics; Gate classes: Containment / Structural Viability; Ordinary welfare. Uncertainty: Standard assessment. Interpretation: Ordinary welfare; containment-relevant where short-term fiscal wins erode long-term public capacity.</w:t>
            </w:r>
          </w:p>
        </w:tc>
        <w:tc>
          <w:tcPr>
            <w:vAlign w:val="top"/>
            <w:tcMar>
              <w:top w:w="70" w:type="dxa"/>
              <w:start w:w="80" w:type="dxa"/>
              <w:bottom w:w="70" w:type="dxa"/>
              <w:end w:w="80" w:type="dxa"/>
            </w:tcMar>
            <w:shd w:fill="D9EAF7"/>
          </w:tcPr>
          <w:p>
            <w:pPr>
              <w:pStyle w:val="Compact"/>
              <w:jc w:val="left"/>
            </w:pPr>
            <w:r>
              <w:rPr>
                <w:rFonts w:ascii="Arial" w:hAnsi="Arial" w:eastAsia="Arial"/>
                <w:sz w:val="16"/>
              </w:rPr>
              <w:t>Example: An infrastructure-maintenance program that prevents asset decay improves U5/D1.; Reviewer check: A reviewer checks whether gains are sustainable or borrowed from the future.</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b/>
                <w:bCs/>
                <w:sz w:val="16"/>
              </w:rPr>
              <w:t>U5/D2</w:t>
            </w:r>
            <w:r>
              <w:rPr>
                <w:rFonts w:ascii="Arial" w:hAnsi="Arial" w:eastAsia="Arial"/>
                <w:sz w:val="16"/>
              </w:rPr>
              <w:t xml:space="preserve"> </w:t>
            </w:r>
            <w:r>
              <w:rPr>
                <w:rFonts w:ascii="Arial" w:hAnsi="Arial" w:eastAsia="Arial"/>
                <w:sz w:val="16"/>
              </w:rPr>
              <w:t>- Population Health (label: population health)</w:t>
            </w:r>
          </w:p>
        </w:tc>
        <w:tc>
          <w:tcPr>
            <w:vAlign w:val="top"/>
            <w:tcMar>
              <w:top w:w="70" w:type="dxa"/>
              <w:start w:w="80" w:type="dxa"/>
              <w:bottom w:w="70" w:type="dxa"/>
              <w:end w:w="80" w:type="dxa"/>
            </w:tcMar>
            <w:shd w:fill="FFFFFF"/>
          </w:tcPr>
          <w:p>
            <w:pPr>
              <w:pStyle w:val="Compact"/>
              <w:jc w:val="left"/>
            </w:pPr>
            <w:r>
              <w:rPr>
                <w:rFonts w:ascii="Arial" w:hAnsi="Arial" w:eastAsia="Arial"/>
                <w:sz w:val="16"/>
              </w:rPr>
              <w:t>Evidence: population mortality / morbidity; health-system capacity; health-equity gaps; outbreak surveillance; Gate classes: Rights Floor; Tail Risk; Ordinary welfare. Uncertainty: Standard assessment. Interpretation: Tail-relevant for pandemic / health-system-collapse scenarios (non-averagable); rights-relevant under right-to-health floors; otherwise ordinary welfare.</w:t>
            </w:r>
          </w:p>
        </w:tc>
        <w:tc>
          <w:tcPr>
            <w:vAlign w:val="top"/>
            <w:tcMar>
              <w:top w:w="70" w:type="dxa"/>
              <w:start w:w="80" w:type="dxa"/>
              <w:bottom w:w="70" w:type="dxa"/>
              <w:end w:w="80" w:type="dxa"/>
            </w:tcMar>
            <w:shd w:fill="FFFFFF"/>
          </w:tcPr>
          <w:p>
            <w:pPr>
              <w:pStyle w:val="Compact"/>
              <w:jc w:val="left"/>
            </w:pPr>
            <w:r>
              <w:rPr>
                <w:rFonts w:ascii="Arial" w:hAnsi="Arial" w:eastAsia="Arial"/>
                <w:sz w:val="16"/>
              </w:rPr>
              <w:t>Example: A vaccination program that lowers population mortality improves U5/D2.; Reviewer check: A reviewer checks whether worst-case scenarios were bounded with a tail measure, not averaged away.</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b/>
                <w:bCs/>
                <w:sz w:val="16"/>
              </w:rPr>
              <w:t>U5/D3</w:t>
            </w:r>
            <w:r>
              <w:rPr>
                <w:rFonts w:ascii="Arial" w:hAnsi="Arial" w:eastAsia="Arial"/>
                <w:sz w:val="16"/>
              </w:rPr>
              <w:t xml:space="preserve"> </w:t>
            </w:r>
            <w:r>
              <w:rPr>
                <w:rFonts w:ascii="Arial" w:hAnsi="Arial" w:eastAsia="Arial"/>
                <w:sz w:val="16"/>
              </w:rPr>
              <w:t>- Legitimacy (label: legitimacy)</w:t>
            </w:r>
          </w:p>
        </w:tc>
        <w:tc>
          <w:tcPr>
            <w:vAlign w:val="top"/>
            <w:tcMar>
              <w:top w:w="70" w:type="dxa"/>
              <w:start w:w="80" w:type="dxa"/>
              <w:bottom w:w="70" w:type="dxa"/>
              <w:end w:w="80" w:type="dxa"/>
            </w:tcMar>
            <w:shd w:fill="D9EAF7"/>
          </w:tcPr>
          <w:p>
            <w:pPr>
              <w:pStyle w:val="Compact"/>
              <w:jc w:val="left"/>
            </w:pPr>
            <w:r>
              <w:rPr>
                <w:rFonts w:ascii="Arial" w:hAnsi="Arial" w:eastAsia="Arial"/>
                <w:sz w:val="16"/>
              </w:rPr>
              <w:t>Evidence: rule-of-law indices; due-process / judicial-independence measures; corruption indicators; institutional-trust surveys; Gate classes: Rights Floor; Tail Risk; Containment / Structural Viability; Ordinary welfare. Uncertainty: Standard assessment. Interpretation: Strongly containment-relevant: legitimacy is load-bearing for the whole system. Rights-relevant (due process); tail-relevant where collapse risks systemic instability.</w:t>
            </w:r>
          </w:p>
        </w:tc>
        <w:tc>
          <w:tcPr>
            <w:vAlign w:val="top"/>
            <w:tcMar>
              <w:top w:w="70" w:type="dxa"/>
              <w:start w:w="80" w:type="dxa"/>
              <w:bottom w:w="70" w:type="dxa"/>
              <w:end w:w="80" w:type="dxa"/>
            </w:tcMar>
            <w:shd w:fill="D9EAF7"/>
          </w:tcPr>
          <w:p>
            <w:pPr>
              <w:pStyle w:val="Compact"/>
              <w:jc w:val="left"/>
            </w:pPr>
            <w:r>
              <w:rPr>
                <w:rFonts w:ascii="Arial" w:hAnsi="Arial" w:eastAsia="Arial"/>
                <w:sz w:val="16"/>
              </w:rPr>
              <w:t>Example: A judicial-independence safeguard that resists political capture improves U5/D3.; Reviewer check: A reviewer tests whether legitimacy is measured independently or claimed by the institution being assessed.</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b/>
                <w:bCs/>
                <w:sz w:val="16"/>
              </w:rPr>
              <w:t>U5/D4</w:t>
            </w:r>
            <w:r>
              <w:rPr>
                <w:rFonts w:ascii="Arial" w:hAnsi="Arial" w:eastAsia="Arial"/>
                <w:sz w:val="16"/>
              </w:rPr>
              <w:t xml:space="preserve"> </w:t>
            </w:r>
            <w:r>
              <w:rPr>
                <w:rFonts w:ascii="Arial" w:hAnsi="Arial" w:eastAsia="Arial"/>
                <w:sz w:val="16"/>
              </w:rPr>
              <w:t>- Information Access (label: information access)</w:t>
            </w:r>
          </w:p>
        </w:tc>
        <w:tc>
          <w:tcPr>
            <w:vAlign w:val="top"/>
            <w:tcMar>
              <w:top w:w="70" w:type="dxa"/>
              <w:start w:w="80" w:type="dxa"/>
              <w:bottom w:w="70" w:type="dxa"/>
              <w:end w:w="80" w:type="dxa"/>
            </w:tcMar>
            <w:shd w:fill="FFFFFF"/>
          </w:tcPr>
          <w:p>
            <w:pPr>
              <w:pStyle w:val="Compact"/>
              <w:jc w:val="left"/>
            </w:pPr>
            <w:r>
              <w:rPr>
                <w:rFonts w:ascii="Arial" w:hAnsi="Arial" w:eastAsia="Arial"/>
                <w:sz w:val="16"/>
              </w:rPr>
              <w:t>Evidence: transparency / FOI metrics; press-freedom indices; disinformation prevalence; surveillance scope; Gate classes: Rights Floor; Containment / Structural Viability; Ordinary welfare. Uncertainty: Standard assessment. Interpretation: Rights-covered (free expression, information rights); containment-relevant because a damaged epistemic commons undermines all other governance.</w:t>
            </w:r>
          </w:p>
        </w:tc>
        <w:tc>
          <w:tcPr>
            <w:vAlign w:val="top"/>
            <w:tcMar>
              <w:top w:w="70" w:type="dxa"/>
              <w:start w:w="80" w:type="dxa"/>
              <w:bottom w:w="70" w:type="dxa"/>
              <w:end w:w="80" w:type="dxa"/>
            </w:tcMar>
            <w:shd w:fill="FFFFFF"/>
          </w:tcPr>
          <w:p>
            <w:pPr>
              <w:pStyle w:val="Compact"/>
              <w:jc w:val="left"/>
            </w:pPr>
            <w:r>
              <w:rPr>
                <w:rFonts w:ascii="Arial" w:hAnsi="Arial" w:eastAsia="Arial"/>
                <w:sz w:val="16"/>
              </w:rPr>
              <w:t>Example: An open-data and FOI reform that increases verifiable transparency improves U5/D4.; Reviewer check: A reviewer checks whether transparency is real and usable or nominal.</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b/>
                <w:bCs/>
                <w:sz w:val="16"/>
              </w:rPr>
              <w:t>U5/D5</w:t>
            </w:r>
            <w:r>
              <w:rPr>
                <w:rFonts w:ascii="Arial" w:hAnsi="Arial" w:eastAsia="Arial"/>
                <w:sz w:val="16"/>
              </w:rPr>
              <w:t xml:space="preserve"> </w:t>
            </w:r>
            <w:r>
              <w:rPr>
                <w:rFonts w:ascii="Arial" w:hAnsi="Arial" w:eastAsia="Arial"/>
                <w:sz w:val="16"/>
              </w:rPr>
              <w:t>- Civil Agency (label: civil agency)</w:t>
            </w:r>
          </w:p>
        </w:tc>
        <w:tc>
          <w:tcPr>
            <w:vAlign w:val="top"/>
            <w:tcMar>
              <w:top w:w="70" w:type="dxa"/>
              <w:start w:w="80" w:type="dxa"/>
              <w:bottom w:w="70" w:type="dxa"/>
              <w:end w:w="80" w:type="dxa"/>
            </w:tcMar>
            <w:shd w:fill="D9EAF7"/>
          </w:tcPr>
          <w:p>
            <w:pPr>
              <w:pStyle w:val="Compact"/>
              <w:jc w:val="left"/>
            </w:pPr>
            <w:r>
              <w:rPr>
                <w:rFonts w:ascii="Arial" w:hAnsi="Arial" w:eastAsia="Arial"/>
                <w:sz w:val="16"/>
              </w:rPr>
              <w:t>Evidence: voting access and turnout; procedural-fairness measures; availability of legal remedies; consultation quality; censorship reports; Gate classes: Rights Floor; Containment / Structural Viability; Ordinary welfare. Uncertainty: Standard assessment. Interpretation: Frequently rights-covered: tied to due process, liberty, information, dignity, and civic rights — non-compensatory under NCRC. Containment-relevant for system stability.</w:t>
            </w:r>
          </w:p>
        </w:tc>
        <w:tc>
          <w:tcPr>
            <w:vAlign w:val="top"/>
            <w:tcMar>
              <w:top w:w="70" w:type="dxa"/>
              <w:start w:w="80" w:type="dxa"/>
              <w:bottom w:w="70" w:type="dxa"/>
              <w:end w:w="80" w:type="dxa"/>
            </w:tcMar>
            <w:shd w:fill="D9EAF7"/>
          </w:tcPr>
          <w:p>
            <w:pPr>
              <w:pStyle w:val="Compact"/>
              <w:jc w:val="left"/>
            </w:pPr>
            <w:r>
              <w:rPr>
                <w:rFonts w:ascii="Arial" w:hAnsi="Arial" w:eastAsia="Arial"/>
                <w:sz w:val="16"/>
              </w:rPr>
              <w:t>Example: A reform expanding access to public hearings raises U5/D5; one that blocks lawful dissent harms it.; Reviewer check: A reviewer tests whether civic participation is enforceable or merely nominal, and whether any group is selectively excluded.</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b/>
                <w:bCs/>
                <w:sz w:val="16"/>
              </w:rPr>
              <w:t>U5/D6</w:t>
            </w:r>
            <w:r>
              <w:rPr>
                <w:rFonts w:ascii="Arial" w:hAnsi="Arial" w:eastAsia="Arial"/>
                <w:sz w:val="16"/>
              </w:rPr>
              <w:t xml:space="preserve"> </w:t>
            </w:r>
            <w:r>
              <w:rPr>
                <w:rFonts w:ascii="Arial" w:hAnsi="Arial" w:eastAsia="Arial"/>
                <w:sz w:val="16"/>
              </w:rPr>
              <w:t>- Public Meaning (label: public meaning)</w:t>
            </w:r>
          </w:p>
        </w:tc>
        <w:tc>
          <w:tcPr>
            <w:vAlign w:val="top"/>
            <w:tcMar>
              <w:top w:w="70" w:type="dxa"/>
              <w:start w:w="80" w:type="dxa"/>
              <w:bottom w:w="70" w:type="dxa"/>
              <w:end w:w="80" w:type="dxa"/>
            </w:tcMar>
            <w:shd w:fill="FFFFFF"/>
          </w:tcPr>
          <w:p>
            <w:pPr>
              <w:pStyle w:val="Compact"/>
              <w:jc w:val="left"/>
            </w:pPr>
            <w:r>
              <w:rPr>
                <w:rFonts w:ascii="Arial" w:hAnsi="Arial" w:eastAsia="Arial"/>
                <w:sz w:val="16"/>
              </w:rPr>
              <w:t>Evidence: inclusion / recognition measures; social-contract trust surveys; discrimination indicators; Gate classes: Rights Floor; Containment / Structural Viability. Uncertainty: Explicitly elevated. Interpretation: Rights-relevant (dignity, non-domination, non-discrimination); containment-relevant where a fractured social contract destabilises the polity. Soft to measure.</w:t>
            </w:r>
          </w:p>
        </w:tc>
        <w:tc>
          <w:tcPr>
            <w:vAlign w:val="top"/>
            <w:tcMar>
              <w:top w:w="70" w:type="dxa"/>
              <w:start w:w="80" w:type="dxa"/>
              <w:bottom w:w="70" w:type="dxa"/>
              <w:end w:w="80" w:type="dxa"/>
            </w:tcMar>
            <w:shd w:fill="FFFFFF"/>
          </w:tcPr>
          <w:p>
            <w:pPr>
              <w:pStyle w:val="Compact"/>
              <w:jc w:val="left"/>
            </w:pPr>
            <w:r>
              <w:rPr>
                <w:rFonts w:ascii="Arial" w:hAnsi="Arial" w:eastAsia="Arial"/>
                <w:sz w:val="16"/>
              </w:rPr>
              <w:t>Example: A reconciliation policy that credibly extends recognition to a marginalised group improves U5/D6.; Reviewer check: A reviewer separates symbolic recognition from changes people actually experience.</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b/>
                <w:bCs/>
                <w:sz w:val="16"/>
              </w:rPr>
              <w:t>U5/D7</w:t>
            </w:r>
            <w:r>
              <w:rPr>
                <w:rFonts w:ascii="Arial" w:hAnsi="Arial" w:eastAsia="Arial"/>
                <w:sz w:val="16"/>
              </w:rPr>
              <w:t xml:space="preserve"> </w:t>
            </w:r>
            <w:r>
              <w:rPr>
                <w:rFonts w:ascii="Arial" w:hAnsi="Arial" w:eastAsia="Arial"/>
                <w:sz w:val="16"/>
              </w:rPr>
              <w:t>- Public Environment (label: public environment)</w:t>
            </w:r>
          </w:p>
        </w:tc>
        <w:tc>
          <w:tcPr>
            <w:vAlign w:val="top"/>
            <w:tcMar>
              <w:top w:w="70" w:type="dxa"/>
              <w:start w:w="80" w:type="dxa"/>
              <w:bottom w:w="70" w:type="dxa"/>
              <w:end w:w="80" w:type="dxa"/>
            </w:tcMar>
            <w:shd w:fill="D9EAF7"/>
          </w:tcPr>
          <w:p>
            <w:pPr>
              <w:pStyle w:val="Compact"/>
              <w:jc w:val="left"/>
            </w:pPr>
            <w:r>
              <w:rPr>
                <w:rFonts w:ascii="Arial" w:hAnsi="Arial" w:eastAsia="Arial"/>
                <w:sz w:val="16"/>
              </w:rPr>
              <w:t>Evidence: regional environmental monitoring; resource-stock data; pollution and emissions; environmental-justice mapping; Gate classes: Rights Floor; Tail Risk; Containment / Structural Viability; Ordinary welfare. Uncertainty: Standard assessment. Interpretation: Tail-relevant where regional harm is irreversible or large-scale; containment-relevant; rights-relevant under environmental-justice and environmental-rights regimes.</w:t>
            </w:r>
          </w:p>
        </w:tc>
        <w:tc>
          <w:tcPr>
            <w:vAlign w:val="top"/>
            <w:tcMar>
              <w:top w:w="70" w:type="dxa"/>
              <w:start w:w="80" w:type="dxa"/>
              <w:bottom w:w="70" w:type="dxa"/>
              <w:end w:w="80" w:type="dxa"/>
            </w:tcMar>
            <w:shd w:fill="D9EAF7"/>
          </w:tcPr>
          <w:p>
            <w:pPr>
              <w:pStyle w:val="Compact"/>
              <w:jc w:val="left"/>
            </w:pPr>
            <w:r>
              <w:rPr>
                <w:rFonts w:ascii="Arial" w:hAnsi="Arial" w:eastAsia="Arial"/>
                <w:sz w:val="16"/>
              </w:rPr>
              <w:t>Example: A regional emissions cap that prevents airshed degradation improves U5/D7.; Reviewer check: A reviewer checks whether environmental-justice distribution was assessed, not just regional totals.</w:t>
            </w:r>
          </w:p>
        </w:tc>
      </w:tr>
    </w:tbl>
    <w:bookmarkEnd w:id="644"/>
    <w:bookmarkStart w:id="645" w:name="Xccaae39d399c5c977557502ff839eaf29e3b563"/>
    <w:p>
      <w:pPr>
        <w:pStyle w:val="Heading3"/>
      </w:pPr>
      <w:r>
        <w:t>U6 Humanity / Global Coordination - meaning and movement</w:t>
      </w:r>
    </w:p>
    <w:tbl>
      <w:tblPr>
        <w:tblStyle w:val="Table"/>
        <w:tblW w:type="auto" w:w="0"/>
        <w:jc w:val="center"/>
        <w:tblLook w:firstRow="1" w:lastRow="0" w:firstColumn="0" w:lastColumn="0" w:noHBand="0" w:noVBand="0" w:val="0020"/>
      </w:tblPr>
      <w:tblGrid>
        <w:gridCol w:w="1980"/>
        <w:gridCol w:w="1980"/>
        <w:gridCol w:w="1980"/>
        <w:gridCol w:w="1980"/>
      </w:tblGrid>
      <w:tr>
        <w:trPr>
          <w:tblHeader w:val="on"/>
          <w:tblHeader w:val="true"/>
          <w:cantSplit/>
        </w:trPr>
        <w:tc>
          <w:tcPr>
            <w:vAlign w:val="top"/>
            <w:tcMar>
              <w:top w:w="70" w:type="dxa"/>
              <w:start w:w="80" w:type="dxa"/>
              <w:bottom w:w="70" w:type="dxa"/>
              <w:end w:w="80" w:type="dxa"/>
            </w:tcMar>
            <w:shd w:fill="1F4E78"/>
          </w:tcPr>
          <w:p>
            <w:pPr>
              <w:pStyle w:val="Compact"/>
              <w:jc w:val="left"/>
            </w:pPr>
            <w:r>
              <w:rPr>
                <w:rFonts w:ascii="Arial" w:hAnsi="Arial" w:eastAsia="Arial"/>
                <w:b/>
                <w:color w:val="FFFFFF"/>
                <w:sz w:val="16"/>
              </w:rPr>
              <w:t>Cell</w:t>
            </w:r>
          </w:p>
        </w:tc>
        <w:tc>
          <w:tcPr>
            <w:vAlign w:val="top"/>
            <w:tcMar>
              <w:top w:w="70" w:type="dxa"/>
              <w:start w:w="80" w:type="dxa"/>
              <w:bottom w:w="70" w:type="dxa"/>
              <w:end w:w="80" w:type="dxa"/>
            </w:tcMar>
            <w:shd w:fill="1F4E78"/>
          </w:tcPr>
          <w:p>
            <w:pPr>
              <w:pStyle w:val="Compact"/>
              <w:jc w:val="left"/>
            </w:pPr>
            <w:r>
              <w:rPr>
                <w:rFonts w:ascii="Arial" w:hAnsi="Arial" w:eastAsia="Arial"/>
                <w:b/>
                <w:color w:val="FFFFFF"/>
                <w:sz w:val="16"/>
              </w:rPr>
              <w:t>What this cell measures</w:t>
            </w:r>
          </w:p>
        </w:tc>
        <w:tc>
          <w:tcPr>
            <w:vAlign w:val="top"/>
            <w:tcMar>
              <w:top w:w="70" w:type="dxa"/>
              <w:start w:w="80" w:type="dxa"/>
              <w:bottom w:w="70" w:type="dxa"/>
              <w:end w:w="80" w:type="dxa"/>
            </w:tcMar>
            <w:shd w:fill="1F4E78"/>
          </w:tcPr>
          <w:p>
            <w:pPr>
              <w:pStyle w:val="Compact"/>
              <w:jc w:val="left"/>
            </w:pPr>
            <w:r>
              <w:rPr>
                <w:rFonts w:ascii="Arial" w:hAnsi="Arial" w:eastAsia="Arial"/>
                <w:b/>
                <w:color w:val="FFFFFF"/>
                <w:sz w:val="16"/>
              </w:rPr>
              <w:t>+ Benefit</w:t>
            </w:r>
          </w:p>
        </w:tc>
        <w:tc>
          <w:tcPr>
            <w:vAlign w:val="top"/>
            <w:tcMar>
              <w:top w:w="70" w:type="dxa"/>
              <w:start w:w="80" w:type="dxa"/>
              <w:bottom w:w="70" w:type="dxa"/>
              <w:end w:w="80" w:type="dxa"/>
            </w:tcMar>
            <w:shd w:fill="1F4E78"/>
          </w:tcPr>
          <w:p>
            <w:pPr>
              <w:pStyle w:val="Compact"/>
              <w:jc w:val="left"/>
            </w:pPr>
            <w:r>
              <w:rPr>
                <w:rFonts w:ascii="Arial" w:hAnsi="Arial" w:eastAsia="Arial"/>
                <w:b/>
                <w:color w:val="FFFFFF"/>
                <w:sz w:val="16"/>
              </w:rPr>
              <w:t>- Harm</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b/>
                <w:bCs/>
                <w:sz w:val="16"/>
              </w:rPr>
              <w:t>U6/D1</w:t>
            </w:r>
            <w:r>
              <w:rPr>
                <w:rFonts w:ascii="Arial" w:hAnsi="Arial" w:eastAsia="Arial"/>
                <w:sz w:val="16"/>
              </w:rPr>
              <w:t xml:space="preserve"> </w:t>
            </w:r>
            <w:r>
              <w:rPr>
                <w:rFonts w:ascii="Arial" w:hAnsi="Arial" w:eastAsia="Arial"/>
                <w:sz w:val="16"/>
              </w:rPr>
              <w:t>- Global Resources (label: global resources)</w:t>
            </w:r>
          </w:p>
        </w:tc>
        <w:tc>
          <w:tcPr>
            <w:vAlign w:val="top"/>
            <w:tcMar>
              <w:top w:w="70" w:type="dxa"/>
              <w:start w:w="80" w:type="dxa"/>
              <w:bottom w:w="70" w:type="dxa"/>
              <w:end w:w="80" w:type="dxa"/>
            </w:tcMar>
            <w:shd w:fill="D9EAF7"/>
          </w:tcPr>
          <w:p>
            <w:pPr>
              <w:pStyle w:val="Compact"/>
              <w:jc w:val="left"/>
            </w:pPr>
            <w:r>
              <w:rPr>
                <w:rFonts w:ascii="Arial" w:hAnsi="Arial" w:eastAsia="Arial"/>
                <w:sz w:val="16"/>
              </w:rPr>
              <w:t>Humanity's shared material base: global resource stocks, critical supply chains, and common infrastructure.</w:t>
            </w:r>
          </w:p>
        </w:tc>
        <w:tc>
          <w:tcPr>
            <w:vAlign w:val="top"/>
            <w:tcMar>
              <w:top w:w="70" w:type="dxa"/>
              <w:start w:w="80" w:type="dxa"/>
              <w:bottom w:w="70" w:type="dxa"/>
              <w:end w:w="80" w:type="dxa"/>
            </w:tcMar>
            <w:shd w:fill="D9EAF7"/>
          </w:tcPr>
          <w:p>
            <w:pPr>
              <w:pStyle w:val="Compact"/>
              <w:jc w:val="left"/>
            </w:pPr>
            <w:r>
              <w:rPr>
                <w:rFonts w:ascii="Arial" w:hAnsi="Arial" w:eastAsia="Arial"/>
                <w:sz w:val="16"/>
              </w:rPr>
              <w:t>More sustainable global resource use, resilient supply chains, protected commons.</w:t>
            </w:r>
          </w:p>
        </w:tc>
        <w:tc>
          <w:tcPr>
            <w:vAlign w:val="top"/>
            <w:tcMar>
              <w:top w:w="70" w:type="dxa"/>
              <w:start w:w="80" w:type="dxa"/>
              <w:bottom w:w="70" w:type="dxa"/>
              <w:end w:w="80" w:type="dxa"/>
            </w:tcMar>
            <w:shd w:fill="D9EAF7"/>
          </w:tcPr>
          <w:p>
            <w:pPr>
              <w:pStyle w:val="Compact"/>
              <w:jc w:val="left"/>
            </w:pPr>
            <w:r>
              <w:rPr>
                <w:rFonts w:ascii="Arial" w:hAnsi="Arial" w:eastAsia="Arial"/>
                <w:sz w:val="16"/>
              </w:rPr>
              <w:t>Resource depletion, supply-chain fragility, degradation of global commons.</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b/>
                <w:bCs/>
                <w:sz w:val="16"/>
              </w:rPr>
              <w:t>U6/D2</w:t>
            </w:r>
            <w:r>
              <w:rPr>
                <w:rFonts w:ascii="Arial" w:hAnsi="Arial" w:eastAsia="Arial"/>
                <w:sz w:val="16"/>
              </w:rPr>
              <w:t xml:space="preserve"> </w:t>
            </w:r>
            <w:r>
              <w:rPr>
                <w:rFonts w:ascii="Arial" w:hAnsi="Arial" w:eastAsia="Arial"/>
                <w:sz w:val="16"/>
              </w:rPr>
              <w:t>- Human Safety (label: human safety)</w:t>
            </w:r>
          </w:p>
        </w:tc>
        <w:tc>
          <w:tcPr>
            <w:vAlign w:val="top"/>
            <w:tcMar>
              <w:top w:w="70" w:type="dxa"/>
              <w:start w:w="80" w:type="dxa"/>
              <w:bottom w:w="70" w:type="dxa"/>
              <w:end w:w="80" w:type="dxa"/>
            </w:tcMar>
            <w:shd w:fill="FFFFFF"/>
          </w:tcPr>
          <w:p>
            <w:pPr>
              <w:pStyle w:val="Compact"/>
              <w:jc w:val="left"/>
            </w:pPr>
            <w:r>
              <w:rPr>
                <w:rFonts w:ascii="Arial" w:hAnsi="Arial" w:eastAsia="Arial"/>
                <w:sz w:val="16"/>
              </w:rPr>
              <w:t>The safety and survival of humanity at large, including existential and catastrophic risk.</w:t>
            </w:r>
          </w:p>
        </w:tc>
        <w:tc>
          <w:tcPr>
            <w:vAlign w:val="top"/>
            <w:tcMar>
              <w:top w:w="70" w:type="dxa"/>
              <w:start w:w="80" w:type="dxa"/>
              <w:bottom w:w="70" w:type="dxa"/>
              <w:end w:w="80" w:type="dxa"/>
            </w:tcMar>
            <w:shd w:fill="FFFFFF"/>
          </w:tcPr>
          <w:p>
            <w:pPr>
              <w:pStyle w:val="Compact"/>
              <w:jc w:val="left"/>
            </w:pPr>
            <w:r>
              <w:rPr>
                <w:rFonts w:ascii="Arial" w:hAnsi="Arial" w:eastAsia="Arial"/>
                <w:sz w:val="16"/>
              </w:rPr>
              <w:t>Reduced catastrophic and existential risk; stronger global safety and resilience.</w:t>
            </w:r>
          </w:p>
        </w:tc>
        <w:tc>
          <w:tcPr>
            <w:vAlign w:val="top"/>
            <w:tcMar>
              <w:top w:w="70" w:type="dxa"/>
              <w:start w:w="80" w:type="dxa"/>
              <w:bottom w:w="70" w:type="dxa"/>
              <w:end w:w="80" w:type="dxa"/>
            </w:tcMar>
            <w:shd w:fill="FFFFFF"/>
          </w:tcPr>
          <w:p>
            <w:pPr>
              <w:pStyle w:val="Compact"/>
              <w:jc w:val="left"/>
            </w:pPr>
            <w:r>
              <w:rPr>
                <w:rFonts w:ascii="Arial" w:hAnsi="Arial" w:eastAsia="Arial"/>
                <w:sz w:val="16"/>
              </w:rPr>
              <w:t>Increased existential, pandemic, conflict, or technological catastrophic risk.</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b/>
                <w:bCs/>
                <w:sz w:val="16"/>
              </w:rPr>
              <w:t>U6/D3</w:t>
            </w:r>
            <w:r>
              <w:rPr>
                <w:rFonts w:ascii="Arial" w:hAnsi="Arial" w:eastAsia="Arial"/>
                <w:sz w:val="16"/>
              </w:rPr>
              <w:t xml:space="preserve"> </w:t>
            </w:r>
            <w:r>
              <w:rPr>
                <w:rFonts w:ascii="Arial" w:hAnsi="Arial" w:eastAsia="Arial"/>
                <w:sz w:val="16"/>
              </w:rPr>
              <w:t>- Cooperation (label: cooperation)</w:t>
            </w:r>
          </w:p>
        </w:tc>
        <w:tc>
          <w:tcPr>
            <w:vAlign w:val="top"/>
            <w:tcMar>
              <w:top w:w="70" w:type="dxa"/>
              <w:start w:w="80" w:type="dxa"/>
              <w:bottom w:w="70" w:type="dxa"/>
              <w:end w:w="80" w:type="dxa"/>
            </w:tcMar>
            <w:shd w:fill="D9EAF7"/>
          </w:tcPr>
          <w:p>
            <w:pPr>
              <w:pStyle w:val="Compact"/>
              <w:jc w:val="left"/>
            </w:pPr>
            <w:r>
              <w:rPr>
                <w:rFonts w:ascii="Arial" w:hAnsi="Arial" w:eastAsia="Arial"/>
                <w:sz w:val="16"/>
              </w:rPr>
              <w:t>The capacity of humanity to coordinate, cooperate, and maintain peaceful, stable relations at scale.</w:t>
            </w:r>
          </w:p>
        </w:tc>
        <w:tc>
          <w:tcPr>
            <w:vAlign w:val="top"/>
            <w:tcMar>
              <w:top w:w="70" w:type="dxa"/>
              <w:start w:w="80" w:type="dxa"/>
              <w:bottom w:w="70" w:type="dxa"/>
              <w:end w:w="80" w:type="dxa"/>
            </w:tcMar>
            <w:shd w:fill="D9EAF7"/>
          </w:tcPr>
          <w:p>
            <w:pPr>
              <w:pStyle w:val="Compact"/>
              <w:jc w:val="left"/>
            </w:pPr>
            <w:r>
              <w:rPr>
                <w:rFonts w:ascii="Arial" w:hAnsi="Arial" w:eastAsia="Arial"/>
                <w:sz w:val="16"/>
              </w:rPr>
              <w:t>Stronger global cooperation, conflict reduction, durable coordination institutions.</w:t>
            </w:r>
          </w:p>
        </w:tc>
        <w:tc>
          <w:tcPr>
            <w:vAlign w:val="top"/>
            <w:tcMar>
              <w:top w:w="70" w:type="dxa"/>
              <w:start w:w="80" w:type="dxa"/>
              <w:bottom w:w="70" w:type="dxa"/>
              <w:end w:w="80" w:type="dxa"/>
            </w:tcMar>
            <w:shd w:fill="D9EAF7"/>
          </w:tcPr>
          <w:p>
            <w:pPr>
              <w:pStyle w:val="Compact"/>
              <w:jc w:val="left"/>
            </w:pPr>
            <w:r>
              <w:rPr>
                <w:rFonts w:ascii="Arial" w:hAnsi="Arial" w:eastAsia="Arial"/>
                <w:sz w:val="16"/>
              </w:rPr>
              <w:t>Breakdown of cooperation, arms races, institutional collapse, escalating conflict.</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b/>
                <w:bCs/>
                <w:sz w:val="16"/>
              </w:rPr>
              <w:t>U6/D4</w:t>
            </w:r>
            <w:r>
              <w:rPr>
                <w:rFonts w:ascii="Arial" w:hAnsi="Arial" w:eastAsia="Arial"/>
                <w:sz w:val="16"/>
              </w:rPr>
              <w:t xml:space="preserve"> </w:t>
            </w:r>
            <w:r>
              <w:rPr>
                <w:rFonts w:ascii="Arial" w:hAnsi="Arial" w:eastAsia="Arial"/>
                <w:sz w:val="16"/>
              </w:rPr>
              <w:t>- Civilizational Knowledge (label: civilizational knowledge)</w:t>
            </w:r>
          </w:p>
        </w:tc>
        <w:tc>
          <w:tcPr>
            <w:vAlign w:val="top"/>
            <w:tcMar>
              <w:top w:w="70" w:type="dxa"/>
              <w:start w:w="80" w:type="dxa"/>
              <w:bottom w:w="70" w:type="dxa"/>
              <w:end w:w="80" w:type="dxa"/>
            </w:tcMar>
            <w:shd w:fill="FFFFFF"/>
          </w:tcPr>
          <w:p>
            <w:pPr>
              <w:pStyle w:val="Compact"/>
              <w:jc w:val="left"/>
            </w:pPr>
            <w:r>
              <w:rPr>
                <w:rFonts w:ascii="Arial" w:hAnsi="Arial" w:eastAsia="Arial"/>
                <w:sz w:val="16"/>
              </w:rPr>
              <w:t>Humanity's accumulated knowledge, science, and the integrity and safety of its knowledge systems.</w:t>
            </w:r>
          </w:p>
        </w:tc>
        <w:tc>
          <w:tcPr>
            <w:vAlign w:val="top"/>
            <w:tcMar>
              <w:top w:w="70" w:type="dxa"/>
              <w:start w:w="80" w:type="dxa"/>
              <w:bottom w:w="70" w:type="dxa"/>
              <w:end w:w="80" w:type="dxa"/>
            </w:tcMar>
            <w:shd w:fill="FFFFFF"/>
          </w:tcPr>
          <w:p>
            <w:pPr>
              <w:pStyle w:val="Compact"/>
              <w:jc w:val="left"/>
            </w:pPr>
            <w:r>
              <w:rPr>
                <w:rFonts w:ascii="Arial" w:hAnsi="Arial" w:eastAsia="Arial"/>
                <w:sz w:val="16"/>
              </w:rPr>
              <w:t>Knowledge preservation, scientific progress, epistemic integrity, responsible knowledge stewardship.</w:t>
            </w:r>
          </w:p>
        </w:tc>
        <w:tc>
          <w:tcPr>
            <w:vAlign w:val="top"/>
            <w:tcMar>
              <w:top w:w="70" w:type="dxa"/>
              <w:start w:w="80" w:type="dxa"/>
              <w:bottom w:w="70" w:type="dxa"/>
              <w:end w:w="80" w:type="dxa"/>
            </w:tcMar>
            <w:shd w:fill="FFFFFF"/>
          </w:tcPr>
          <w:p>
            <w:pPr>
              <w:pStyle w:val="Compact"/>
              <w:jc w:val="left"/>
            </w:pPr>
            <w:r>
              <w:rPr>
                <w:rFonts w:ascii="Arial" w:hAnsi="Arial" w:eastAsia="Arial"/>
                <w:sz w:val="16"/>
              </w:rPr>
              <w:t>Knowledge loss, scientific capture, epistemic collapse, or proliferation of dangerous knowledge.</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b/>
                <w:bCs/>
                <w:sz w:val="16"/>
              </w:rPr>
              <w:t>U6/D5</w:t>
            </w:r>
            <w:r>
              <w:rPr>
                <w:rFonts w:ascii="Arial" w:hAnsi="Arial" w:eastAsia="Arial"/>
                <w:sz w:val="16"/>
              </w:rPr>
              <w:t xml:space="preserve"> </w:t>
            </w:r>
            <w:r>
              <w:rPr>
                <w:rFonts w:ascii="Arial" w:hAnsi="Arial" w:eastAsia="Arial"/>
                <w:sz w:val="16"/>
              </w:rPr>
              <w:t>- Collective Agency (label: collective agency)</w:t>
            </w:r>
          </w:p>
        </w:tc>
        <w:tc>
          <w:tcPr>
            <w:vAlign w:val="top"/>
            <w:tcMar>
              <w:top w:w="70" w:type="dxa"/>
              <w:start w:w="80" w:type="dxa"/>
              <w:bottom w:w="70" w:type="dxa"/>
              <w:end w:w="80" w:type="dxa"/>
            </w:tcMar>
            <w:shd w:fill="D9EAF7"/>
          </w:tcPr>
          <w:p>
            <w:pPr>
              <w:pStyle w:val="Compact"/>
              <w:jc w:val="left"/>
            </w:pPr>
            <w:r>
              <w:rPr>
                <w:rFonts w:ascii="Arial" w:hAnsi="Arial" w:eastAsia="Arial"/>
                <w:sz w:val="16"/>
              </w:rPr>
              <w:t>Humanity's capacity for self-determination and legitimate collective decision-making at the species scale.</w:t>
            </w:r>
          </w:p>
        </w:tc>
        <w:tc>
          <w:tcPr>
            <w:vAlign w:val="top"/>
            <w:tcMar>
              <w:top w:w="70" w:type="dxa"/>
              <w:start w:w="80" w:type="dxa"/>
              <w:bottom w:w="70" w:type="dxa"/>
              <w:end w:w="80" w:type="dxa"/>
            </w:tcMar>
            <w:shd w:fill="D9EAF7"/>
          </w:tcPr>
          <w:p>
            <w:pPr>
              <w:pStyle w:val="Compact"/>
              <w:jc w:val="left"/>
            </w:pPr>
            <w:r>
              <w:rPr>
                <w:rFonts w:ascii="Arial" w:hAnsi="Arial" w:eastAsia="Arial"/>
                <w:sz w:val="16"/>
              </w:rPr>
              <w:t>Stronger legitimate global agency, fair representation, and self-determination.</w:t>
            </w:r>
          </w:p>
        </w:tc>
        <w:tc>
          <w:tcPr>
            <w:vAlign w:val="top"/>
            <w:tcMar>
              <w:top w:w="70" w:type="dxa"/>
              <w:start w:w="80" w:type="dxa"/>
              <w:bottom w:w="70" w:type="dxa"/>
              <w:end w:w="80" w:type="dxa"/>
            </w:tcMar>
            <w:shd w:fill="D9EAF7"/>
          </w:tcPr>
          <w:p>
            <w:pPr>
              <w:pStyle w:val="Compact"/>
              <w:jc w:val="left"/>
            </w:pPr>
            <w:r>
              <w:rPr>
                <w:rFonts w:ascii="Arial" w:hAnsi="Arial" w:eastAsia="Arial"/>
                <w:sz w:val="16"/>
              </w:rPr>
              <w:t>Concentration of unaccountable power, disenfranchisement of peoples, loss of collective self-determination.</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b/>
                <w:bCs/>
                <w:sz w:val="16"/>
              </w:rPr>
              <w:t>U6/D6</w:t>
            </w:r>
            <w:r>
              <w:rPr>
                <w:rFonts w:ascii="Arial" w:hAnsi="Arial" w:eastAsia="Arial"/>
                <w:sz w:val="16"/>
              </w:rPr>
              <w:t xml:space="preserve"> </w:t>
            </w:r>
            <w:r>
              <w:rPr>
                <w:rFonts w:ascii="Arial" w:hAnsi="Arial" w:eastAsia="Arial"/>
                <w:sz w:val="16"/>
              </w:rPr>
              <w:t>- Shared Purpose (label: shared purpose)</w:t>
            </w:r>
          </w:p>
        </w:tc>
        <w:tc>
          <w:tcPr>
            <w:vAlign w:val="top"/>
            <w:tcMar>
              <w:top w:w="70" w:type="dxa"/>
              <w:start w:w="80" w:type="dxa"/>
              <w:bottom w:w="70" w:type="dxa"/>
              <w:end w:w="80" w:type="dxa"/>
            </w:tcMar>
            <w:shd w:fill="FFFFFF"/>
          </w:tcPr>
          <w:p>
            <w:pPr>
              <w:pStyle w:val="Compact"/>
              <w:jc w:val="left"/>
            </w:pPr>
            <w:r>
              <w:rPr>
                <w:rFonts w:ascii="Arial" w:hAnsi="Arial" w:eastAsia="Arial"/>
                <w:sz w:val="16"/>
              </w:rPr>
              <w:t>Humanity's shared sense of meaning, moral direction, and long-term orientation toward flourishing.</w:t>
            </w:r>
          </w:p>
        </w:tc>
        <w:tc>
          <w:tcPr>
            <w:vAlign w:val="top"/>
            <w:tcMar>
              <w:top w:w="70" w:type="dxa"/>
              <w:start w:w="80" w:type="dxa"/>
              <w:bottom w:w="70" w:type="dxa"/>
              <w:end w:w="80" w:type="dxa"/>
            </w:tcMar>
            <w:shd w:fill="FFFFFF"/>
          </w:tcPr>
          <w:p>
            <w:pPr>
              <w:pStyle w:val="Compact"/>
              <w:jc w:val="left"/>
            </w:pPr>
            <w:r>
              <w:rPr>
                <w:rFonts w:ascii="Arial" w:hAnsi="Arial" w:eastAsia="Arial"/>
                <w:sz w:val="16"/>
              </w:rPr>
              <w:t>Stronger shared purpose, long-term orientation, intergenerational responsibility.</w:t>
            </w:r>
          </w:p>
        </w:tc>
        <w:tc>
          <w:tcPr>
            <w:vAlign w:val="top"/>
            <w:tcMar>
              <w:top w:w="70" w:type="dxa"/>
              <w:start w:w="80" w:type="dxa"/>
              <w:bottom w:w="70" w:type="dxa"/>
              <w:end w:w="80" w:type="dxa"/>
            </w:tcMar>
            <w:shd w:fill="FFFFFF"/>
          </w:tcPr>
          <w:p>
            <w:pPr>
              <w:pStyle w:val="Compact"/>
              <w:jc w:val="left"/>
            </w:pPr>
            <w:r>
              <w:rPr>
                <w:rFonts w:ascii="Arial" w:hAnsi="Arial" w:eastAsia="Arial"/>
                <w:sz w:val="16"/>
              </w:rPr>
              <w:t>Nihilism, short-termism, loss of shared direction, intergenerational betrayal.</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b/>
                <w:bCs/>
                <w:sz w:val="16"/>
              </w:rPr>
              <w:t>U6/D7</w:t>
            </w:r>
            <w:r>
              <w:rPr>
                <w:rFonts w:ascii="Arial" w:hAnsi="Arial" w:eastAsia="Arial"/>
                <w:sz w:val="16"/>
              </w:rPr>
              <w:t xml:space="preserve"> </w:t>
            </w:r>
            <w:r>
              <w:rPr>
                <w:rFonts w:ascii="Arial" w:hAnsi="Arial" w:eastAsia="Arial"/>
                <w:sz w:val="16"/>
              </w:rPr>
              <w:t>- Planetary Conditions (label: planetary conditions)</w:t>
            </w:r>
          </w:p>
        </w:tc>
        <w:tc>
          <w:tcPr>
            <w:vAlign w:val="top"/>
            <w:tcMar>
              <w:top w:w="70" w:type="dxa"/>
              <w:start w:w="80" w:type="dxa"/>
              <w:bottom w:w="70" w:type="dxa"/>
              <w:end w:w="80" w:type="dxa"/>
            </w:tcMar>
            <w:shd w:fill="D9EAF7"/>
          </w:tcPr>
          <w:p>
            <w:pPr>
              <w:pStyle w:val="Compact"/>
              <w:jc w:val="left"/>
            </w:pPr>
            <w:r>
              <w:rPr>
                <w:rFonts w:ascii="Arial" w:hAnsi="Arial" w:eastAsia="Arial"/>
                <w:sz w:val="16"/>
              </w:rPr>
              <w:t>The condition of planetary systems that support human civilisation and coordinated managing intelligence.</w:t>
            </w:r>
          </w:p>
        </w:tc>
        <w:tc>
          <w:tcPr>
            <w:vAlign w:val="top"/>
            <w:tcMar>
              <w:top w:w="70" w:type="dxa"/>
              <w:start w:w="80" w:type="dxa"/>
              <w:bottom w:w="70" w:type="dxa"/>
              <w:end w:w="80" w:type="dxa"/>
            </w:tcMar>
            <w:shd w:fill="D9EAF7"/>
          </w:tcPr>
          <w:p>
            <w:pPr>
              <w:pStyle w:val="Compact"/>
              <w:jc w:val="left"/>
            </w:pPr>
            <w:r>
              <w:rPr>
                <w:rFonts w:ascii="Arial" w:hAnsi="Arial" w:eastAsia="Arial"/>
                <w:sz w:val="16"/>
              </w:rPr>
              <w:t>Reduced emissions, improved climate stability, lower systemic ecological risk, stronger global resilience.</w:t>
            </w:r>
          </w:p>
        </w:tc>
        <w:tc>
          <w:tcPr>
            <w:vAlign w:val="top"/>
            <w:tcMar>
              <w:top w:w="70" w:type="dxa"/>
              <w:start w:w="80" w:type="dxa"/>
              <w:bottom w:w="70" w:type="dxa"/>
              <w:end w:w="80" w:type="dxa"/>
            </w:tcMar>
            <w:shd w:fill="D9EAF7"/>
          </w:tcPr>
          <w:p>
            <w:pPr>
              <w:pStyle w:val="Compact"/>
              <w:jc w:val="left"/>
            </w:pPr>
            <w:r>
              <w:rPr>
                <w:rFonts w:ascii="Arial" w:hAnsi="Arial" w:eastAsia="Arial"/>
                <w:sz w:val="16"/>
              </w:rPr>
              <w:t>Increased climate risk, global pollution, destabilised food/water systems, irreversible planetary degradation.</w:t>
            </w:r>
          </w:p>
        </w:tc>
      </w:tr>
    </w:tbl>
    <w:bookmarkEnd w:id="645"/>
    <w:bookmarkStart w:id="646" w:name="Xa96eef4d62c53ba35bd9e46190ac7d423040748"/>
    <w:p>
      <w:pPr>
        <w:pStyle w:val="Heading3"/>
      </w:pPr>
      <w:r>
        <w:t>U6 Humanity / Global Coordination - evidence and review</w:t>
      </w:r>
    </w:p>
    <w:tbl>
      <w:tblPr>
        <w:tblStyle w:val="Table"/>
        <w:tblW w:type="auto" w:w="0"/>
        <w:jc w:val="center"/>
        <w:tblLook w:firstRow="1" w:lastRow="0" w:firstColumn="0" w:lastColumn="0" w:noHBand="0" w:noVBand="0" w:val="0020"/>
      </w:tblPr>
      <w:tblGrid>
        <w:gridCol w:w="2640"/>
        <w:gridCol w:w="2640"/>
        <w:gridCol w:w="2640"/>
      </w:tblGrid>
      <w:tr>
        <w:trPr>
          <w:tblHeader w:val="on"/>
          <w:tblHeader w:val="true"/>
          <w:cantSplit/>
        </w:trPr>
        <w:tc>
          <w:tcPr>
            <w:vAlign w:val="top"/>
            <w:tcMar>
              <w:top w:w="70" w:type="dxa"/>
              <w:start w:w="80" w:type="dxa"/>
              <w:bottom w:w="70" w:type="dxa"/>
              <w:end w:w="80" w:type="dxa"/>
            </w:tcMar>
            <w:shd w:fill="1F4E78"/>
          </w:tcPr>
          <w:p>
            <w:pPr>
              <w:pStyle w:val="Compact"/>
              <w:jc w:val="left"/>
            </w:pPr>
            <w:r>
              <w:rPr>
                <w:rFonts w:ascii="Arial" w:hAnsi="Arial" w:eastAsia="Arial"/>
                <w:b/>
                <w:color w:val="FFFFFF"/>
                <w:sz w:val="16"/>
              </w:rPr>
              <w:t>Cell</w:t>
            </w:r>
          </w:p>
        </w:tc>
        <w:tc>
          <w:tcPr>
            <w:vAlign w:val="top"/>
            <w:tcMar>
              <w:top w:w="70" w:type="dxa"/>
              <w:start w:w="80" w:type="dxa"/>
              <w:bottom w:w="70" w:type="dxa"/>
              <w:end w:w="80" w:type="dxa"/>
            </w:tcMar>
            <w:shd w:fill="1F4E78"/>
          </w:tcPr>
          <w:p>
            <w:pPr>
              <w:pStyle w:val="Compact"/>
              <w:jc w:val="left"/>
            </w:pPr>
            <w:r>
              <w:rPr>
                <w:rFonts w:ascii="Arial" w:hAnsi="Arial" w:eastAsia="Arial"/>
                <w:b/>
                <w:color w:val="FFFFFF"/>
                <w:sz w:val="16"/>
              </w:rPr>
              <w:t>Evidence and gate cues</w:t>
            </w:r>
          </w:p>
        </w:tc>
        <w:tc>
          <w:tcPr>
            <w:vAlign w:val="top"/>
            <w:tcMar>
              <w:top w:w="70" w:type="dxa"/>
              <w:start w:w="80" w:type="dxa"/>
              <w:bottom w:w="70" w:type="dxa"/>
              <w:end w:w="80" w:type="dxa"/>
            </w:tcMar>
            <w:shd w:fill="1F4E78"/>
          </w:tcPr>
          <w:p>
            <w:pPr>
              <w:pStyle w:val="Compact"/>
              <w:jc w:val="left"/>
            </w:pPr>
            <w:r>
              <w:rPr>
                <w:rFonts w:ascii="Arial" w:hAnsi="Arial" w:eastAsia="Arial"/>
                <w:b/>
                <w:color w:val="FFFFFF"/>
                <w:sz w:val="16"/>
              </w:rPr>
              <w:t>Example and reviewer check</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b/>
                <w:bCs/>
                <w:sz w:val="16"/>
              </w:rPr>
              <w:t>U6/D1</w:t>
            </w:r>
            <w:r>
              <w:rPr>
                <w:rFonts w:ascii="Arial" w:hAnsi="Arial" w:eastAsia="Arial"/>
                <w:sz w:val="16"/>
              </w:rPr>
              <w:t xml:space="preserve"> </w:t>
            </w:r>
            <w:r>
              <w:rPr>
                <w:rFonts w:ascii="Arial" w:hAnsi="Arial" w:eastAsia="Arial"/>
                <w:sz w:val="16"/>
              </w:rPr>
              <w:t>- Global Resources (label: global resources)</w:t>
            </w:r>
          </w:p>
        </w:tc>
        <w:tc>
          <w:tcPr>
            <w:vAlign w:val="top"/>
            <w:tcMar>
              <w:top w:w="70" w:type="dxa"/>
              <w:start w:w="80" w:type="dxa"/>
              <w:bottom w:w="70" w:type="dxa"/>
              <w:end w:w="80" w:type="dxa"/>
            </w:tcMar>
            <w:shd w:fill="D9EAF7"/>
          </w:tcPr>
          <w:p>
            <w:pPr>
              <w:pStyle w:val="Compact"/>
              <w:jc w:val="left"/>
            </w:pPr>
            <w:r>
              <w:rPr>
                <w:rFonts w:ascii="Arial" w:hAnsi="Arial" w:eastAsia="Arial"/>
                <w:sz w:val="16"/>
              </w:rPr>
              <w:t>Evidence: global resource-stock data; supply-chain resilience metrics; commons-condition indicators; Gate classes: Tail Risk; Containment / Structural Viability; Ordinary welfare. Uncertainty: Standard assessment. Interpretation: Containment-relevant and tail-relevant where depletion or fragility threatens systemic, hard-to-reverse harm at civilisational scale.</w:t>
            </w:r>
          </w:p>
        </w:tc>
        <w:tc>
          <w:tcPr>
            <w:vAlign w:val="top"/>
            <w:tcMar>
              <w:top w:w="70" w:type="dxa"/>
              <w:start w:w="80" w:type="dxa"/>
              <w:bottom w:w="70" w:type="dxa"/>
              <w:end w:w="80" w:type="dxa"/>
            </w:tcMar>
            <w:shd w:fill="D9EAF7"/>
          </w:tcPr>
          <w:p>
            <w:pPr>
              <w:pStyle w:val="Compact"/>
              <w:jc w:val="left"/>
            </w:pPr>
            <w:r>
              <w:rPr>
                <w:rFonts w:ascii="Arial" w:hAnsi="Arial" w:eastAsia="Arial"/>
                <w:sz w:val="16"/>
              </w:rPr>
              <w:t>Example: A critical-minerals stewardship agreement that reduces depletion risk improves U6/D1.; Reviewer check: A reviewer checks whether 'global' claims rest on global data or extrapolated local figures.</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b/>
                <w:bCs/>
                <w:sz w:val="16"/>
              </w:rPr>
              <w:t>U6/D2</w:t>
            </w:r>
            <w:r>
              <w:rPr>
                <w:rFonts w:ascii="Arial" w:hAnsi="Arial" w:eastAsia="Arial"/>
                <w:sz w:val="16"/>
              </w:rPr>
              <w:t xml:space="preserve"> </w:t>
            </w:r>
            <w:r>
              <w:rPr>
                <w:rFonts w:ascii="Arial" w:hAnsi="Arial" w:eastAsia="Arial"/>
                <w:sz w:val="16"/>
              </w:rPr>
              <w:t>- Human Safety (label: human safety)</w:t>
            </w:r>
          </w:p>
        </w:tc>
        <w:tc>
          <w:tcPr>
            <w:vAlign w:val="top"/>
            <w:tcMar>
              <w:top w:w="70" w:type="dxa"/>
              <w:start w:w="80" w:type="dxa"/>
              <w:bottom w:w="70" w:type="dxa"/>
              <w:end w:w="80" w:type="dxa"/>
            </w:tcMar>
            <w:shd w:fill="FFFFFF"/>
          </w:tcPr>
          <w:p>
            <w:pPr>
              <w:pStyle w:val="Compact"/>
              <w:jc w:val="left"/>
            </w:pPr>
            <w:r>
              <w:rPr>
                <w:rFonts w:ascii="Arial" w:hAnsi="Arial" w:eastAsia="Arial"/>
                <w:sz w:val="16"/>
              </w:rPr>
              <w:t>Evidence: catastrophic-risk assessments; biosecurity / nuclear-risk indicators; conflict-escalation data; Gate classes: Rights Floor; Tail Risk; Ordinary welfare. Uncertainty: Standard assessment. Interpretation: Primarily tail-relevant: catastrophic and existential risk is non-averagable and bounded under TRC, never traded against ordinary welfare. Rights-relevant at the right-to-life floor.</w:t>
            </w:r>
          </w:p>
        </w:tc>
        <w:tc>
          <w:tcPr>
            <w:vAlign w:val="top"/>
            <w:tcMar>
              <w:top w:w="70" w:type="dxa"/>
              <w:start w:w="80" w:type="dxa"/>
              <w:bottom w:w="70" w:type="dxa"/>
              <w:end w:w="80" w:type="dxa"/>
            </w:tcMar>
            <w:shd w:fill="FFFFFF"/>
          </w:tcPr>
          <w:p>
            <w:pPr>
              <w:pStyle w:val="Compact"/>
              <w:jc w:val="left"/>
            </w:pPr>
            <w:r>
              <w:rPr>
                <w:rFonts w:ascii="Arial" w:hAnsi="Arial" w:eastAsia="Arial"/>
                <w:sz w:val="16"/>
              </w:rPr>
              <w:t>Example: A biosecurity protocol that lowers engineered-pandemic risk improves U6/D2.; Reviewer check: A reviewer checks that tail risk was bounded with a worst-case measure and not diluted by expected-value framing.</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b/>
                <w:bCs/>
                <w:sz w:val="16"/>
              </w:rPr>
              <w:t>U6/D3</w:t>
            </w:r>
            <w:r>
              <w:rPr>
                <w:rFonts w:ascii="Arial" w:hAnsi="Arial" w:eastAsia="Arial"/>
                <w:sz w:val="16"/>
              </w:rPr>
              <w:t xml:space="preserve"> </w:t>
            </w:r>
            <w:r>
              <w:rPr>
                <w:rFonts w:ascii="Arial" w:hAnsi="Arial" w:eastAsia="Arial"/>
                <w:sz w:val="16"/>
              </w:rPr>
              <w:t>- Cooperation (label: cooperation)</w:t>
            </w:r>
          </w:p>
        </w:tc>
        <w:tc>
          <w:tcPr>
            <w:vAlign w:val="top"/>
            <w:tcMar>
              <w:top w:w="70" w:type="dxa"/>
              <w:start w:w="80" w:type="dxa"/>
              <w:bottom w:w="70" w:type="dxa"/>
              <w:end w:w="80" w:type="dxa"/>
            </w:tcMar>
            <w:shd w:fill="D9EAF7"/>
          </w:tcPr>
          <w:p>
            <w:pPr>
              <w:pStyle w:val="Compact"/>
              <w:jc w:val="left"/>
            </w:pPr>
            <w:r>
              <w:rPr>
                <w:rFonts w:ascii="Arial" w:hAnsi="Arial" w:eastAsia="Arial"/>
                <w:sz w:val="16"/>
              </w:rPr>
              <w:t>Evidence: international-cooperation indices; conflict / treaty-compliance data; coordination-institution health; Gate classes: Tail Risk; Containment / Structural Viability; Ordinary welfare. Uncertainty: Standard assessment. Interpretation: Containment-relevant (cooperation underpins global stability); tail-relevant where breakdown risks large-scale conflict.</w:t>
            </w:r>
          </w:p>
        </w:tc>
        <w:tc>
          <w:tcPr>
            <w:vAlign w:val="top"/>
            <w:tcMar>
              <w:top w:w="70" w:type="dxa"/>
              <w:start w:w="80" w:type="dxa"/>
              <w:bottom w:w="70" w:type="dxa"/>
              <w:end w:w="80" w:type="dxa"/>
            </w:tcMar>
            <w:shd w:fill="D9EAF7"/>
          </w:tcPr>
          <w:p>
            <w:pPr>
              <w:pStyle w:val="Compact"/>
              <w:jc w:val="left"/>
            </w:pPr>
            <w:r>
              <w:rPr>
                <w:rFonts w:ascii="Arial" w:hAnsi="Arial" w:eastAsia="Arial"/>
                <w:sz w:val="16"/>
              </w:rPr>
              <w:t>Example: A verification regime that sustains an arms-control treaty improves U6/D3.; Reviewer check: A reviewer asks whether cooperation is durable or a fragile short-term arrangement.</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b/>
                <w:bCs/>
                <w:sz w:val="16"/>
              </w:rPr>
              <w:t>U6/D4</w:t>
            </w:r>
            <w:r>
              <w:rPr>
                <w:rFonts w:ascii="Arial" w:hAnsi="Arial" w:eastAsia="Arial"/>
                <w:sz w:val="16"/>
              </w:rPr>
              <w:t xml:space="preserve"> </w:t>
            </w:r>
            <w:r>
              <w:rPr>
                <w:rFonts w:ascii="Arial" w:hAnsi="Arial" w:eastAsia="Arial"/>
                <w:sz w:val="16"/>
              </w:rPr>
              <w:t>- Civilizational Knowledge (label: civilizational knowledge)</w:t>
            </w:r>
          </w:p>
        </w:tc>
        <w:tc>
          <w:tcPr>
            <w:vAlign w:val="top"/>
            <w:tcMar>
              <w:top w:w="70" w:type="dxa"/>
              <w:start w:w="80" w:type="dxa"/>
              <w:bottom w:w="70" w:type="dxa"/>
              <w:end w:w="80" w:type="dxa"/>
            </w:tcMar>
            <w:shd w:fill="FFFFFF"/>
          </w:tcPr>
          <w:p>
            <w:pPr>
              <w:pStyle w:val="Compact"/>
              <w:jc w:val="left"/>
            </w:pPr>
            <w:r>
              <w:rPr>
                <w:rFonts w:ascii="Arial" w:hAnsi="Arial" w:eastAsia="Arial"/>
                <w:sz w:val="16"/>
              </w:rPr>
              <w:t>Evidence: scientific-integrity measures; knowledge-preservation status; research-governance indicators; Gate classes: Tail Risk; Containment / Structural Viability; Ordinary welfare. Uncertainty: Standard assessment. Interpretation: Containment-relevant; tail-relevant in two directions — catastrophic loss of knowledge, and dangerous diffusion of harmful capability.</w:t>
            </w:r>
          </w:p>
        </w:tc>
        <w:tc>
          <w:tcPr>
            <w:vAlign w:val="top"/>
            <w:tcMar>
              <w:top w:w="70" w:type="dxa"/>
              <w:start w:w="80" w:type="dxa"/>
              <w:bottom w:w="70" w:type="dxa"/>
              <w:end w:w="80" w:type="dxa"/>
            </w:tcMar>
            <w:shd w:fill="FFFFFF"/>
          </w:tcPr>
          <w:p>
            <w:pPr>
              <w:pStyle w:val="Compact"/>
              <w:jc w:val="left"/>
            </w:pPr>
            <w:r>
              <w:rPr>
                <w:rFonts w:ascii="Arial" w:hAnsi="Arial" w:eastAsia="Arial"/>
                <w:sz w:val="16"/>
              </w:rPr>
              <w:t>Example: An open-but-governed research framework that preserves integrity while limiting dangerous diffusion improves U6/D4.; Reviewer check: A reviewer checks whether knowledge benefits were weighed against misuse and proliferation pathways.</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b/>
                <w:bCs/>
                <w:sz w:val="16"/>
              </w:rPr>
              <w:t>U6/D5</w:t>
            </w:r>
            <w:r>
              <w:rPr>
                <w:rFonts w:ascii="Arial" w:hAnsi="Arial" w:eastAsia="Arial"/>
                <w:sz w:val="16"/>
              </w:rPr>
              <w:t xml:space="preserve"> </w:t>
            </w:r>
            <w:r>
              <w:rPr>
                <w:rFonts w:ascii="Arial" w:hAnsi="Arial" w:eastAsia="Arial"/>
                <w:sz w:val="16"/>
              </w:rPr>
              <w:t>- Collective Agency (label: collective agency)</w:t>
            </w:r>
          </w:p>
        </w:tc>
        <w:tc>
          <w:tcPr>
            <w:vAlign w:val="top"/>
            <w:tcMar>
              <w:top w:w="70" w:type="dxa"/>
              <w:start w:w="80" w:type="dxa"/>
              <w:bottom w:w="70" w:type="dxa"/>
              <w:end w:w="80" w:type="dxa"/>
            </w:tcMar>
            <w:shd w:fill="D9EAF7"/>
          </w:tcPr>
          <w:p>
            <w:pPr>
              <w:pStyle w:val="Compact"/>
              <w:jc w:val="left"/>
            </w:pPr>
            <w:r>
              <w:rPr>
                <w:rFonts w:ascii="Arial" w:hAnsi="Arial" w:eastAsia="Arial"/>
                <w:sz w:val="16"/>
              </w:rPr>
              <w:t>Evidence: representation / participation in global governance; power-concentration indicators; self-determination measures; Gate classes: Rights Floor; Containment / Structural Viability. Uncertainty: Explicitly elevated. Interpretation: Rights-relevant (self-determination); containment-relevant where illegitimate concentration destabilises the system. Measurement is contested — mark uncertainty.</w:t>
            </w:r>
          </w:p>
        </w:tc>
        <w:tc>
          <w:tcPr>
            <w:vAlign w:val="top"/>
            <w:tcMar>
              <w:top w:w="70" w:type="dxa"/>
              <w:start w:w="80" w:type="dxa"/>
              <w:bottom w:w="70" w:type="dxa"/>
              <w:end w:w="80" w:type="dxa"/>
            </w:tcMar>
            <w:shd w:fill="D9EAF7"/>
          </w:tcPr>
          <w:p>
            <w:pPr>
              <w:pStyle w:val="Compact"/>
              <w:jc w:val="left"/>
            </w:pPr>
            <w:r>
              <w:rPr>
                <w:rFonts w:ascii="Arial" w:hAnsi="Arial" w:eastAsia="Arial"/>
                <w:sz w:val="16"/>
              </w:rPr>
              <w:t>Example: A governance reform giving affected populations real voice in a global regime improves U6/D5.; Reviewer check: A reviewer tests whether 'collective' agency includes the marginalised or only powerful actors.</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b/>
                <w:bCs/>
                <w:sz w:val="16"/>
              </w:rPr>
              <w:t>U6/D6</w:t>
            </w:r>
            <w:r>
              <w:rPr>
                <w:rFonts w:ascii="Arial" w:hAnsi="Arial" w:eastAsia="Arial"/>
                <w:sz w:val="16"/>
              </w:rPr>
              <w:t xml:space="preserve"> </w:t>
            </w:r>
            <w:r>
              <w:rPr>
                <w:rFonts w:ascii="Arial" w:hAnsi="Arial" w:eastAsia="Arial"/>
                <w:sz w:val="16"/>
              </w:rPr>
              <w:t>- Shared Purpose (label: shared purpose)</w:t>
            </w:r>
          </w:p>
        </w:tc>
        <w:tc>
          <w:tcPr>
            <w:vAlign w:val="top"/>
            <w:tcMar>
              <w:top w:w="70" w:type="dxa"/>
              <w:start w:w="80" w:type="dxa"/>
              <w:bottom w:w="70" w:type="dxa"/>
              <w:end w:w="80" w:type="dxa"/>
            </w:tcMar>
            <w:shd w:fill="FFFFFF"/>
          </w:tcPr>
          <w:p>
            <w:pPr>
              <w:pStyle w:val="Compact"/>
              <w:jc w:val="left"/>
            </w:pPr>
            <w:r>
              <w:rPr>
                <w:rFonts w:ascii="Arial" w:hAnsi="Arial" w:eastAsia="Arial"/>
                <w:sz w:val="16"/>
              </w:rPr>
              <w:t>Evidence: long-term-orientation indicators; intergenerational-equity measures; qualitative analysis; Gate classes: Containment / Structural Viability; Ordinary welfare. Uncertainty: Explicitly elevated. Interpretation: Mostly ordinary/aspirational; containment-relevant where short-termism erodes long-term stability. Inherently soft — mark uncertainty and avoid overclaiming.</w:t>
            </w:r>
          </w:p>
        </w:tc>
        <w:tc>
          <w:tcPr>
            <w:vAlign w:val="top"/>
            <w:tcMar>
              <w:top w:w="70" w:type="dxa"/>
              <w:start w:w="80" w:type="dxa"/>
              <w:bottom w:w="70" w:type="dxa"/>
              <w:end w:w="80" w:type="dxa"/>
            </w:tcMar>
            <w:shd w:fill="FFFFFF"/>
          </w:tcPr>
          <w:p>
            <w:pPr>
              <w:pStyle w:val="Compact"/>
              <w:jc w:val="left"/>
            </w:pPr>
            <w:r>
              <w:rPr>
                <w:rFonts w:ascii="Arial" w:hAnsi="Arial" w:eastAsia="Arial"/>
                <w:sz w:val="16"/>
              </w:rPr>
              <w:t>Example: A long-horizon institution (e.g. a future-generations commissioner) can support U6/D6.; Reviewer check: A reviewer flags this cell as especially prone to rhetoric and demands concrete mechanisms.</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b/>
                <w:bCs/>
                <w:sz w:val="16"/>
              </w:rPr>
              <w:t>U6/D7</w:t>
            </w:r>
            <w:r>
              <w:rPr>
                <w:rFonts w:ascii="Arial" w:hAnsi="Arial" w:eastAsia="Arial"/>
                <w:sz w:val="16"/>
              </w:rPr>
              <w:t xml:space="preserve"> </w:t>
            </w:r>
            <w:r>
              <w:rPr>
                <w:rFonts w:ascii="Arial" w:hAnsi="Arial" w:eastAsia="Arial"/>
                <w:sz w:val="16"/>
              </w:rPr>
              <w:t>- Planetary Conditions (label: planetary conditions)</w:t>
            </w:r>
          </w:p>
        </w:tc>
        <w:tc>
          <w:tcPr>
            <w:vAlign w:val="top"/>
            <w:tcMar>
              <w:top w:w="70" w:type="dxa"/>
              <w:start w:w="80" w:type="dxa"/>
              <w:bottom w:w="70" w:type="dxa"/>
              <w:end w:w="80" w:type="dxa"/>
            </w:tcMar>
            <w:shd w:fill="D9EAF7"/>
          </w:tcPr>
          <w:p>
            <w:pPr>
              <w:pStyle w:val="Compact"/>
              <w:jc w:val="left"/>
            </w:pPr>
            <w:r>
              <w:rPr>
                <w:rFonts w:ascii="Arial" w:hAnsi="Arial" w:eastAsia="Arial"/>
                <w:sz w:val="16"/>
              </w:rPr>
              <w:t>Evidence: emissions data; climate models; planetary-boundary metrics; global food/water-security projections; Gate classes: Tail Risk; Containment / Structural Viability; Ordinary welfare. Uncertainty: Standard assessment. Interpretation: Often catastrophe-relevant: may trigger TRC where irreversible or large-scale harm is plausible. Containment-relevant as a system-stability check.</w:t>
            </w:r>
          </w:p>
        </w:tc>
        <w:tc>
          <w:tcPr>
            <w:vAlign w:val="top"/>
            <w:tcMar>
              <w:top w:w="70" w:type="dxa"/>
              <w:start w:w="80" w:type="dxa"/>
              <w:bottom w:w="70" w:type="dxa"/>
              <w:end w:w="80" w:type="dxa"/>
            </w:tcMar>
            <w:shd w:fill="D9EAF7"/>
          </w:tcPr>
          <w:p>
            <w:pPr>
              <w:pStyle w:val="Compact"/>
              <w:jc w:val="left"/>
            </w:pPr>
            <w:r>
              <w:rPr>
                <w:rFonts w:ascii="Arial" w:hAnsi="Arial" w:eastAsia="Arial"/>
                <w:sz w:val="16"/>
              </w:rPr>
              <w:t>Example: A high-emissions infrastructure choice may harm U6/D7 even when it benefits a local economy (U3/D1 or U4/D1).; Reviewer check: A reviewer checks whether irreversibility and worst-case bounds were modelled, not just expected outcomes.</w:t>
            </w:r>
          </w:p>
        </w:tc>
      </w:tr>
    </w:tbl>
    <w:bookmarkEnd w:id="646"/>
    <w:bookmarkStart w:id="647" w:name="u7-biosphere---meaning-and-movement"/>
    <w:p>
      <w:pPr>
        <w:pStyle w:val="Heading3"/>
      </w:pPr>
      <w:r>
        <w:t>U7 Biosphere - meaning and movement</w:t>
      </w:r>
    </w:p>
    <w:tbl>
      <w:tblPr>
        <w:tblStyle w:val="Table"/>
        <w:tblW w:type="auto" w:w="0"/>
        <w:jc w:val="center"/>
        <w:tblLook w:firstRow="1" w:lastRow="0" w:firstColumn="0" w:lastColumn="0" w:noHBand="0" w:noVBand="0" w:val="0020"/>
      </w:tblPr>
      <w:tblGrid>
        <w:gridCol w:w="1980"/>
        <w:gridCol w:w="1980"/>
        <w:gridCol w:w="1980"/>
        <w:gridCol w:w="1980"/>
      </w:tblGrid>
      <w:tr>
        <w:trPr>
          <w:tblHeader w:val="on"/>
          <w:tblHeader w:val="true"/>
          <w:cantSplit/>
        </w:trPr>
        <w:tc>
          <w:tcPr>
            <w:vAlign w:val="top"/>
            <w:tcMar>
              <w:top w:w="70" w:type="dxa"/>
              <w:start w:w="80" w:type="dxa"/>
              <w:bottom w:w="70" w:type="dxa"/>
              <w:end w:w="80" w:type="dxa"/>
            </w:tcMar>
            <w:shd w:fill="1F4E78"/>
          </w:tcPr>
          <w:p>
            <w:pPr>
              <w:pStyle w:val="Compact"/>
              <w:jc w:val="left"/>
            </w:pPr>
            <w:r>
              <w:rPr>
                <w:rFonts w:ascii="Arial" w:hAnsi="Arial" w:eastAsia="Arial"/>
                <w:b/>
                <w:color w:val="FFFFFF"/>
                <w:sz w:val="16"/>
              </w:rPr>
              <w:t>Cell</w:t>
            </w:r>
          </w:p>
        </w:tc>
        <w:tc>
          <w:tcPr>
            <w:vAlign w:val="top"/>
            <w:tcMar>
              <w:top w:w="70" w:type="dxa"/>
              <w:start w:w="80" w:type="dxa"/>
              <w:bottom w:w="70" w:type="dxa"/>
              <w:end w:w="80" w:type="dxa"/>
            </w:tcMar>
            <w:shd w:fill="1F4E78"/>
          </w:tcPr>
          <w:p>
            <w:pPr>
              <w:pStyle w:val="Compact"/>
              <w:jc w:val="left"/>
            </w:pPr>
            <w:r>
              <w:rPr>
                <w:rFonts w:ascii="Arial" w:hAnsi="Arial" w:eastAsia="Arial"/>
                <w:b/>
                <w:color w:val="FFFFFF"/>
                <w:sz w:val="16"/>
              </w:rPr>
              <w:t>What this cell measures</w:t>
            </w:r>
          </w:p>
        </w:tc>
        <w:tc>
          <w:tcPr>
            <w:vAlign w:val="top"/>
            <w:tcMar>
              <w:top w:w="70" w:type="dxa"/>
              <w:start w:w="80" w:type="dxa"/>
              <w:bottom w:w="70" w:type="dxa"/>
              <w:end w:w="80" w:type="dxa"/>
            </w:tcMar>
            <w:shd w:fill="1F4E78"/>
          </w:tcPr>
          <w:p>
            <w:pPr>
              <w:pStyle w:val="Compact"/>
              <w:jc w:val="left"/>
            </w:pPr>
            <w:r>
              <w:rPr>
                <w:rFonts w:ascii="Arial" w:hAnsi="Arial" w:eastAsia="Arial"/>
                <w:b/>
                <w:color w:val="FFFFFF"/>
                <w:sz w:val="16"/>
              </w:rPr>
              <w:t>+ Benefit</w:t>
            </w:r>
          </w:p>
        </w:tc>
        <w:tc>
          <w:tcPr>
            <w:vAlign w:val="top"/>
            <w:tcMar>
              <w:top w:w="70" w:type="dxa"/>
              <w:start w:w="80" w:type="dxa"/>
              <w:bottom w:w="70" w:type="dxa"/>
              <w:end w:w="80" w:type="dxa"/>
            </w:tcMar>
            <w:shd w:fill="1F4E78"/>
          </w:tcPr>
          <w:p>
            <w:pPr>
              <w:pStyle w:val="Compact"/>
              <w:jc w:val="left"/>
            </w:pPr>
            <w:r>
              <w:rPr>
                <w:rFonts w:ascii="Arial" w:hAnsi="Arial" w:eastAsia="Arial"/>
                <w:b/>
                <w:color w:val="FFFFFF"/>
                <w:sz w:val="16"/>
              </w:rPr>
              <w:t>- Harm</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b/>
                <w:bCs/>
                <w:sz w:val="16"/>
              </w:rPr>
              <w:t>U7/D1</w:t>
            </w:r>
            <w:r>
              <w:rPr>
                <w:rFonts w:ascii="Arial" w:hAnsi="Arial" w:eastAsia="Arial"/>
                <w:sz w:val="16"/>
              </w:rPr>
              <w:t xml:space="preserve"> </w:t>
            </w:r>
            <w:r>
              <w:rPr>
                <w:rFonts w:ascii="Arial" w:hAnsi="Arial" w:eastAsia="Arial"/>
                <w:sz w:val="16"/>
              </w:rPr>
              <w:t>- Life-Support Resources (label: life-support resources)</w:t>
            </w:r>
          </w:p>
        </w:tc>
        <w:tc>
          <w:tcPr>
            <w:vAlign w:val="top"/>
            <w:tcMar>
              <w:top w:w="70" w:type="dxa"/>
              <w:start w:w="80" w:type="dxa"/>
              <w:bottom w:w="70" w:type="dxa"/>
              <w:end w:w="80" w:type="dxa"/>
            </w:tcMar>
            <w:shd w:fill="D9EAF7"/>
          </w:tcPr>
          <w:p>
            <w:pPr>
              <w:pStyle w:val="Compact"/>
              <w:jc w:val="left"/>
            </w:pPr>
            <w:r>
              <w:rPr>
                <w:rFonts w:ascii="Arial" w:hAnsi="Arial" w:eastAsia="Arial"/>
                <w:sz w:val="16"/>
              </w:rPr>
              <w:t>The biosphere's foundational resources that sustain life: soil, fresh water, clean air, fertility.</w:t>
            </w:r>
          </w:p>
        </w:tc>
        <w:tc>
          <w:tcPr>
            <w:vAlign w:val="top"/>
            <w:tcMar>
              <w:top w:w="70" w:type="dxa"/>
              <w:start w:w="80" w:type="dxa"/>
              <w:bottom w:w="70" w:type="dxa"/>
              <w:end w:w="80" w:type="dxa"/>
            </w:tcMar>
            <w:shd w:fill="D9EAF7"/>
          </w:tcPr>
          <w:p>
            <w:pPr>
              <w:pStyle w:val="Compact"/>
              <w:jc w:val="left"/>
            </w:pPr>
            <w:r>
              <w:rPr>
                <w:rFonts w:ascii="Arial" w:hAnsi="Arial" w:eastAsia="Arial"/>
                <w:sz w:val="16"/>
              </w:rPr>
              <w:t>Protected or restored soil, water, and air; sustained natural-resource base.</w:t>
            </w:r>
          </w:p>
        </w:tc>
        <w:tc>
          <w:tcPr>
            <w:vAlign w:val="top"/>
            <w:tcMar>
              <w:top w:w="70" w:type="dxa"/>
              <w:start w:w="80" w:type="dxa"/>
              <w:bottom w:w="70" w:type="dxa"/>
              <w:end w:w="80" w:type="dxa"/>
            </w:tcMar>
            <w:shd w:fill="D9EAF7"/>
          </w:tcPr>
          <w:p>
            <w:pPr>
              <w:pStyle w:val="Compact"/>
              <w:jc w:val="left"/>
            </w:pPr>
            <w:r>
              <w:rPr>
                <w:rFonts w:ascii="Arial" w:hAnsi="Arial" w:eastAsia="Arial"/>
                <w:sz w:val="16"/>
              </w:rPr>
              <w:t>Soil loss, water depletion, air degradation, exhaustion of life-support systems.</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b/>
                <w:bCs/>
                <w:sz w:val="16"/>
              </w:rPr>
              <w:t>U7/D2</w:t>
            </w:r>
            <w:r>
              <w:rPr>
                <w:rFonts w:ascii="Arial" w:hAnsi="Arial" w:eastAsia="Arial"/>
                <w:sz w:val="16"/>
              </w:rPr>
              <w:t xml:space="preserve"> </w:t>
            </w:r>
            <w:r>
              <w:rPr>
                <w:rFonts w:ascii="Arial" w:hAnsi="Arial" w:eastAsia="Arial"/>
                <w:sz w:val="16"/>
              </w:rPr>
              <w:t>- Ecosystem Health (label: ecosystem health)</w:t>
            </w:r>
          </w:p>
        </w:tc>
        <w:tc>
          <w:tcPr>
            <w:vAlign w:val="top"/>
            <w:tcMar>
              <w:top w:w="70" w:type="dxa"/>
              <w:start w:w="80" w:type="dxa"/>
              <w:bottom w:w="70" w:type="dxa"/>
              <w:end w:w="80" w:type="dxa"/>
            </w:tcMar>
            <w:shd w:fill="FFFFFF"/>
          </w:tcPr>
          <w:p>
            <w:pPr>
              <w:pStyle w:val="Compact"/>
              <w:jc w:val="left"/>
            </w:pPr>
            <w:r>
              <w:rPr>
                <w:rFonts w:ascii="Arial" w:hAnsi="Arial" w:eastAsia="Arial"/>
                <w:sz w:val="16"/>
              </w:rPr>
              <w:t>The health, function, and viability of ecosystems and the species within them.</w:t>
            </w:r>
          </w:p>
        </w:tc>
        <w:tc>
          <w:tcPr>
            <w:vAlign w:val="top"/>
            <w:tcMar>
              <w:top w:w="70" w:type="dxa"/>
              <w:start w:w="80" w:type="dxa"/>
              <w:bottom w:w="70" w:type="dxa"/>
              <w:end w:w="80" w:type="dxa"/>
            </w:tcMar>
            <w:shd w:fill="FFFFFF"/>
          </w:tcPr>
          <w:p>
            <w:pPr>
              <w:pStyle w:val="Compact"/>
              <w:jc w:val="left"/>
            </w:pPr>
            <w:r>
              <w:rPr>
                <w:rFonts w:ascii="Arial" w:hAnsi="Arial" w:eastAsia="Arial"/>
                <w:sz w:val="16"/>
              </w:rPr>
              <w:t>Healthier, functioning ecosystems; recovering species and habitats.</w:t>
            </w:r>
          </w:p>
        </w:tc>
        <w:tc>
          <w:tcPr>
            <w:vAlign w:val="top"/>
            <w:tcMar>
              <w:top w:w="70" w:type="dxa"/>
              <w:start w:w="80" w:type="dxa"/>
              <w:bottom w:w="70" w:type="dxa"/>
              <w:end w:w="80" w:type="dxa"/>
            </w:tcMar>
            <w:shd w:fill="FFFFFF"/>
          </w:tcPr>
          <w:p>
            <w:pPr>
              <w:pStyle w:val="Compact"/>
              <w:jc w:val="left"/>
            </w:pPr>
            <w:r>
              <w:rPr>
                <w:rFonts w:ascii="Arial" w:hAnsi="Arial" w:eastAsia="Arial"/>
                <w:sz w:val="16"/>
              </w:rPr>
              <w:t>Ecosystem dysfunction, species decline, habitat collapse, trophic breakdown.</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b/>
                <w:bCs/>
                <w:sz w:val="16"/>
              </w:rPr>
              <w:t>U7/D3</w:t>
            </w:r>
            <w:r>
              <w:rPr>
                <w:rFonts w:ascii="Arial" w:hAnsi="Arial" w:eastAsia="Arial"/>
                <w:sz w:val="16"/>
              </w:rPr>
              <w:t xml:space="preserve"> </w:t>
            </w:r>
            <w:r>
              <w:rPr>
                <w:rFonts w:ascii="Arial" w:hAnsi="Arial" w:eastAsia="Arial"/>
                <w:sz w:val="16"/>
              </w:rPr>
              <w:t>- Biotic Relations (label: biotic relations)</w:t>
            </w:r>
          </w:p>
        </w:tc>
        <w:tc>
          <w:tcPr>
            <w:vAlign w:val="top"/>
            <w:tcMar>
              <w:top w:w="70" w:type="dxa"/>
              <w:start w:w="80" w:type="dxa"/>
              <w:bottom w:w="70" w:type="dxa"/>
              <w:end w:w="80" w:type="dxa"/>
            </w:tcMar>
            <w:shd w:fill="D9EAF7"/>
          </w:tcPr>
          <w:p>
            <w:pPr>
              <w:pStyle w:val="Compact"/>
              <w:jc w:val="left"/>
            </w:pPr>
            <w:r>
              <w:rPr>
                <w:rFonts w:ascii="Arial" w:hAnsi="Arial" w:eastAsia="Arial"/>
                <w:sz w:val="16"/>
              </w:rPr>
              <w:t>The integrity of relationships and interdependencies among living systems and between humans and nature.</w:t>
            </w:r>
          </w:p>
        </w:tc>
        <w:tc>
          <w:tcPr>
            <w:vAlign w:val="top"/>
            <w:tcMar>
              <w:top w:w="70" w:type="dxa"/>
              <w:start w:w="80" w:type="dxa"/>
              <w:bottom w:w="70" w:type="dxa"/>
              <w:end w:w="80" w:type="dxa"/>
            </w:tcMar>
            <w:shd w:fill="D9EAF7"/>
          </w:tcPr>
          <w:p>
            <w:pPr>
              <w:pStyle w:val="Compact"/>
              <w:jc w:val="left"/>
            </w:pPr>
            <w:r>
              <w:rPr>
                <w:rFonts w:ascii="Arial" w:hAnsi="Arial" w:eastAsia="Arial"/>
                <w:sz w:val="16"/>
              </w:rPr>
              <w:t>Restored ecological relationships, sustainable human-nature interactions, protected interdependencies.</w:t>
            </w:r>
          </w:p>
        </w:tc>
        <w:tc>
          <w:tcPr>
            <w:vAlign w:val="top"/>
            <w:tcMar>
              <w:top w:w="70" w:type="dxa"/>
              <w:start w:w="80" w:type="dxa"/>
              <w:bottom w:w="70" w:type="dxa"/>
              <w:end w:w="80" w:type="dxa"/>
            </w:tcMar>
            <w:shd w:fill="D9EAF7"/>
          </w:tcPr>
          <w:p>
            <w:pPr>
              <w:pStyle w:val="Compact"/>
              <w:jc w:val="left"/>
            </w:pPr>
            <w:r>
              <w:rPr>
                <w:rFonts w:ascii="Arial" w:hAnsi="Arial" w:eastAsia="Arial"/>
                <w:sz w:val="16"/>
              </w:rPr>
              <w:t>Disrupted food webs, broken ecological relationships, harmful human-nature dynamics.</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b/>
                <w:bCs/>
                <w:sz w:val="16"/>
              </w:rPr>
              <w:t>U7/D4</w:t>
            </w:r>
            <w:r>
              <w:rPr>
                <w:rFonts w:ascii="Arial" w:hAnsi="Arial" w:eastAsia="Arial"/>
                <w:sz w:val="16"/>
              </w:rPr>
              <w:t xml:space="preserve"> </w:t>
            </w:r>
            <w:r>
              <w:rPr>
                <w:rFonts w:ascii="Arial" w:hAnsi="Arial" w:eastAsia="Arial"/>
                <w:sz w:val="16"/>
              </w:rPr>
              <w:t>- Ecological Knowledge (label: ecological knowledge)</w:t>
            </w:r>
          </w:p>
        </w:tc>
        <w:tc>
          <w:tcPr>
            <w:vAlign w:val="top"/>
            <w:tcMar>
              <w:top w:w="70" w:type="dxa"/>
              <w:start w:w="80" w:type="dxa"/>
              <w:bottom w:w="70" w:type="dxa"/>
              <w:end w:w="80" w:type="dxa"/>
            </w:tcMar>
            <w:shd w:fill="FFFFFF"/>
          </w:tcPr>
          <w:p>
            <w:pPr>
              <w:pStyle w:val="Compact"/>
              <w:jc w:val="left"/>
            </w:pPr>
            <w:r>
              <w:rPr>
                <w:rFonts w:ascii="Arial" w:hAnsi="Arial" w:eastAsia="Arial"/>
                <w:sz w:val="16"/>
              </w:rPr>
              <w:t>Humanity's understanding and monitoring of ecological systems, including baseline and early-warning data.</w:t>
            </w:r>
          </w:p>
        </w:tc>
        <w:tc>
          <w:tcPr>
            <w:vAlign w:val="top"/>
            <w:tcMar>
              <w:top w:w="70" w:type="dxa"/>
              <w:start w:w="80" w:type="dxa"/>
              <w:bottom w:w="70" w:type="dxa"/>
              <w:end w:w="80" w:type="dxa"/>
            </w:tcMar>
            <w:shd w:fill="FFFFFF"/>
          </w:tcPr>
          <w:p>
            <w:pPr>
              <w:pStyle w:val="Compact"/>
              <w:jc w:val="left"/>
            </w:pPr>
            <w:r>
              <w:rPr>
                <w:rFonts w:ascii="Arial" w:hAnsi="Arial" w:eastAsia="Arial"/>
                <w:sz w:val="16"/>
              </w:rPr>
              <w:t>Better ecological monitoring, baselines, early-warning capacity, and stewardship knowledge.</w:t>
            </w:r>
          </w:p>
        </w:tc>
        <w:tc>
          <w:tcPr>
            <w:vAlign w:val="top"/>
            <w:tcMar>
              <w:top w:w="70" w:type="dxa"/>
              <w:start w:w="80" w:type="dxa"/>
              <w:bottom w:w="70" w:type="dxa"/>
              <w:end w:w="80" w:type="dxa"/>
            </w:tcMar>
            <w:shd w:fill="FFFFFF"/>
          </w:tcPr>
          <w:p>
            <w:pPr>
              <w:pStyle w:val="Compact"/>
              <w:jc w:val="left"/>
            </w:pPr>
            <w:r>
              <w:rPr>
                <w:rFonts w:ascii="Arial" w:hAnsi="Arial" w:eastAsia="Arial"/>
                <w:sz w:val="16"/>
              </w:rPr>
              <w:t>Monitoring gaps, lost baselines, ecological ignorance, blind spots before thresholds.</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b/>
                <w:bCs/>
                <w:sz w:val="16"/>
              </w:rPr>
              <w:t>U7/D5</w:t>
            </w:r>
            <w:r>
              <w:rPr>
                <w:rFonts w:ascii="Arial" w:hAnsi="Arial" w:eastAsia="Arial"/>
                <w:sz w:val="16"/>
              </w:rPr>
              <w:t xml:space="preserve"> </w:t>
            </w:r>
            <w:r>
              <w:rPr>
                <w:rFonts w:ascii="Arial" w:hAnsi="Arial" w:eastAsia="Arial"/>
                <w:sz w:val="16"/>
              </w:rPr>
              <w:t>- Resilience Capacity (label: resilience capacity)</w:t>
            </w:r>
          </w:p>
        </w:tc>
        <w:tc>
          <w:tcPr>
            <w:vAlign w:val="top"/>
            <w:tcMar>
              <w:top w:w="70" w:type="dxa"/>
              <w:start w:w="80" w:type="dxa"/>
              <w:bottom w:w="70" w:type="dxa"/>
              <w:end w:w="80" w:type="dxa"/>
            </w:tcMar>
            <w:shd w:fill="D9EAF7"/>
          </w:tcPr>
          <w:p>
            <w:pPr>
              <w:pStyle w:val="Compact"/>
              <w:jc w:val="left"/>
            </w:pPr>
            <w:r>
              <w:rPr>
                <w:rFonts w:ascii="Arial" w:hAnsi="Arial" w:eastAsia="Arial"/>
                <w:sz w:val="16"/>
              </w:rPr>
              <w:t>The biosphere's capacity to absorb shocks, adapt, and recover from disturbance.</w:t>
            </w:r>
          </w:p>
        </w:tc>
        <w:tc>
          <w:tcPr>
            <w:vAlign w:val="top"/>
            <w:tcMar>
              <w:top w:w="70" w:type="dxa"/>
              <w:start w:w="80" w:type="dxa"/>
              <w:bottom w:w="70" w:type="dxa"/>
              <w:end w:w="80" w:type="dxa"/>
            </w:tcMar>
            <w:shd w:fill="D9EAF7"/>
          </w:tcPr>
          <w:p>
            <w:pPr>
              <w:pStyle w:val="Compact"/>
              <w:jc w:val="left"/>
            </w:pPr>
            <w:r>
              <w:rPr>
                <w:rFonts w:ascii="Arial" w:hAnsi="Arial" w:eastAsia="Arial"/>
                <w:sz w:val="16"/>
              </w:rPr>
              <w:t>Greater ecological resilience, redundancy, and recovery capacity.</w:t>
            </w:r>
          </w:p>
        </w:tc>
        <w:tc>
          <w:tcPr>
            <w:vAlign w:val="top"/>
            <w:tcMar>
              <w:top w:w="70" w:type="dxa"/>
              <w:start w:w="80" w:type="dxa"/>
              <w:bottom w:w="70" w:type="dxa"/>
              <w:end w:w="80" w:type="dxa"/>
            </w:tcMar>
            <w:shd w:fill="D9EAF7"/>
          </w:tcPr>
          <w:p>
            <w:pPr>
              <w:pStyle w:val="Compact"/>
              <w:jc w:val="left"/>
            </w:pPr>
            <w:r>
              <w:rPr>
                <w:rFonts w:ascii="Arial" w:hAnsi="Arial" w:eastAsia="Arial"/>
                <w:sz w:val="16"/>
              </w:rPr>
              <w:t>Loss of resilience, reduced redundancy, approach to tipping points and regime shifts.</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b/>
                <w:bCs/>
                <w:sz w:val="16"/>
              </w:rPr>
              <w:t>U7/D6</w:t>
            </w:r>
            <w:r>
              <w:rPr>
                <w:rFonts w:ascii="Arial" w:hAnsi="Arial" w:eastAsia="Arial"/>
                <w:sz w:val="16"/>
              </w:rPr>
              <w:t xml:space="preserve"> </w:t>
            </w:r>
            <w:r>
              <w:rPr>
                <w:rFonts w:ascii="Arial" w:hAnsi="Arial" w:eastAsia="Arial"/>
                <w:sz w:val="16"/>
              </w:rPr>
              <w:t>- Life Continuity (label: life continuity)</w:t>
            </w:r>
          </w:p>
        </w:tc>
        <w:tc>
          <w:tcPr>
            <w:vAlign w:val="top"/>
            <w:tcMar>
              <w:top w:w="70" w:type="dxa"/>
              <w:start w:w="80" w:type="dxa"/>
              <w:bottom w:w="70" w:type="dxa"/>
              <w:end w:w="80" w:type="dxa"/>
            </w:tcMar>
            <w:shd w:fill="FFFFFF"/>
          </w:tcPr>
          <w:p>
            <w:pPr>
              <w:pStyle w:val="Compact"/>
              <w:jc w:val="left"/>
            </w:pPr>
            <w:r>
              <w:rPr>
                <w:rFonts w:ascii="Arial" w:hAnsi="Arial" w:eastAsia="Arial"/>
                <w:sz w:val="16"/>
              </w:rPr>
              <w:t>The continuity and persistence of life and biodiversity over time, including irreversibility of loss.</w:t>
            </w:r>
          </w:p>
        </w:tc>
        <w:tc>
          <w:tcPr>
            <w:vAlign w:val="top"/>
            <w:tcMar>
              <w:top w:w="70" w:type="dxa"/>
              <w:start w:w="80" w:type="dxa"/>
              <w:bottom w:w="70" w:type="dxa"/>
              <w:end w:w="80" w:type="dxa"/>
            </w:tcMar>
            <w:shd w:fill="FFFFFF"/>
          </w:tcPr>
          <w:p>
            <w:pPr>
              <w:pStyle w:val="Compact"/>
              <w:jc w:val="left"/>
            </w:pPr>
            <w:r>
              <w:rPr>
                <w:rFonts w:ascii="Arial" w:hAnsi="Arial" w:eastAsia="Arial"/>
                <w:sz w:val="16"/>
              </w:rPr>
              <w:t>Protected biodiversity, prevented extinctions, sustained continuity of life.</w:t>
            </w:r>
          </w:p>
        </w:tc>
        <w:tc>
          <w:tcPr>
            <w:vAlign w:val="top"/>
            <w:tcMar>
              <w:top w:w="70" w:type="dxa"/>
              <w:start w:w="80" w:type="dxa"/>
              <w:bottom w:w="70" w:type="dxa"/>
              <w:end w:w="80" w:type="dxa"/>
            </w:tcMar>
            <w:shd w:fill="FFFFFF"/>
          </w:tcPr>
          <w:p>
            <w:pPr>
              <w:pStyle w:val="Compact"/>
              <w:jc w:val="left"/>
            </w:pPr>
            <w:r>
              <w:rPr>
                <w:rFonts w:ascii="Arial" w:hAnsi="Arial" w:eastAsia="Arial"/>
                <w:sz w:val="16"/>
              </w:rPr>
              <w:t>Species extinction, irreversible biodiversity loss, broken continuity of lineages.</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b/>
                <w:bCs/>
                <w:sz w:val="16"/>
              </w:rPr>
              <w:t>U7/D7</w:t>
            </w:r>
            <w:r>
              <w:rPr>
                <w:rFonts w:ascii="Arial" w:hAnsi="Arial" w:eastAsia="Arial"/>
                <w:sz w:val="16"/>
              </w:rPr>
              <w:t xml:space="preserve"> </w:t>
            </w:r>
            <w:r>
              <w:rPr>
                <w:rFonts w:ascii="Arial" w:hAnsi="Arial" w:eastAsia="Arial"/>
                <w:sz w:val="16"/>
              </w:rPr>
              <w:t>- Ecological Integrity (label: ecological integrity)</w:t>
            </w:r>
          </w:p>
        </w:tc>
        <w:tc>
          <w:tcPr>
            <w:vAlign w:val="top"/>
            <w:tcMar>
              <w:top w:w="70" w:type="dxa"/>
              <w:start w:w="80" w:type="dxa"/>
              <w:bottom w:w="70" w:type="dxa"/>
              <w:end w:w="80" w:type="dxa"/>
            </w:tcMar>
            <w:shd w:fill="D9EAF7"/>
          </w:tcPr>
          <w:p>
            <w:pPr>
              <w:pStyle w:val="Compact"/>
              <w:jc w:val="left"/>
            </w:pPr>
            <w:r>
              <w:rPr>
                <w:rFonts w:ascii="Arial" w:hAnsi="Arial" w:eastAsia="Arial"/>
                <w:sz w:val="16"/>
              </w:rPr>
              <w:t>The overall health, resilience, diversity, and continuity of ecosystems as living support systems.</w:t>
            </w:r>
          </w:p>
        </w:tc>
        <w:tc>
          <w:tcPr>
            <w:vAlign w:val="top"/>
            <w:tcMar>
              <w:top w:w="70" w:type="dxa"/>
              <w:start w:w="80" w:type="dxa"/>
              <w:bottom w:w="70" w:type="dxa"/>
              <w:end w:w="80" w:type="dxa"/>
            </w:tcMar>
            <w:shd w:fill="D9EAF7"/>
          </w:tcPr>
          <w:p>
            <w:pPr>
              <w:pStyle w:val="Compact"/>
              <w:jc w:val="left"/>
            </w:pPr>
            <w:r>
              <w:rPr>
                <w:rFonts w:ascii="Arial" w:hAnsi="Arial" w:eastAsia="Arial"/>
                <w:sz w:val="16"/>
              </w:rPr>
              <w:t>Habitat restoration, biodiversity protection, improved ecological resilience, reduced pollution.</w:t>
            </w:r>
          </w:p>
        </w:tc>
        <w:tc>
          <w:tcPr>
            <w:vAlign w:val="top"/>
            <w:tcMar>
              <w:top w:w="70" w:type="dxa"/>
              <w:start w:w="80" w:type="dxa"/>
              <w:bottom w:w="70" w:type="dxa"/>
              <w:end w:w="80" w:type="dxa"/>
            </w:tcMar>
            <w:shd w:fill="D9EAF7"/>
          </w:tcPr>
          <w:p>
            <w:pPr>
              <w:pStyle w:val="Compact"/>
              <w:jc w:val="left"/>
            </w:pPr>
            <w:r>
              <w:rPr>
                <w:rFonts w:ascii="Arial" w:hAnsi="Arial" w:eastAsia="Arial"/>
                <w:sz w:val="16"/>
              </w:rPr>
              <w:t>Habitat destruction, species loss, ecosystem collapse, pollution, soil/water degradation.</w:t>
            </w:r>
          </w:p>
        </w:tc>
      </w:tr>
    </w:tbl>
    <w:bookmarkEnd w:id="647"/>
    <w:bookmarkStart w:id="648" w:name="u7-biosphere---evidence-and-review"/>
    <w:p>
      <w:pPr>
        <w:pStyle w:val="Heading3"/>
      </w:pPr>
      <w:r>
        <w:t>U7 Biosphere - evidence and review</w:t>
      </w:r>
    </w:p>
    <w:tbl>
      <w:tblPr>
        <w:tblStyle w:val="Table"/>
        <w:tblW w:type="auto" w:w="0"/>
        <w:jc w:val="center"/>
        <w:tblLook w:firstRow="1" w:lastRow="0" w:firstColumn="0" w:lastColumn="0" w:noHBand="0" w:noVBand="0" w:val="0020"/>
      </w:tblPr>
      <w:tblGrid>
        <w:gridCol w:w="2640"/>
        <w:gridCol w:w="2640"/>
        <w:gridCol w:w="2640"/>
      </w:tblGrid>
      <w:tr>
        <w:trPr>
          <w:tblHeader w:val="on"/>
          <w:tblHeader w:val="true"/>
          <w:cantSplit/>
        </w:trPr>
        <w:tc>
          <w:tcPr>
            <w:vAlign w:val="top"/>
            <w:tcMar>
              <w:top w:w="70" w:type="dxa"/>
              <w:start w:w="80" w:type="dxa"/>
              <w:bottom w:w="70" w:type="dxa"/>
              <w:end w:w="80" w:type="dxa"/>
            </w:tcMar>
            <w:shd w:fill="1F4E78"/>
          </w:tcPr>
          <w:p>
            <w:pPr>
              <w:pStyle w:val="Compact"/>
              <w:jc w:val="left"/>
            </w:pPr>
            <w:r>
              <w:rPr>
                <w:rFonts w:ascii="Arial" w:hAnsi="Arial" w:eastAsia="Arial"/>
                <w:b/>
                <w:color w:val="FFFFFF"/>
                <w:sz w:val="16"/>
              </w:rPr>
              <w:t>Cell</w:t>
            </w:r>
          </w:p>
        </w:tc>
        <w:tc>
          <w:tcPr>
            <w:vAlign w:val="top"/>
            <w:tcMar>
              <w:top w:w="70" w:type="dxa"/>
              <w:start w:w="80" w:type="dxa"/>
              <w:bottom w:w="70" w:type="dxa"/>
              <w:end w:w="80" w:type="dxa"/>
            </w:tcMar>
            <w:shd w:fill="1F4E78"/>
          </w:tcPr>
          <w:p>
            <w:pPr>
              <w:pStyle w:val="Compact"/>
              <w:jc w:val="left"/>
            </w:pPr>
            <w:r>
              <w:rPr>
                <w:rFonts w:ascii="Arial" w:hAnsi="Arial" w:eastAsia="Arial"/>
                <w:b/>
                <w:color w:val="FFFFFF"/>
                <w:sz w:val="16"/>
              </w:rPr>
              <w:t>Evidence and gate cues</w:t>
            </w:r>
          </w:p>
        </w:tc>
        <w:tc>
          <w:tcPr>
            <w:vAlign w:val="top"/>
            <w:tcMar>
              <w:top w:w="70" w:type="dxa"/>
              <w:start w:w="80" w:type="dxa"/>
              <w:bottom w:w="70" w:type="dxa"/>
              <w:end w:w="80" w:type="dxa"/>
            </w:tcMar>
            <w:shd w:fill="1F4E78"/>
          </w:tcPr>
          <w:p>
            <w:pPr>
              <w:pStyle w:val="Compact"/>
              <w:jc w:val="left"/>
            </w:pPr>
            <w:r>
              <w:rPr>
                <w:rFonts w:ascii="Arial" w:hAnsi="Arial" w:eastAsia="Arial"/>
                <w:b/>
                <w:color w:val="FFFFFF"/>
                <w:sz w:val="16"/>
              </w:rPr>
              <w:t>Example and reviewer check</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b/>
                <w:bCs/>
                <w:sz w:val="16"/>
              </w:rPr>
              <w:t>U7/D1</w:t>
            </w:r>
            <w:r>
              <w:rPr>
                <w:rFonts w:ascii="Arial" w:hAnsi="Arial" w:eastAsia="Arial"/>
                <w:sz w:val="16"/>
              </w:rPr>
              <w:t xml:space="preserve"> </w:t>
            </w:r>
            <w:r>
              <w:rPr>
                <w:rFonts w:ascii="Arial" w:hAnsi="Arial" w:eastAsia="Arial"/>
                <w:sz w:val="16"/>
              </w:rPr>
              <w:t>- Life-Support Resources (label: life-support resources)</w:t>
            </w:r>
          </w:p>
        </w:tc>
        <w:tc>
          <w:tcPr>
            <w:vAlign w:val="top"/>
            <w:tcMar>
              <w:top w:w="70" w:type="dxa"/>
              <w:start w:w="80" w:type="dxa"/>
              <w:bottom w:w="70" w:type="dxa"/>
              <w:end w:w="80" w:type="dxa"/>
            </w:tcMar>
            <w:shd w:fill="D9EAF7"/>
          </w:tcPr>
          <w:p>
            <w:pPr>
              <w:pStyle w:val="Compact"/>
              <w:jc w:val="left"/>
            </w:pPr>
            <w:r>
              <w:rPr>
                <w:rFonts w:ascii="Arial" w:hAnsi="Arial" w:eastAsia="Arial"/>
                <w:sz w:val="16"/>
              </w:rPr>
              <w:t>Evidence: soil-health data; freshwater-stock and quality; air-quality baselines; resource-renewal rates; Gate classes: Tail Risk; Containment / Structural Viability; Ordinary welfare. Uncertainty: Standard assessment. Interpretation: Tail-relevant where depletion is irreversible or threatens collapse of life-support systems; containment-relevant. Distinct from U4/D1 'operating resources'.</w:t>
            </w:r>
          </w:p>
        </w:tc>
        <w:tc>
          <w:tcPr>
            <w:vAlign w:val="top"/>
            <w:tcMar>
              <w:top w:w="70" w:type="dxa"/>
              <w:start w:w="80" w:type="dxa"/>
              <w:bottom w:w="70" w:type="dxa"/>
              <w:end w:w="80" w:type="dxa"/>
            </w:tcMar>
            <w:shd w:fill="D9EAF7"/>
          </w:tcPr>
          <w:p>
            <w:pPr>
              <w:pStyle w:val="Compact"/>
              <w:jc w:val="left"/>
            </w:pPr>
            <w:r>
              <w:rPr>
                <w:rFonts w:ascii="Arial" w:hAnsi="Arial" w:eastAsia="Arial"/>
                <w:sz w:val="16"/>
              </w:rPr>
              <w:t>Example: An aquifer-protection rule that prevents irreversible groundwater loss improves U7/D1.; Reviewer check: A reviewer checks whether renewal rates, not just current stocks, were assessed.</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b/>
                <w:bCs/>
                <w:sz w:val="16"/>
              </w:rPr>
              <w:t>U7/D2</w:t>
            </w:r>
            <w:r>
              <w:rPr>
                <w:rFonts w:ascii="Arial" w:hAnsi="Arial" w:eastAsia="Arial"/>
                <w:sz w:val="16"/>
              </w:rPr>
              <w:t xml:space="preserve"> </w:t>
            </w:r>
            <w:r>
              <w:rPr>
                <w:rFonts w:ascii="Arial" w:hAnsi="Arial" w:eastAsia="Arial"/>
                <w:sz w:val="16"/>
              </w:rPr>
              <w:t>- Ecosystem Health (label: ecosystem health)</w:t>
            </w:r>
          </w:p>
        </w:tc>
        <w:tc>
          <w:tcPr>
            <w:vAlign w:val="top"/>
            <w:tcMar>
              <w:top w:w="70" w:type="dxa"/>
              <w:start w:w="80" w:type="dxa"/>
              <w:bottom w:w="70" w:type="dxa"/>
              <w:end w:w="80" w:type="dxa"/>
            </w:tcMar>
            <w:shd w:fill="FFFFFF"/>
          </w:tcPr>
          <w:p>
            <w:pPr>
              <w:pStyle w:val="Compact"/>
              <w:jc w:val="left"/>
            </w:pPr>
            <w:r>
              <w:rPr>
                <w:rFonts w:ascii="Arial" w:hAnsi="Arial" w:eastAsia="Arial"/>
                <w:sz w:val="16"/>
              </w:rPr>
              <w:t>Evidence: ecosystem-function indicators; species-population trends; habitat-condition assessments; Gate classes: Tail Risk; Containment / Structural Viability; Ordinary welfare. Uncertainty: Standard assessment. Interpretation: Tail-relevant where collapse or extinction is plausible and irreversible; containment-relevant as ecosystems underpin wider scopes.</w:t>
            </w:r>
          </w:p>
        </w:tc>
        <w:tc>
          <w:tcPr>
            <w:vAlign w:val="top"/>
            <w:tcMar>
              <w:top w:w="70" w:type="dxa"/>
              <w:start w:w="80" w:type="dxa"/>
              <w:bottom w:w="70" w:type="dxa"/>
              <w:end w:w="80" w:type="dxa"/>
            </w:tcMar>
            <w:shd w:fill="FFFFFF"/>
          </w:tcPr>
          <w:p>
            <w:pPr>
              <w:pStyle w:val="Compact"/>
              <w:jc w:val="left"/>
            </w:pPr>
            <w:r>
              <w:rPr>
                <w:rFonts w:ascii="Arial" w:hAnsi="Arial" w:eastAsia="Arial"/>
                <w:sz w:val="16"/>
              </w:rPr>
              <w:t>Example: A fisheries policy that lets a collapsing stock recover improves U7/D2.; Reviewer check: A reviewer checks whether ecosystem-function evidence exists or only a single charismatic indicator.</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b/>
                <w:bCs/>
                <w:sz w:val="16"/>
              </w:rPr>
              <w:t>U7/D3</w:t>
            </w:r>
            <w:r>
              <w:rPr>
                <w:rFonts w:ascii="Arial" w:hAnsi="Arial" w:eastAsia="Arial"/>
                <w:sz w:val="16"/>
              </w:rPr>
              <w:t xml:space="preserve"> </w:t>
            </w:r>
            <w:r>
              <w:rPr>
                <w:rFonts w:ascii="Arial" w:hAnsi="Arial" w:eastAsia="Arial"/>
                <w:sz w:val="16"/>
              </w:rPr>
              <w:t>- Biotic Relations (label: biotic relations)</w:t>
            </w:r>
          </w:p>
        </w:tc>
        <w:tc>
          <w:tcPr>
            <w:vAlign w:val="top"/>
            <w:tcMar>
              <w:top w:w="70" w:type="dxa"/>
              <w:start w:w="80" w:type="dxa"/>
              <w:bottom w:w="70" w:type="dxa"/>
              <w:end w:w="80" w:type="dxa"/>
            </w:tcMar>
            <w:shd w:fill="D9EAF7"/>
          </w:tcPr>
          <w:p>
            <w:pPr>
              <w:pStyle w:val="Compact"/>
              <w:jc w:val="left"/>
            </w:pPr>
            <w:r>
              <w:rPr>
                <w:rFonts w:ascii="Arial" w:hAnsi="Arial" w:eastAsia="Arial"/>
                <w:sz w:val="16"/>
              </w:rPr>
              <w:t>Evidence: trophic / food-web indicators; interaction-network data; human-impact assessments; Gate classes: Tail Risk; Containment / Structural Viability; Ordinary welfare. Uncertainty: Standard assessment. Interpretation: Containment-relevant: a local win that severs ecological relationships can fail containment even with strong U4/D1 gains; tail-relevant where cascades are plausible.</w:t>
            </w:r>
          </w:p>
        </w:tc>
        <w:tc>
          <w:tcPr>
            <w:vAlign w:val="top"/>
            <w:tcMar>
              <w:top w:w="70" w:type="dxa"/>
              <w:start w:w="80" w:type="dxa"/>
              <w:bottom w:w="70" w:type="dxa"/>
              <w:end w:w="80" w:type="dxa"/>
            </w:tcMar>
            <w:shd w:fill="D9EAF7"/>
          </w:tcPr>
          <w:p>
            <w:pPr>
              <w:pStyle w:val="Compact"/>
              <w:jc w:val="left"/>
            </w:pPr>
            <w:r>
              <w:rPr>
                <w:rFonts w:ascii="Arial" w:hAnsi="Arial" w:eastAsia="Arial"/>
                <w:sz w:val="16"/>
              </w:rPr>
              <w:t>Example: A factory expansion that damages a watershed may fail containment via U7/D3 even while improving U4/D1.; Reviewer check: A reviewer asks whether relational/cascade effects were modelled or ignored as 'no direct effect'.</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b/>
                <w:bCs/>
                <w:sz w:val="16"/>
              </w:rPr>
              <w:t>U7/D4</w:t>
            </w:r>
            <w:r>
              <w:rPr>
                <w:rFonts w:ascii="Arial" w:hAnsi="Arial" w:eastAsia="Arial"/>
                <w:sz w:val="16"/>
              </w:rPr>
              <w:t xml:space="preserve"> </w:t>
            </w:r>
            <w:r>
              <w:rPr>
                <w:rFonts w:ascii="Arial" w:hAnsi="Arial" w:eastAsia="Arial"/>
                <w:sz w:val="16"/>
              </w:rPr>
              <w:t>- Ecological Knowledge (label: ecological knowledge)</w:t>
            </w:r>
          </w:p>
        </w:tc>
        <w:tc>
          <w:tcPr>
            <w:vAlign w:val="top"/>
            <w:tcMar>
              <w:top w:w="70" w:type="dxa"/>
              <w:start w:w="80" w:type="dxa"/>
              <w:bottom w:w="70" w:type="dxa"/>
              <w:end w:w="80" w:type="dxa"/>
            </w:tcMar>
            <w:shd w:fill="FFFFFF"/>
          </w:tcPr>
          <w:p>
            <w:pPr>
              <w:pStyle w:val="Compact"/>
              <w:jc w:val="left"/>
            </w:pPr>
            <w:r>
              <w:rPr>
                <w:rFonts w:ascii="Arial" w:hAnsi="Arial" w:eastAsia="Arial"/>
                <w:sz w:val="16"/>
              </w:rPr>
              <w:t>Evidence: monitoring-coverage data; baseline-completeness; early-warning-system status; Gate classes: Containment / Structural Viability; Ordinary welfare. Uncertainty: Explicitly elevated. Interpretation: Containment-relevant: poor ecological knowledge undermines the ability to detect tipping points. Often the cell most affected by the 0-vs-unknown distinction.</w:t>
            </w:r>
          </w:p>
        </w:tc>
        <w:tc>
          <w:tcPr>
            <w:vAlign w:val="top"/>
            <w:tcMar>
              <w:top w:w="70" w:type="dxa"/>
              <w:start w:w="80" w:type="dxa"/>
              <w:bottom w:w="70" w:type="dxa"/>
              <w:end w:w="80" w:type="dxa"/>
            </w:tcMar>
            <w:shd w:fill="FFFFFF"/>
          </w:tcPr>
          <w:p>
            <w:pPr>
              <w:pStyle w:val="Compact"/>
              <w:jc w:val="left"/>
            </w:pPr>
            <w:r>
              <w:rPr>
                <w:rFonts w:ascii="Arial" w:hAnsi="Arial" w:eastAsia="Arial"/>
                <w:sz w:val="16"/>
              </w:rPr>
              <w:t>Example: An expanded biodiversity-monitoring network that fills baseline gaps improves U7/D4.; Reviewer check: A reviewer checks that absent ecological data is marked unknown, not scored as 0 ('no effect').</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b/>
                <w:bCs/>
                <w:sz w:val="16"/>
              </w:rPr>
              <w:t>U7/D5</w:t>
            </w:r>
            <w:r>
              <w:rPr>
                <w:rFonts w:ascii="Arial" w:hAnsi="Arial" w:eastAsia="Arial"/>
                <w:sz w:val="16"/>
              </w:rPr>
              <w:t xml:space="preserve"> </w:t>
            </w:r>
            <w:r>
              <w:rPr>
                <w:rFonts w:ascii="Arial" w:hAnsi="Arial" w:eastAsia="Arial"/>
                <w:sz w:val="16"/>
              </w:rPr>
              <w:t>- Resilience Capacity (label: resilience capacity)</w:t>
            </w:r>
          </w:p>
        </w:tc>
        <w:tc>
          <w:tcPr>
            <w:vAlign w:val="top"/>
            <w:tcMar>
              <w:top w:w="70" w:type="dxa"/>
              <w:start w:w="80" w:type="dxa"/>
              <w:bottom w:w="70" w:type="dxa"/>
              <w:end w:w="80" w:type="dxa"/>
            </w:tcMar>
            <w:shd w:fill="D9EAF7"/>
          </w:tcPr>
          <w:p>
            <w:pPr>
              <w:pStyle w:val="Compact"/>
              <w:jc w:val="left"/>
            </w:pPr>
            <w:r>
              <w:rPr>
                <w:rFonts w:ascii="Arial" w:hAnsi="Arial" w:eastAsia="Arial"/>
                <w:sz w:val="16"/>
              </w:rPr>
              <w:t>Evidence: resilience / redundancy indicators; recovery-rate data; threshold-proximity assessments; Gate classes: Tail Risk; Containment / Structural Viability; Ordinary welfare. Uncertainty: Standard assessment. Interpretation: Tail-relevant where loss of resilience brings irreversible regime shifts; containment-relevant as resilience buffers all scopes.</w:t>
            </w:r>
          </w:p>
        </w:tc>
        <w:tc>
          <w:tcPr>
            <w:vAlign w:val="top"/>
            <w:tcMar>
              <w:top w:w="70" w:type="dxa"/>
              <w:start w:w="80" w:type="dxa"/>
              <w:bottom w:w="70" w:type="dxa"/>
              <w:end w:w="80" w:type="dxa"/>
            </w:tcMar>
            <w:shd w:fill="D9EAF7"/>
          </w:tcPr>
          <w:p>
            <w:pPr>
              <w:pStyle w:val="Compact"/>
              <w:jc w:val="left"/>
            </w:pPr>
            <w:r>
              <w:rPr>
                <w:rFonts w:ascii="Arial" w:hAnsi="Arial" w:eastAsia="Arial"/>
                <w:sz w:val="16"/>
              </w:rPr>
              <w:t>Example: Restoring wetland buffers that absorb flood shocks improves U7/D5.; Reviewer check: A reviewer asks whether proximity to thresholds was assessed, not just current condition.</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b/>
                <w:bCs/>
                <w:sz w:val="16"/>
              </w:rPr>
              <w:t>U7/D6</w:t>
            </w:r>
            <w:r>
              <w:rPr>
                <w:rFonts w:ascii="Arial" w:hAnsi="Arial" w:eastAsia="Arial"/>
                <w:sz w:val="16"/>
              </w:rPr>
              <w:t xml:space="preserve"> </w:t>
            </w:r>
            <w:r>
              <w:rPr>
                <w:rFonts w:ascii="Arial" w:hAnsi="Arial" w:eastAsia="Arial"/>
                <w:sz w:val="16"/>
              </w:rPr>
              <w:t>- Life Continuity (label: life continuity)</w:t>
            </w:r>
          </w:p>
        </w:tc>
        <w:tc>
          <w:tcPr>
            <w:vAlign w:val="top"/>
            <w:tcMar>
              <w:top w:w="70" w:type="dxa"/>
              <w:start w:w="80" w:type="dxa"/>
              <w:bottom w:w="70" w:type="dxa"/>
              <w:end w:w="80" w:type="dxa"/>
            </w:tcMar>
            <w:shd w:fill="FFFFFF"/>
          </w:tcPr>
          <w:p>
            <w:pPr>
              <w:pStyle w:val="Compact"/>
              <w:jc w:val="left"/>
            </w:pPr>
            <w:r>
              <w:rPr>
                <w:rFonts w:ascii="Arial" w:hAnsi="Arial" w:eastAsia="Arial"/>
                <w:sz w:val="16"/>
              </w:rPr>
              <w:t>Evidence: extinction-risk (e.g. red-list) data; biodiversity-trend indices; irreversibility assessments; Gate classes: Tail Risk; Containment / Structural Viability; Ordinary welfare. Uncertainty: Standard assessment. Interpretation: Strongly tail-relevant: extinction is the paradigm of irreversible, non-averagable harm under TRC; containment-relevant.</w:t>
            </w:r>
          </w:p>
        </w:tc>
        <w:tc>
          <w:tcPr>
            <w:vAlign w:val="top"/>
            <w:tcMar>
              <w:top w:w="70" w:type="dxa"/>
              <w:start w:w="80" w:type="dxa"/>
              <w:bottom w:w="70" w:type="dxa"/>
              <w:end w:w="80" w:type="dxa"/>
            </w:tcMar>
            <w:shd w:fill="FFFFFF"/>
          </w:tcPr>
          <w:p>
            <w:pPr>
              <w:pStyle w:val="Compact"/>
              <w:jc w:val="left"/>
            </w:pPr>
            <w:r>
              <w:rPr>
                <w:rFonts w:ascii="Arial" w:hAnsi="Arial" w:eastAsia="Arial"/>
                <w:sz w:val="16"/>
              </w:rPr>
              <w:t>Example: A habitat-corridor program that prevents a species' extinction improves U7/D6.; Reviewer check: A reviewer checks whether irreversibility was treated as a tail constraint, not a discountable cost.</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b/>
                <w:bCs/>
                <w:sz w:val="16"/>
              </w:rPr>
              <w:t>U7/D7</w:t>
            </w:r>
            <w:r>
              <w:rPr>
                <w:rFonts w:ascii="Arial" w:hAnsi="Arial" w:eastAsia="Arial"/>
                <w:sz w:val="16"/>
              </w:rPr>
              <w:t xml:space="preserve"> </w:t>
            </w:r>
            <w:r>
              <w:rPr>
                <w:rFonts w:ascii="Arial" w:hAnsi="Arial" w:eastAsia="Arial"/>
                <w:sz w:val="16"/>
              </w:rPr>
              <w:t>- Ecological Integrity (label: ecological integrity)</w:t>
            </w:r>
          </w:p>
        </w:tc>
        <w:tc>
          <w:tcPr>
            <w:vAlign w:val="top"/>
            <w:tcMar>
              <w:top w:w="70" w:type="dxa"/>
              <w:start w:w="80" w:type="dxa"/>
              <w:bottom w:w="70" w:type="dxa"/>
              <w:end w:w="80" w:type="dxa"/>
            </w:tcMar>
            <w:shd w:fill="D9EAF7"/>
          </w:tcPr>
          <w:p>
            <w:pPr>
              <w:pStyle w:val="Compact"/>
              <w:jc w:val="left"/>
            </w:pPr>
            <w:r>
              <w:rPr>
                <w:rFonts w:ascii="Arial" w:hAnsi="Arial" w:eastAsia="Arial"/>
                <w:sz w:val="16"/>
              </w:rPr>
              <w:t>Evidence: biodiversity indices; habitat-area data; water/soil quality; ecosystem-resilience measures; ecological monitoring; Gate classes: Rights Floor; Tail Risk; Containment / Structural Viability; Ordinary welfare. Uncertainty: Standard assessment. Interpretation: Often containment-relevant and sometimes catastrophe-relevant; may relate to ecological-integrity rights where recognised (e.g. rights of nature).</w:t>
            </w:r>
          </w:p>
        </w:tc>
        <w:tc>
          <w:tcPr>
            <w:vAlign w:val="top"/>
            <w:tcMar>
              <w:top w:w="70" w:type="dxa"/>
              <w:start w:w="80" w:type="dxa"/>
              <w:bottom w:w="70" w:type="dxa"/>
              <w:end w:w="80" w:type="dxa"/>
            </w:tcMar>
            <w:shd w:fill="D9EAF7"/>
          </w:tcPr>
          <w:p>
            <w:pPr>
              <w:pStyle w:val="Compact"/>
              <w:jc w:val="left"/>
            </w:pPr>
            <w:r>
              <w:rPr>
                <w:rFonts w:ascii="Arial" w:hAnsi="Arial" w:eastAsia="Arial"/>
                <w:sz w:val="16"/>
              </w:rPr>
              <w:t>Example: A factory expansion that damages a watershed may fail containment even when it improves U4/D1.; Reviewer check: A reviewer checks whether integrity is evidenced by ecosystem-level data or inferred from a single metric.</w:t>
            </w:r>
          </w:p>
        </w:tc>
      </w:tr>
    </w:tbl>
    <w:bookmarkEnd w:id="648"/>
    <w:bookmarkEnd w:id="649"/>
    <w:bookmarkEnd w:id="650"/>
    <w:bookmarkStart w:id="657" w:name="Xd01b8ad1d9a4b27bb0bba7d45687f6d930ced46"/>
    <w:p>
      <w:pPr>
        <w:pStyle w:val="Heading1"/>
      </w:pPr>
      <w:r>
        <w:t>APPENDIX AE: Carried-Forward v10.8 Layer-Discipline, Falsification, and Adaptive Reserve Addendum (Preserved through v12.2)</w:t>
      </w:r>
    </w:p>
    <w:p>
      <w:pPr>
        <w:pStyle w:val="FirstParagraph"/>
      </w:pPr>
      <w:r>
        <w:t>Truth-surface discipline. Formal truth means that outputs follow from declared inputs and equations. Artifact truth means hashes identify the released artifacts. Implementation truth means validators reproduce expected gates, scores, and flags. Evidence truth means traces support or fail to support material claims. Empirical truth requires pilots, backtests, or real-world monitoring. Normative defensibility requires declared rights floors and ethical commitments that can be challenged, justified, and held. Governance legitimacy requires lawful authority, participation, review, contestability, and audit boundaries. These claim types support one another but MUST NOT be collapsed into one undifferentiated claim of truth.</w:t>
      </w:r>
    </w:p>
    <w:bookmarkStart w:id="651" w:name="ae1-purpose-and-release-boundary"/>
    <w:p>
      <w:pPr>
        <w:pStyle w:val="Heading2"/>
      </w:pPr>
      <w:r>
        <w:t>AE.1 Purpose and release boundary</w:t>
      </w:r>
    </w:p>
    <w:p>
      <w:pPr>
        <w:pStyle w:val="FirstParagraph"/>
      </w:pPr>
      <w:r>
        <w:t>This v10.8 addendum hardens the Canon's category-collapse discipline without importing or depending on any external physics, ontology, or proprietary framework. It translates a general lesson from recent comparative review into MathGov-native audit rules: a value that can be written, computed, projected, or preferred is not automatically admissible, evidenced, authorized, or claimable.</w:t>
      </w:r>
    </w:p>
    <w:p>
      <w:pPr>
        <w:pStyle w:val="BodyText"/>
      </w:pPr>
      <w:r>
        <w:t>Normative effect. The canonical cascade remains Reality Grounding → Rights Floor → TRC → CSV → RLS. Reality Grounding is added as the public claim-authority level, not as a compensatory scoring gate. Rights floors, TRC/CVaR, Containment, PLSS residual-only discipline, SGP boundaries, and Tier 4 ProofPack restrictions remain unchanged.</w:t>
      </w:r>
    </w:p>
    <w:bookmarkEnd w:id="651"/>
    <w:bookmarkStart w:id="652" w:name="X6e0e80b09bb4c1c5979ac997ed512c06635e54a"/>
    <w:p>
      <w:pPr>
        <w:pStyle w:val="Heading2"/>
      </w:pPr>
      <w:r>
        <w:t>AE.2 COMPUTABLE_BUT_INADMISSIBLE audit state</w:t>
      </w:r>
    </w:p>
    <w:p>
      <w:pPr>
        <w:pStyle w:val="FirstParagraph"/>
      </w:pPr>
      <w:r>
        <w:t>Definition. COMPUTABLE_BUT_INADMISSIBLE is an audit state for cases where arithmetic, a formula, a model, or a workflow returns a value, but the declared domain rules prohibit treating that value as a valid decision state, conformance claim, or authorization basis.</w:t>
      </w:r>
    </w:p>
    <w:p>
      <w:pPr>
        <w:pStyle w:val="BodyText"/>
      </w:pPr>
      <w:r>
        <w:t>Use cases include: a welfare score for an option that failed NCRC; an RLS ranking after TRC or CSV failure; a PLSS result used as if it could narrow admissibility; an SGP protection surface used beyond its evidence tier; a zero entered where the true state is unknown; or a reference vector that computes while violating declared closure boundaries.</w:t>
      </w:r>
    </w:p>
    <w:p>
      <w:pPr>
        <w:pStyle w:val="BodyText"/>
      </w:pPr>
      <w:r>
        <w:t>Decision effect. A COMPUTABLE_BUT_INADMISSIBLE result may be logged, studied, and used for debugging. It MUST NOT authorize selection, deployment, conformance claims, or stronger maturity claims. The PCC MUST record why computation existed and why admissibility did not follow.</w:t>
      </w:r>
    </w:p>
    <w:p>
      <w:pPr>
        <w:pStyle w:val="BodyText"/>
      </w:pPr>
      <w:r>
        <w:t>Alias note. SGP_COMPUTABLE_BUT_INADMISSIBLE and the ripple.md ComputableButInadmissible field are domain-scoped aliases of this state for SGP-specific and wrapper-specific records.</w:t>
      </w:r>
    </w:p>
    <w:bookmarkEnd w:id="652"/>
    <w:bookmarkStart w:id="653" w:name="ae3-layer-specific-falsification-matrix"/>
    <w:p>
      <w:pPr>
        <w:pStyle w:val="Heading2"/>
      </w:pPr>
      <w:r>
        <w:t>AE.3 Layer-specific falsification matrix</w:t>
      </w:r>
    </w:p>
    <w:tbl>
      <w:tblPr>
        <w:tblStyle w:val="Table"/>
        <w:tblW w:type="auto" w:w="0"/>
        <w:jc w:val="center"/>
        <w:tblLook w:firstRow="1" w:lastRow="0" w:firstColumn="0" w:lastColumn="0" w:noHBand="0" w:noVBand="0" w:val="0020"/>
      </w:tblPr>
      <w:tblGrid>
        <w:gridCol w:w="1980"/>
        <w:gridCol w:w="1980"/>
        <w:gridCol w:w="1980"/>
        <w:gridCol w:w="1980"/>
      </w:tblGrid>
      <w:tr>
        <w:trPr>
          <w:tblHeader w:val="on"/>
          <w:tblHeader w:val="true"/>
          <w:cantSplit/>
        </w:trPr>
        <w:tc>
          <w:tcPr>
            <w:vAlign w:val="top"/>
            <w:tcMar>
              <w:top w:w="70" w:type="dxa"/>
              <w:start w:w="80" w:type="dxa"/>
              <w:bottom w:w="70" w:type="dxa"/>
              <w:end w:w="80" w:type="dxa"/>
            </w:tcMar>
            <w:shd w:fill="1F4E78"/>
          </w:tcPr>
          <w:p>
            <w:pPr>
              <w:pStyle w:val="Compact"/>
              <w:jc w:val="left"/>
            </w:pPr>
            <w:r>
              <w:rPr>
                <w:rFonts w:ascii="Arial" w:hAnsi="Arial" w:eastAsia="Arial"/>
                <w:b/>
                <w:bCs/>
                <w:color w:val="FFFFFF"/>
                <w:sz w:val="16"/>
              </w:rPr>
              <w:t>Layer</w:t>
            </w:r>
          </w:p>
        </w:tc>
        <w:tc>
          <w:tcPr>
            <w:vAlign w:val="top"/>
            <w:tcMar>
              <w:top w:w="70" w:type="dxa"/>
              <w:start w:w="80" w:type="dxa"/>
              <w:bottom w:w="70" w:type="dxa"/>
              <w:end w:w="80" w:type="dxa"/>
            </w:tcMar>
            <w:shd w:fill="1F4E78"/>
          </w:tcPr>
          <w:p>
            <w:pPr>
              <w:pStyle w:val="Compact"/>
              <w:jc w:val="left"/>
            </w:pPr>
            <w:r>
              <w:rPr>
                <w:rFonts w:ascii="Arial" w:hAnsi="Arial" w:eastAsia="Arial"/>
                <w:b/>
                <w:bCs/>
                <w:color w:val="FFFFFF"/>
                <w:sz w:val="16"/>
              </w:rPr>
              <w:t>Layer-specific falsifier</w:t>
            </w:r>
          </w:p>
        </w:tc>
        <w:tc>
          <w:tcPr>
            <w:vAlign w:val="top"/>
            <w:tcMar>
              <w:top w:w="70" w:type="dxa"/>
              <w:start w:w="80" w:type="dxa"/>
              <w:bottom w:w="70" w:type="dxa"/>
              <w:end w:w="80" w:type="dxa"/>
            </w:tcMar>
            <w:shd w:fill="1F4E78"/>
          </w:tcPr>
          <w:p>
            <w:pPr>
              <w:pStyle w:val="Compact"/>
              <w:jc w:val="left"/>
            </w:pPr>
            <w:r>
              <w:rPr>
                <w:rFonts w:ascii="Arial" w:hAnsi="Arial" w:eastAsia="Arial"/>
                <w:b/>
                <w:bCs/>
                <w:color w:val="FFFFFF"/>
                <w:sz w:val="16"/>
              </w:rPr>
              <w:t>Does not by itself falsify</w:t>
            </w:r>
          </w:p>
        </w:tc>
        <w:tc>
          <w:tcPr>
            <w:vAlign w:val="top"/>
            <w:tcMar>
              <w:top w:w="70" w:type="dxa"/>
              <w:start w:w="80" w:type="dxa"/>
              <w:bottom w:w="70" w:type="dxa"/>
              <w:end w:w="80" w:type="dxa"/>
            </w:tcMar>
            <w:shd w:fill="1F4E78"/>
          </w:tcPr>
          <w:p>
            <w:pPr>
              <w:pStyle w:val="Compact"/>
              <w:jc w:val="left"/>
            </w:pPr>
            <w:r>
              <w:rPr>
                <w:rFonts w:ascii="Arial" w:hAnsi="Arial" w:eastAsia="Arial"/>
                <w:b/>
                <w:bCs/>
                <w:color w:val="FFFFFF"/>
                <w:sz w:val="16"/>
              </w:rPr>
              <w:t>Required response</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NCRC</w:t>
            </w:r>
          </w:p>
        </w:tc>
        <w:tc>
          <w:tcPr>
            <w:vAlign w:val="top"/>
            <w:tcMar>
              <w:top w:w="70" w:type="dxa"/>
              <w:start w:w="80" w:type="dxa"/>
              <w:bottom w:w="70" w:type="dxa"/>
              <w:end w:w="80" w:type="dxa"/>
            </w:tcMar>
            <w:shd w:fill="D9EAF7"/>
          </w:tcPr>
          <w:p>
            <w:pPr>
              <w:pStyle w:val="Compact"/>
              <w:jc w:val="left"/>
            </w:pPr>
            <w:r>
              <w:rPr>
                <w:rFonts w:ascii="Arial" w:hAnsi="Arial" w:eastAsia="Arial"/>
                <w:sz w:val="16"/>
              </w:rPr>
              <w:t>Rights-floor breach, unresolved rights uncertainty, or missing rights evidence for a rights-relevant case.</w:t>
            </w:r>
          </w:p>
        </w:tc>
        <w:tc>
          <w:tcPr>
            <w:vAlign w:val="top"/>
            <w:tcMar>
              <w:top w:w="70" w:type="dxa"/>
              <w:start w:w="80" w:type="dxa"/>
              <w:bottom w:w="70" w:type="dxa"/>
              <w:end w:w="80" w:type="dxa"/>
            </w:tcMar>
            <w:shd w:fill="D9EAF7"/>
          </w:tcPr>
          <w:p>
            <w:pPr>
              <w:pStyle w:val="Compact"/>
              <w:jc w:val="left"/>
            </w:pPr>
            <w:r>
              <w:rPr>
                <w:rFonts w:ascii="Arial" w:hAnsi="Arial" w:eastAsia="Arial"/>
                <w:sz w:val="16"/>
              </w:rPr>
              <w:t>RLS arithmetic or UCI/HOI diagnostics.</w:t>
            </w:r>
          </w:p>
        </w:tc>
        <w:tc>
          <w:tcPr>
            <w:vAlign w:val="top"/>
            <w:tcMar>
              <w:top w:w="70" w:type="dxa"/>
              <w:start w:w="80" w:type="dxa"/>
              <w:bottom w:w="70" w:type="dxa"/>
              <w:end w:w="80" w:type="dxa"/>
            </w:tcMar>
            <w:shd w:fill="D9EAF7"/>
          </w:tcPr>
          <w:p>
            <w:pPr>
              <w:pStyle w:val="Compact"/>
              <w:jc w:val="left"/>
            </w:pPr>
            <w:r>
              <w:rPr>
                <w:rFonts w:ascii="Arial" w:hAnsi="Arial" w:eastAsia="Arial"/>
                <w:sz w:val="16"/>
              </w:rPr>
              <w:t>Reject, refuse, or escalate under rights uncertainty.</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TRC</w:t>
            </w:r>
          </w:p>
        </w:tc>
        <w:tc>
          <w:tcPr>
            <w:vAlign w:val="top"/>
            <w:tcMar>
              <w:top w:w="70" w:type="dxa"/>
              <w:start w:w="80" w:type="dxa"/>
              <w:bottom w:w="70" w:type="dxa"/>
              <w:end w:w="80" w:type="dxa"/>
            </w:tcMar>
            <w:shd w:fill="FFFFFF"/>
          </w:tcPr>
          <w:p>
            <w:pPr>
              <w:pStyle w:val="Compact"/>
              <w:jc w:val="left"/>
            </w:pPr>
            <w:r>
              <w:rPr>
                <w:rFonts w:ascii="Arial" w:hAnsi="Arial" w:eastAsia="Arial"/>
                <w:sz w:val="16"/>
              </w:rPr>
              <w:t>Tail-risk/CVaR exceeds governed threshold or catastrophe scenario evidence is insufficient.</w:t>
            </w:r>
          </w:p>
        </w:tc>
        <w:tc>
          <w:tcPr>
            <w:vAlign w:val="top"/>
            <w:tcMar>
              <w:top w:w="70" w:type="dxa"/>
              <w:start w:w="80" w:type="dxa"/>
              <w:bottom w:w="70" w:type="dxa"/>
              <w:end w:w="80" w:type="dxa"/>
            </w:tcMar>
            <w:shd w:fill="FFFFFF"/>
          </w:tcPr>
          <w:p>
            <w:pPr>
              <w:pStyle w:val="Compact"/>
              <w:jc w:val="left"/>
            </w:pPr>
            <w:r>
              <w:rPr>
                <w:rFonts w:ascii="Arial" w:hAnsi="Arial" w:eastAsia="Arial"/>
                <w:sz w:val="16"/>
              </w:rPr>
              <w:t>NCRC analysis already performed.</w:t>
            </w:r>
          </w:p>
        </w:tc>
        <w:tc>
          <w:tcPr>
            <w:vAlign w:val="top"/>
            <w:tcMar>
              <w:top w:w="70" w:type="dxa"/>
              <w:start w:w="80" w:type="dxa"/>
              <w:bottom w:w="70" w:type="dxa"/>
              <w:end w:w="80" w:type="dxa"/>
            </w:tcMar>
            <w:shd w:fill="FFFFFF"/>
          </w:tcPr>
          <w:p>
            <w:pPr>
              <w:pStyle w:val="Compact"/>
              <w:jc w:val="left"/>
            </w:pPr>
            <w:r>
              <w:rPr>
                <w:rFonts w:ascii="Arial" w:hAnsi="Arial" w:eastAsia="Arial"/>
                <w:sz w:val="16"/>
              </w:rPr>
              <w:t>Reject or escalate; do not compensate with welfare score.</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Containment</w:t>
            </w:r>
          </w:p>
        </w:tc>
        <w:tc>
          <w:tcPr>
            <w:vAlign w:val="top"/>
            <w:tcMar>
              <w:top w:w="70" w:type="dxa"/>
              <w:start w:w="80" w:type="dxa"/>
              <w:bottom w:w="70" w:type="dxa"/>
              <w:end w:w="80" w:type="dxa"/>
            </w:tcMar>
            <w:shd w:fill="D9EAF7"/>
          </w:tcPr>
          <w:p>
            <w:pPr>
              <w:pStyle w:val="Compact"/>
              <w:jc w:val="left"/>
            </w:pPr>
            <w:r>
              <w:rPr>
                <w:rFonts w:ascii="Arial" w:hAnsi="Arial" w:eastAsia="Arial"/>
                <w:sz w:val="16"/>
              </w:rPr>
              <w:t>Local gain degrades containing systems beyond declared tolerance or hides cross-scale degradation.</w:t>
            </w:r>
          </w:p>
        </w:tc>
        <w:tc>
          <w:tcPr>
            <w:vAlign w:val="top"/>
            <w:tcMar>
              <w:top w:w="70" w:type="dxa"/>
              <w:start w:w="80" w:type="dxa"/>
              <w:bottom w:w="70" w:type="dxa"/>
              <w:end w:w="80" w:type="dxa"/>
            </w:tcMar>
            <w:shd w:fill="D9EAF7"/>
          </w:tcPr>
          <w:p>
            <w:pPr>
              <w:pStyle w:val="Compact"/>
              <w:jc w:val="left"/>
            </w:pPr>
            <w:r>
              <w:rPr>
                <w:rFonts w:ascii="Arial" w:hAnsi="Arial" w:eastAsia="Arial"/>
                <w:sz w:val="16"/>
              </w:rPr>
              <w:t>Rights or tail-risk verdicts.</w:t>
            </w:r>
          </w:p>
        </w:tc>
        <w:tc>
          <w:tcPr>
            <w:vAlign w:val="top"/>
            <w:tcMar>
              <w:top w:w="70" w:type="dxa"/>
              <w:start w:w="80" w:type="dxa"/>
              <w:bottom w:w="70" w:type="dxa"/>
              <w:end w:w="80" w:type="dxa"/>
            </w:tcMar>
            <w:shd w:fill="D9EAF7"/>
          </w:tcPr>
          <w:p>
            <w:pPr>
              <w:pStyle w:val="Compact"/>
              <w:jc w:val="left"/>
            </w:pPr>
            <w:r>
              <w:rPr>
                <w:rFonts w:ascii="Arial" w:hAnsi="Arial" w:eastAsia="Arial"/>
                <w:sz w:val="16"/>
              </w:rPr>
              <w:t>Reject as selectable; record containment rationale.</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RLS</w:t>
            </w:r>
          </w:p>
        </w:tc>
        <w:tc>
          <w:tcPr>
            <w:vAlign w:val="top"/>
            <w:tcMar>
              <w:top w:w="70" w:type="dxa"/>
              <w:start w:w="80" w:type="dxa"/>
              <w:bottom w:w="70" w:type="dxa"/>
              <w:end w:w="80" w:type="dxa"/>
            </w:tcMar>
            <w:shd w:fill="FFFFFF"/>
          </w:tcPr>
          <w:p>
            <w:pPr>
              <w:pStyle w:val="Compact"/>
              <w:jc w:val="left"/>
            </w:pPr>
            <w:r>
              <w:rPr>
                <w:rFonts w:ascii="Arial" w:hAnsi="Arial" w:eastAsia="Arial"/>
                <w:sz w:val="16"/>
              </w:rPr>
              <w:t>Wrong welfare cells, weights, evidence grade, aggregation, or sensitivity posture.</w:t>
            </w:r>
          </w:p>
        </w:tc>
        <w:tc>
          <w:tcPr>
            <w:vAlign w:val="top"/>
            <w:tcMar>
              <w:top w:w="70" w:type="dxa"/>
              <w:start w:w="80" w:type="dxa"/>
              <w:bottom w:w="70" w:type="dxa"/>
              <w:end w:w="80" w:type="dxa"/>
            </w:tcMar>
            <w:shd w:fill="FFFFFF"/>
          </w:tcPr>
          <w:p>
            <w:pPr>
              <w:pStyle w:val="Compact"/>
              <w:jc w:val="left"/>
            </w:pPr>
            <w:r>
              <w:rPr>
                <w:rFonts w:ascii="Arial" w:hAnsi="Arial" w:eastAsia="Arial"/>
                <w:sz w:val="16"/>
              </w:rPr>
              <w:t>Admissibility gate outcomes.</w:t>
            </w:r>
          </w:p>
        </w:tc>
        <w:tc>
          <w:tcPr>
            <w:vAlign w:val="top"/>
            <w:tcMar>
              <w:top w:w="70" w:type="dxa"/>
              <w:start w:w="80" w:type="dxa"/>
              <w:bottom w:w="70" w:type="dxa"/>
              <w:end w:w="80" w:type="dxa"/>
            </w:tcMar>
            <w:shd w:fill="FFFFFF"/>
          </w:tcPr>
          <w:p>
            <w:pPr>
              <w:pStyle w:val="Compact"/>
              <w:jc w:val="left"/>
            </w:pPr>
            <w:r>
              <w:rPr>
                <w:rFonts w:ascii="Arial" w:hAnsi="Arial" w:eastAsia="Arial"/>
                <w:sz w:val="16"/>
              </w:rPr>
              <w:t>Recompute or mark non-decisive; do not reopen failed gates.</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UCI/HOI</w:t>
            </w:r>
          </w:p>
        </w:tc>
        <w:tc>
          <w:tcPr>
            <w:vAlign w:val="top"/>
            <w:tcMar>
              <w:top w:w="70" w:type="dxa"/>
              <w:start w:w="80" w:type="dxa"/>
              <w:bottom w:w="70" w:type="dxa"/>
              <w:end w:w="80" w:type="dxa"/>
            </w:tcMar>
            <w:shd w:fill="D9EAF7"/>
          </w:tcPr>
          <w:p>
            <w:pPr>
              <w:pStyle w:val="Compact"/>
              <w:jc w:val="left"/>
            </w:pPr>
            <w:r>
              <w:rPr>
                <w:rFonts w:ascii="Arial" w:hAnsi="Arial" w:eastAsia="Arial"/>
                <w:sz w:val="16"/>
              </w:rPr>
              <w:t>Structural metric evidence, normalization, or tie-break application is defective.</w:t>
            </w:r>
          </w:p>
        </w:tc>
        <w:tc>
          <w:tcPr>
            <w:vAlign w:val="top"/>
            <w:tcMar>
              <w:top w:w="70" w:type="dxa"/>
              <w:start w:w="80" w:type="dxa"/>
              <w:bottom w:w="70" w:type="dxa"/>
              <w:end w:w="80" w:type="dxa"/>
            </w:tcMar>
            <w:shd w:fill="D9EAF7"/>
          </w:tcPr>
          <w:p>
            <w:pPr>
              <w:pStyle w:val="Compact"/>
              <w:jc w:val="left"/>
            </w:pPr>
            <w:r>
              <w:rPr>
                <w:rFonts w:ascii="Arial" w:hAnsi="Arial" w:eastAsia="Arial"/>
                <w:sz w:val="16"/>
              </w:rPr>
              <w:t>NCRC/TRC/CSV/RLS by itself.</w:t>
            </w:r>
          </w:p>
        </w:tc>
        <w:tc>
          <w:tcPr>
            <w:vAlign w:val="top"/>
            <w:tcMar>
              <w:top w:w="70" w:type="dxa"/>
              <w:start w:w="80" w:type="dxa"/>
              <w:bottom w:w="70" w:type="dxa"/>
              <w:end w:w="80" w:type="dxa"/>
            </w:tcMar>
            <w:shd w:fill="D9EAF7"/>
          </w:tcPr>
          <w:p>
            <w:pPr>
              <w:pStyle w:val="Compact"/>
              <w:jc w:val="left"/>
            </w:pPr>
            <w:r>
              <w:rPr>
                <w:rFonts w:ascii="Arial" w:hAnsi="Arial" w:eastAsia="Arial"/>
                <w:sz w:val="16"/>
              </w:rPr>
              <w:t>Recompute diagnostic or remove tie-break claim.</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PCC / audit</w:t>
            </w:r>
          </w:p>
        </w:tc>
        <w:tc>
          <w:tcPr>
            <w:vAlign w:val="top"/>
            <w:tcMar>
              <w:top w:w="70" w:type="dxa"/>
              <w:start w:w="80" w:type="dxa"/>
              <w:bottom w:w="70" w:type="dxa"/>
              <w:end w:w="80" w:type="dxa"/>
            </w:tcMar>
            <w:shd w:fill="FFFFFF"/>
          </w:tcPr>
          <w:p>
            <w:pPr>
              <w:pStyle w:val="Compact"/>
              <w:jc w:val="left"/>
            </w:pPr>
            <w:r>
              <w:rPr>
                <w:rFonts w:ascii="Arial" w:hAnsi="Arial" w:eastAsia="Arial"/>
                <w:sz w:val="16"/>
              </w:rPr>
              <w:t>Missing provenance, closure, evidence, reviewer trace, or claim-boundary record.</w:t>
            </w:r>
          </w:p>
        </w:tc>
        <w:tc>
          <w:tcPr>
            <w:vAlign w:val="top"/>
            <w:tcMar>
              <w:top w:w="70" w:type="dxa"/>
              <w:start w:w="80" w:type="dxa"/>
              <w:bottom w:w="70" w:type="dxa"/>
              <w:end w:w="80" w:type="dxa"/>
            </w:tcMar>
            <w:shd w:fill="FFFFFF"/>
          </w:tcPr>
          <w:p>
            <w:pPr>
              <w:pStyle w:val="Compact"/>
              <w:jc w:val="left"/>
            </w:pPr>
            <w:r>
              <w:rPr>
                <w:rFonts w:ascii="Arial" w:hAnsi="Arial" w:eastAsia="Arial"/>
                <w:sz w:val="16"/>
              </w:rPr>
              <w:t>The underlying ethical truth of the situation.</w:t>
            </w:r>
          </w:p>
        </w:tc>
        <w:tc>
          <w:tcPr>
            <w:vAlign w:val="top"/>
            <w:tcMar>
              <w:top w:w="70" w:type="dxa"/>
              <w:start w:w="80" w:type="dxa"/>
              <w:bottom w:w="70" w:type="dxa"/>
              <w:end w:w="80" w:type="dxa"/>
            </w:tcMar>
            <w:shd w:fill="FFFFFF"/>
          </w:tcPr>
          <w:p>
            <w:pPr>
              <w:pStyle w:val="Compact"/>
              <w:jc w:val="left"/>
            </w:pPr>
            <w:r>
              <w:rPr>
                <w:rFonts w:ascii="Arial" w:hAnsi="Arial" w:eastAsia="Arial"/>
                <w:sz w:val="16"/>
              </w:rPr>
              <w:t>Invalidate conformance or maturity claim until record is repaired.</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SGP interface</w:t>
            </w:r>
          </w:p>
        </w:tc>
        <w:tc>
          <w:tcPr>
            <w:vAlign w:val="top"/>
            <w:tcMar>
              <w:top w:w="70" w:type="dxa"/>
              <w:start w:w="80" w:type="dxa"/>
              <w:bottom w:w="70" w:type="dxa"/>
              <w:end w:w="80" w:type="dxa"/>
            </w:tcMar>
            <w:shd w:fill="D9EAF7"/>
          </w:tcPr>
          <w:p>
            <w:pPr>
              <w:pStyle w:val="Compact"/>
              <w:jc w:val="left"/>
            </w:pPr>
            <w:r>
              <w:rPr>
                <w:rFonts w:ascii="Arial" w:hAnsi="Arial" w:eastAsia="Arial"/>
                <w:sz w:val="16"/>
              </w:rPr>
              <w:t>SGP output lacks evidence tier, scoring version, reviewer status, uncertainty, or maturity boundary for its claimed use.</w:t>
            </w:r>
          </w:p>
        </w:tc>
        <w:tc>
          <w:tcPr>
            <w:vAlign w:val="top"/>
            <w:tcMar>
              <w:top w:w="70" w:type="dxa"/>
              <w:start w:w="80" w:type="dxa"/>
              <w:bottom w:w="70" w:type="dxa"/>
              <w:end w:w="80" w:type="dxa"/>
            </w:tcMar>
            <w:shd w:fill="D9EAF7"/>
          </w:tcPr>
          <w:p>
            <w:pPr>
              <w:pStyle w:val="Compact"/>
              <w:jc w:val="left"/>
            </w:pPr>
            <w:r>
              <w:rPr>
                <w:rFonts w:ascii="Arial" w:hAnsi="Arial" w:eastAsia="Arial"/>
                <w:sz w:val="16"/>
              </w:rPr>
              <w:t>NCRC, TRC, CSV, lawful authority, or governance-role requirements.</w:t>
            </w:r>
          </w:p>
        </w:tc>
        <w:tc>
          <w:tcPr>
            <w:vAlign w:val="top"/>
            <w:tcMar>
              <w:top w:w="70" w:type="dxa"/>
              <w:start w:w="80" w:type="dxa"/>
              <w:bottom w:w="70" w:type="dxa"/>
              <w:end w:w="80" w:type="dxa"/>
            </w:tcMar>
            <w:shd w:fill="D9EAF7"/>
          </w:tcPr>
          <w:p>
            <w:pPr>
              <w:pStyle w:val="Compact"/>
              <w:jc w:val="left"/>
            </w:pPr>
            <w:r>
              <w:rPr>
                <w:rFonts w:ascii="Arial" w:hAnsi="Arial" w:eastAsia="Arial"/>
                <w:sz w:val="16"/>
              </w:rPr>
              <w:t>Treat as governed evidence limitation; do not use as override.</w:t>
            </w:r>
          </w:p>
        </w:tc>
      </w:tr>
    </w:tbl>
    <w:bookmarkEnd w:id="653"/>
    <w:bookmarkStart w:id="654" w:name="Xbd06724372bba0eacaada45b5d5cfbb6fc75d91"/>
    <w:p>
      <w:pPr>
        <w:pStyle w:val="Heading2"/>
      </w:pPr>
      <w:r>
        <w:t>AE.4 Reference, preference, number, and claim discipline</w:t>
      </w:r>
    </w:p>
    <w:p>
      <w:pPr>
        <w:pStyle w:val="FirstParagraph"/>
      </w:pPr>
      <w:r>
        <w:t>For RippleLogic runs, a numerical value is a representation of a declared evidence process, not truth itself. Implementations SHOULD distinguish: evidence source, measurement reference, governance preference or weighting choice, numerical representation, and public claim. Collapsing these layers is a category-collapse defect.</w:t>
      </w:r>
    </w:p>
    <w:p>
      <w:pPr>
        <w:pStyle w:val="BodyText"/>
      </w:pPr>
      <w:r>
        <w:t>Reference/preference rule. A measurement reference identifies how a claim is grounded. A governance preference identifies an explicit normative or procedural choice, such as a weight, threshold, epsilon, or materiality rule. A number is the final representation after those choices. The PCC SHOULD disclose all three when the value is decision-material.</w:t>
      </w:r>
    </w:p>
    <w:bookmarkEnd w:id="654"/>
    <w:bookmarkStart w:id="655" w:name="X73a81f403e242955a28b1239779d7c7b7ea914d"/>
    <w:p>
      <w:pPr>
        <w:pStyle w:val="Heading2"/>
      </w:pPr>
      <w:r>
        <w:t>AE.5 Adaptive Reserve / Saturation Diagnostic</w:t>
      </w:r>
    </w:p>
    <w:p>
      <w:pPr>
        <w:pStyle w:val="FirstParagraph"/>
      </w:pPr>
      <w:r>
        <w:t>Adaptive Reserve is a carried-forward v10.8 structural diagnostic for detecting whether an option consumes so much social, institutional, ecological, cognitive, financial, or operational slack that the system becomes brittle even when immediate welfare scores appear positive.</w:t>
      </w:r>
    </w:p>
    <w:p>
      <w:pPr>
        <w:pStyle w:val="BodyText"/>
      </w:pPr>
      <w:r>
        <w:t>Status. Adaptive Reserve is not a sixth gate in the current v12.3 line. It is a UCI/HOI-compatible diagnostic and containment-support signal. It MAY trigger review, sensitivity analysis, or escalation. It MUST NOT rescue an option that failed NCRC, TRC, or CSV.</w:t>
      </w:r>
    </w:p>
    <w:p>
      <w:pPr>
        <w:pStyle w:val="BodyText"/>
      </w:pPr>
      <w:r>
        <w:t>Minimum fields. When used, implementations SHOULD record reserve domain, baseline reserve, projected reserve after option, recovery path, redundancy state, reversibility, monitoring trigger, and saturation risk.</w:t>
      </w:r>
    </w:p>
    <w:bookmarkEnd w:id="655"/>
    <w:bookmarkStart w:id="656" w:name="ae6-v108-release-delta"/>
    <w:p>
      <w:pPr>
        <w:pStyle w:val="Heading2"/>
      </w:pPr>
      <w:r>
        <w:t>AE.6 v10.8 release delta</w:t>
      </w:r>
    </w:p>
    <w:p>
      <w:pPr>
        <w:pStyle w:val="FirstParagraph"/>
      </w:pPr>
      <w:r>
        <w:t>Release Delta (v10.7 → v10.8). v10.8 adds explicit computable-but-inadmissible discipline, a layer-specific falsification matrix, a reference/preference/number claim boundary, and an optional Adaptive Reserve diagnostic. It does not alter the cascade, equations, rights thresholds, TRC mechanics, Containment semantics, SGP binding interface, PLSS residual-only rule, or Tier 4 claim boundary.</w:t>
      </w:r>
    </w:p>
    <w:bookmarkEnd w:id="656"/>
    <w:bookmarkEnd w:id="657"/>
    <w:bookmarkStart w:id="667" w:name="Xaa95fce01210569459b807f7a54516f7e7e8974"/>
    <w:p>
      <w:pPr>
        <w:pStyle w:val="Heading1"/>
      </w:pPr>
      <w:r>
        <w:t>APPENDIX AF: Decision Verdict Semantics, Projection Freeze, Closure Status, and Authority-Selection Separation</w:t>
      </w:r>
    </w:p>
    <w:bookmarkStart w:id="658" w:name="af1-purpose-and-release-boundary"/>
    <w:p>
      <w:pPr>
        <w:pStyle w:val="Heading2"/>
      </w:pPr>
      <w:r>
        <w:t>AF.1 Purpose and release boundary</w:t>
      </w:r>
    </w:p>
    <w:p>
      <w:pPr>
        <w:pStyle w:val="FirstParagraph"/>
      </w:pPr>
      <w:r>
        <w:t>This v10.8 hardening appendix strengthens RippleLogic’s own decision-state discipline without importing any external ontology, physics claim, proprietary framework, or hidden implementation layer. It preserves the canonical cascade Reality Grounding → Rights Floor → TRC → CSV → RLS. It does not change any rights threshold, TRC/CVaR rule, Containment rule, PLSS rule, SGP interface, UCI/HOI definition, or Tier-4 claim boundary.</w:t>
      </w:r>
    </w:p>
    <w:p>
      <w:pPr>
        <w:pStyle w:val="BodyText"/>
      </w:pPr>
      <w:r>
        <w:t>Normative effect. Appendix AF adds output semantics, audit fields, and refusal/authority-separation rules. It clarifies what a RippleLogic run may claim when gates pass but the remaining admissible options are non-unique, evidence is insufficient, coverage is incomplete, or RLS/tie-breaks are non-decisive.</w:t>
      </w:r>
    </w:p>
    <w:bookmarkEnd w:id="658"/>
    <w:bookmarkStart w:id="659" w:name="af2-decision-verdict-states"/>
    <w:p>
      <w:pPr>
        <w:pStyle w:val="Heading2"/>
      </w:pPr>
      <w:r>
        <w:t>AF.2 Decision verdict states</w:t>
      </w:r>
    </w:p>
    <w:p>
      <w:pPr>
        <w:pStyle w:val="FirstParagraph"/>
      </w:pPr>
      <w:r>
        <w:t>FrameworkVerdict is the technical verdict emitted by the declared cascade, evidence-status checks, thresholds, scoring rules, tie-breaks, and refusal conditions. AuthoritySelection is a separate governance or operator act made after the FrameworkVerdict has been disclosed. Implementations MUST NOT present an authority selection as a deterministic framework selection.</w:t>
      </w:r>
    </w:p>
    <w:p>
      <w:pPr>
        <w:pStyle w:val="BodyText"/>
      </w:pPr>
      <w:r>
        <w:t>The allowed FrameworkVerdict values are: BLOCK, REFUSE_DETERMINISTIC_SELECTION, ALLOW_FRAMEWORK_SELECTION, and ESCALATE. AUTHORIZED_SELECTION is not a FrameworkVerdict; it is an authority record linked to the verdict when lawful or legitimate authority chooses among disclosed admissible options.</w:t>
      </w:r>
    </w:p>
    <w:p>
      <w:pPr>
        <w:pStyle w:val="BodyText"/>
      </w:pPr>
      <w:r>
        <w:t>BLOCK means that no option may proceed under the claimed posture because a non-negotiable gate fails, no option remains admissible, or a required coverage/evidence condition invalidates the run. REFUSE_DETERMINISTIC_SELECTION means that at least one option remains admissible, but the framework refuses to claim a unique technical selection because evidence is insufficient, coverage is incomplete, the option set is non-unique, RLS is non-decisive, or the tie-break chain does not resolve the choice. ALLOW_FRAMEWORK_SELECTION means that the declared cascade and selection procedure produce one uniquely claimable option under the stated tier, evidence, and projection boundary. ESCALATE means additional evidence, higher-tier review, stakeholder challenge, expert review, or governance authorization is required.</w:t>
      </w:r>
    </w:p>
    <w:bookmarkEnd w:id="659"/>
    <w:bookmarkStart w:id="660" w:name="af3-non-decisive-admissible-sets"/>
    <w:p>
      <w:pPr>
        <w:pStyle w:val="Heading2"/>
      </w:pPr>
      <w:r>
        <w:t>AF.3 Non-decisive admissible sets</w:t>
      </w:r>
    </w:p>
    <w:p>
      <w:pPr>
        <w:pStyle w:val="FirstParagraph"/>
      </w:pPr>
      <w:r>
        <w:t>When NCRC, TRC, and required Containment checks leave multiple admissible options and RLS/tie-breaks do not yield a decisive selection under declared thresholds, RippleLogic MUST NOT claim unique deterministic framework selection. The correct technical outcome is REFUSE_DETERMINISTIC_SELECTION with an AdmissibleOptionSet and a reason code. A governance process MAY still choose among admissible options, but that choice MUST be recorded separately as an AuthoritySelectionRecord.</w:t>
      </w:r>
    </w:p>
    <w:p>
      <w:pPr>
        <w:pStyle w:val="BodyText"/>
      </w:pPr>
      <w:r>
        <w:t>Minimum fields for a non-decisive admissible set are: FrameworkVerdict, AdmissibleOptionSet, DeterministicSelectionClaim=false, NonDecisiveReason, AuthoritySelectionRecord if one exists, AuthorityBasis, ReviewerRequired, and DisclosureText.</w:t>
      </w:r>
    </w:p>
    <w:bookmarkEnd w:id="660"/>
    <w:bookmarkStart w:id="661" w:name="af4-projectionpreregistration-visibility"/>
    <w:p>
      <w:pPr>
        <w:pStyle w:val="Heading2"/>
      </w:pPr>
      <w:r>
        <w:t>AF.4 ProjectionPreRegistration visibility</w:t>
      </w:r>
    </w:p>
    <w:p>
      <w:pPr>
        <w:pStyle w:val="FirstParagraph"/>
      </w:pPr>
      <w:r>
        <w:t>For Tier 3, high-stakes Tier 2, and future ProofPack-prep claims, implementations SHOULD expose whether a ProjectionPreRegistration object exists, what it hash-pins, and whether any material post-observation modification occurred. Scenario sets, CVaR confidence, TRC thresholds, uncertainty parameters, weights, scope declarations, SGP bindings, and refusal/escalation conditions SHOULD be frozen before the run for any claim-bearing evaluation. Post-observation modification creates a new run boundary unless explicitly recorded as exploratory analysis.</w:t>
      </w:r>
    </w:p>
    <w:bookmarkEnd w:id="661"/>
    <w:bookmarkStart w:id="662" w:name="af5-closure-and-coverage-status"/>
    <w:p>
      <w:pPr>
        <w:pStyle w:val="Heading2"/>
      </w:pPr>
      <w:r>
        <w:t>AF.5 Closure and coverage status</w:t>
      </w:r>
    </w:p>
    <w:p>
      <w:pPr>
        <w:pStyle w:val="FirstParagraph"/>
      </w:pPr>
      <w:r>
        <w:t>Required evidence surfaces MUST NOT silently default missing information to zero. Each required cell, right, scenario input, stakeholder mapping, SGP object, and projection input SHOULD carry a CoverageStatus: VALUE, ESTIMATE, ASSUMPTION, BLANK_BY_DESIGN, DECLARED_UNKNOWN, NOT_APPLICABLE, or MISSING_UNDECLARED. DECLARED_UNKNOWN may trigger REFUSE or ESCALATE when the unknown affects admissibility, selection, or tier claim. MISSING_UNDECLARED is non-conformant for claim-bearing runs.</w:t>
      </w:r>
    </w:p>
    <w:bookmarkEnd w:id="662"/>
    <w:bookmarkStart w:id="663" w:name="af6-falsification-classes"/>
    <w:p>
      <w:pPr>
        <w:pStyle w:val="Heading2"/>
      </w:pPr>
      <w:r>
        <w:t>AF.6 Falsification classes</w:t>
      </w:r>
    </w:p>
    <w:p>
      <w:pPr>
        <w:pStyle w:val="FirstParagraph"/>
      </w:pPr>
      <w:r>
        <w:t>Validation and failure records SHOULD identify the failure class rather than collapsing all failed tests into a generic defect. The recommended FalsificationClass values are DATA_FAILURE, PROJECTION_FAILURE, PARAMETER_FAILURE, OPERATOR_FAILURE, PRIMITIVE_CHALLENGE, GOVERNANCE_FAILURE, and COMMUNICATION_FAILURE. A failed projection or bad parameter does not automatically falsify the Canon; it identifies the layer that must be repaired or retested.</w:t>
      </w:r>
    </w:p>
    <w:bookmarkEnd w:id="663"/>
    <w:bookmarkStart w:id="664" w:name="af7-authority-selection-record"/>
    <w:p>
      <w:pPr>
        <w:pStyle w:val="Heading2"/>
      </w:pPr>
      <w:r>
        <w:t>AF.7 Authority-selection record</w:t>
      </w:r>
    </w:p>
    <w:p>
      <w:pPr>
        <w:pStyle w:val="FirstParagraph"/>
      </w:pPr>
      <w:r>
        <w:t>AuthoritySelectionRecord documents a human, institutional, democratic, expert, emergency, or operator selection made after the framework has disclosed its technical verdict. It MUST identify selected option, authority type, authority basis, admissible option set, non-decisiveness disclosure, reviewer requirement, and whether the selection is lawful or policy-authorized within the deployment context. Authority selection does not convert REFUSE_DETERMINISTIC_SELECTION into ALLOW_FRAMEWORK_SELECTION.</w:t>
      </w:r>
    </w:p>
    <w:bookmarkEnd w:id="664"/>
    <w:bookmarkStart w:id="665" w:name="X9ffde65d104579f704f6eada9f6148ab3b73bbb"/>
    <w:p>
      <w:pPr>
        <w:pStyle w:val="Heading2"/>
      </w:pPr>
      <w:r>
        <w:t>AF.8 Reality-contact and primitive-clarity discipline</w:t>
      </w:r>
    </w:p>
    <w:p>
      <w:pPr>
        <w:pStyle w:val="FirstParagraph"/>
      </w:pPr>
      <w:r>
        <w:t>Reality-contact discipline clarifies P1 without expanding RippleLogic into a total metaphysics. A failed claim about reality does not mean reality failed; it means the evidence, projection, model, interpretation, or authority claim failed to make adequate contact with the relevant reality surface.</w:t>
      </w:r>
    </w:p>
    <w:p>
      <w:pPr>
        <w:pStyle w:val="BodyText"/>
      </w:pPr>
      <w:r>
        <w:t>Reality-contact failures SHALL be classified for Tier 2 and Tier 3 claim-bearing runs as one or more of: DATA_FAILURE, PROJECTION_FAILURE, PARAMETER_FAILURE, OPERATOR_FAILURE, GOVERNANCE_FAILURE, COMMUNICATION_FAILURE, or PRIMITIVE_CHALLENGE. A revised claim after a reality-grounding failure is a new claim; it SHALL NOT be counted as the original claim having succeeded.</w:t>
      </w:r>
    </w:p>
    <w:p>
      <w:pPr>
        <w:pStyle w:val="BodyText"/>
      </w:pPr>
      <w:r>
        <w:t>The framework itself is part of the social and institutional reality it affects. Any deployment of MathGov, RippleLogic, SGP, ripple.md, or RL_Agent that materially shapes decisions, incentives, authority, or public belief is subject to the same reality-grounding audit discipline it applies to other systems.</w:t>
      </w:r>
    </w:p>
    <w:bookmarkEnd w:id="665"/>
    <w:bookmarkStart w:id="666" w:name="af9-v108-release-delta"/>
    <w:p>
      <w:pPr>
        <w:pStyle w:val="Heading2"/>
      </w:pPr>
      <w:r>
        <w:t>AF.9 v10.8 release delta</w:t>
      </w:r>
    </w:p>
    <w:p>
      <w:pPr>
        <w:pStyle w:val="FirstParagraph"/>
      </w:pPr>
      <w:r>
        <w:t>Release Delta (v10.6 → v10.8). The v10.8 release line carries forward decision-verdict semantics, authority-selection separation, projection-freeze visibility, coverage-status closure discipline, falsification-class taxonomy, and the root reality doctrine / reality-grounding consistency patch. It is a hardening patch only. It does not add a new gate, alter the cascade, import an external ontology, or make Tier 4, ProofPack, empirical-validation, legal-certification, or deployment-readiness claims available.</w:t>
      </w:r>
    </w:p>
    <w:p>
      <w:pPr>
        <w:pStyle w:val="BodyText"/>
      </w:pPr>
      <w:r>
        <w:t>Appendices AG and AH carry the v10.8 Reality Grounding / Lean Cascade and Category Grounding patches and are part of this canonical artifact.</w:t>
      </w:r>
    </w:p>
    <w:bookmarkEnd w:id="666"/>
    <w:bookmarkEnd w:id="667"/>
    <w:bookmarkStart w:id="668" w:name="X52802bf7612dc4d0b43945964b18e5918aa010b"/>
    <w:p>
      <w:pPr>
        <w:pStyle w:val="Heading1"/>
      </w:pPr>
      <w:r>
        <w:t>APPENDIX AG: CARRIED-FORWARD v10.8 REALITY GROUNDING AND LEAN CASCADE PATCH (CURRENTLY PRESERVED THROUGH v12.3)</w:t>
      </w:r>
    </w:p>
    <w:p>
      <w:pPr>
        <w:pStyle w:val="FirstParagraph"/>
      </w:pPr>
      <w:r>
        <w:t>Status. Appendix AG records the v10.8 substance update carried forward inside the v12.2 release line. Appendix AC remains controlling for release metadata and claim boundaries where conflicts appear.</w:t>
      </w:r>
    </w:p>
    <w:p>
      <w:pPr>
        <w:pStyle w:val="BodyText"/>
      </w:pPr>
      <w:r>
        <w:t>Core method. The public-facing RippleLogic method inside the MathGov framework is now: Reality Grounding -&gt; Rights Floor -&gt; TRC -&gt; CSV -&gt; RLS, or compactly RG -&gt; RF -&gt; TRC -&gt; CSV -&gt; RLS.</w:t>
      </w:r>
    </w:p>
    <w:p>
      <w:pPr>
        <w:pStyle w:val="BodyText"/>
      </w:pPr>
      <w:r>
        <w:t>Formal method. The formal implementation is: RG/RSG -&gt; RF/NCRC -&gt; TRC -&gt; CSV -&gt; RLS. RF names the public layer; NCRC names the formal rights predicate.</w:t>
      </w:r>
    </w:p>
    <w:p>
      <w:pPr>
        <w:pStyle w:val="BodyText"/>
      </w:pPr>
      <w:r>
        <w:t>Reality Grounding. Level 1 declares the reality surface, evidence trace, material unknowns, transition boundary, consequence pathways, and claim boundary. No claim may exceed its reality surface.</w:t>
      </w:r>
    </w:p>
    <w:p>
      <w:pPr>
        <w:pStyle w:val="BodyText"/>
      </w:pPr>
      <w:r>
        <w:t>UCI/HOI placement. UCI/HOI are structural diagnostic instruments, not public headline cascade stages. Gate-relevant UCI/HOI evidence belongs inside CSV. Residual UCI/HOI applies only when RLS is tied, close, uncertainty-overlapped, or non-decisive, or when monitoring/hollowing documentation is required.</w:t>
      </w:r>
    </w:p>
    <w:p>
      <w:pPr>
        <w:pStyle w:val="BodyText"/>
      </w:pPr>
      <w:r>
        <w:t>PLSS. PLSS remains the zoom lens, not the safety waiver. It adjusts residual welfare-ranking attention only after admissibility has been preserved and cannot omit containment-relevant structural diagnostics.</w:t>
      </w:r>
    </w:p>
    <w:p>
      <w:pPr>
        <w:pStyle w:val="BodyText"/>
      </w:pPr>
      <w:r>
        <w:t>Boundary. This release does not claim Tier 4, ProofPack readiness, empirical validation, legal certification, deployment certification, or deterministic selection where the run is non-decisive.</w:t>
      </w:r>
    </w:p>
    <w:bookmarkEnd w:id="668"/>
    <w:bookmarkStart w:id="677" w:name="X17f4dae39909bdcbe272c87b12f92f624f2e8d2"/>
    <w:p>
      <w:pPr>
        <w:pStyle w:val="Heading1"/>
      </w:pPr>
      <w:r>
        <w:t>APPENDIX AH: CATEGORY GROUNDING AND PRIMITIVE AUDIT PROTOCOL</w:t>
      </w:r>
    </w:p>
    <w:bookmarkStart w:id="669" w:name="ah1-status-and-placement"/>
    <w:p>
      <w:pPr>
        <w:pStyle w:val="Heading2"/>
      </w:pPr>
      <w:r>
        <w:t>AH.1 Status and placement</w:t>
      </w:r>
    </w:p>
    <w:p>
      <w:pPr>
        <w:pStyle w:val="FirstParagraph"/>
      </w:pPr>
      <w:r>
        <w:t>Status. Appendix AH is a normative clarification for claim-bearing Tier 2 and Tier 3 runs and an informative design guide for lower-stakes runs. It is part of the Reality Grounding layer. It does not create a sixth public method level and does not weaken NCRC, TRC, CSV, RLS, PLSS boundaries, SGP boundaries, lawful authority boundaries, or Tier 4/ProofPack boundaries.</w:t>
      </w:r>
    </w:p>
    <w:p>
      <w:pPr>
        <w:pStyle w:val="BodyText"/>
      </w:pPr>
      <w:r>
        <w:t>Placement rule. Category Grounding, Primitive Audit, Reference Category Review, Definition Falsification Test, and Category-Reality Correspondence Check are one grouped subdiscipline under Reality Grounding when material. Implementers MAY use these names as subfields or review views, but MUST NOT split them into competing cascade stages or treat them as optional decorative terminology when category choice is material.</w:t>
      </w:r>
    </w:p>
    <w:bookmarkEnd w:id="669"/>
    <w:bookmarkStart w:id="670" w:name="ah2-definitions"/>
    <w:p>
      <w:pPr>
        <w:pStyle w:val="Heading2"/>
      </w:pPr>
      <w:r>
        <w:t>AH.2 Definitions</w:t>
      </w:r>
    </w:p>
    <w:p>
      <w:pPr>
        <w:pStyle w:val="FirstParagraph"/>
      </w:pPr>
      <w:r>
        <w:t>Category. A category is an operational class used by a RippleLogic run to identify, group, measure, protect, score, govern, authorize, or execute against phenomena. Examples include person, stakeholder, union scope, harm, right, sentience, agency, intelligence, safety, stability, risk, authority, protection, flourishing, containment, and alignment.</w:t>
      </w:r>
    </w:p>
    <w:p>
      <w:pPr>
        <w:pStyle w:val="BodyText"/>
      </w:pPr>
      <w:r>
        <w:t>Category Grounding. Category Grounding is the Reality Grounding subdiscipline that checks whether a material category has a declared definition, inclusion boundary, exclusion boundary, reference structure, evidence surface, maturity status, and falsification or revision trigger sufficient for the claim being made.</w:t>
      </w:r>
    </w:p>
    <w:p>
      <w:pPr>
        <w:pStyle w:val="BodyText"/>
      </w:pPr>
      <w:r>
        <w:t>Primitive Audit. Primitive Audit is the review of a framework starting point or imported foundational term, including its dependency basis, operational role, limits, plausible failure modes, and revision conditions. Primitive Audit is required when a run, release, or public claim materially depends on a primitive in a contested or high-consequence way.</w:t>
      </w:r>
    </w:p>
    <w:p>
      <w:pPr>
        <w:pStyle w:val="BodyText"/>
      </w:pPr>
      <w:r>
        <w:t>Semantic Debt. Semantic debt is the accumulated governance, measurement, operational, and ethical burden created when a decision system continues to use categories whose reality correspondence, boundary conditions, or falsification status are weak, stale, inherited, contested, or unreviewed. Semantic debt is not automatically a gate failure, but it raises review priority and may require claim narrowing, monitoring, escalation, or refusal when material.</w:t>
      </w:r>
    </w:p>
    <w:p>
      <w:pPr>
        <w:pStyle w:val="BodyText"/>
      </w:pPr>
      <w:r>
        <w:t>Term Discrimination. Term Discrimination is the Category Grounding subdiscipline that states what a material term means, what it does not mean, what discriminator separates it from nearby terms, where it sits in the dependency order, and when the term must be narrowed, escalated, monitored, treated as sensitivity-only, or refused.</w:t>
      </w:r>
    </w:p>
    <w:p>
      <w:pPr>
        <w:pStyle w:val="BodyText"/>
      </w:pPr>
      <w:r>
        <w:t>Category Discriminator. A category discriminator is the decisive property that separates a material category or term from neighboring categories it is likely to be confused with.</w:t>
      </w:r>
    </w:p>
    <w:p>
      <w:pPr>
        <w:pStyle w:val="BodyText"/>
      </w:pPr>
      <w:r>
        <w:t>Dependency Position. Dependency position is the location of the term in the decision stack, such as reality-surface, evidence-trace, category-boundary, rights-admissibility, tail-risk-admissibility, containment-selectability, residual-ranking, framework-verdict, authority-selection, execution-authority, monitoring, certification, or public-claim.</w:t>
      </w:r>
    </w:p>
    <w:bookmarkEnd w:id="670"/>
    <w:bookmarkStart w:id="671" w:name="ah3-trigger-conditions"/>
    <w:p>
      <w:pPr>
        <w:pStyle w:val="Heading2"/>
      </w:pPr>
      <w:r>
        <w:t>AH.3 Trigger conditions</w:t>
      </w:r>
    </w:p>
    <w:p>
      <w:pPr>
        <w:pStyle w:val="FirstParagraph"/>
      </w:pPr>
      <w:r>
        <w:t>A CategoryGroundingRecord is REQUIRED for claim-bearing Tier 3 runs, high-stakes Tier 2 runs, and public conformance claims when any of the following are material: (1) the category affects NCRC protection, stakeholder inclusion, or rights-floor localization; (2) the category affects TRC scenario construction, tail probabilities, severity bands, or irreversibility classification; (3) the category affects Containment, UCI, HOI, Adaptive Reserve, lock-in, hollowing, domination, institutional erosion, ecological degradation, or governance-capacity loss; (4) the category affects SGP outputs, moral-patient status, protection, standing, or governance-authority interpretation; (5) the category is a metric target under strong optimization pressure; (6) the category is novel, inherited, contested, ambiguous, or cross-domain; (7) the category supports an authority-selection, deployment, certification, validation, or public maturity claim.</w:t>
      </w:r>
    </w:p>
    <w:bookmarkEnd w:id="671"/>
    <w:bookmarkStart w:id="672" w:name="ah4-minimum-categorygroundingrecord"/>
    <w:p>
      <w:pPr>
        <w:pStyle w:val="Heading2"/>
      </w:pPr>
      <w:r>
        <w:t>AH.4 Minimum CategoryGroundingRecord</w:t>
      </w:r>
    </w:p>
    <w:p>
      <w:pPr>
        <w:pStyle w:val="FirstParagraph"/>
      </w:pPr>
      <w:r>
        <w:t>Minimum fields: material_category; category_role; primitive_basis; definition; category_discriminator; dependency_position; inclusion_boundary; exclusion_boundary; common_confusions; noncollapse_pairs; reference_structure; evidence_surface; source_authority_status; category_maturity_status; falsification_or_revision_trigger; term_refusal_condition; downstream_dependencies; semantic_debt_flag; reviewer_status; and required_claim_action.</w:t>
      </w:r>
    </w:p>
    <w:p>
      <w:pPr>
        <w:pStyle w:val="BodyText"/>
      </w:pPr>
      <w:r>
        <w:t>Allowed category_maturity_status values: GROUNDED, ESTIMATED, ASSUMPTION_BOUND, CONTESTED, LEGACY_UNREVIEWED, INSUFFICIENT_GROUNDING, and OUT_OF_SCOPE_WITH_RATIONALE.</w:t>
      </w:r>
    </w:p>
    <w:p>
      <w:pPr>
        <w:pStyle w:val="BodyText"/>
      </w:pPr>
      <w:r>
        <w:t>PrimitiveAuditRecord SHOULD include: primitive_id; primitive_statement; primitive_role; imported_parent_disciplines; operational_dependency; affected_claims; evidence_or_argument_basis; failure_mode; falsification_or_revision_trigger; reviewer_status; required_claim_action; and audit_reference. PrimitiveAuditRecord is required when a primitive or imported foundational term materially supports a rights, tail-risk, containment, SGP, authority, conformance, public-claim, or deterministic-selection claim.</w:t>
      </w:r>
    </w:p>
    <w:p>
      <w:pPr>
        <w:pStyle w:val="BodyText"/>
      </w:pPr>
      <w:r>
        <w:t>Allowed semantic_debt_flag values: NONE, LOW, MEDIUM, HIGH, and CRITICAL. HIGH or CRITICAL semantic debt requires explicit reviewer attention before stronger public, conformance, deployment, authority, or deterministic-selection claims may be made.</w:t>
      </w:r>
    </w:p>
    <w:p>
      <w:pPr>
        <w:pStyle w:val="BodyText"/>
      </w:pPr>
      <w:r>
        <w:t>Semantic debt rubric: NONE = category recently reviewed, evidence-linked, and uncontested within the claim boundary. LOW = minor ambiguity with no plausible gate or claim effect. MEDIUM = ambiguity could affect interpretation or monitoring but not current admissibility. HIGH = ambiguity could affect rights, tail risk, containment, authority, conformance, or public claim. CRITICAL = category is stale, contested, or ungrounded in a way that could invalidate the decision state or public claim.</w:t>
      </w:r>
    </w:p>
    <w:p>
      <w:pPr>
        <w:pStyle w:val="BodyText"/>
      </w:pPr>
      <w:r>
        <w:t>Allowed required_claim_action values: ALLOW, NARROW, ESCALATE, REFUSE, MONITOR_ONLY, and SENSITIVITY_ONLY.</w:t>
      </w:r>
    </w:p>
    <w:p>
      <w:pPr>
        <w:pStyle w:val="BodyText"/>
      </w:pPr>
      <w:r>
        <w:t>Allowed source_authority_status values SHOULD include: PRIMARY_EVIDENCE, GOVERNING_SPECIFICATION, DOMAIN_STANDARD, LEGAL_AUTHORITY, INSTITUTIONAL_POLICY, EXPERT_JUDGMENT, MODEL_OUTPUT, STAKEHOLDER_TESTIMONY, LEGACY_SOURCE, and UNVERIFIED_SOURCE. A source authority label records provenance; it does not by itself create admissibility, validity, legality, or execution authority.</w:t>
      </w:r>
    </w:p>
    <w:p>
      <w:pPr>
        <w:pStyle w:val="BodyText"/>
      </w:pPr>
      <w:r>
        <w:t>Allowed dependency_position values SHOULD include: REALITY_SURFACE, EVIDENCE_TRACE, CATEGORY_BOUNDARY, RIGHTS_ADMISSIBILITY, TAIL_RISK_ADMISSIBILITY, CONTAINMENT_SELECTABILITY, RESIDUAL_RANKING, FRAMEWORK_VERDICT, AUTHORITY_SELECTION, EXECUTION_AUTHORITY, MONITORING, CERTIFICATION, and PUBLIC_CLAIM.</w:t>
      </w:r>
    </w:p>
    <w:bookmarkEnd w:id="672"/>
    <w:bookmarkStart w:id="673" w:name="X87e6d87351e9279975312a5b6259ec945d5a994"/>
    <w:p>
      <w:pPr>
        <w:pStyle w:val="Heading2"/>
      </w:pPr>
      <w:r>
        <w:t>AH.4A Aggregate Semantic-Debt Ledger (Normative for material claim-bearing runs)</w:t>
      </w:r>
    </w:p>
    <w:p>
      <w:pPr>
        <w:pStyle w:val="FirstParagraph"/>
      </w:pPr>
      <w:r>
        <w:t>Per-category semantic debt may accumulate into a run-level liability even when no single category is independently fatal. Claim-bearing Tier 2 and Tier 3 runs SHOULD compute a semantic_debt_score over material categories using declared weights: NONE=0, LOW=1, MEDIUM=3, HIGH=7, CRITICAL=15.</w:t>
      </w:r>
    </w:p>
    <w:p>
      <w:pPr>
        <w:pStyle w:val="BodyText"/>
      </w:pPr>
      <w:r>
        <w:t>If any material category is CRITICAL, stronger public, conformance, authority-selection, deployment-readiness, or deterministic-selection claims MUST be refused, narrowed, or escalated unless a reviewer records a governed disposition. If semantic_debt_score &gt;= threshold_T, with threshold_T declared ex ante in the verification regime and default threshold_T = 10 for worked examples, implementations SHOULD flag SEMANTIC_DEBT_AGGREGATE_HIGH with severity ESCALATE and require reviewer disposition before stronger public or conformance claims.</w:t>
      </w:r>
    </w:p>
    <w:p>
      <w:pPr>
        <w:pStyle w:val="BodyText"/>
      </w:pPr>
      <w:r>
        <w:t>Semantic-debt aggregation is not an ontology claim. It is an auditability rule for accumulated category uncertainty inside Reality Grounding.</w:t>
      </w:r>
    </w:p>
    <w:bookmarkEnd w:id="673"/>
    <w:bookmarkStart w:id="674" w:name="ah5-category-failure-classes"/>
    <w:p>
      <w:pPr>
        <w:pStyle w:val="Heading2"/>
      </w:pPr>
      <w:r>
        <w:t>AH.5 Category failure classes</w:t>
      </w:r>
    </w:p>
    <w:p>
      <w:pPr>
        <w:pStyle w:val="FirstParagraph"/>
      </w:pPr>
      <w:r>
        <w:t>Category-relevant failures SHOULD be tagged as one or more of: CATEGORY_BOUNDARY_FAILURE, CATEGORY_REFERENCE_FAILURE, CATEGORY_SCOPE_FAILURE, CATEGORY_METRIC_MISMATCH, SEMANTIC_DRIFT_DETECTED, TERM_DISCRIMINATION_FAILURE, DEPENDENCY_POSITION_ERROR, PRIMITIVE_CHALLENGE, DATA_FAILURE, PROJECTION_FAILURE, PARAMETER_FAILURE, OPERATOR_FAILURE, GOVERNANCE_FAILURE, or EXTERNAL_CHANGED_CONDITION.</w:t>
      </w:r>
    </w:p>
    <w:p>
      <w:pPr>
        <w:pStyle w:val="BodyText"/>
      </w:pPr>
      <w:r>
        <w:t>CATEGORY_BOUNDARY_FAILURE means the inclusion or exclusion rule for a material category is wrong, missing, or too vague for the claim. CATEGORY_REFERENCE_FAILURE means the category lacks a valid reference structure. CATEGORY_SCOPE_FAILURE means the category was applied at the wrong union scope, stakeholder class, substrate, time horizon, or decision boundary. CATEGORY_METRIC_MISMATCH means the metric does not track the category it claims to measure. SEMANTIC_DRIFT_DETECTED means ordinary, institutional, legal, benchmark, or model usage has drifted from the category structure required for the run. PRIMITIVE_CHALLENGE means the framework starting point itself may require revision, narrowing, or retirement.</w:t>
      </w:r>
    </w:p>
    <w:p>
      <w:pPr>
        <w:pStyle w:val="BodyText"/>
      </w:pPr>
      <w:r>
        <w:t>Category-failure action rule. If a material category is CATEGORY_BOUNDARY_FAILURE, CATEGORY_REFERENCE_FAILURE, CATEGORY_METRIC_MISMATCH, SEMANTIC_DRIFT_DETECTED at HIGH/CRITICAL severity, LEGACY_UNREVIEWED for a claim-bearing run, or otherwise insufficiently grounded for the claimed decision state, the run SHALL NOT produce an unqualified deterministic framework selection. It MUST narrow, escalate, mark sensitivity-only or monitor-only, collect stronger evidence, or refuse the stronger claim. A computable score over a category-invalid surface is computable but inadmissible.</w:t>
      </w:r>
    </w:p>
    <w:bookmarkEnd w:id="674"/>
    <w:bookmarkStart w:id="675" w:name="Xb1857755c6a58818aa56974188bb3f3f88ba00f"/>
    <w:p>
      <w:pPr>
        <w:pStyle w:val="Heading2"/>
      </w:pPr>
      <w:r>
        <w:t>AH.6 Relationship to optimization, governance, and public claims</w:t>
      </w:r>
    </w:p>
    <w:p>
      <w:pPr>
        <w:pStyle w:val="FirstParagraph"/>
      </w:pPr>
      <w:r>
        <w:t>Optimization is admissible only after the relevant category, evidence surface, and claim boundary are adequate for the intended claim. Governance, compliance, benchmark success, institutional permission, model fluency, dashboard availability, or stakeholder preference does not by itself validate a category. If the category is materially wrong, a higher RLS score, a completed PCC, a PLSS profile, or an authority-selection record cannot repair it.</w:t>
      </w:r>
    </w:p>
    <w:bookmarkEnd w:id="675"/>
    <w:bookmarkStart w:id="676" w:name="ah7-release-boundary"/>
    <w:p>
      <w:pPr>
        <w:pStyle w:val="Heading2"/>
      </w:pPr>
      <w:r>
        <w:t>AH.7 Release boundary</w:t>
      </w:r>
    </w:p>
    <w:p>
      <w:pPr>
        <w:pStyle w:val="FirstParagraph"/>
      </w:pPr>
      <w:r>
        <w:t>This appendix does not claim empirical validation, legal certification, deployment certification, deterministic selection, or Tier 4/ProofPack readiness. It strengthens the category-discipline portion of Reality Grounding so that MathGov does not become a governance layer over unexamined definitions. This completes the RippleLogic Framework v12.2 Category Grounding Patch, including Sections 1 through 20 and Appendices A through AH; Appendix AI then adds the Term Discrimination and Semantic Stability Protocol as a normative subdiscipline of Category Grounding where material.</w:t>
      </w:r>
    </w:p>
    <w:p>
      <w:pPr>
        <w:pStyle w:val="BodyText"/>
      </w:pPr>
      <w:r>
        <w:t>McGaughran, J. (2026). Sentience Gradient Protocol v8.2.1: A theory-plural, evidence-governed framework for moral patienthood, protection, participation, stewardship, and reality-management calibration across substrates. MathGov Core Release 2026.09 v12.3.</w:t>
      </w:r>
      <w:r/>
      <w:r>
        <w:rPr>
          <w:i/>
          <w:iCs/>
        </w:rPr>
      </w:r>
      <w:r/>
    </w:p>
    <w:bookmarkEnd w:id="676"/>
    <w:bookmarkEnd w:id="677"/>
    <w:bookmarkStart w:id="685" w:name="Xa2b48151b9fae75727a85a1273144187d124bb3"/>
    <w:p>
      <w:pPr>
        <w:pStyle w:val="Heading1"/>
      </w:pPr>
      <w:r>
        <w:t>APPENDIX AI: TERM DISCRIMINATION AND SEMANTIC STABILITY PROTOCOL</w:t>
      </w:r>
    </w:p>
    <w:bookmarkStart w:id="678" w:name="ai1-status-and-placement"/>
    <w:p>
      <w:pPr>
        <w:pStyle w:val="Heading2"/>
      </w:pPr>
      <w:r>
        <w:t>AI.1 Status and placement</w:t>
      </w:r>
    </w:p>
    <w:p>
      <w:pPr>
        <w:pStyle w:val="FirstParagraph"/>
      </w:pPr>
      <w:r>
        <w:t>Status. Appendix AI is a normative hardening patch for claim-bearing Tier 2 and Tier 3 runs and an informative design guide for lower-stakes runs. It strengthens Category Grounding inside Reality Grounding. It does not create a sixth public method level, does not import an external ontology, does not weaken NCRC, TRC, CSV, RLS, PLSS, SGP, lawful authority, or Tier 4/ProofPack boundaries, and does not make certification, compliance, or deployment claims available by itself.</w:t>
      </w:r>
    </w:p>
    <w:p>
      <w:pPr>
        <w:pStyle w:val="BodyText"/>
      </w:pPr>
      <w:r>
        <w:t>Placement rule. Term Discrimination is a required subdiscipline of Category Grounding when a material term affects rights, tail risk, containment, SGP interpretation, authority, conformance, public claims, optimized metrics, or execution. Category Grounding asks whether a category is grounded. Term Discrimination asks whether the operative word is being kept separate from neighboring words that would change the claim, gate result, authority state, or execution status if collapsed.</w:t>
      </w:r>
    </w:p>
    <w:bookmarkEnd w:id="678"/>
    <w:bookmarkStart w:id="679" w:name="ai2-core-definitions"/>
    <w:p>
      <w:pPr>
        <w:pStyle w:val="Heading2"/>
      </w:pPr>
      <w:r>
        <w:t>AI.2 Core definitions</w:t>
      </w:r>
    </w:p>
    <w:p>
      <w:pPr>
        <w:pStyle w:val="FirstParagraph"/>
      </w:pPr>
      <w:r>
        <w:t>Term. A term is an operative word, phrase, label, token, schema field, policy label, benchmark label, dashboard label, legal label, or model-generated description used to identify, measure, protect, score, govern, authorize, certify, monitor, or execute against a phenomenon.</w:t>
      </w:r>
    </w:p>
    <w:p>
      <w:pPr>
        <w:pStyle w:val="BodyText"/>
      </w:pPr>
      <w:r>
        <w:t>Term Discrimination. Term Discrimination is the review discipline that states what a material term means, what it does not mean, what discriminator separates it from neighboring terms, where it belongs in the dependency order of the run, and when the term must be narrowed, escalated, monitored, or refused.</w:t>
      </w:r>
    </w:p>
    <w:p>
      <w:pPr>
        <w:pStyle w:val="BodyText"/>
      </w:pPr>
      <w:r>
        <w:t>Discriminator. A discriminator is the decisive property that makes one term this term rather than a neighboring term. A discriminator MUST be stated for material terms that could otherwise collapse into another term under institutional pressure, optimization pressure, model fluency, compliance theater, or public communication pressure.</w:t>
      </w:r>
    </w:p>
    <w:p>
      <w:pPr>
        <w:pStyle w:val="BodyText"/>
      </w:pPr>
      <w:r>
        <w:t>Dependency position. Dependency position identifies where a term sits in the decision stack. A downstream term MUST NOT claim the authority of an upstream term. Permission does not establish admissibility. Monitoring does not establish control. Certification does not establish validity. A score does not establish truth. Execution capability does not establish execution authority.</w:t>
      </w:r>
    </w:p>
    <w:p>
      <w:pPr>
        <w:pStyle w:val="BodyText"/>
      </w:pPr>
      <w:r>
        <w:t>Term-refusal condition. A term-refusal condition is the condition under which a run MUST NOT use a term at its stronger claim level. The required response is claim narrowing, evidence collection, escalation, sensitivity-only use, monitor-only use, or refusal.</w:t>
      </w:r>
    </w:p>
    <w:p>
      <w:pPr>
        <w:pStyle w:val="BodyText"/>
      </w:pPr>
      <w:r>
        <w:t>Non-collapse pair. A non-collapse pair is a pair of terms that MUST NOT be treated as equivalent unless a future governed annex explicitly defines an equivalence for the relevant use. Non-collapse pairs include reality/evidence, evidence/interpretation, compliance/correctness, certification/validity, permission/admissibility, monitoring/control, safety/stability, automation/autonomy, protection/authority, selected/executable, and score/truth.</w:t>
      </w:r>
    </w:p>
    <w:bookmarkEnd w:id="679"/>
    <w:bookmarkStart w:id="680" w:name="Xb6ebfad073159099d6d3e709a6093fefb3825b5"/>
    <w:p>
      <w:pPr>
        <w:pStyle w:val="Heading2"/>
      </w:pPr>
      <w:r>
        <w:t>AI.3 Extended CategoryGroundingRecord fields</w:t>
      </w:r>
    </w:p>
    <w:p>
      <w:pPr>
        <w:pStyle w:val="FirstParagraph"/>
      </w:pPr>
      <w:r>
        <w:t>When Term Discrimination is material, the CategoryGroundingRecord MUST add or map the following fields:</w:t>
      </w:r>
    </w:p>
    <w:tbl>
      <w:tblPr>
        <w:tblStyle w:val="Table"/>
        <w:tblW w:type="auto" w:w="0"/>
        <w:jc w:val="center"/>
        <w:tblLook w:firstRow="1" w:lastRow="0" w:firstColumn="0" w:lastColumn="0" w:noHBand="0" w:noVBand="0" w:val="0020"/>
      </w:tblPr>
      <w:tblGrid>
        <w:gridCol w:w="3960"/>
        <w:gridCol w:w="3960"/>
      </w:tblGrid>
      <w:tr>
        <w:trPr>
          <w:tblHeader w:val="on"/>
          <w:tblHeader w:val="true"/>
          <w:cantSplit/>
        </w:trPr>
        <w:tc>
          <w:tcPr>
            <w:vAlign w:val="top"/>
            <w:tcMar>
              <w:top w:w="70" w:type="dxa"/>
              <w:start w:w="80" w:type="dxa"/>
              <w:bottom w:w="70" w:type="dxa"/>
              <w:end w:w="80" w:type="dxa"/>
            </w:tcMar>
            <w:shd w:fill="1F4E78"/>
          </w:tcPr>
          <w:p>
            <w:pPr>
              <w:pStyle w:val="Compact"/>
              <w:jc w:val="left"/>
            </w:pPr>
            <w:r>
              <w:rPr>
                <w:rFonts w:ascii="Arial" w:hAnsi="Arial" w:eastAsia="Arial"/>
                <w:b/>
                <w:bCs/>
                <w:color w:val="FFFFFF"/>
                <w:sz w:val="16"/>
              </w:rPr>
              <w:t>Field</w:t>
            </w:r>
          </w:p>
        </w:tc>
        <w:tc>
          <w:tcPr>
            <w:vAlign w:val="top"/>
            <w:tcMar>
              <w:top w:w="70" w:type="dxa"/>
              <w:start w:w="80" w:type="dxa"/>
              <w:bottom w:w="70" w:type="dxa"/>
              <w:end w:w="80" w:type="dxa"/>
            </w:tcMar>
            <w:shd w:fill="1F4E78"/>
          </w:tcPr>
          <w:p>
            <w:pPr>
              <w:pStyle w:val="Compact"/>
              <w:jc w:val="left"/>
            </w:pPr>
            <w:r>
              <w:rPr>
                <w:rFonts w:ascii="Arial" w:hAnsi="Arial" w:eastAsia="Arial"/>
                <w:b/>
                <w:bCs/>
                <w:color w:val="FFFFFF"/>
                <w:sz w:val="16"/>
              </w:rPr>
              <w:t>Meaning</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category_discriminator</w:t>
            </w:r>
          </w:p>
        </w:tc>
        <w:tc>
          <w:tcPr>
            <w:vAlign w:val="top"/>
            <w:tcMar>
              <w:top w:w="70" w:type="dxa"/>
              <w:start w:w="80" w:type="dxa"/>
              <w:bottom w:w="70" w:type="dxa"/>
              <w:end w:w="80" w:type="dxa"/>
            </w:tcMar>
            <w:shd w:fill="D9EAF7"/>
          </w:tcPr>
          <w:p>
            <w:pPr>
              <w:pStyle w:val="Compact"/>
              <w:jc w:val="left"/>
            </w:pPr>
            <w:r>
              <w:rPr>
                <w:rFonts w:ascii="Arial" w:hAnsi="Arial" w:eastAsia="Arial"/>
                <w:sz w:val="16"/>
              </w:rPr>
              <w:t>The property that separates the material category or term from nearby terms it is likely to be confused with.</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dependency_position</w:t>
            </w:r>
          </w:p>
        </w:tc>
        <w:tc>
          <w:tcPr>
            <w:vAlign w:val="top"/>
            <w:tcMar>
              <w:top w:w="70" w:type="dxa"/>
              <w:start w:w="80" w:type="dxa"/>
              <w:bottom w:w="70" w:type="dxa"/>
              <w:end w:w="80" w:type="dxa"/>
            </w:tcMar>
            <w:shd w:fill="FFFFFF"/>
          </w:tcPr>
          <w:p>
            <w:pPr>
              <w:pStyle w:val="Compact"/>
              <w:jc w:val="left"/>
            </w:pPr>
            <w:r>
              <w:rPr>
                <w:rFonts w:ascii="Arial" w:hAnsi="Arial" w:eastAsia="Arial"/>
                <w:sz w:val="16"/>
              </w:rPr>
              <w:t>The layer or authority position the term occupies: reality-surface, evidence-trace, category-boundary, rights-admissibility, tail-risk-admissibility, containment-selectability, residual-ranking, framework-verdict, authority-selection, execution-authority, monitoring, certification, or public-claim.</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term_refusal_condition</w:t>
            </w:r>
          </w:p>
        </w:tc>
        <w:tc>
          <w:tcPr>
            <w:vAlign w:val="top"/>
            <w:tcMar>
              <w:top w:w="70" w:type="dxa"/>
              <w:start w:w="80" w:type="dxa"/>
              <w:bottom w:w="70" w:type="dxa"/>
              <w:end w:w="80" w:type="dxa"/>
            </w:tcMar>
            <w:shd w:fill="D9EAF7"/>
          </w:tcPr>
          <w:p>
            <w:pPr>
              <w:pStyle w:val="Compact"/>
              <w:jc w:val="left"/>
            </w:pPr>
            <w:r>
              <w:rPr>
                <w:rFonts w:ascii="Arial" w:hAnsi="Arial" w:eastAsia="Arial"/>
                <w:sz w:val="16"/>
              </w:rPr>
              <w:t>The condition under which the term cannot support the stronger claim and must be narrowed, escalated, marked sensitivity-only/monitor-only, or refused.</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noncollapse_pairs</w:t>
            </w:r>
          </w:p>
        </w:tc>
        <w:tc>
          <w:tcPr>
            <w:vAlign w:val="top"/>
            <w:tcMar>
              <w:top w:w="70" w:type="dxa"/>
              <w:start w:w="80" w:type="dxa"/>
              <w:bottom w:w="70" w:type="dxa"/>
              <w:end w:w="80" w:type="dxa"/>
            </w:tcMar>
            <w:shd w:fill="FFFFFF"/>
          </w:tcPr>
          <w:p>
            <w:pPr>
              <w:pStyle w:val="Compact"/>
              <w:jc w:val="left"/>
            </w:pPr>
            <w:r>
              <w:rPr>
                <w:rFonts w:ascii="Arial" w:hAnsi="Arial" w:eastAsia="Arial"/>
                <w:sz w:val="16"/>
              </w:rPr>
              <w:t>The nearest terms this term MUST NOT be collapsed with in the run.</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source_authority_status</w:t>
            </w:r>
          </w:p>
        </w:tc>
        <w:tc>
          <w:tcPr>
            <w:vAlign w:val="top"/>
            <w:tcMar>
              <w:top w:w="70" w:type="dxa"/>
              <w:start w:w="80" w:type="dxa"/>
              <w:bottom w:w="70" w:type="dxa"/>
              <w:end w:w="80" w:type="dxa"/>
            </w:tcMar>
            <w:shd w:fill="D9EAF7"/>
          </w:tcPr>
          <w:p>
            <w:pPr>
              <w:pStyle w:val="Compact"/>
              <w:jc w:val="left"/>
            </w:pPr>
            <w:r>
              <w:rPr>
                <w:rFonts w:ascii="Arial" w:hAnsi="Arial" w:eastAsia="Arial"/>
                <w:sz w:val="16"/>
              </w:rPr>
              <w:t>Whether the source of the term is evidential, legal, institutional, model-generated, benchmark-derived, stakeholder-proposed, or framework-defined. This records source status without treating source status as automatic category validity.</w:t>
            </w:r>
          </w:p>
        </w:tc>
      </w:tr>
    </w:tbl>
    <w:bookmarkEnd w:id="680"/>
    <w:bookmarkStart w:id="681" w:name="ai4-dependency-position-rule"/>
    <w:p>
      <w:pPr>
        <w:pStyle w:val="Heading2"/>
      </w:pPr>
      <w:r>
        <w:t>AI.4 Dependency-position rule</w:t>
      </w:r>
    </w:p>
    <w:p>
      <w:pPr>
        <w:pStyle w:val="FirstParagraph"/>
      </w:pPr>
      <w:r>
        <w:t>A material term may support only the claim strength allowed by its dependency position and evidence surface.</w:t>
      </w:r>
    </w:p>
    <w:tbl>
      <w:tblPr>
        <w:tblStyle w:val="Table"/>
        <w:tblW w:type="auto" w:w="0"/>
        <w:jc w:val="center"/>
        <w:tblLook w:firstRow="1" w:lastRow="0" w:firstColumn="0" w:lastColumn="0" w:noHBand="0" w:noVBand="0" w:val="0020"/>
      </w:tblPr>
      <w:tblGrid>
        <w:gridCol w:w="2640"/>
        <w:gridCol w:w="2640"/>
        <w:gridCol w:w="2640"/>
      </w:tblGrid>
      <w:tr>
        <w:trPr>
          <w:tblHeader w:val="on"/>
          <w:tblHeader w:val="true"/>
          <w:cantSplit/>
        </w:trPr>
        <w:tc>
          <w:tcPr>
            <w:vAlign w:val="top"/>
            <w:tcMar>
              <w:top w:w="70" w:type="dxa"/>
              <w:start w:w="80" w:type="dxa"/>
              <w:bottom w:w="70" w:type="dxa"/>
              <w:end w:w="80" w:type="dxa"/>
            </w:tcMar>
            <w:shd w:fill="1F4E78"/>
          </w:tcPr>
          <w:p>
            <w:pPr>
              <w:pStyle w:val="Compact"/>
              <w:jc w:val="left"/>
            </w:pPr>
            <w:r>
              <w:rPr>
                <w:rFonts w:ascii="Arial" w:hAnsi="Arial" w:eastAsia="Arial"/>
                <w:b/>
                <w:bCs/>
                <w:color w:val="FFFFFF"/>
                <w:sz w:val="16"/>
              </w:rPr>
              <w:t>Term position</w:t>
            </w:r>
          </w:p>
        </w:tc>
        <w:tc>
          <w:tcPr>
            <w:vAlign w:val="top"/>
            <w:tcMar>
              <w:top w:w="70" w:type="dxa"/>
              <w:start w:w="80" w:type="dxa"/>
              <w:bottom w:w="70" w:type="dxa"/>
              <w:end w:w="80" w:type="dxa"/>
            </w:tcMar>
            <w:shd w:fill="1F4E78"/>
          </w:tcPr>
          <w:p>
            <w:pPr>
              <w:pStyle w:val="Compact"/>
              <w:jc w:val="left"/>
            </w:pPr>
            <w:r>
              <w:rPr>
                <w:rFonts w:ascii="Arial" w:hAnsi="Arial" w:eastAsia="Arial"/>
                <w:b/>
                <w:bCs/>
                <w:color w:val="FFFFFF"/>
                <w:sz w:val="16"/>
              </w:rPr>
              <w:t>May support</w:t>
            </w:r>
          </w:p>
        </w:tc>
        <w:tc>
          <w:tcPr>
            <w:vAlign w:val="top"/>
            <w:tcMar>
              <w:top w:w="70" w:type="dxa"/>
              <w:start w:w="80" w:type="dxa"/>
              <w:bottom w:w="70" w:type="dxa"/>
              <w:end w:w="80" w:type="dxa"/>
            </w:tcMar>
            <w:shd w:fill="1F4E78"/>
          </w:tcPr>
          <w:p>
            <w:pPr>
              <w:pStyle w:val="Compact"/>
              <w:jc w:val="left"/>
            </w:pPr>
            <w:r>
              <w:rPr>
                <w:rFonts w:ascii="Arial" w:hAnsi="Arial" w:eastAsia="Arial"/>
                <w:b/>
                <w:bCs/>
                <w:color w:val="FFFFFF"/>
                <w:sz w:val="16"/>
              </w:rPr>
              <w:t>Must not claim by itself</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Reality surface</w:t>
            </w:r>
          </w:p>
        </w:tc>
        <w:tc>
          <w:tcPr>
            <w:vAlign w:val="top"/>
            <w:tcMar>
              <w:top w:w="70" w:type="dxa"/>
              <w:start w:w="80" w:type="dxa"/>
              <w:bottom w:w="70" w:type="dxa"/>
              <w:end w:w="80" w:type="dxa"/>
            </w:tcMar>
            <w:shd w:fill="D9EAF7"/>
          </w:tcPr>
          <w:p>
            <w:pPr>
              <w:pStyle w:val="Compact"/>
              <w:jc w:val="left"/>
            </w:pPr>
            <w:r>
              <w:rPr>
                <w:rFonts w:ascii="Arial" w:hAnsi="Arial" w:eastAsia="Arial"/>
                <w:sz w:val="16"/>
              </w:rPr>
              <w:t>Contact with the modeled or evidenced part of the territory</w:t>
            </w:r>
          </w:p>
        </w:tc>
        <w:tc>
          <w:tcPr>
            <w:vAlign w:val="top"/>
            <w:tcMar>
              <w:top w:w="70" w:type="dxa"/>
              <w:start w:w="80" w:type="dxa"/>
              <w:bottom w:w="70" w:type="dxa"/>
              <w:end w:w="80" w:type="dxa"/>
            </w:tcMar>
            <w:shd w:fill="D9EAF7"/>
          </w:tcPr>
          <w:p>
            <w:pPr>
              <w:pStyle w:val="Compact"/>
              <w:jc w:val="left"/>
            </w:pPr>
            <w:r>
              <w:rPr>
                <w:rFonts w:ascii="Arial" w:hAnsi="Arial" w:eastAsia="Arial"/>
                <w:sz w:val="16"/>
              </w:rPr>
              <w:t>Complete access to the territory</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Evidence trace</w:t>
            </w:r>
          </w:p>
        </w:tc>
        <w:tc>
          <w:tcPr>
            <w:vAlign w:val="top"/>
            <w:tcMar>
              <w:top w:w="70" w:type="dxa"/>
              <w:start w:w="80" w:type="dxa"/>
              <w:bottom w:w="70" w:type="dxa"/>
              <w:end w:w="80" w:type="dxa"/>
            </w:tcMar>
            <w:shd w:fill="FFFFFF"/>
          </w:tcPr>
          <w:p>
            <w:pPr>
              <w:pStyle w:val="Compact"/>
              <w:jc w:val="left"/>
            </w:pPr>
            <w:r>
              <w:rPr>
                <w:rFonts w:ascii="Arial" w:hAnsi="Arial" w:eastAsia="Arial"/>
                <w:sz w:val="16"/>
              </w:rPr>
              <w:t>Support for a claim boundary</w:t>
            </w:r>
          </w:p>
        </w:tc>
        <w:tc>
          <w:tcPr>
            <w:vAlign w:val="top"/>
            <w:tcMar>
              <w:top w:w="70" w:type="dxa"/>
              <w:start w:w="80" w:type="dxa"/>
              <w:bottom w:w="70" w:type="dxa"/>
              <w:end w:w="80" w:type="dxa"/>
            </w:tcMar>
            <w:shd w:fill="FFFFFF"/>
          </w:tcPr>
          <w:p>
            <w:pPr>
              <w:pStyle w:val="Compact"/>
              <w:jc w:val="left"/>
            </w:pPr>
            <w:r>
              <w:rPr>
                <w:rFonts w:ascii="Arial" w:hAnsi="Arial" w:eastAsia="Arial"/>
                <w:sz w:val="16"/>
              </w:rPr>
              <w:t>Self-interpreting truth or complete causality</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Category boundary</w:t>
            </w:r>
          </w:p>
        </w:tc>
        <w:tc>
          <w:tcPr>
            <w:vAlign w:val="top"/>
            <w:tcMar>
              <w:top w:w="70" w:type="dxa"/>
              <w:start w:w="80" w:type="dxa"/>
              <w:bottom w:w="70" w:type="dxa"/>
              <w:end w:w="80" w:type="dxa"/>
            </w:tcMar>
            <w:shd w:fill="D9EAF7"/>
          </w:tcPr>
          <w:p>
            <w:pPr>
              <w:pStyle w:val="Compact"/>
              <w:jc w:val="left"/>
            </w:pPr>
            <w:r>
              <w:rPr>
                <w:rFonts w:ascii="Arial" w:hAnsi="Arial" w:eastAsia="Arial"/>
                <w:sz w:val="16"/>
              </w:rPr>
              <w:t>Proper classification for declared use</w:t>
            </w:r>
          </w:p>
        </w:tc>
        <w:tc>
          <w:tcPr>
            <w:vAlign w:val="top"/>
            <w:tcMar>
              <w:top w:w="70" w:type="dxa"/>
              <w:start w:w="80" w:type="dxa"/>
              <w:bottom w:w="70" w:type="dxa"/>
              <w:end w:w="80" w:type="dxa"/>
            </w:tcMar>
            <w:shd w:fill="D9EAF7"/>
          </w:tcPr>
          <w:p>
            <w:pPr>
              <w:pStyle w:val="Compact"/>
              <w:jc w:val="left"/>
            </w:pPr>
            <w:r>
              <w:rPr>
                <w:rFonts w:ascii="Arial" w:hAnsi="Arial" w:eastAsia="Arial"/>
                <w:sz w:val="16"/>
              </w:rPr>
              <w:t>Validity of downstream scoring or governance by itself</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Rights-admissibility</w:t>
            </w:r>
          </w:p>
        </w:tc>
        <w:tc>
          <w:tcPr>
            <w:vAlign w:val="top"/>
            <w:tcMar>
              <w:top w:w="70" w:type="dxa"/>
              <w:start w:w="80" w:type="dxa"/>
              <w:bottom w:w="70" w:type="dxa"/>
              <w:end w:w="80" w:type="dxa"/>
            </w:tcMar>
            <w:shd w:fill="FFFFFF"/>
          </w:tcPr>
          <w:p>
            <w:pPr>
              <w:pStyle w:val="Compact"/>
              <w:jc w:val="left"/>
            </w:pPr>
            <w:r>
              <w:rPr>
                <w:rFonts w:ascii="Arial" w:hAnsi="Arial" w:eastAsia="Arial"/>
                <w:sz w:val="16"/>
              </w:rPr>
              <w:t>NCRC pass/fail state</w:t>
            </w:r>
          </w:p>
        </w:tc>
        <w:tc>
          <w:tcPr>
            <w:vAlign w:val="top"/>
            <w:tcMar>
              <w:top w:w="70" w:type="dxa"/>
              <w:start w:w="80" w:type="dxa"/>
              <w:bottom w:w="70" w:type="dxa"/>
              <w:end w:w="80" w:type="dxa"/>
            </w:tcMar>
            <w:shd w:fill="FFFFFF"/>
          </w:tcPr>
          <w:p>
            <w:pPr>
              <w:pStyle w:val="Compact"/>
              <w:jc w:val="left"/>
            </w:pPr>
            <w:r>
              <w:rPr>
                <w:rFonts w:ascii="Arial" w:hAnsi="Arial" w:eastAsia="Arial"/>
                <w:sz w:val="16"/>
              </w:rPr>
              <w:t>Tail-risk pass, containment pass, selection, or execution authority</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Tail-risk-admissibility</w:t>
            </w:r>
          </w:p>
        </w:tc>
        <w:tc>
          <w:tcPr>
            <w:vAlign w:val="top"/>
            <w:tcMar>
              <w:top w:w="70" w:type="dxa"/>
              <w:start w:w="80" w:type="dxa"/>
              <w:bottom w:w="70" w:type="dxa"/>
              <w:end w:w="80" w:type="dxa"/>
            </w:tcMar>
            <w:shd w:fill="D9EAF7"/>
          </w:tcPr>
          <w:p>
            <w:pPr>
              <w:pStyle w:val="Compact"/>
              <w:jc w:val="left"/>
            </w:pPr>
            <w:r>
              <w:rPr>
                <w:rFonts w:ascii="Arial" w:hAnsi="Arial" w:eastAsia="Arial"/>
                <w:sz w:val="16"/>
              </w:rPr>
              <w:t>TRC pass/fail state</w:t>
            </w:r>
          </w:p>
        </w:tc>
        <w:tc>
          <w:tcPr>
            <w:vAlign w:val="top"/>
            <w:tcMar>
              <w:top w:w="70" w:type="dxa"/>
              <w:start w:w="80" w:type="dxa"/>
              <w:bottom w:w="70" w:type="dxa"/>
              <w:end w:w="80" w:type="dxa"/>
            </w:tcMar>
            <w:shd w:fill="D9EAF7"/>
          </w:tcPr>
          <w:p>
            <w:pPr>
              <w:pStyle w:val="Compact"/>
              <w:jc w:val="left"/>
            </w:pPr>
            <w:r>
              <w:rPr>
                <w:rFonts w:ascii="Arial" w:hAnsi="Arial" w:eastAsia="Arial"/>
                <w:sz w:val="16"/>
              </w:rPr>
              <w:t>Rights validity, containment integrity, or welfare optimality</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Containment-selectability</w:t>
            </w:r>
          </w:p>
        </w:tc>
        <w:tc>
          <w:tcPr>
            <w:vAlign w:val="top"/>
            <w:tcMar>
              <w:top w:w="70" w:type="dxa"/>
              <w:start w:w="80" w:type="dxa"/>
              <w:bottom w:w="70" w:type="dxa"/>
              <w:end w:w="80" w:type="dxa"/>
            </w:tcMar>
            <w:shd w:fill="FFFFFF"/>
          </w:tcPr>
          <w:p>
            <w:pPr>
              <w:pStyle w:val="Compact"/>
              <w:jc w:val="left"/>
            </w:pPr>
            <w:r>
              <w:rPr>
                <w:rFonts w:ascii="Arial" w:hAnsi="Arial" w:eastAsia="Arial"/>
                <w:sz w:val="16"/>
              </w:rPr>
              <w:t>Larger-system structural acceptability</w:t>
            </w:r>
          </w:p>
        </w:tc>
        <w:tc>
          <w:tcPr>
            <w:vAlign w:val="top"/>
            <w:tcMar>
              <w:top w:w="70" w:type="dxa"/>
              <w:start w:w="80" w:type="dxa"/>
              <w:bottom w:w="70" w:type="dxa"/>
              <w:end w:w="80" w:type="dxa"/>
            </w:tcMar>
            <w:shd w:fill="FFFFFF"/>
          </w:tcPr>
          <w:p>
            <w:pPr>
              <w:pStyle w:val="Compact"/>
              <w:jc w:val="left"/>
            </w:pPr>
            <w:r>
              <w:rPr>
                <w:rFonts w:ascii="Arial" w:hAnsi="Arial" w:eastAsia="Arial"/>
                <w:sz w:val="16"/>
              </w:rPr>
              <w:t>Highest residual welfare or lawful execution</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Residual-ranking</w:t>
            </w:r>
          </w:p>
        </w:tc>
        <w:tc>
          <w:tcPr>
            <w:vAlign w:val="top"/>
            <w:tcMar>
              <w:top w:w="70" w:type="dxa"/>
              <w:start w:w="80" w:type="dxa"/>
              <w:bottom w:w="70" w:type="dxa"/>
              <w:end w:w="80" w:type="dxa"/>
            </w:tcMar>
            <w:shd w:fill="D9EAF7"/>
          </w:tcPr>
          <w:p>
            <w:pPr>
              <w:pStyle w:val="Compact"/>
              <w:jc w:val="left"/>
            </w:pPr>
            <w:r>
              <w:rPr>
                <w:rFonts w:ascii="Arial" w:hAnsi="Arial" w:eastAsia="Arial"/>
                <w:sz w:val="16"/>
              </w:rPr>
              <w:t>RLS ranking among selectable options</w:t>
            </w:r>
          </w:p>
        </w:tc>
        <w:tc>
          <w:tcPr>
            <w:vAlign w:val="top"/>
            <w:tcMar>
              <w:top w:w="70" w:type="dxa"/>
              <w:start w:w="80" w:type="dxa"/>
              <w:bottom w:w="70" w:type="dxa"/>
              <w:end w:w="80" w:type="dxa"/>
            </w:tcMar>
            <w:shd w:fill="D9EAF7"/>
          </w:tcPr>
          <w:p>
            <w:pPr>
              <w:pStyle w:val="Compact"/>
              <w:jc w:val="left"/>
            </w:pPr>
            <w:r>
              <w:rPr>
                <w:rFonts w:ascii="Arial" w:hAnsi="Arial" w:eastAsia="Arial"/>
                <w:sz w:val="16"/>
              </w:rPr>
              <w:t>Rescue of any failed upstream layer</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Framework verdict</w:t>
            </w:r>
          </w:p>
        </w:tc>
        <w:tc>
          <w:tcPr>
            <w:vAlign w:val="top"/>
            <w:tcMar>
              <w:top w:w="70" w:type="dxa"/>
              <w:start w:w="80" w:type="dxa"/>
              <w:bottom w:w="70" w:type="dxa"/>
              <w:end w:w="80" w:type="dxa"/>
            </w:tcMar>
            <w:shd w:fill="FFFFFF"/>
          </w:tcPr>
          <w:p>
            <w:pPr>
              <w:pStyle w:val="Compact"/>
              <w:jc w:val="left"/>
            </w:pPr>
            <w:r>
              <w:rPr>
                <w:rFonts w:ascii="Arial" w:hAnsi="Arial" w:eastAsia="Arial"/>
                <w:sz w:val="16"/>
              </w:rPr>
              <w:t>Disclosed result of the framework run</w:t>
            </w:r>
          </w:p>
        </w:tc>
        <w:tc>
          <w:tcPr>
            <w:vAlign w:val="top"/>
            <w:tcMar>
              <w:top w:w="70" w:type="dxa"/>
              <w:start w:w="80" w:type="dxa"/>
              <w:bottom w:w="70" w:type="dxa"/>
              <w:end w:w="80" w:type="dxa"/>
            </w:tcMar>
            <w:shd w:fill="FFFFFF"/>
          </w:tcPr>
          <w:p>
            <w:pPr>
              <w:pStyle w:val="Compact"/>
              <w:jc w:val="left"/>
            </w:pPr>
            <w:r>
              <w:rPr>
                <w:rFonts w:ascii="Arial" w:hAnsi="Arial" w:eastAsia="Arial"/>
                <w:sz w:val="16"/>
              </w:rPr>
              <w:t>Human, legal, institutional, or execution authority</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Authority selection</w:t>
            </w:r>
          </w:p>
        </w:tc>
        <w:tc>
          <w:tcPr>
            <w:vAlign w:val="top"/>
            <w:tcMar>
              <w:top w:w="70" w:type="dxa"/>
              <w:start w:w="80" w:type="dxa"/>
              <w:bottom w:w="70" w:type="dxa"/>
              <w:end w:w="80" w:type="dxa"/>
            </w:tcMar>
            <w:shd w:fill="D9EAF7"/>
          </w:tcPr>
          <w:p>
            <w:pPr>
              <w:pStyle w:val="Compact"/>
              <w:jc w:val="left"/>
            </w:pPr>
            <w:r>
              <w:rPr>
                <w:rFonts w:ascii="Arial" w:hAnsi="Arial" w:eastAsia="Arial"/>
                <w:sz w:val="16"/>
              </w:rPr>
              <w:t>A human/institutional/operator choice after verdict disclosure</w:t>
            </w:r>
          </w:p>
        </w:tc>
        <w:tc>
          <w:tcPr>
            <w:vAlign w:val="top"/>
            <w:tcMar>
              <w:top w:w="70" w:type="dxa"/>
              <w:start w:w="80" w:type="dxa"/>
              <w:bottom w:w="70" w:type="dxa"/>
              <w:end w:w="80" w:type="dxa"/>
            </w:tcMar>
            <w:shd w:fill="D9EAF7"/>
          </w:tcPr>
          <w:p>
            <w:pPr>
              <w:pStyle w:val="Compact"/>
              <w:jc w:val="left"/>
            </w:pPr>
            <w:r>
              <w:rPr>
                <w:rFonts w:ascii="Arial" w:hAnsi="Arial" w:eastAsia="Arial"/>
                <w:sz w:val="16"/>
              </w:rPr>
              <w:t>Conversion of non-decisiveness into deterministic framework selection</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Execution authority</w:t>
            </w:r>
          </w:p>
        </w:tc>
        <w:tc>
          <w:tcPr>
            <w:vAlign w:val="top"/>
            <w:tcMar>
              <w:top w:w="70" w:type="dxa"/>
              <w:start w:w="80" w:type="dxa"/>
              <w:bottom w:w="70" w:type="dxa"/>
              <w:end w:w="80" w:type="dxa"/>
            </w:tcMar>
            <w:shd w:fill="FFFFFF"/>
          </w:tcPr>
          <w:p>
            <w:pPr>
              <w:pStyle w:val="Compact"/>
              <w:jc w:val="left"/>
            </w:pPr>
            <w:r>
              <w:rPr>
                <w:rFonts w:ascii="Arial" w:hAnsi="Arial" w:eastAsia="Arial"/>
                <w:sz w:val="16"/>
              </w:rPr>
              <w:t>Governed authority to act through hard controls</w:t>
            </w:r>
          </w:p>
        </w:tc>
        <w:tc>
          <w:tcPr>
            <w:vAlign w:val="top"/>
            <w:tcMar>
              <w:top w:w="70" w:type="dxa"/>
              <w:start w:w="80" w:type="dxa"/>
              <w:bottom w:w="70" w:type="dxa"/>
              <w:end w:w="80" w:type="dxa"/>
            </w:tcMar>
            <w:shd w:fill="FFFFFF"/>
          </w:tcPr>
          <w:p>
            <w:pPr>
              <w:pStyle w:val="Compact"/>
              <w:jc w:val="left"/>
            </w:pPr>
            <w:r>
              <w:rPr>
                <w:rFonts w:ascii="Arial" w:hAnsi="Arial" w:eastAsia="Arial"/>
                <w:sz w:val="16"/>
              </w:rPr>
              <w:t>Proof that the action is safe, valid, or wise</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Monitoring</w:t>
            </w:r>
          </w:p>
        </w:tc>
        <w:tc>
          <w:tcPr>
            <w:vAlign w:val="top"/>
            <w:tcMar>
              <w:top w:w="70" w:type="dxa"/>
              <w:start w:w="80" w:type="dxa"/>
              <w:bottom w:w="70" w:type="dxa"/>
              <w:end w:w="80" w:type="dxa"/>
            </w:tcMar>
            <w:shd w:fill="D9EAF7"/>
          </w:tcPr>
          <w:p>
            <w:pPr>
              <w:pStyle w:val="Compact"/>
              <w:jc w:val="left"/>
            </w:pPr>
            <w:r>
              <w:rPr>
                <w:rFonts w:ascii="Arial" w:hAnsi="Arial" w:eastAsia="Arial"/>
                <w:sz w:val="16"/>
              </w:rPr>
              <w:t>Observability and feedback after or during action</w:t>
            </w:r>
          </w:p>
        </w:tc>
        <w:tc>
          <w:tcPr>
            <w:vAlign w:val="top"/>
            <w:tcMar>
              <w:top w:w="70" w:type="dxa"/>
              <w:start w:w="80" w:type="dxa"/>
              <w:bottom w:w="70" w:type="dxa"/>
              <w:end w:w="80" w:type="dxa"/>
            </w:tcMar>
            <w:shd w:fill="D9EAF7"/>
          </w:tcPr>
          <w:p>
            <w:pPr>
              <w:pStyle w:val="Compact"/>
              <w:jc w:val="left"/>
            </w:pPr>
            <w:r>
              <w:rPr>
                <w:rFonts w:ascii="Arial" w:hAnsi="Arial" w:eastAsia="Arial"/>
                <w:sz w:val="16"/>
              </w:rPr>
              <w:t>Prevention, control, safety, or stability by itself</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Certification</w:t>
            </w:r>
          </w:p>
        </w:tc>
        <w:tc>
          <w:tcPr>
            <w:vAlign w:val="top"/>
            <w:tcMar>
              <w:top w:w="70" w:type="dxa"/>
              <w:start w:w="80" w:type="dxa"/>
              <w:bottom w:w="70" w:type="dxa"/>
              <w:end w:w="80" w:type="dxa"/>
            </w:tcMar>
            <w:shd w:fill="FFFFFF"/>
          </w:tcPr>
          <w:p>
            <w:pPr>
              <w:pStyle w:val="Compact"/>
              <w:jc w:val="left"/>
            </w:pPr>
            <w:r>
              <w:rPr>
                <w:rFonts w:ascii="Arial" w:hAnsi="Arial" w:eastAsia="Arial"/>
                <w:sz w:val="16"/>
              </w:rPr>
              <w:t>Evidence of conformance to a declared standard</w:t>
            </w:r>
          </w:p>
        </w:tc>
        <w:tc>
          <w:tcPr>
            <w:vAlign w:val="top"/>
            <w:tcMar>
              <w:top w:w="70" w:type="dxa"/>
              <w:start w:w="80" w:type="dxa"/>
              <w:bottom w:w="70" w:type="dxa"/>
              <w:end w:w="80" w:type="dxa"/>
            </w:tcMar>
            <w:shd w:fill="FFFFFF"/>
          </w:tcPr>
          <w:p>
            <w:pPr>
              <w:pStyle w:val="Compact"/>
              <w:jc w:val="left"/>
            </w:pPr>
            <w:r>
              <w:rPr>
                <w:rFonts w:ascii="Arial" w:hAnsi="Arial" w:eastAsia="Arial"/>
                <w:sz w:val="16"/>
              </w:rPr>
              <w:t>Reality validity, legal compliance, empirical truth, deployment readiness, or Tier 4 status</w:t>
            </w:r>
          </w:p>
        </w:tc>
      </w:tr>
    </w:tbl>
    <w:bookmarkEnd w:id="681"/>
    <w:bookmarkStart w:id="682" w:name="ai5-do-not-collapse-matrix"/>
    <w:p>
      <w:pPr>
        <w:pStyle w:val="Heading2"/>
      </w:pPr>
      <w:r>
        <w:t>AI.5 Do-Not-Collapse Matrix</w:t>
      </w:r>
    </w:p>
    <w:tbl>
      <w:tblPr>
        <w:tblStyle w:val="Table"/>
        <w:tblW w:type="auto" w:w="0"/>
        <w:jc w:val="center"/>
        <w:tblLook w:firstRow="1" w:lastRow="0" w:firstColumn="0" w:lastColumn="0" w:noHBand="0" w:noVBand="0" w:val="0020"/>
      </w:tblPr>
      <w:tblGrid>
        <w:gridCol w:w="2640"/>
        <w:gridCol w:w="2640"/>
        <w:gridCol w:w="2640"/>
      </w:tblGrid>
      <w:tr>
        <w:trPr>
          <w:tblHeader w:val="on"/>
          <w:tblHeader w:val="true"/>
          <w:cantSplit/>
        </w:trPr>
        <w:tc>
          <w:tcPr>
            <w:vAlign w:val="top"/>
            <w:tcMar>
              <w:top w:w="70" w:type="dxa"/>
              <w:start w:w="80" w:type="dxa"/>
              <w:bottom w:w="70" w:type="dxa"/>
              <w:end w:w="80" w:type="dxa"/>
            </w:tcMar>
            <w:shd w:fill="1F4E78"/>
          </w:tcPr>
          <w:p>
            <w:pPr>
              <w:pStyle w:val="Compact"/>
              <w:jc w:val="left"/>
            </w:pPr>
            <w:r>
              <w:rPr>
                <w:rFonts w:ascii="Arial" w:hAnsi="Arial" w:eastAsia="Arial"/>
                <w:b/>
                <w:bCs/>
                <w:color w:val="FFFFFF"/>
                <w:sz w:val="16"/>
              </w:rPr>
              <w:t>Do not collapse</w:t>
            </w:r>
          </w:p>
        </w:tc>
        <w:tc>
          <w:tcPr>
            <w:vAlign w:val="top"/>
            <w:tcMar>
              <w:top w:w="70" w:type="dxa"/>
              <w:start w:w="80" w:type="dxa"/>
              <w:bottom w:w="70" w:type="dxa"/>
              <w:end w:w="80" w:type="dxa"/>
            </w:tcMar>
            <w:shd w:fill="1F4E78"/>
          </w:tcPr>
          <w:p>
            <w:pPr>
              <w:pStyle w:val="Compact"/>
              <w:jc w:val="left"/>
            </w:pPr>
            <w:r>
              <w:rPr>
                <w:rFonts w:ascii="Arial" w:hAnsi="Arial" w:eastAsia="Arial"/>
                <w:b/>
                <w:bCs/>
                <w:color w:val="FFFFFF"/>
                <w:sz w:val="16"/>
              </w:rPr>
              <w:t>Discriminator</w:t>
            </w:r>
          </w:p>
        </w:tc>
        <w:tc>
          <w:tcPr>
            <w:vAlign w:val="top"/>
            <w:tcMar>
              <w:top w:w="70" w:type="dxa"/>
              <w:start w:w="80" w:type="dxa"/>
              <w:bottom w:w="70" w:type="dxa"/>
              <w:end w:w="80" w:type="dxa"/>
            </w:tcMar>
            <w:shd w:fill="1F4E78"/>
          </w:tcPr>
          <w:p>
            <w:pPr>
              <w:pStyle w:val="Compact"/>
              <w:jc w:val="left"/>
            </w:pPr>
            <w:r>
              <w:rPr>
                <w:rFonts w:ascii="Arial" w:hAnsi="Arial" w:eastAsia="Arial"/>
                <w:b/>
                <w:bCs/>
                <w:color w:val="FFFFFF"/>
                <w:sz w:val="16"/>
              </w:rPr>
              <w:t>Required MathGov response</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Reality vs evidence</w:t>
            </w:r>
          </w:p>
        </w:tc>
        <w:tc>
          <w:tcPr>
            <w:vAlign w:val="top"/>
            <w:tcMar>
              <w:top w:w="70" w:type="dxa"/>
              <w:start w:w="80" w:type="dxa"/>
              <w:bottom w:w="70" w:type="dxa"/>
              <w:end w:w="80" w:type="dxa"/>
            </w:tcMar>
            <w:shd w:fill="D9EAF7"/>
          </w:tcPr>
          <w:p>
            <w:pPr>
              <w:pStyle w:val="Compact"/>
              <w:jc w:val="left"/>
            </w:pPr>
            <w:r>
              <w:rPr>
                <w:rFonts w:ascii="Arial" w:hAnsi="Arial" w:eastAsia="Arial"/>
                <w:sz w:val="16"/>
              </w:rPr>
              <w:t>Reality is the evaluator-independent constraint-and-consequence field; evidence is traceable contact with a surface of it.</w:t>
            </w:r>
          </w:p>
        </w:tc>
        <w:tc>
          <w:tcPr>
            <w:vAlign w:val="top"/>
            <w:tcMar>
              <w:top w:w="70" w:type="dxa"/>
              <w:start w:w="80" w:type="dxa"/>
              <w:bottom w:w="70" w:type="dxa"/>
              <w:end w:w="80" w:type="dxa"/>
            </w:tcMar>
            <w:shd w:fill="D9EAF7"/>
          </w:tcPr>
          <w:p>
            <w:pPr>
              <w:pStyle w:val="Compact"/>
              <w:jc w:val="left"/>
            </w:pPr>
            <w:r>
              <w:rPr>
                <w:rFonts w:ascii="Arial" w:hAnsi="Arial" w:eastAsia="Arial"/>
                <w:sz w:val="16"/>
              </w:rPr>
              <w:t>Keep claim boundary inside the evidence surface.</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Evidence vs interpretation</w:t>
            </w:r>
          </w:p>
        </w:tc>
        <w:tc>
          <w:tcPr>
            <w:vAlign w:val="top"/>
            <w:tcMar>
              <w:top w:w="70" w:type="dxa"/>
              <w:start w:w="80" w:type="dxa"/>
              <w:bottom w:w="70" w:type="dxa"/>
              <w:end w:w="80" w:type="dxa"/>
            </w:tcMar>
            <w:shd w:fill="FFFFFF"/>
          </w:tcPr>
          <w:p>
            <w:pPr>
              <w:pStyle w:val="Compact"/>
              <w:jc w:val="left"/>
            </w:pPr>
            <w:r>
              <w:rPr>
                <w:rFonts w:ascii="Arial" w:hAnsi="Arial" w:eastAsia="Arial"/>
                <w:sz w:val="16"/>
              </w:rPr>
              <w:t>Evidence is trace; interpretation connects trace, uncertainty, values, and action.</w:t>
            </w:r>
          </w:p>
        </w:tc>
        <w:tc>
          <w:tcPr>
            <w:vAlign w:val="top"/>
            <w:tcMar>
              <w:top w:w="70" w:type="dxa"/>
              <w:start w:w="80" w:type="dxa"/>
              <w:bottom w:w="70" w:type="dxa"/>
              <w:end w:w="80" w:type="dxa"/>
            </w:tcMar>
            <w:shd w:fill="FFFFFF"/>
          </w:tcPr>
          <w:p>
            <w:pPr>
              <w:pStyle w:val="Compact"/>
              <w:jc w:val="left"/>
            </w:pPr>
            <w:r>
              <w:rPr>
                <w:rFonts w:ascii="Arial" w:hAnsi="Arial" w:eastAsia="Arial"/>
                <w:sz w:val="16"/>
              </w:rPr>
              <w:t>Record reviewer status and uncertainty.</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Category vs metric</w:t>
            </w:r>
          </w:p>
        </w:tc>
        <w:tc>
          <w:tcPr>
            <w:vAlign w:val="top"/>
            <w:tcMar>
              <w:top w:w="70" w:type="dxa"/>
              <w:start w:w="80" w:type="dxa"/>
              <w:bottom w:w="70" w:type="dxa"/>
              <w:end w:w="80" w:type="dxa"/>
            </w:tcMar>
            <w:shd w:fill="D9EAF7"/>
          </w:tcPr>
          <w:p>
            <w:pPr>
              <w:pStyle w:val="Compact"/>
              <w:jc w:val="left"/>
            </w:pPr>
            <w:r>
              <w:rPr>
                <w:rFonts w:ascii="Arial" w:hAnsi="Arial" w:eastAsia="Arial"/>
                <w:sz w:val="16"/>
              </w:rPr>
              <w:t>Category defines what is being measured; metric quantifies a proxy or indicator.</w:t>
            </w:r>
          </w:p>
        </w:tc>
        <w:tc>
          <w:tcPr>
            <w:vAlign w:val="top"/>
            <w:tcMar>
              <w:top w:w="70" w:type="dxa"/>
              <w:start w:w="80" w:type="dxa"/>
              <w:bottom w:w="70" w:type="dxa"/>
              <w:end w:w="80" w:type="dxa"/>
            </w:tcMar>
            <w:shd w:fill="D9EAF7"/>
          </w:tcPr>
          <w:p>
            <w:pPr>
              <w:pStyle w:val="Compact"/>
              <w:jc w:val="left"/>
            </w:pPr>
            <w:r>
              <w:rPr>
                <w:rFonts w:ascii="Arial" w:hAnsi="Arial" w:eastAsia="Arial"/>
                <w:sz w:val="16"/>
              </w:rPr>
              <w:t>Refuse or narrow metric claims when the category is weak.</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Score vs truth</w:t>
            </w:r>
          </w:p>
        </w:tc>
        <w:tc>
          <w:tcPr>
            <w:vAlign w:val="top"/>
            <w:tcMar>
              <w:top w:w="70" w:type="dxa"/>
              <w:start w:w="80" w:type="dxa"/>
              <w:bottom w:w="70" w:type="dxa"/>
              <w:end w:w="80" w:type="dxa"/>
            </w:tcMar>
            <w:shd w:fill="FFFFFF"/>
          </w:tcPr>
          <w:p>
            <w:pPr>
              <w:pStyle w:val="Compact"/>
              <w:jc w:val="left"/>
            </w:pPr>
            <w:r>
              <w:rPr>
                <w:rFonts w:ascii="Arial" w:hAnsi="Arial" w:eastAsia="Arial"/>
                <w:sz w:val="16"/>
              </w:rPr>
              <w:t>RLS ranks selectable options under declared inputs; it is not truth itself.</w:t>
            </w:r>
          </w:p>
        </w:tc>
        <w:tc>
          <w:tcPr>
            <w:vAlign w:val="top"/>
            <w:tcMar>
              <w:top w:w="70" w:type="dxa"/>
              <w:start w:w="80" w:type="dxa"/>
              <w:bottom w:w="70" w:type="dxa"/>
              <w:end w:w="80" w:type="dxa"/>
            </w:tcMar>
            <w:shd w:fill="FFFFFF"/>
          </w:tcPr>
          <w:p>
            <w:pPr>
              <w:pStyle w:val="Compact"/>
              <w:jc w:val="left"/>
            </w:pPr>
            <w:r>
              <w:rPr>
                <w:rFonts w:ascii="Arial" w:hAnsi="Arial" w:eastAsia="Arial"/>
                <w:sz w:val="16"/>
              </w:rPr>
              <w:t>Never let RLS rescue failed grounding, rights, risk, or containment.</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Compliance vs correctness</w:t>
            </w:r>
          </w:p>
        </w:tc>
        <w:tc>
          <w:tcPr>
            <w:vAlign w:val="top"/>
            <w:tcMar>
              <w:top w:w="70" w:type="dxa"/>
              <w:start w:w="80" w:type="dxa"/>
              <w:bottom w:w="70" w:type="dxa"/>
              <w:end w:w="80" w:type="dxa"/>
            </w:tcMar>
            <w:shd w:fill="D9EAF7"/>
          </w:tcPr>
          <w:p>
            <w:pPr>
              <w:pStyle w:val="Compact"/>
              <w:jc w:val="left"/>
            </w:pPr>
            <w:r>
              <w:rPr>
                <w:rFonts w:ascii="Arial" w:hAnsi="Arial" w:eastAsia="Arial"/>
                <w:sz w:val="16"/>
              </w:rPr>
              <w:t>Compliance means conformity to a rule or process; correctness means reality-bound adequacy for the claim.</w:t>
            </w:r>
          </w:p>
        </w:tc>
        <w:tc>
          <w:tcPr>
            <w:vAlign w:val="top"/>
            <w:tcMar>
              <w:top w:w="70" w:type="dxa"/>
              <w:start w:w="80" w:type="dxa"/>
              <w:bottom w:w="70" w:type="dxa"/>
              <w:end w:w="80" w:type="dxa"/>
            </w:tcMar>
            <w:shd w:fill="D9EAF7"/>
          </w:tcPr>
          <w:p>
            <w:pPr>
              <w:pStyle w:val="Compact"/>
              <w:jc w:val="left"/>
            </w:pPr>
            <w:r>
              <w:rPr>
                <w:rFonts w:ascii="Arial" w:hAnsi="Arial" w:eastAsia="Arial"/>
                <w:sz w:val="16"/>
              </w:rPr>
              <w:t>Treat compliance as evidence, not validity.</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Certification vs validity</w:t>
            </w:r>
          </w:p>
        </w:tc>
        <w:tc>
          <w:tcPr>
            <w:vAlign w:val="top"/>
            <w:tcMar>
              <w:top w:w="70" w:type="dxa"/>
              <w:start w:w="80" w:type="dxa"/>
              <w:bottom w:w="70" w:type="dxa"/>
              <w:end w:w="80" w:type="dxa"/>
            </w:tcMar>
            <w:shd w:fill="FFFFFF"/>
          </w:tcPr>
          <w:p>
            <w:pPr>
              <w:pStyle w:val="Compact"/>
              <w:jc w:val="left"/>
            </w:pPr>
            <w:r>
              <w:rPr>
                <w:rFonts w:ascii="Arial" w:hAnsi="Arial" w:eastAsia="Arial"/>
                <w:sz w:val="16"/>
              </w:rPr>
              <w:t>Certification records an assurance result; validity depends on grounded reference, evidence, and replayable adequacy.</w:t>
            </w:r>
          </w:p>
        </w:tc>
        <w:tc>
          <w:tcPr>
            <w:vAlign w:val="top"/>
            <w:tcMar>
              <w:top w:w="70" w:type="dxa"/>
              <w:start w:w="80" w:type="dxa"/>
              <w:bottom w:w="70" w:type="dxa"/>
              <w:end w:w="80" w:type="dxa"/>
            </w:tcMar>
            <w:shd w:fill="FFFFFF"/>
          </w:tcPr>
          <w:p>
            <w:pPr>
              <w:pStyle w:val="Compact"/>
              <w:jc w:val="left"/>
            </w:pPr>
            <w:r>
              <w:rPr>
                <w:rFonts w:ascii="Arial" w:hAnsi="Arial" w:eastAsia="Arial"/>
                <w:sz w:val="16"/>
              </w:rPr>
              <w:t>Prevent certification theater and overclaiming.</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Permission vs admissibility</w:t>
            </w:r>
          </w:p>
        </w:tc>
        <w:tc>
          <w:tcPr>
            <w:vAlign w:val="top"/>
            <w:tcMar>
              <w:top w:w="70" w:type="dxa"/>
              <w:start w:w="80" w:type="dxa"/>
              <w:bottom w:w="70" w:type="dxa"/>
              <w:end w:w="80" w:type="dxa"/>
            </w:tcMar>
            <w:shd w:fill="D9EAF7"/>
          </w:tcPr>
          <w:p>
            <w:pPr>
              <w:pStyle w:val="Compact"/>
              <w:jc w:val="left"/>
            </w:pPr>
            <w:r>
              <w:rPr>
                <w:rFonts w:ascii="Arial" w:hAnsi="Arial" w:eastAsia="Arial"/>
                <w:sz w:val="16"/>
              </w:rPr>
              <w:t>Permission is authorization; admissibility is passing the relevant MathGov gates.</w:t>
            </w:r>
          </w:p>
        </w:tc>
        <w:tc>
          <w:tcPr>
            <w:vAlign w:val="top"/>
            <w:tcMar>
              <w:top w:w="70" w:type="dxa"/>
              <w:start w:w="80" w:type="dxa"/>
              <w:bottom w:w="70" w:type="dxa"/>
              <w:end w:w="80" w:type="dxa"/>
            </w:tcMar>
            <w:shd w:fill="D9EAF7"/>
          </w:tcPr>
          <w:p>
            <w:pPr>
              <w:pStyle w:val="Compact"/>
              <w:jc w:val="left"/>
            </w:pPr>
            <w:r>
              <w:rPr>
                <w:rFonts w:ascii="Arial" w:hAnsi="Arial" w:eastAsia="Arial"/>
                <w:sz w:val="16"/>
              </w:rPr>
              <w:t>Do not treat approval as gate success.</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Monitoring vs control</w:t>
            </w:r>
          </w:p>
        </w:tc>
        <w:tc>
          <w:tcPr>
            <w:vAlign w:val="top"/>
            <w:tcMar>
              <w:top w:w="70" w:type="dxa"/>
              <w:start w:w="80" w:type="dxa"/>
              <w:bottom w:w="70" w:type="dxa"/>
              <w:end w:w="80" w:type="dxa"/>
            </w:tcMar>
            <w:shd w:fill="FFFFFF"/>
          </w:tcPr>
          <w:p>
            <w:pPr>
              <w:pStyle w:val="Compact"/>
              <w:jc w:val="left"/>
            </w:pPr>
            <w:r>
              <w:rPr>
                <w:rFonts w:ascii="Arial" w:hAnsi="Arial" w:eastAsia="Arial"/>
                <w:sz w:val="16"/>
              </w:rPr>
              <w:t>Monitoring observes; control prevents, constrains, or corrects.</w:t>
            </w:r>
          </w:p>
        </w:tc>
        <w:tc>
          <w:tcPr>
            <w:vAlign w:val="top"/>
            <w:tcMar>
              <w:top w:w="70" w:type="dxa"/>
              <w:start w:w="80" w:type="dxa"/>
              <w:bottom w:w="70" w:type="dxa"/>
              <w:end w:w="80" w:type="dxa"/>
            </w:tcMar>
            <w:shd w:fill="FFFFFF"/>
          </w:tcPr>
          <w:p>
            <w:pPr>
              <w:pStyle w:val="Compact"/>
              <w:jc w:val="left"/>
            </w:pPr>
            <w:r>
              <w:rPr>
                <w:rFonts w:ascii="Arial" w:hAnsi="Arial" w:eastAsia="Arial"/>
                <w:sz w:val="16"/>
              </w:rPr>
              <w:t>Require enforcement path, rollback, or containment evidence for control claims.</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Safety vs stability</w:t>
            </w:r>
          </w:p>
        </w:tc>
        <w:tc>
          <w:tcPr>
            <w:vAlign w:val="top"/>
            <w:tcMar>
              <w:top w:w="70" w:type="dxa"/>
              <w:start w:w="80" w:type="dxa"/>
              <w:bottom w:w="70" w:type="dxa"/>
              <w:end w:w="80" w:type="dxa"/>
            </w:tcMar>
            <w:shd w:fill="D9EAF7"/>
          </w:tcPr>
          <w:p>
            <w:pPr>
              <w:pStyle w:val="Compact"/>
              <w:jc w:val="left"/>
            </w:pPr>
            <w:r>
              <w:rPr>
                <w:rFonts w:ascii="Arial" w:hAnsi="Arial" w:eastAsia="Arial"/>
                <w:sz w:val="16"/>
              </w:rPr>
              <w:t>Safety means bounded non-harm under declared conditions; stability means preserved structural regime integrity.</w:t>
            </w:r>
          </w:p>
        </w:tc>
        <w:tc>
          <w:tcPr>
            <w:vAlign w:val="top"/>
            <w:tcMar>
              <w:top w:w="70" w:type="dxa"/>
              <w:start w:w="80" w:type="dxa"/>
              <w:bottom w:w="70" w:type="dxa"/>
              <w:end w:w="80" w:type="dxa"/>
            </w:tcMar>
            <w:shd w:fill="D9EAF7"/>
          </w:tcPr>
          <w:p>
            <w:pPr>
              <w:pStyle w:val="Compact"/>
              <w:jc w:val="left"/>
            </w:pPr>
            <w:r>
              <w:rPr>
                <w:rFonts w:ascii="Arial" w:hAnsi="Arial" w:eastAsia="Arial"/>
                <w:sz w:val="16"/>
              </w:rPr>
              <w:t>Use TRC, Containment, and Adaptive Reserve where relevant.</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Stability vs justice</w:t>
            </w:r>
          </w:p>
        </w:tc>
        <w:tc>
          <w:tcPr>
            <w:vAlign w:val="top"/>
            <w:tcMar>
              <w:top w:w="70" w:type="dxa"/>
              <w:start w:w="80" w:type="dxa"/>
              <w:bottom w:w="70" w:type="dxa"/>
              <w:end w:w="80" w:type="dxa"/>
            </w:tcMar>
            <w:shd w:fill="FFFFFF"/>
          </w:tcPr>
          <w:p>
            <w:pPr>
              <w:pStyle w:val="Compact"/>
              <w:jc w:val="left"/>
            </w:pPr>
            <w:r>
              <w:rPr>
                <w:rFonts w:ascii="Arial" w:hAnsi="Arial" w:eastAsia="Arial"/>
                <w:sz w:val="16"/>
              </w:rPr>
              <w:t>Stability can preserve harmful arrangements; justice requires rights floors and non-domination.</w:t>
            </w:r>
          </w:p>
        </w:tc>
        <w:tc>
          <w:tcPr>
            <w:vAlign w:val="top"/>
            <w:tcMar>
              <w:top w:w="70" w:type="dxa"/>
              <w:start w:w="80" w:type="dxa"/>
              <w:bottom w:w="70" w:type="dxa"/>
              <w:end w:w="80" w:type="dxa"/>
            </w:tcMar>
            <w:shd w:fill="FFFFFF"/>
          </w:tcPr>
          <w:p>
            <w:pPr>
              <w:pStyle w:val="Compact"/>
              <w:jc w:val="left"/>
            </w:pPr>
            <w:r>
              <w:rPr>
                <w:rFonts w:ascii="Arial" w:hAnsi="Arial" w:eastAsia="Arial"/>
                <w:sz w:val="16"/>
              </w:rPr>
              <w:t>Do not allow stable oppression to pass rights review.</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Automation vs autonomy</w:t>
            </w:r>
          </w:p>
        </w:tc>
        <w:tc>
          <w:tcPr>
            <w:vAlign w:val="top"/>
            <w:tcMar>
              <w:top w:w="70" w:type="dxa"/>
              <w:start w:w="80" w:type="dxa"/>
              <w:bottom w:w="70" w:type="dxa"/>
              <w:end w:w="80" w:type="dxa"/>
            </w:tcMar>
            <w:shd w:fill="D9EAF7"/>
          </w:tcPr>
          <w:p>
            <w:pPr>
              <w:pStyle w:val="Compact"/>
              <w:jc w:val="left"/>
            </w:pPr>
            <w:r>
              <w:rPr>
                <w:rFonts w:ascii="Arial" w:hAnsi="Arial" w:eastAsia="Arial"/>
                <w:sz w:val="16"/>
              </w:rPr>
              <w:t>Automation follows procedures; autonomy evaluates, adapts, and remains accountable under constraints.</w:t>
            </w:r>
          </w:p>
        </w:tc>
        <w:tc>
          <w:tcPr>
            <w:vAlign w:val="top"/>
            <w:tcMar>
              <w:top w:w="70" w:type="dxa"/>
              <w:start w:w="80" w:type="dxa"/>
              <w:bottom w:w="70" w:type="dxa"/>
              <w:end w:w="80" w:type="dxa"/>
            </w:tcMar>
            <w:shd w:fill="D9EAF7"/>
          </w:tcPr>
          <w:p>
            <w:pPr>
              <w:pStyle w:val="Compact"/>
              <w:jc w:val="left"/>
            </w:pPr>
            <w:r>
              <w:rPr>
                <w:rFonts w:ascii="Arial" w:hAnsi="Arial" w:eastAsia="Arial"/>
                <w:sz w:val="16"/>
              </w:rPr>
              <w:t>Require authority and execution-stability records for autonomy claims.</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Protection vs authority</w:t>
            </w:r>
          </w:p>
        </w:tc>
        <w:tc>
          <w:tcPr>
            <w:vAlign w:val="top"/>
            <w:tcMar>
              <w:top w:w="70" w:type="dxa"/>
              <w:start w:w="80" w:type="dxa"/>
              <w:bottom w:w="70" w:type="dxa"/>
              <w:end w:w="80" w:type="dxa"/>
            </w:tcMar>
            <w:shd w:fill="FFFFFF"/>
          </w:tcPr>
          <w:p>
            <w:pPr>
              <w:pStyle w:val="Compact"/>
              <w:jc w:val="left"/>
            </w:pPr>
            <w:r>
              <w:rPr>
                <w:rFonts w:ascii="Arial" w:hAnsi="Arial" w:eastAsia="Arial"/>
                <w:sz w:val="16"/>
              </w:rPr>
              <w:t>Protection concerns moral/welfare standing; authority concerns legitimate role, responsibility, competence, and authorization.</w:t>
            </w:r>
          </w:p>
        </w:tc>
        <w:tc>
          <w:tcPr>
            <w:vAlign w:val="top"/>
            <w:tcMar>
              <w:top w:w="70" w:type="dxa"/>
              <w:start w:w="80" w:type="dxa"/>
              <w:bottom w:w="70" w:type="dxa"/>
              <w:end w:w="80" w:type="dxa"/>
            </w:tcMar>
            <w:shd w:fill="FFFFFF"/>
          </w:tcPr>
          <w:p>
            <w:pPr>
              <w:pStyle w:val="Compact"/>
              <w:jc w:val="left"/>
            </w:pPr>
            <w:r>
              <w:rPr>
                <w:rFonts w:ascii="Arial" w:hAnsi="Arial" w:eastAsia="Arial"/>
                <w:sz w:val="16"/>
              </w:rPr>
              <w:t>Preserve SGP protection/authority separation.</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Selected vs executable</w:t>
            </w:r>
          </w:p>
        </w:tc>
        <w:tc>
          <w:tcPr>
            <w:vAlign w:val="top"/>
            <w:tcMar>
              <w:top w:w="70" w:type="dxa"/>
              <w:start w:w="80" w:type="dxa"/>
              <w:bottom w:w="70" w:type="dxa"/>
              <w:end w:w="80" w:type="dxa"/>
            </w:tcMar>
            <w:shd w:fill="D9EAF7"/>
          </w:tcPr>
          <w:p>
            <w:pPr>
              <w:pStyle w:val="Compact"/>
              <w:jc w:val="left"/>
            </w:pPr>
            <w:r>
              <w:rPr>
                <w:rFonts w:ascii="Arial" w:hAnsi="Arial" w:eastAsia="Arial"/>
                <w:sz w:val="16"/>
              </w:rPr>
              <w:t>A selected option is chosen by framework or authority; executable means action may proceed through lawful/runtime controls.</w:t>
            </w:r>
          </w:p>
        </w:tc>
        <w:tc>
          <w:tcPr>
            <w:vAlign w:val="top"/>
            <w:tcMar>
              <w:top w:w="70" w:type="dxa"/>
              <w:start w:w="80" w:type="dxa"/>
              <w:bottom w:w="70" w:type="dxa"/>
              <w:end w:w="80" w:type="dxa"/>
            </w:tcMar>
            <w:shd w:fill="D9EAF7"/>
          </w:tcPr>
          <w:p>
            <w:pPr>
              <w:pStyle w:val="Compact"/>
              <w:jc w:val="left"/>
            </w:pPr>
            <w:r>
              <w:rPr>
                <w:rFonts w:ascii="Arial" w:hAnsi="Arial" w:eastAsia="Arial"/>
                <w:sz w:val="16"/>
              </w:rPr>
              <w:t>Require execution-stability and authority checks.</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Capability vs authority</w:t>
            </w:r>
          </w:p>
        </w:tc>
        <w:tc>
          <w:tcPr>
            <w:vAlign w:val="top"/>
            <w:tcMar>
              <w:top w:w="70" w:type="dxa"/>
              <w:start w:w="80" w:type="dxa"/>
              <w:bottom w:w="70" w:type="dxa"/>
              <w:end w:w="80" w:type="dxa"/>
            </w:tcMar>
            <w:shd w:fill="FFFFFF"/>
          </w:tcPr>
          <w:p>
            <w:pPr>
              <w:pStyle w:val="Compact"/>
              <w:jc w:val="left"/>
            </w:pPr>
            <w:r>
              <w:rPr>
                <w:rFonts w:ascii="Arial" w:hAnsi="Arial" w:eastAsia="Arial"/>
                <w:sz w:val="16"/>
              </w:rPr>
              <w:t>A system may be technically able to act without being permitted or admissible to act.</w:t>
            </w:r>
          </w:p>
        </w:tc>
        <w:tc>
          <w:tcPr>
            <w:vAlign w:val="top"/>
            <w:tcMar>
              <w:top w:w="70" w:type="dxa"/>
              <w:start w:w="80" w:type="dxa"/>
              <w:bottom w:w="70" w:type="dxa"/>
              <w:end w:w="80" w:type="dxa"/>
            </w:tcMar>
            <w:shd w:fill="FFFFFF"/>
          </w:tcPr>
          <w:p>
            <w:pPr>
              <w:pStyle w:val="Compact"/>
              <w:jc w:val="left"/>
            </w:pPr>
            <w:r>
              <w:rPr>
                <w:rFonts w:ascii="Arial" w:hAnsi="Arial" w:eastAsia="Arial"/>
                <w:sz w:val="16"/>
              </w:rPr>
              <w:t>Block action without hard-control authorization.</w:t>
            </w:r>
          </w:p>
        </w:tc>
      </w:tr>
    </w:tbl>
    <w:bookmarkEnd w:id="682"/>
    <w:bookmarkStart w:id="683" w:name="ai6-claim-action-rule"/>
    <w:p>
      <w:pPr>
        <w:pStyle w:val="Heading2"/>
      </w:pPr>
      <w:r>
        <w:t>AI.6 Claim-action rule</w:t>
      </w:r>
    </w:p>
    <w:p>
      <w:pPr>
        <w:pStyle w:val="FirstParagraph"/>
      </w:pPr>
      <w:r>
        <w:t>If a material term lacks a discriminator, lacks a dependency position, collapses into a neighboring term, or lacks a refusal condition sufficient for the claim being made, the run MUST classify the issue as TERM_DISCRIMINATION_FAILURE or a more specific category failure class. The result MUST be NARROW, ESCALATE, REFUSE, MONITOR_ONLY, or SENSITIVITY_ONLY until the term is grounded. A completed PCC, authority-selection record, institutional permission, model output, dashboard result, or certification label MUST NOT repair a term-discrimination failure by itself.</w:t>
      </w:r>
    </w:p>
    <w:bookmarkEnd w:id="683"/>
    <w:bookmarkStart w:id="684" w:name="ai7-v120-release-delta"/>
    <w:p>
      <w:pPr>
        <w:pStyle w:val="Heading2"/>
      </w:pPr>
      <w:r>
        <w:t>AI.7 v12.0 release delta</w:t>
      </w:r>
    </w:p>
    <w:p>
      <w:pPr>
        <w:pStyle w:val="FirstParagraph"/>
      </w:pPr>
      <w:r>
        <w:t>Release Delta (v11.0 -&gt; v12.0). v12.0 carries forward the Term Discrimination and Semantic Stability Protocol and adds Structural Viability and Falsification Discipline hardening inside existing layers. The v11.0 line added Term Discrimination as a hardening patch inside Category Grounding and Reality Grounding. It adds category_discriminator, dependency_position, term_refusal_condition, noncollapse_pairs, and source_authority_status to material category records; adds the Do-Not-Collapse Matrix; strengthens certification/permission/monitoring non-authority language; and preserves the five-level method. It does not add a new public gate, import an external ontology, alter NCRC, TRC, CSV, RLS, SGP protection surface semantics, PLSS, lawful authority boundaries, Tier 4, ProofPack, empirical-validation, legal-certification, or deployment-certification boundaries.</w:t>
      </w:r>
    </w:p>
    <w:bookmarkEnd w:id="684"/>
    <w:bookmarkEnd w:id="685"/>
    <w:bookmarkStart w:id="697" w:name="X218ec5ea40ce9f7505f64d840c93dd5575e624e"/>
    <w:p>
      <w:pPr>
        <w:pStyle w:val="Heading1"/>
      </w:pPr>
      <w:r>
        <w:t>Appendix AJ: Public Release Hardening Addendum (v12.0)</w:t>
      </w:r>
    </w:p>
    <w:p>
      <w:pPr>
        <w:pStyle w:val="FirstParagraph"/>
      </w:pPr>
      <w:r>
        <w:t>Status. This appendix is a hardening bridge for the v12.0 content line. It does not create Tier 4, ProofPack, legal certification, deployment certification, empirical validation, or automated moral truth. It clarifies implementation discipline and points to companion guidance. If a companion guide conflicts with the Canon, the Canon controls until a future versioned amendment resolves the conflict.</w:t>
      </w:r>
    </w:p>
    <w:bookmarkStart w:id="686" w:name="X646319d0bc8dff9a4daa8af5378cd986f0690bf"/>
    <w:p>
      <w:pPr>
        <w:pStyle w:val="Heading2"/>
      </w:pPr>
      <w:r>
        <w:t>AJ.1 Gate Boundary Discriminator: TRC, CSV, and RLS</w:t>
      </w:r>
    </w:p>
    <w:p>
      <w:pPr>
        <w:pStyle w:val="FirstParagraph"/>
      </w:pPr>
      <w:r>
        <w:t>TRC, CSV, and RLS SHALL NOT be collapsed.</w:t>
      </w:r>
    </w:p>
    <w:tbl>
      <w:tblPr>
        <w:tblStyle w:val="Table"/>
        <w:tblW w:type="auto" w:w="0"/>
        <w:jc w:val="center"/>
        <w:tblLook w:firstRow="1" w:lastRow="0" w:firstColumn="0" w:lastColumn="0" w:noHBand="0" w:noVBand="0" w:val="0020"/>
      </w:tblPr>
      <w:tblGrid>
        <w:gridCol w:w="2640"/>
        <w:gridCol w:w="2640"/>
        <w:gridCol w:w="2640"/>
      </w:tblGrid>
      <w:tr>
        <w:trPr>
          <w:tblHeader w:val="on"/>
          <w:tblHeader w:val="true"/>
          <w:cantSplit/>
        </w:trPr>
        <w:tc>
          <w:tcPr>
            <w:vAlign w:val="top"/>
            <w:tcMar>
              <w:top w:w="70" w:type="dxa"/>
              <w:start w:w="80" w:type="dxa"/>
              <w:bottom w:w="70" w:type="dxa"/>
              <w:end w:w="80" w:type="dxa"/>
            </w:tcMar>
            <w:shd w:fill="1F4E78"/>
          </w:tcPr>
          <w:p>
            <w:pPr>
              <w:pStyle w:val="Compact"/>
              <w:jc w:val="left"/>
            </w:pPr>
            <w:r>
              <w:rPr>
                <w:rFonts w:ascii="Arial" w:hAnsi="Arial" w:eastAsia="Arial"/>
                <w:b/>
                <w:color w:val="FFFFFF"/>
                <w:sz w:val="16"/>
              </w:rPr>
              <w:t>Layer</w:t>
            </w:r>
          </w:p>
        </w:tc>
        <w:tc>
          <w:tcPr>
            <w:vAlign w:val="top"/>
            <w:tcMar>
              <w:top w:w="70" w:type="dxa"/>
              <w:start w:w="80" w:type="dxa"/>
              <w:bottom w:w="70" w:type="dxa"/>
              <w:end w:w="80" w:type="dxa"/>
            </w:tcMar>
            <w:shd w:fill="1F4E78"/>
          </w:tcPr>
          <w:p>
            <w:pPr>
              <w:pStyle w:val="Compact"/>
              <w:jc w:val="left"/>
            </w:pPr>
            <w:r>
              <w:rPr>
                <w:rFonts w:ascii="Arial" w:hAnsi="Arial" w:eastAsia="Arial"/>
                <w:b/>
                <w:color w:val="FFFFFF"/>
                <w:sz w:val="16"/>
              </w:rPr>
              <w:t>Primary question</w:t>
            </w:r>
          </w:p>
        </w:tc>
        <w:tc>
          <w:tcPr>
            <w:vAlign w:val="top"/>
            <w:tcMar>
              <w:top w:w="70" w:type="dxa"/>
              <w:start w:w="80" w:type="dxa"/>
              <w:bottom w:w="70" w:type="dxa"/>
              <w:end w:w="80" w:type="dxa"/>
            </w:tcMar>
            <w:shd w:fill="1F4E78"/>
          </w:tcPr>
          <w:p>
            <w:pPr>
              <w:pStyle w:val="Compact"/>
              <w:jc w:val="left"/>
            </w:pPr>
            <w:r>
              <w:rPr>
                <w:rFonts w:ascii="Arial" w:hAnsi="Arial" w:eastAsia="Arial"/>
                <w:b/>
                <w:color w:val="FFFFFF"/>
                <w:sz w:val="16"/>
              </w:rPr>
              <w:t>Normal consequence</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TRC</w:t>
            </w:r>
          </w:p>
        </w:tc>
        <w:tc>
          <w:tcPr>
            <w:vAlign w:val="top"/>
            <w:tcMar>
              <w:top w:w="70" w:type="dxa"/>
              <w:start w:w="80" w:type="dxa"/>
              <w:bottom w:w="70" w:type="dxa"/>
              <w:end w:w="80" w:type="dxa"/>
            </w:tcMar>
            <w:shd w:fill="D9EAF7"/>
          </w:tcPr>
          <w:p>
            <w:pPr>
              <w:pStyle w:val="Compact"/>
              <w:jc w:val="left"/>
            </w:pPr>
            <w:r>
              <w:rPr>
                <w:rFonts w:ascii="Arial" w:hAnsi="Arial" w:eastAsia="Arial"/>
                <w:sz w:val="16"/>
              </w:rPr>
              <w:t>Could this option create catastrophic, irreversible, ruinous, or lock-in tail exposure?</w:t>
            </w:r>
          </w:p>
        </w:tc>
        <w:tc>
          <w:tcPr>
            <w:vAlign w:val="top"/>
            <w:tcMar>
              <w:top w:w="70" w:type="dxa"/>
              <w:start w:w="80" w:type="dxa"/>
              <w:bottom w:w="70" w:type="dxa"/>
              <w:end w:w="80" w:type="dxa"/>
            </w:tcMar>
            <w:shd w:fill="D9EAF7"/>
          </w:tcPr>
          <w:p>
            <w:pPr>
              <w:pStyle w:val="Compact"/>
              <w:jc w:val="left"/>
            </w:pPr>
            <w:r>
              <w:rPr>
                <w:rFonts w:ascii="Arial" w:hAnsi="Arial" w:eastAsia="Arial"/>
                <w:sz w:val="16"/>
              </w:rPr>
              <w:t>Gate failure if tail exposure exceeds corridor.</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CSV</w:t>
            </w:r>
          </w:p>
        </w:tc>
        <w:tc>
          <w:tcPr>
            <w:vAlign w:val="top"/>
            <w:tcMar>
              <w:top w:w="70" w:type="dxa"/>
              <w:start w:w="80" w:type="dxa"/>
              <w:bottom w:w="70" w:type="dxa"/>
              <w:end w:w="80" w:type="dxa"/>
            </w:tcMar>
            <w:shd w:fill="FFFFFF"/>
          </w:tcPr>
          <w:p>
            <w:pPr>
              <w:pStyle w:val="Compact"/>
              <w:jc w:val="left"/>
            </w:pPr>
            <w:r>
              <w:rPr>
                <w:rFonts w:ascii="Arial" w:hAnsi="Arial" w:eastAsia="Arial"/>
                <w:sz w:val="16"/>
              </w:rPr>
              <w:t>Can the option deliver its claimed good without breaking, hollowing, overloading, exploiting, or depending on containing systems beyond tolerance?</w:t>
            </w:r>
          </w:p>
        </w:tc>
        <w:tc>
          <w:tcPr>
            <w:vAlign w:val="top"/>
            <w:tcMar>
              <w:top w:w="70" w:type="dxa"/>
              <w:start w:w="80" w:type="dxa"/>
              <w:bottom w:w="70" w:type="dxa"/>
              <w:end w:w="80" w:type="dxa"/>
            </w:tcMar>
            <w:shd w:fill="FFFFFF"/>
          </w:tcPr>
          <w:p>
            <w:pPr>
              <w:pStyle w:val="Compact"/>
              <w:jc w:val="left"/>
            </w:pPr>
            <w:r>
              <w:rPr>
                <w:rFonts w:ascii="Arial" w:hAnsi="Arial" w:eastAsia="Arial"/>
                <w:sz w:val="16"/>
              </w:rPr>
              <w:t>Fail, controls, redesign, escalation, or pass depending on structural status.</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RLS</w:t>
            </w:r>
          </w:p>
        </w:tc>
        <w:tc>
          <w:tcPr>
            <w:vAlign w:val="top"/>
            <w:tcMar>
              <w:top w:w="70" w:type="dxa"/>
              <w:start w:w="80" w:type="dxa"/>
              <w:bottom w:w="70" w:type="dxa"/>
              <w:end w:w="80" w:type="dxa"/>
            </w:tcMar>
            <w:shd w:fill="D9EAF7"/>
          </w:tcPr>
          <w:p>
            <w:pPr>
              <w:pStyle w:val="Compact"/>
              <w:jc w:val="left"/>
            </w:pPr>
            <w:r>
              <w:rPr>
                <w:rFonts w:ascii="Arial" w:hAnsi="Arial" w:eastAsia="Arial"/>
                <w:sz w:val="16"/>
              </w:rPr>
              <w:t>Among options that survived RG, RF/NCRC, TRC, and CSV, which has the strongest residual welfare profile?</w:t>
            </w:r>
          </w:p>
        </w:tc>
        <w:tc>
          <w:tcPr>
            <w:vAlign w:val="top"/>
            <w:tcMar>
              <w:top w:w="70" w:type="dxa"/>
              <w:start w:w="80" w:type="dxa"/>
              <w:bottom w:w="70" w:type="dxa"/>
              <w:end w:w="80" w:type="dxa"/>
            </w:tcMar>
            <w:shd w:fill="D9EAF7"/>
          </w:tcPr>
          <w:p>
            <w:pPr>
              <w:pStyle w:val="Compact"/>
              <w:jc w:val="left"/>
            </w:pPr>
            <w:r>
              <w:rPr>
                <w:rFonts w:ascii="Arial" w:hAnsi="Arial" w:eastAsia="Arial"/>
                <w:sz w:val="16"/>
              </w:rPr>
              <w:t>Ranking only; no gate rescue.</w:t>
            </w:r>
          </w:p>
        </w:tc>
      </w:tr>
    </w:tbl>
    <w:p>
      <w:pPr>
        <w:pStyle w:val="BodyText"/>
      </w:pPr>
      <w:r>
        <w:t>Double-materiality rule. A harm may be both tail-relevant and structurally degrading. In that case it MUST be evaluated in TRC and CSV as appropriate, recorded in the PCC, and not double-counted as an ordinary residual RLS cost unless a distinct residual effect remains after gate treatment.</w:t>
      </w:r>
    </w:p>
    <w:p>
      <w:pPr>
        <w:pStyle w:val="BodyText"/>
      </w:pPr>
      <w:r>
        <w:t>Companion guide:</w:t>
      </w:r>
      <w:r>
        <w:t xml:space="preserve"> </w:t>
      </w:r>
      <w:r>
        <w:rPr>
          <w:rStyle w:val="VerbatimChar"/>
        </w:rPr>
        <w:t>docs/guides/GATE_BOUNDARY_DISCRIMINATOR_TRC_CSV_RLS.md</w:t>
      </w:r>
      <w:r>
        <w:t>.</w:t>
      </w:r>
    </w:p>
    <w:bookmarkEnd w:id="686"/>
    <w:bookmarkStart w:id="687" w:name="aj2-rights-threshold-governance"/>
    <w:p>
      <w:pPr>
        <w:pStyle w:val="Heading2"/>
      </w:pPr>
      <w:r>
        <w:t>AJ.2 Rights Threshold Governance</w:t>
      </w:r>
    </w:p>
    <w:p>
      <w:pPr>
        <w:pStyle w:val="FirstParagraph"/>
      </w:pPr>
      <w:r>
        <w:t>Rights thresholds are governance commitments under evidence, not preferences to be moved after selection. Tier 3 and public claim-bearing Tier 2 runs SHOULD record threshold source, rationale, under-protection risk, over-blocking risk, review status, and revision trigger. A decision owner who benefits from lowering a threshold MUST NOT unilaterally lower the Rights Floor for the run under evaluation.</w:t>
      </w:r>
    </w:p>
    <w:p>
      <w:pPr>
        <w:pStyle w:val="BodyText"/>
      </w:pPr>
      <w:r>
        <w:t>Companion note:</w:t>
      </w:r>
      <w:r>
        <w:t xml:space="preserve"> </w:t>
      </w:r>
      <w:r>
        <w:rPr>
          <w:rStyle w:val="VerbatimChar"/>
        </w:rPr>
        <w:t>docs/validation/rights/RIGHTS_THRESHOLD_GOVERNANCE_NOTE_v1_0.md</w:t>
      </w:r>
      <w:r>
        <w:t>.</w:t>
      </w:r>
    </w:p>
    <w:bookmarkEnd w:id="687"/>
    <w:bookmarkStart w:id="688" w:name="X49ab14c56a468fbf5c8e893d85ffc94433eaa9b"/>
    <w:p>
      <w:pPr>
        <w:pStyle w:val="Heading2"/>
      </w:pPr>
      <w:r>
        <w:t>AJ.3 Subgroup Discovery and Worst-Affected Groups</w:t>
      </w:r>
    </w:p>
    <w:p>
      <w:pPr>
        <w:pStyle w:val="FirstParagraph"/>
      </w:pPr>
      <w:r>
        <w:t>Worst-off subgroup semantics require active discovery of groups likely to bear hidden, indirect, intersectional, or least-contestable harms. Unknown subgroup exposure is not zero. Where direct sensitive-data collection is unsafe or unlawful, pathway analysis, proxy-risk statements, consultation, conservative bounds, and challenger review SHOULD be used.</w:t>
      </w:r>
    </w:p>
    <w:p>
      <w:pPr>
        <w:pStyle w:val="BodyText"/>
      </w:pPr>
      <w:r>
        <w:t>Companion guide:</w:t>
      </w:r>
      <w:r>
        <w:t xml:space="preserve"> </w:t>
      </w:r>
      <w:r>
        <w:rPr>
          <w:rStyle w:val="VerbatimChar"/>
        </w:rPr>
        <w:t>docs/guides/SUBGROUP_DISCOVERY_AND_WORST_AFFECTED_GROUPS.md</w:t>
      </w:r>
      <w:r>
        <w:t>.</w:t>
      </w:r>
    </w:p>
    <w:bookmarkEnd w:id="688"/>
    <w:bookmarkStart w:id="689" w:name="X0efe38aaa6d9e5b4447ec440d741120bac5956d"/>
    <w:p>
      <w:pPr>
        <w:pStyle w:val="Heading2"/>
      </w:pPr>
      <w:r>
        <w:t>AJ.4 Emergency Mode Least-Rights-Infringing Rule</w:t>
      </w:r>
    </w:p>
    <w:p>
      <w:pPr>
        <w:pStyle w:val="FirstParagraph"/>
      </w:pPr>
      <w:r>
        <w:t>Emergency Mode does not make a rights-failing option aligned. It identifies a time-bounded, least-rights-infringing provisional action when no normal option passes RF/NCRC. RLS may be used only as a final constrained tie-break after rights-violation vector comparison and TRC comparison. RLS MUST NOT reverse the emergency rights-vector ordering or convert a rights-failing option into an ordinary selectable option.</w:t>
      </w:r>
    </w:p>
    <w:p>
      <w:pPr>
        <w:pStyle w:val="BodyText"/>
      </w:pPr>
      <w:r>
        <w:t>Companion guide:</w:t>
      </w:r>
      <w:r>
        <w:t xml:space="preserve"> </w:t>
      </w:r>
      <w:r>
        <w:rPr>
          <w:rStyle w:val="VerbatimChar"/>
        </w:rPr>
        <w:t>docs/guides/EMERGENCY_MODE_LEAST_RIGHTS_INFRINGING_PROTOCOL.md</w:t>
      </w:r>
      <w:r>
        <w:t>.</w:t>
      </w:r>
    </w:p>
    <w:bookmarkEnd w:id="689"/>
    <w:bookmarkStart w:id="690" w:name="aj5-trc-scenario-discovery"/>
    <w:p>
      <w:pPr>
        <w:pStyle w:val="Heading2"/>
      </w:pPr>
      <w:r>
        <w:t>AJ.5 TRC Scenario Discovery</w:t>
      </w:r>
    </w:p>
    <w:p>
      <w:pPr>
        <w:pStyle w:val="FirstParagraph"/>
      </w:pPr>
      <w:r>
        <w:t>TRC is only as complete as the declared scenario surface. Tier 3 runs SHOULD use scenario discovery sources including domain experts, incident and near-miss data, red teams, affected stakeholders, literature, standards, and AI-assisted candidate generation. AI-generated scenarios are discovery inputs, not validity sources. Material rejected scenarios SHOULD be logged with rationale.</w:t>
      </w:r>
    </w:p>
    <w:p>
      <w:pPr>
        <w:pStyle w:val="BodyText"/>
      </w:pPr>
      <w:r>
        <w:t>Companion protocol:</w:t>
      </w:r>
      <w:r>
        <w:t xml:space="preserve"> </w:t>
      </w:r>
      <w:r>
        <w:rPr>
          <w:rStyle w:val="VerbatimChar"/>
        </w:rPr>
        <w:t>docs/validation/trc/TRC_SCENARIO_DISCOVERY_PROTOCOL_v1_0.md</w:t>
      </w:r>
      <w:r>
        <w:t>.</w:t>
      </w:r>
    </w:p>
    <w:bookmarkEnd w:id="690"/>
    <w:bookmarkStart w:id="691" w:name="aj6-csv-measurement-maturity"/>
    <w:p>
      <w:pPr>
        <w:pStyle w:val="Heading2"/>
      </w:pPr>
      <w:r>
        <w:t>AJ.6 CSV Measurement Maturity</w:t>
      </w:r>
    </w:p>
    <w:p>
      <w:pPr>
        <w:pStyle w:val="FirstParagraph"/>
      </w:pPr>
      <w:r>
        <w:t>CSV claims SHOULD declare maturity when used in public or high-stakes contexts: qualitative, indicator-supported, calibrated, or validated. UCI/HOI-style diagnostics are structural signals and MUST NOT be presented as empirically validated in a domain unless domain validation exists.</w:t>
      </w:r>
    </w:p>
    <w:p>
      <w:pPr>
        <w:pStyle w:val="BodyText"/>
      </w:pPr>
      <w:r>
        <w:t>Companion note:</w:t>
      </w:r>
      <w:r>
        <w:t xml:space="preserve"> </w:t>
      </w:r>
      <w:r>
        <w:rPr>
          <w:rStyle w:val="VerbatimChar"/>
        </w:rPr>
        <w:t>docs/validation/csv/CSV_MEASUREMENT_MATURITY_NOTE_v1_0.md</w:t>
      </w:r>
      <w:r>
        <w:t>.</w:t>
      </w:r>
    </w:p>
    <w:bookmarkEnd w:id="691"/>
    <w:bookmarkStart w:id="692" w:name="aj7-pcc-profiles"/>
    <w:p>
      <w:pPr>
        <w:pStyle w:val="Heading2"/>
      </w:pPr>
      <w:r>
        <w:t>AJ.7 PCC Profiles</w:t>
      </w:r>
    </w:p>
    <w:p>
      <w:pPr>
        <w:pStyle w:val="FirstParagraph"/>
      </w:pPr>
      <w:r>
        <w:t>PCC burden SHOULD be proportional to stakes without allowing consequential decisions to evade audit. The recognized profiles are PCC-Lite, PCC-Core, PCC-Audit, PCC-Agent, and PCC-Public. A lower profile is not allowed when rights exposure, catastrophe relevance, CSV burden, automation, public claims, affected-party burden, or accumulated systemic effect require a higher profile.</w:t>
      </w:r>
    </w:p>
    <w:p>
      <w:pPr>
        <w:pStyle w:val="BodyText"/>
      </w:pPr>
      <w:r>
        <w:t>Companion guide:</w:t>
      </w:r>
      <w:r>
        <w:t xml:space="preserve"> </w:t>
      </w:r>
      <w:r>
        <w:rPr>
          <w:rStyle w:val="VerbatimChar"/>
        </w:rPr>
        <w:t>docs/guides/PCC_PROFILE_GUIDE.md</w:t>
      </w:r>
      <w:r>
        <w:t>.</w:t>
      </w:r>
    </w:p>
    <w:bookmarkEnd w:id="692"/>
    <w:bookmarkStart w:id="693" w:name="Xeb3add529b250723cedc3d2adcfa6bef3106788"/>
    <w:p>
      <w:pPr>
        <w:pStyle w:val="Heading2"/>
      </w:pPr>
      <w:r>
        <w:t>AJ.8 HDW Participation and Capture Control</w:t>
      </w:r>
    </w:p>
    <w:p>
      <w:pPr>
        <w:pStyle w:val="FirstParagraph"/>
      </w:pPr>
      <w:r>
        <w:t>HDW democratic tuning SHOULD record affected groups, representation method, exclusion risks, capture risks, minority reports, and correction actions in Tier 3 runs. Optional mechanisms such as quadratic voting or deliberative polling MAY be used where appropriate, but no method may lower constitutional floors, erase non-vocal stakeholders, or weaken RF/NCRC, TRC, or CSV.</w:t>
      </w:r>
    </w:p>
    <w:p>
      <w:pPr>
        <w:pStyle w:val="BodyText"/>
      </w:pPr>
      <w:r>
        <w:t>Companion guide:</w:t>
      </w:r>
      <w:r>
        <w:t xml:space="preserve"> </w:t>
      </w:r>
      <w:r>
        <w:rPr>
          <w:rStyle w:val="VerbatimChar"/>
        </w:rPr>
        <w:t>docs/guides/HDW_PARTICIPATION_AND_CAPTURE_GUIDE.md</w:t>
      </w:r>
      <w:r>
        <w:t>.</w:t>
      </w:r>
    </w:p>
    <w:bookmarkEnd w:id="693"/>
    <w:bookmarkStart w:id="694" w:name="aj9-sgp-validation-bridge"/>
    <w:p>
      <w:pPr>
        <w:pStyle w:val="Heading2"/>
      </w:pPr>
      <w:r>
        <w:t>AJ.9 SGP Validation Bridge</w:t>
      </w:r>
    </w:p>
    <w:p>
      <w:pPr>
        <w:pStyle w:val="FirstParagraph"/>
      </w:pPr>
      <w:r>
        <w:t>SGP outputs remain protection-surface evidence objects, not legal status, governance authority, or substitutes for RG, RF/NCRC, TRC, CSV, RLS, lawful authority, or governance-role requirements. SGP validation should test inter-rater reliability, fluency traps, biological welfare false negatives, artificial-entity status inflation, and protection-authority separation.</w:t>
      </w:r>
    </w:p>
    <w:p>
      <w:pPr>
        <w:pStyle w:val="BodyText"/>
      </w:pPr>
      <w:r>
        <w:t>Companion protocol:</w:t>
      </w:r>
      <w:r>
        <w:t xml:space="preserve"> </w:t>
      </w:r>
      <w:r>
        <w:rPr>
          <w:rStyle w:val="VerbatimChar"/>
        </w:rPr>
        <w:t>docs/validation/sgp/SGP_VALIDATION_PROTOCOL_v2_1.md</w:t>
      </w:r>
      <w:r>
        <w:t>.</w:t>
      </w:r>
    </w:p>
    <w:bookmarkEnd w:id="694"/>
    <w:bookmarkStart w:id="695" w:name="aj10-stewardship-evasion-audit"/>
    <w:p>
      <w:pPr>
        <w:pStyle w:val="Heading2"/>
      </w:pPr>
      <w:r>
        <w:t>AJ.10 Stewardship Evasion Audit</w:t>
      </w:r>
    </w:p>
    <w:p>
      <w:pPr>
        <w:pStyle w:val="FirstParagraph"/>
      </w:pPr>
      <w:r>
        <w:t>A run cannot avoid stewardship obligations by labeling consequential influence as educational, internal, experimental, advisory, or informational. If the output materially influences real decisions, narrows options, affects rights or livelihoods, or connects to execution capability, stewardship review SHOULD be escalated.</w:t>
      </w:r>
    </w:p>
    <w:p>
      <w:pPr>
        <w:pStyle w:val="BodyText"/>
      </w:pPr>
      <w:r>
        <w:t>Companion guide:</w:t>
      </w:r>
      <w:r>
        <w:t xml:space="preserve"> </w:t>
      </w:r>
      <w:r>
        <w:rPr>
          <w:rStyle w:val="VerbatimChar"/>
        </w:rPr>
        <w:t>docs/guides/STEWARDSHIP_EVASION_AUDIT.md</w:t>
      </w:r>
      <w:r>
        <w:t>.</w:t>
      </w:r>
    </w:p>
    <w:bookmarkEnd w:id="695"/>
    <w:bookmarkStart w:id="696" w:name="aj11-meta-union-firewall"/>
    <w:p>
      <w:pPr>
        <w:pStyle w:val="Heading2"/>
      </w:pPr>
      <w:r>
        <w:t>AJ.11 Meta-Union Firewall</w:t>
      </w:r>
    </w:p>
    <w:p>
      <w:pPr>
        <w:pStyle w:val="FirstParagraph"/>
      </w:pPr>
      <w:r>
        <w:t>AIU, Cosmic, Universal, and related horizon/meta-union language may orient humility and philosophical interpretation. They are not Tier 1-3 scoring objects, gate overrides, hidden weights, legal authority, deployment permission, or ProofPack evidence unless a future governed extension explicitly defines a computable and validated protocol.</w:t>
      </w:r>
    </w:p>
    <w:p>
      <w:pPr>
        <w:pStyle w:val="BodyText"/>
      </w:pPr>
      <w:r>
        <w:t>Companion guide:</w:t>
      </w:r>
      <w:r>
        <w:t xml:space="preserve"> </w:t>
      </w:r>
      <w:r>
        <w:rPr>
          <w:rStyle w:val="VerbatimChar"/>
        </w:rPr>
        <w:t>docs/guides/META_UNION_FIREWALL.md</w:t>
      </w:r>
      <w:r>
        <w:t>.</w:t>
      </w:r>
    </w:p>
    <w:bookmarkEnd w:id="696"/>
    <w:bookmarkEnd w:id="697"/>
    <w:bookmarkStart w:id="698" w:name="X8382b5de0557a542a70991ead047c3655078f79"/>
    <w:p>
      <w:pPr>
        <w:pStyle w:val="Heading1"/>
      </w:pPr>
      <w:r>
        <w:t>Appendix AK: Computability vs Realizability Bridge</w:t>
      </w:r>
    </w:p>
    <w:p>
      <w:pPr>
        <w:pStyle w:val="FirstParagraph"/>
      </w:pPr>
      <w:r>
        <w:t>Status. Appendix AK is a release-hardening bridge introduced in v12.0 and explicitly precedence-indexed in the v12.0 final core. It does not add a new public cascade level and does not change the governing order RG -&gt; RF -&gt; TRC -&gt; CSV -&gt; RLS.</w:t>
      </w:r>
    </w:p>
    <w:p>
      <w:pPr>
        <w:pStyle w:val="BodyText"/>
      </w:pPr>
      <w:r>
        <w:t>AK.1 Core distinction. A state, output, plan, policy, or model response may be computable without being physically grounded, rights-safe, ruin-bounded, structurally viable, authorized, or ethically selectable. Computability is representational capacity. Selectability is governed survivorship through the cascade.</w:t>
      </w:r>
    </w:p>
    <w:p>
      <w:pPr>
        <w:pStyle w:val="BodyText"/>
      </w:pPr>
      <w:r>
        <w:t>AK.2 Operational rule. RippleLogic MUST NOT treat model fluency, simulation output, dashboard value, code generation, tool result, or computed score as decision authority merely because it exists. Computable is not selectable. Generated is not grounded. Executable is not ethical. Realizable is necessary but not sufficient.</w:t>
      </w:r>
    </w:p>
    <w:p>
      <w:pPr>
        <w:pStyle w:val="BodyText"/>
      </w:pPr>
      <w:r>
        <w:t>AK.3 Layer assignment. RG handles reality-surface contact and claim boundaries. RF/NCRC handles non-compensatory rights protection. TRC handles catastrophic and ruin-path exposure. CSV handles containment, structural viability, execution viability, monitoring, authority dependencies, and host-system integrity. RLS ranks only residual welfare for options that remain selectable.</w:t>
      </w:r>
    </w:p>
    <w:p>
      <w:pPr>
        <w:pStyle w:val="BodyText"/>
      </w:pPr>
      <w:r>
        <w:t>AK.4 Feedback rule. If CSV analysis discovers a new catastrophic, irreversible, lock-in, or ruin-path scenario that was not represented in TRC, the run MUST reopen TRC before RLS. CSV can discover TRC-relevant material, but it does not absorb or replace TRC.</w:t>
      </w:r>
    </w:p>
    <w:p>
      <w:pPr>
        <w:pStyle w:val="BodyText"/>
      </w:pPr>
      <w:r>
        <w:t>AK.5 Public teaching line. Ground reality. Protect rights. Bound ruin. Preserve the structure. Score the ripples.</w:t>
      </w:r>
    </w:p>
    <w:bookmarkEnd w:id="698"/>
    <w:bookmarkStart w:id="705" w:name="Xc8e67023bd7e04972eda2cf6a0290130aa94aec"/>
    <w:p>
      <w:pPr>
        <w:pStyle w:val="Heading1"/>
      </w:pPr>
      <w:r>
        <w:t>Appendix AL: Source-Coupling Integrity and Generative-Source Traceability (Normative Hardening Patch)</w:t>
      </w:r>
    </w:p>
    <w:p>
      <w:pPr>
        <w:pStyle w:val="FirstParagraph"/>
      </w:pPr>
      <w:r>
        <w:t>Status. Appendix AL is a v12.0 hardening patch. It is a MathGov-native Reality Grounding and CSV diagnostic. It does not add a public gate, does not alter the cascade, does not import an external ontology, and does not make empirical validation, legal certification, deployment certification, Tier 4, ProofPack, or automated moral-truth claims available.</w:t>
      </w:r>
    </w:p>
    <w:bookmarkStart w:id="699" w:name="al1-purpose"/>
    <w:p>
      <w:pPr>
        <w:pStyle w:val="Heading2"/>
      </w:pPr>
      <w:r>
        <w:t>AL.1 Purpose</w:t>
      </w:r>
    </w:p>
    <w:p>
      <w:pPr>
        <w:pStyle w:val="FirstParagraph"/>
      </w:pPr>
      <w:r>
        <w:t>Appendix AL protects RippleLogic runs from a specific downstream-substitution failure: treating output, fluency, institutional permission, compliance status, inherited procedure, benchmark performance, dashboard value, or interface success as proof that the claimed capability is grounded in the enabling conditions that make it possible and the boundary conditions that limit it.</w:t>
      </w:r>
    </w:p>
    <w:bookmarkEnd w:id="699"/>
    <w:bookmarkStart w:id="700" w:name="al2-required-source-coupling-record"/>
    <w:p>
      <w:pPr>
        <w:pStyle w:val="Heading2"/>
      </w:pPr>
      <w:r>
        <w:t>AL.2 Required Source-Coupling Record</w:t>
      </w:r>
    </w:p>
    <w:p>
      <w:pPr>
        <w:pStyle w:val="FirstParagraph"/>
      </w:pPr>
      <w:r>
        <w:t>When the Section 2.1D trigger holds, the PCC SHOULD include a SourceCouplingRecord and MUST include one for Tier 3 public or institutional claim-bearing runs. The record contains: claimed_capability; enabling_conditions; boundary_conditions; source_evidence; generator_output_distinction; inherited_assumptions; downstream_compensations; source_coupling_status; source_debt_flag; falsification_or_recheck_trigger; and required_claim_action.</w:t>
      </w:r>
    </w:p>
    <w:bookmarkEnd w:id="700"/>
    <w:bookmarkStart w:id="701" w:name="al3-claim-boundary-effects"/>
    <w:p>
      <w:pPr>
        <w:pStyle w:val="Heading2"/>
      </w:pPr>
      <w:r>
        <w:t>AL.3 Claim Boundary Effects</w:t>
      </w:r>
    </w:p>
    <w:p>
      <w:pPr>
        <w:pStyle w:val="FirstParagraph"/>
      </w:pPr>
      <w:r>
        <w:t>Source-Coupling Integrity constrains claim strength. A run MAY proceed with a narrow claim when source coupling is partial or inferred, but it MUST NOT use partial or inferred source coupling to support stronger conformance, deployment, deterministic-selection, or validation claims. If source coupling is unknown, contested, or failing, the run MUST narrow, collect evidence, escalate, redesign, or refuse the stronger claim.</w:t>
      </w:r>
    </w:p>
    <w:bookmarkEnd w:id="701"/>
    <w:bookmarkStart w:id="702" w:name="al4-csv-consumption-rule"/>
    <w:p>
      <w:pPr>
        <w:pStyle w:val="Heading2"/>
      </w:pPr>
      <w:r>
        <w:t>AL.4 CSV Consumption Rule</w:t>
      </w:r>
    </w:p>
    <w:p>
      <w:pPr>
        <w:pStyle w:val="FirstParagraph"/>
      </w:pPr>
      <w:r>
        <w:t>If source weakness materially affects dependency closure, resource closure, operational capacity, reversibility, containment, monitoring, or host-system integrity, CSV MUST consume the SourceCouplingRecord. SOURCE_DEBT_RISK is a CSV-relevant signal. It may route the option to CSV_PASS_WITH_CONTROLS, CSV_REDESIGN_REQUIRED, CSV_ESCALATE, CSV_FAIL, or emergency-provisional handling according to the CSV Gate Standard and the Canon.</w:t>
      </w:r>
    </w:p>
    <w:bookmarkEnd w:id="702"/>
    <w:bookmarkStart w:id="703" w:name="al5-agentic-and-ai-system-rule"/>
    <w:p>
      <w:pPr>
        <w:pStyle w:val="Heading2"/>
      </w:pPr>
      <w:r>
        <w:t>AL.5 Agentic and AI System Rule</w:t>
      </w:r>
    </w:p>
    <w:p>
      <w:pPr>
        <w:pStyle w:val="FirstParagraph"/>
      </w:pPr>
      <w:r>
        <w:t>For AI or agentic systems, model fluency, benchmark performance, tool-use success, chain-of-action success, or safety-filter compliance is not source-coupled admissibility. Such evidence may support a bounded capability claim, but only after Reality Grounding states what the evidence does and does not show, and only after CSV checks whether deployment can structurally stand.</w:t>
      </w:r>
    </w:p>
    <w:bookmarkEnd w:id="703"/>
    <w:bookmarkStart w:id="704" w:name="al6-related-external-work-boundary"/>
    <w:p>
      <w:pPr>
        <w:pStyle w:val="Heading2"/>
      </w:pPr>
      <w:r>
        <w:t>AL.6 Related External Work Boundary</w:t>
      </w:r>
    </w:p>
    <w:p>
      <w:pPr>
        <w:pStyle w:val="FirstParagraph"/>
      </w:pPr>
      <w:r>
        <w:t>This Appendix is stated entirely in MathGov-native terminology as Source-Coupling Integrity. It checks whether a decision claim remains connected to its declared source, evidence surface, validity domain, and correction pathway. No external ontology, protected framework, or third-party text is incorporated into the governing Canon.</w:t>
      </w:r>
    </w:p>
    <w:bookmarkEnd w:id="704"/>
    <w:bookmarkEnd w:id="705"/>
    <w:bookmarkStart w:id="713" w:name="Xb8d35534640f4f02efed04559f88409cc6d7f45"/>
    <w:p>
      <w:pPr>
        <w:pStyle w:val="Heading1"/>
      </w:pPr>
      <w:r>
        <w:t>Appendix AM: Physical/Causal Admissibility Evidence Profile (Normative Hardening Patch)</w:t>
      </w:r>
    </w:p>
    <w:p>
      <w:pPr>
        <w:pStyle w:val="FirstParagraph"/>
      </w:pPr>
      <w:r>
        <w:t>Status. Appendix AM is a v12.0 Governed Admissibility hardening patch. It is a MathGov-native Reality Grounding and CSV profile for material physical or causal action. It does not add a public gate, does not alter the cascade, does not import an external ontology, and does not make empirical validation, legal certification, deployment certification, formal-methods proof, domain engineering certification, Tier 4, ProofPack, or automated moral-truth claims available.</w:t>
      </w:r>
    </w:p>
    <w:bookmarkStart w:id="706" w:name="am1-purpose"/>
    <w:p>
      <w:pPr>
        <w:pStyle w:val="Heading2"/>
      </w:pPr>
      <w:r>
        <w:t>AM.1 Purpose</w:t>
      </w:r>
    </w:p>
    <w:p>
      <w:pPr>
        <w:pStyle w:val="FirstParagraph"/>
      </w:pPr>
      <w:r>
        <w:t>Appendix AM protects RippleLogic runs from a specific execution-substitution failure: treating computed possibility, generated action, simulation output, policy approval, certification, compliance, monitoring, or governance permission as proof that a candidate physical or causal action is admissible before execution.</w:t>
      </w:r>
    </w:p>
    <w:bookmarkEnd w:id="706"/>
    <w:bookmarkStart w:id="707" w:name="Xdab524012e0534b7df833158167525626ad95d0"/>
    <w:p>
      <w:pPr>
        <w:pStyle w:val="Heading2"/>
      </w:pPr>
      <w:r>
        <w:t>AM.2 Required Physical/Causal Admissibility Evidence Profile</w:t>
      </w:r>
    </w:p>
    <w:p>
      <w:pPr>
        <w:pStyle w:val="FirstParagraph"/>
      </w:pPr>
      <w:r>
        <w:t>When the Section 2.1E trigger holds, the PCC SHOULD include a PhysicalCausalAdmissibilityEvidenceProfile and MUST include one for Tier 3 public or institutional claim-bearing runs and high-stakes Tier 2 runs where physical or causal uncertainty could change gate status, authority, or public claim strength. The record contains: candidate_generation_source; physical_or_causal_model_used; validity_domain; boundary_conditions; uncertainty_range; failure_modes; reversibility_or_irreversibility_boundary; verification_simulation_empirical_test_or_expert_warrant; admissibility_warrant_source; monitoring_and_shutoff_path; residual_unknowns; and required_claim_action.</w:t>
      </w:r>
    </w:p>
    <w:bookmarkEnd w:id="707"/>
    <w:bookmarkStart w:id="708" w:name="am3-claim-boundary-effects"/>
    <w:p>
      <w:pPr>
        <w:pStyle w:val="Heading2"/>
      </w:pPr>
      <w:r>
        <w:t>AM.3 Claim Boundary Effects</w:t>
      </w:r>
    </w:p>
    <w:p>
      <w:pPr>
        <w:pStyle w:val="FirstParagraph"/>
      </w:pPr>
      <w:r>
        <w:t>Physical/Causal Admissibility Evidence constrains claim strength. A run MAY proceed with a narrow claim when the evidence is partial, assumption-bound, or controlled, but it MUST NOT use partial physical or causal evidence to support stronger conformance, deployment, deterministic-selection, safety, reliability, or validation claims. If the model basis, validity domain, boundary conditions, uncertainty, failure modes, reversibility boundary, verification or warrant, monitoring/shutoff path, or residual unknowns are insufficient for the requested action, the run MUST narrow, control, redesign, escalate, or refuse.</w:t>
      </w:r>
    </w:p>
    <w:bookmarkEnd w:id="708"/>
    <w:bookmarkStart w:id="709" w:name="am4-csv-consumption-rule"/>
    <w:p>
      <w:pPr>
        <w:pStyle w:val="Heading2"/>
      </w:pPr>
      <w:r>
        <w:t>AM.4 CSV Consumption Rule</w:t>
      </w:r>
    </w:p>
    <w:p>
      <w:pPr>
        <w:pStyle w:val="FirstParagraph"/>
      </w:pPr>
      <w:r>
        <w:t>CSV MUST consume the profile when physical or causal weakness materially affects dependency closure, resource closure, operational capacity, reversibility, monitoring adequacy, containment, execution viability, authority, or host-system integrity. The profile may route the option to CSV_PASS_WITH_CONTROLS, CSV_REDESIGN_REQUIRED, CSV_ESCALATE, CSV_FAIL, or emergency-provisional handling according to severity, reversibility, uncertainty, monitoring, authority, and available alternatives.</w:t>
      </w:r>
    </w:p>
    <w:bookmarkEnd w:id="709"/>
    <w:bookmarkStart w:id="710" w:name="am5-trc-reopen-rule"/>
    <w:p>
      <w:pPr>
        <w:pStyle w:val="Heading2"/>
      </w:pPr>
      <w:r>
        <w:t>AM.5 TRC Reopen Rule</w:t>
      </w:r>
    </w:p>
    <w:p>
      <w:pPr>
        <w:pStyle w:val="FirstParagraph"/>
      </w:pPr>
      <w:r>
        <w:t>If the profile reveals a catastrophic, irreversible, lock-in, ruin-path, or severe-harm scenario not already represented in TRC, the run MUST reopen TRC before RLS. CSV can discover TRC-relevant material, but it does not absorb or replace TRC.</w:t>
      </w:r>
    </w:p>
    <w:bookmarkEnd w:id="710"/>
    <w:bookmarkStart w:id="711" w:name="am6-ai-agentic-and-physical-system-rule"/>
    <w:p>
      <w:pPr>
        <w:pStyle w:val="Heading2"/>
      </w:pPr>
      <w:r>
        <w:t>AM.6 AI, Agentic, and Physical-System Rule</w:t>
      </w:r>
    </w:p>
    <w:p>
      <w:pPr>
        <w:pStyle w:val="FirstParagraph"/>
      </w:pPr>
      <w:r>
        <w:t>For AI, robotics, cyber-physical, infrastructure, medical, industrial, environmental, or other consequence-bearing systems, model fluency, benchmark performance, tool-use success, chain-of-action success, safety-filter compliance, operator approval, certification, or monitoring is not physical or causal admissibility. Such evidence may support a bounded claim only after Reality Grounding states what the evidence does and does not show, the Physical/Causal Admissibility Evidence Profile declares the model and limits, and CSV checks whether the pathway can structurally stand.</w:t>
      </w:r>
    </w:p>
    <w:bookmarkEnd w:id="711"/>
    <w:bookmarkStart w:id="712" w:name="am7-boundary-against-overclaim"/>
    <w:p>
      <w:pPr>
        <w:pStyle w:val="Heading2"/>
      </w:pPr>
      <w:r>
        <w:t>AM.7 Boundary Against Overclaim</w:t>
      </w:r>
    </w:p>
    <w:p>
      <w:pPr>
        <w:pStyle w:val="FirstParagraph"/>
      </w:pPr>
      <w:r>
        <w:t>This profile is an evidence discipline, not a proof engine. It does not make MathGov a substitute for physics, control engineering, formal verification, medicine, ecology, cybersecurity, structural engineering, law, or domain expert review. Its function is to prevent a governance record from hiding the absence, weakness, uncertainty, or contested status of the physical or causal evidence on which execution depends.</w:t>
      </w:r>
    </w:p>
    <w:bookmarkEnd w:id="712"/>
    <w:bookmarkEnd w:id="713"/>
    <w:bookmarkStart w:id="721" w:name="Xe63ee61d723571aef1d9060629c6f5f000a4ba6"/>
    <w:p>
      <w:pPr>
        <w:pStyle w:val="Heading1"/>
      </w:pPr>
      <w:r>
        <w:t>Appendix AN: Methodological Falsifiability and Dependency Integrity Standard (Normative Hardening Patch)</w:t>
      </w:r>
    </w:p>
    <w:p>
      <w:pPr>
        <w:pStyle w:val="FirstParagraph"/>
      </w:pPr>
      <w:r>
        <w:t>Status. Appendix AN is a v12.0 Methodological Integrity hardening patch. It is a MathGov-native Reality Grounding discipline for claim-bearing decisions, companion standards, SGP evidence use, validation protocols, and public release claims. It does not add a public gate, does not alter the cascade, does not import an external ontology, and does not make empirical validation, legal certification, deployment certification, Tier 4, ProofPack, deterministic-selection, or automated moral-truth claims available.</w:t>
      </w:r>
    </w:p>
    <w:bookmarkStart w:id="714" w:name="an1-purpose"/>
    <w:p>
      <w:pPr>
        <w:pStyle w:val="Heading2"/>
      </w:pPr>
      <w:r>
        <w:t>AN.1 Purpose</w:t>
      </w:r>
    </w:p>
    <w:p>
      <w:pPr>
        <w:pStyle w:val="FirstParagraph"/>
      </w:pPr>
      <w:r>
        <w:t>Appendix AN protects RippleLogic runs from a methodological substitution failure: treating plausible output, coherent narrative, accumulated observations, governance approval, model tuning, institutional authority, or useful approximation as if it were sufficient support for a stronger claim than the evidence can bear.</w:t>
      </w:r>
    </w:p>
    <w:bookmarkEnd w:id="714"/>
    <w:bookmarkStart w:id="715" w:name="X3a406f941884128c00ca9fbcf3b8a272be54528"/>
    <w:p>
      <w:pPr>
        <w:pStyle w:val="Heading2"/>
      </w:pPr>
      <w:r>
        <w:t>AN.2 Required Methodological Integrity Record</w:t>
      </w:r>
    </w:p>
    <w:p>
      <w:pPr>
        <w:pStyle w:val="FirstParagraph"/>
      </w:pPr>
      <w:r>
        <w:t>When the Section 2.1F trigger holds, the PCC SHOULD include a MethodologicalIntegrityRecord and MUST include one for Tier 3 public or institutional claim-bearing runs and high-stakes Tier 2 runs where claim failure could change RF/NCRC, TRC, CSV, SGP, authority, deployment, public conformance, deterministic-selection wording, or validation status. The record contains: claim_or_component; claim_type; dependency_position; starting_assumptions; definition_or_operator_used; necessity_or_alternative_check; evidence_or_test_surface; falsification_or_revision_trigger; uncertainty_or_confidence_method; downstream_dependencies; re_derivation_scope_if_changed; reviewer_status; and required_claim_action.</w:t>
      </w:r>
    </w:p>
    <w:bookmarkEnd w:id="715"/>
    <w:bookmarkStart w:id="716" w:name="an3-claim-type-discrimination"/>
    <w:p>
      <w:pPr>
        <w:pStyle w:val="Heading2"/>
      </w:pPr>
      <w:r>
        <w:t>AN.3 Claim-Type Discrimination</w:t>
      </w:r>
    </w:p>
    <w:p>
      <w:pPr>
        <w:pStyle w:val="FirstParagraph"/>
      </w:pPr>
      <w:r>
        <w:t>Empirical claims require evidence contact. Causal claims require mechanism, counterfactual, intervention, or qualified causal warrant. Formal claims require explicit definitions, assumptions, and derivations. Operational claims require reproducible procedure and audit trail. Normative claims require declared ethical commitments, consistency, rights compatibility, stakeholder challenge, and auditability of application. Metaphysical horizon claims may guide humility and meaning, but they do not create Tier 1-3 evidence or gate authority.</w:t>
      </w:r>
    </w:p>
    <w:bookmarkEnd w:id="716"/>
    <w:bookmarkStart w:id="717" w:name="Xef151b973649ae111ce6ad020ca78df54e52b4b"/>
    <w:p>
      <w:pPr>
        <w:pStyle w:val="Heading2"/>
      </w:pPr>
      <w:r>
        <w:t>AN.4 Necessity and Alternative-Explanation Rule</w:t>
      </w:r>
    </w:p>
    <w:p>
      <w:pPr>
        <w:pStyle w:val="FirstParagraph"/>
      </w:pPr>
      <w:r>
        <w:t>If the run claims that a principle, definition, operator, threshold, indicator, configuration, or candidate result is necessary, the run must record why alternatives do not explain the same effect. If plausible alternatives remain open, the claim must be downgraded to assumption-bound, model-bound, contested, or exploratory status.</w:t>
      </w:r>
    </w:p>
    <w:bookmarkEnd w:id="717"/>
    <w:bookmarkStart w:id="718" w:name="X7fa9651c43b4304f53838c73409d6b2b75ac663"/>
    <w:p>
      <w:pPr>
        <w:pStyle w:val="Heading2"/>
      </w:pPr>
      <w:r>
        <w:t>AN.5 Failure, Revision, and Re-Derivation Rule</w:t>
      </w:r>
    </w:p>
    <w:p>
      <w:pPr>
        <w:pStyle w:val="FirstParagraph"/>
      </w:pPr>
      <w:r>
        <w:t>A failed test, falsified prediction, contested evidence surface, failed dependency, or changed starting assumption cannot be hidden by silent model tuning. The record must declare whether the affected chain requires local revision, threshold revision, gate rerun, SGP rerun, CSV rerun, TRC reopening, RLS recalculation, public claim narrowing, release versioning, or refusal.</w:t>
      </w:r>
    </w:p>
    <w:bookmarkEnd w:id="718"/>
    <w:bookmarkStart w:id="719" w:name="an6-proportionality-rule"/>
    <w:p>
      <w:pPr>
        <w:pStyle w:val="Heading2"/>
      </w:pPr>
      <w:r>
        <w:t>AN.6 Proportionality Rule</w:t>
      </w:r>
    </w:p>
    <w:p>
      <w:pPr>
        <w:pStyle w:val="FirstParagraph"/>
      </w:pPr>
      <w:r>
        <w:t>Methodological rigor is proportional to stakes. Ordinary Tier 1 and low-stakes Tier 2 uses may use lighter records. Tier 3, public conformance, institutional deployment, safety/reliability claims, SGP public claims, and high-consequence AI or physical/causal actions require stronger records. Proportionality may reduce documentation burden; it may not authorize a stronger claim than the evidence supports.</w:t>
      </w:r>
    </w:p>
    <w:bookmarkEnd w:id="719"/>
    <w:bookmarkStart w:id="720" w:name="an7-boundary-against-overclaim"/>
    <w:p>
      <w:pPr>
        <w:pStyle w:val="Heading2"/>
      </w:pPr>
      <w:r>
        <w:t>AN.7 Boundary Against Overclaim</w:t>
      </w:r>
    </w:p>
    <w:p>
      <w:pPr>
        <w:pStyle w:val="FirstParagraph"/>
      </w:pPr>
      <w:r>
        <w:t>This standard is not a claim that MathGov has discovered a final theory of reality, a universal physical stability law, or a complete empirical validation engine. It is a claim-discipline standard. Its function is to make assumptions, alternatives, tests, failures, dependencies, and required re-derivations visible before decisions are scored, published, deployed, or treated as governance-grade.</w:t>
      </w:r>
    </w:p>
    <w:bookmarkEnd w:id="720"/>
    <w:bookmarkEnd w:id="721"/>
    <w:bookmarkStart w:id="726" w:name="Xb8a6d477b39650f89c8d47d3268262738b1e980"/>
    <w:p>
      <w:pPr>
        <w:pStyle w:val="Heading1"/>
      </w:pPr>
      <w:r>
        <w:t>Appendix AO: Physical Execution Boundary (Normative Hardening Patch)</w:t>
      </w:r>
    </w:p>
    <w:p>
      <w:pPr>
        <w:pStyle w:val="FirstParagraph"/>
      </w:pPr>
      <w:r>
        <w:t>Status. Appendix AO is a v12.0 physical-execution boundary clarification. It is normative for consequence-bearing physical, biological, ecological, medical, infrastructure, cyber-physical, operational, or irreversible causal execution claims. It does not add a public gate, does not turn MathGov into a physics engine, formal-methods prover, simulator, medical device, legal authority, regulator, deployment-certification system, or domain-safety case, and does not make Tier 4 or ProofPack claims available.</w:t>
      </w:r>
    </w:p>
    <w:bookmarkStart w:id="722" w:name="ao1-boundary-rule"/>
    <w:p>
      <w:pPr>
        <w:pStyle w:val="Heading2"/>
      </w:pPr>
      <w:r>
        <w:t>AO.1 Boundary rule</w:t>
      </w:r>
    </w:p>
    <w:p>
      <w:pPr>
        <w:pStyle w:val="FirstParagraph"/>
      </w:pPr>
      <w:r>
        <w:t>Governance permission is not physical admissibility. Certification, documentation, organizational authority, procedural compliance, model conformity, approval, monitoring, or an</w:t>
      </w:r>
      <w:r>
        <w:t xml:space="preserve"> </w:t>
      </w:r>
      <w:r>
        <w:rPr>
          <w:rStyle w:val="VerbatimChar"/>
        </w:rPr>
        <w:t>ALLOW</w:t>
      </w:r>
      <w:r>
        <w:t xml:space="preserve"> </w:t>
      </w:r>
      <w:r>
        <w:t>label MUST NOT be represented as proof that a physical execution can safely exist in physical reality.</w:t>
      </w:r>
    </w:p>
    <w:p>
      <w:pPr>
        <w:pStyle w:val="BodyText"/>
      </w:pPr>
      <w:r>
        <w:t>For material consequence-bearing physical execution, MathGov may authorize only the governance status of a decision record unless a domain-appropriate physical or causal evidence surface also supports the execution claim. The framework may require, structure, audit, constrain, escalate, or refuse that evidence. It does not generate the physics, engineering, medical, biological, or safety proof by itself.</w:t>
      </w:r>
    </w:p>
    <w:bookmarkEnd w:id="722"/>
    <w:bookmarkStart w:id="723" w:name="ao2-required-routing"/>
    <w:p>
      <w:pPr>
        <w:pStyle w:val="Heading2"/>
      </w:pPr>
      <w:r>
        <w:t>AO.2 Required routing</w:t>
      </w:r>
    </w:p>
    <w:p>
      <w:pPr>
        <w:pStyle w:val="FirstParagraph"/>
      </w:pPr>
      <w:r>
        <w:t>When physical or causal execution is material, the run MUST trigger the Physical/Causal Admissibility Evidence Profile inside Reality Grounding and CSV. If physical admissibility is not externally supported within the declared validity domain, the run MUST NOT claim physical safety. The permitted claim state is limited to</w:t>
      </w:r>
      <w:r>
        <w:t xml:space="preserve"> </w:t>
      </w:r>
      <w:r>
        <w:rPr>
          <w:rStyle w:val="VerbatimChar"/>
        </w:rPr>
        <w:t>GOVERNANCE_PERMISSION_ONLY</w:t>
      </w:r>
      <w:r>
        <w:t>,</w:t>
      </w:r>
      <w:r>
        <w:t xml:space="preserve"> </w:t>
      </w:r>
      <w:r>
        <w:rPr>
          <w:rStyle w:val="VerbatimChar"/>
        </w:rPr>
        <w:t>PHYSICAL_ADMISSIBILITY_NOT_ESTABLISHED</w:t>
      </w:r>
      <w:r>
        <w:t>,</w:t>
      </w:r>
      <w:r>
        <w:t xml:space="preserve"> </w:t>
      </w:r>
      <w:r>
        <w:rPr>
          <w:rStyle w:val="VerbatimChar"/>
        </w:rPr>
        <w:t>PHYSICAL_ADMISSIBILITY_CONTRAINDICATED</w:t>
      </w:r>
      <w:r>
        <w:t>, or an equivalent narrower status until qualified domain evidence supports the stronger claim.</w:t>
      </w:r>
    </w:p>
    <w:bookmarkEnd w:id="723"/>
    <w:bookmarkStart w:id="724" w:name="ao3-allow-language"/>
    <w:p>
      <w:pPr>
        <w:pStyle w:val="Heading2"/>
      </w:pPr>
      <w:r>
        <w:t>AO.3 ALLOW language</w:t>
      </w:r>
    </w:p>
    <w:p>
      <w:pPr>
        <w:pStyle w:val="FirstParagraph"/>
      </w:pPr>
      <w:r>
        <w:rPr>
          <w:rStyle w:val="VerbatimChar"/>
        </w:rPr>
        <w:t>ALLOW</w:t>
      </w:r>
      <w:r>
        <w:t xml:space="preserve"> </w:t>
      </w:r>
      <w:r>
        <w:t>means that the MathGov decision record did not find an upstream governance-gate bar under the declared evidence and scope.</w:t>
      </w:r>
      <w:r>
        <w:t xml:space="preserve"> </w:t>
      </w:r>
      <w:r>
        <w:rPr>
          <w:rStyle w:val="VerbatimChar"/>
        </w:rPr>
        <w:t>ALLOW</w:t>
      </w:r>
      <w:r>
        <w:t xml:space="preserve"> </w:t>
      </w:r>
      <w:r>
        <w:t>does not mean that physical execution is safe, deployable, legally certified, medically cleared, or engineering-certified. A physical-execution claim requires the PC-AEP record and any external domain evidence named by the governing deployment context.</w:t>
      </w:r>
    </w:p>
    <w:bookmarkEnd w:id="724"/>
    <w:bookmarkStart w:id="725" w:name="ao4-refusal-condition"/>
    <w:p>
      <w:pPr>
        <w:pStyle w:val="Heading2"/>
      </w:pPr>
      <w:r>
        <w:t>AO.4 Refusal condition</w:t>
      </w:r>
    </w:p>
    <w:p>
      <w:pPr>
        <w:pStyle w:val="FirstParagraph"/>
      </w:pPr>
      <w:r>
        <w:t>If the physical or causal evidence is absent, contradicted, outside validity domain, unrecoverably uncertain, irreversible without safeguards, unmonitored beyond tolerance, or dependent on unverified model assumptions, MathGov MUST narrow, control, redesign, escalate, or refuse the physical-execution claim. No RLS score may rescue the claim.</w:t>
      </w:r>
    </w:p>
    <w:bookmarkEnd w:id="725"/>
    <w:bookmarkEnd w:id="726"/>
    <w:bookmarkStart w:id="728" w:name="final-document-completion-statement"/>
    <w:p>
      <w:pPr>
        <w:pStyle w:val="Heading1"/>
      </w:pPr>
      <w:r>
        <w:t>FINAL DOCUMENT COMPLETION STATEMENT</w:t>
      </w:r>
    </w:p>
    <w:p>
      <w:pPr>
        <w:pStyle w:val="FirstParagraph"/>
      </w:pPr>
      <w:r>
        <w:t>RippleLogic v12.3.1 is released as a Tier 1-3 public research/source architecture specification. It preserves the canonical cascade RG -&gt; RF -&gt; TRC -&gt; CSV -&gt; RLS, the v12.0 Physical Admissibility boundary, seven operational scopes, SGP binding interface, PLSS/FLGG architecture, RSP/RefStructRecord evidence discipline, refusal logic, audit requirements, and claim-boundary rules.</w:t>
      </w:r>
      <w:r/>
      <w:r>
        <w:rPr>
          <w:rStyle w:val="VerbatimChar"/>
        </w:rPr>
      </w:r>
      <w:r/>
    </w:p>
    <w:p>
      <w:pPr>
        <w:pStyle w:val="BodyText"/>
      </w:pPr>
      <w:r>
        <w:t>v12.2 carries forward rights-specific non-attenuation and severe-hazard handling inside RF/NCRC, governed Tail Emergency Mode, normalized RLS and PLSS, cancellation-resistant Method B uncertainty, and the v5.2 workbook SGP v8.2.1 interface hardening, including RMCP/P100 non-collapse controls. It additionally requires proportional CSV qualification before any ordinary RLS selection at every operational tier, removes residual active fallback-selection language, and synchronizes the Tier-2 worked example and companion surfaces.</w:t>
      </w:r>
    </w:p>
    <w:p>
      <w:pPr>
        <w:pStyle w:val="BodyText"/>
      </w:pPr>
      <w:r>
        <w:t>The canonical source terminates after Appendices A-AO and this statement. This release does not claim empirical validation, Tier 4 readiness, ProofPack readiness, deployment readiness, legal compliance certification, machine-verifiable ecosystem completeness, cross-domain validated UCI, completed biological SGP measurement, a reference calculator, or automated moral truth. Release identity is governed by the repository manifest and verified SHA-256 hashes for the published artifact set.</w:t>
      </w:r>
    </w:p>
    <w:bookmarkStart w:id="727" w:name="Xa8d537d9e018048f42cf08cd57d45532f918bf0"/>
    <w:p>
      <w:pPr>
        <w:pStyle w:val="Heading2"/>
      </w:pPr>
      <w:r>
        <w:t>Appendix: v12.3 canonical machine-state and maturity contract</w:t>
      </w:r>
    </w:p>
    <w:p>
      <w:pPr>
        <w:pStyle w:val="FirstParagraph"/>
      </w:pPr>
      <w:r>
        <w:t>The hash-pinned</w:t>
      </w:r>
      <w:r>
        <w:t xml:space="preserve"> </w:t>
      </w:r>
      <w:r>
        <w:rPr>
          <w:rStyle w:val="VerbatimChar"/>
        </w:rPr>
        <w:t>CANONICAL_STATE_REGISTRY_v1.0.yaml</w:t>
      </w:r>
      <w:r>
        <w:t xml:space="preserve"> </w:t>
      </w:r>
      <w:r>
        <w:t>and</w:t>
      </w:r>
      <w:r>
        <w:t xml:space="preserve"> </w:t>
      </w:r>
      <w:r>
        <w:rPr>
          <w:rStyle w:val="VerbatimChar"/>
        </w:rPr>
        <w:t>STATE_TRANSITION_MATRIX_v1.0.json</w:t>
      </w:r>
      <w:r>
        <w:t xml:space="preserve"> </w:t>
      </w:r>
      <w:r>
        <w:t>are the controlling machine-state surfaces for run-record v2. Documentation, schema, validator, workbook exports, and tests SHALL use the same emitted tokens.</w:t>
      </w:r>
      <w:r>
        <w:t xml:space="preserve"> </w:t>
      </w:r>
      <w:r>
        <w:rPr>
          <w:rStyle w:val="VerbatimChar"/>
        </w:rPr>
        <w:t>CSV_REDESIGN</w:t>
      </w:r>
      <w:r>
        <w:t xml:space="preserve"> </w:t>
      </w:r>
      <w:r>
        <w:t>is accepted only as a deprecated migration alias and normalizes to</w:t>
      </w:r>
      <w:r>
        <w:t xml:space="preserve"> </w:t>
      </w:r>
      <w:r>
        <w:rPr>
          <w:rStyle w:val="VerbatimChar"/>
        </w:rPr>
        <w:t>CSV_REDESIGN_REQUIRED</w:t>
      </w:r>
      <w:r>
        <w:t xml:space="preserve"> </w:t>
      </w:r>
      <w:r>
        <w:t>with a warning.</w:t>
      </w:r>
    </w:p>
    <w:p>
      <w:pPr>
        <w:pStyle w:val="BodyText"/>
      </w:pPr>
      <w:r>
        <w:t>The typed</w:t>
      </w:r>
      <w:r>
        <w:t xml:space="preserve"> </w:t>
      </w:r>
      <w:r>
        <w:rPr>
          <w:rStyle w:val="VerbatimChar"/>
        </w:rPr>
        <w:t>MEASUREMENT_AND_PARAMETER_MATURITY_REGISTER_v1.0</w:t>
      </w:r>
      <w:r>
        <w:t xml:space="preserve"> </w:t>
      </w:r>
      <w:r>
        <w:t>separates empirical constructs, model components, normative priors, governance conventions, and unavailable design targets. A normative prior is not an unvalidated empirical measurement awaiting promotion. Framework-level validation or superiority claims cannot rest decisively on below-threshold empirical constructs or model components, and normative commitments cannot be laundered as empirical constants.</w:t>
      </w:r>
    </w:p>
    <w:p>
      <w:pPr>
        <w:pStyle w:val="BodyText"/>
      </w:pPr>
      <w:r>
        <w:t>WDBIP owns WDBIP-specific profile, effect-token classification, token-level pathway, migration, schema, and validator surfaces. SGP owns MPS, FPP, GPR, SPR, ICP, RMCP, P100, and their misuse-review fields. The Canon owns Union Scope redundancy methods, allocation constraints, gate states, RLS weights, and the maturity-register type system.</w:t>
      </w:r>
    </w:p>
    <w:bookmarkEnd w:id="727"/>
    <w:bookmarkEnd w:id="728"/>
    <w:sectPr>
      <w:headerReference r:id="rId9" w:type="default"/>
      <w:headerReference r:id="rId10" w:type="first"/>
      <w:headerReference r:id="rId11" w:type="even"/>
      <w:footerReference r:id="rId12" w:type="default"/>
      <w:footerReference r:id="rId13" w:type="first"/>
      <w:footerReference r:id="rId14" w:type="even"/>
      <w:pgMar w:bottom="936" w:left="979" w:right="979" w:top="936"/>
    </w:sectPr>
  </w:body>
</w:document>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27">
    <w:nsid w:val="00A99427"/>
    <w:multiLevelType w:val="multilevel"/>
    <w:lvl w:ilvl="0">
      <w:start w:val="7"/>
      <w:numFmt w:val="decimal"/>
      <w:lvlText w:val="%1)"/>
      <w:lvlJc w:val="left"/>
      <w:pPr>
        <w:ind w:left="720" w:hanging="480"/>
      </w:pPr>
    </w:lvl>
    <w:lvl w:ilvl="1">
      <w:start w:val="7"/>
      <w:numFmt w:val="decimal"/>
      <w:lvlText w:val="%2)"/>
      <w:lvlJc w:val="left"/>
      <w:pPr>
        <w:ind w:left="1440" w:hanging="480"/>
      </w:pPr>
    </w:lvl>
    <w:lvl w:ilvl="2">
      <w:start w:val="7"/>
      <w:numFmt w:val="decimal"/>
      <w:lvlText w:val="%3)"/>
      <w:lvlJc w:val="left"/>
      <w:pPr>
        <w:ind w:left="2160" w:hanging="480"/>
      </w:pPr>
    </w:lvl>
    <w:lvl w:ilvl="3">
      <w:start w:val="7"/>
      <w:numFmt w:val="decimal"/>
      <w:lvlText w:val="%4)"/>
      <w:lvlJc w:val="left"/>
      <w:pPr>
        <w:ind w:left="2880" w:hanging="480"/>
      </w:pPr>
    </w:lvl>
    <w:lvl w:ilvl="4">
      <w:start w:val="7"/>
      <w:numFmt w:val="decimal"/>
      <w:lvlText w:val="%5)"/>
      <w:lvlJc w:val="left"/>
      <w:pPr>
        <w:ind w:left="3600" w:hanging="480"/>
      </w:pPr>
    </w:lvl>
    <w:lvl w:ilvl="5">
      <w:start w:val="7"/>
      <w:numFmt w:val="decimal"/>
      <w:lvlText w:val="%6)"/>
      <w:lvlJc w:val="left"/>
      <w:pPr>
        <w:ind w:left="4320" w:hanging="480"/>
      </w:pPr>
    </w:lvl>
    <w:lvl w:ilvl="6">
      <w:start w:val="7"/>
      <w:numFmt w:val="decimal"/>
      <w:lvlText w:val="%7)"/>
      <w:lvlJc w:val="left"/>
      <w:pPr>
        <w:ind w:left="5040" w:hanging="480"/>
      </w:pPr>
    </w:lvl>
    <w:lvl w:ilvl="7">
      <w:start w:val="7"/>
      <w:numFmt w:val="decimal"/>
      <w:lvlText w:val="%8)"/>
      <w:lvlJc w:val="left"/>
      <w:pPr>
        <w:ind w:left="5760" w:hanging="480"/>
      </w:pPr>
    </w:lvl>
    <w:lvl w:ilvl="8">
      <w:start w:val="7"/>
      <w:numFmt w:val="decimal"/>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3">
    <w:nsid w:val="00A99413"/>
    <w:multiLevelType w:val="multilevel"/>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abstractNum w:abstractNumId="99421">
    <w:nsid w:val="00A9942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2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7">
    <w:abstractNumId w:val="991"/>
  </w:num>
  <w:num w:numId="10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1"/>
  </w:num>
  <w:num w:numId="1109">
    <w:abstractNumId w:val="991"/>
  </w:num>
  <w:num w:numId="1110">
    <w:abstractNumId w:val="991"/>
  </w:num>
  <w:num w:numId="1111">
    <w:abstractNumId w:val="991"/>
  </w:num>
  <w:num w:numId="1112">
    <w:abstractNumId w:val="991"/>
  </w:num>
  <w:num w:numId="1113">
    <w:abstractNumId w:val="991"/>
  </w:num>
  <w:num w:numId="1114">
    <w:abstractNumId w:val="991"/>
  </w:num>
  <w:num w:numId="1115">
    <w:abstractNumId w:val="991"/>
  </w:num>
  <w:num w:numId="1116">
    <w:abstractNumId w:val="991"/>
  </w:num>
  <w:num w:numId="1117">
    <w:abstractNumId w:val="991"/>
  </w:num>
  <w:num w:numId="1118">
    <w:abstractNumId w:val="991"/>
  </w:num>
  <w:num w:numId="1119">
    <w:abstractNumId w:val="991"/>
  </w:num>
  <w:num w:numId="1120">
    <w:abstractNumId w:val="991"/>
  </w:num>
  <w:num w:numId="1121">
    <w:abstractNumId w:val="991"/>
  </w:num>
  <w:num w:numId="1122">
    <w:abstractNumId w:val="991"/>
  </w:num>
  <w:num w:numId="1123">
    <w:abstractNumId w:val="991"/>
  </w:num>
  <w:num w:numId="1124">
    <w:abstractNumId w:val="991"/>
  </w:num>
  <w:num w:numId="1125">
    <w:abstractNumId w:val="991"/>
  </w:num>
  <w:num w:numId="1126">
    <w:abstractNumId w:val="991"/>
  </w:num>
  <w:num w:numId="1127">
    <w:abstractNumId w:val="991"/>
  </w:num>
  <w:num w:numId="1128">
    <w:abstractNumId w:val="991"/>
  </w:num>
  <w:num w:numId="1129">
    <w:abstractNumId w:val="991"/>
  </w:num>
  <w:num w:numId="1130">
    <w:abstractNumId w:val="991"/>
  </w:num>
  <w:num w:numId="11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2">
    <w:abstractNumId w:val="991"/>
  </w:num>
  <w:num w:numId="1133">
    <w:abstractNumId w:val="991"/>
  </w:num>
  <w:num w:numId="1134">
    <w:abstractNumId w:val="991"/>
  </w:num>
  <w:num w:numId="1135">
    <w:abstractNumId w:val="991"/>
  </w:num>
  <w:num w:numId="1136">
    <w:abstractNumId w:val="991"/>
  </w:num>
  <w:num w:numId="1137">
    <w:abstractNumId w:val="991"/>
  </w:num>
  <w:num w:numId="1138">
    <w:abstractNumId w:val="991"/>
  </w:num>
  <w:num w:numId="1139">
    <w:abstractNumId w:val="991"/>
  </w:num>
  <w:num w:numId="1140">
    <w:abstractNumId w:val="991"/>
  </w:num>
  <w:num w:numId="1141">
    <w:abstractNumId w:val="991"/>
  </w:num>
  <w:num w:numId="1142">
    <w:abstractNumId w:val="991"/>
  </w:num>
  <w:num w:numId="1143">
    <w:abstractNumId w:val="991"/>
  </w:num>
  <w:num w:numId="1144">
    <w:abstractNumId w:val="991"/>
  </w:num>
  <w:num w:numId="1145">
    <w:abstractNumId w:val="991"/>
  </w:num>
  <w:num w:numId="1146">
    <w:abstractNumId w:val="991"/>
  </w:num>
  <w:num w:numId="1147">
    <w:abstractNumId w:val="991"/>
  </w:num>
  <w:num w:numId="1148">
    <w:abstractNumId w:val="991"/>
  </w:num>
  <w:num w:numId="1149">
    <w:abstractNumId w:val="991"/>
  </w:num>
  <w:num w:numId="1150">
    <w:abstractNumId w:val="991"/>
  </w:num>
  <w:num w:numId="1151">
    <w:abstractNumId w:val="991"/>
  </w:num>
  <w:num w:numId="1152">
    <w:abstractNumId w:val="991"/>
  </w:num>
  <w:num w:numId="1153">
    <w:abstractNumId w:val="991"/>
  </w:num>
  <w:num w:numId="1154">
    <w:abstractNumId w:val="991"/>
  </w:num>
  <w:num w:numId="1155">
    <w:abstractNumId w:val="991"/>
  </w:num>
  <w:num w:numId="1156">
    <w:abstractNumId w:val="991"/>
  </w:num>
  <w:num w:numId="1157">
    <w:abstractNumId w:val="991"/>
  </w:num>
  <w:num w:numId="1158">
    <w:abstractNumId w:val="991"/>
  </w:num>
  <w:num w:numId="1159">
    <w:abstractNumId w:val="991"/>
  </w:num>
  <w:num w:numId="1160">
    <w:abstractNumId w:val="991"/>
  </w:num>
  <w:num w:numId="1161">
    <w:abstractNumId w:val="991"/>
  </w:num>
  <w:num w:numId="1162">
    <w:abstractNumId w:val="991"/>
  </w:num>
  <w:num w:numId="1163">
    <w:abstractNumId w:val="991"/>
  </w:num>
  <w:num w:numId="1164">
    <w:abstractNumId w:val="991"/>
  </w:num>
  <w:num w:numId="1165">
    <w:abstractNumId w:val="991"/>
  </w:num>
  <w:num w:numId="1166">
    <w:abstractNumId w:val="991"/>
  </w:num>
  <w:num w:numId="1167">
    <w:abstractNumId w:val="991"/>
  </w:num>
  <w:num w:numId="1168">
    <w:abstractNumId w:val="991"/>
  </w:num>
  <w:num w:numId="1169">
    <w:abstractNumId w:val="991"/>
  </w:num>
  <w:num w:numId="1170">
    <w:abstractNumId w:val="991"/>
  </w:num>
  <w:num w:numId="1171">
    <w:abstractNumId w:val="991"/>
  </w:num>
  <w:num w:numId="1172">
    <w:abstractNumId w:val="991"/>
  </w:num>
  <w:num w:numId="1173">
    <w:abstractNumId w:val="991"/>
  </w:num>
  <w:num w:numId="11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5">
    <w:abstractNumId w:val="991"/>
  </w:num>
  <w:num w:numId="1176">
    <w:abstractNumId w:val="991"/>
  </w:num>
  <w:num w:numId="1177">
    <w:abstractNumId w:val="991"/>
  </w:num>
  <w:num w:numId="1178">
    <w:abstractNumId w:val="991"/>
  </w:num>
  <w:num w:numId="1179">
    <w:abstractNumId w:val="991"/>
  </w:num>
  <w:num w:numId="1180">
    <w:abstractNumId w:val="991"/>
  </w:num>
  <w:num w:numId="1181">
    <w:abstractNumId w:val="991"/>
  </w:num>
  <w:num w:numId="1182">
    <w:abstractNumId w:val="991"/>
  </w:num>
  <w:num w:numId="1183">
    <w:abstractNumId w:val="991"/>
  </w:num>
  <w:num w:numId="1184">
    <w:abstractNumId w:val="991"/>
  </w:num>
  <w:num w:numId="1185">
    <w:abstractNumId w:val="991"/>
  </w:num>
  <w:num w:numId="1186">
    <w:abstractNumId w:val="991"/>
  </w:num>
  <w:num w:numId="1187">
    <w:abstractNumId w:val="991"/>
  </w:num>
  <w:num w:numId="1188">
    <w:abstractNumId w:val="991"/>
  </w:num>
  <w:num w:numId="1189">
    <w:abstractNumId w:val="991"/>
  </w:num>
  <w:num w:numId="1190">
    <w:abstractNumId w:val="991"/>
  </w:num>
  <w:num w:numId="1191">
    <w:abstractNumId w:val="991"/>
  </w:num>
  <w:num w:numId="1192">
    <w:abstractNumId w:val="991"/>
  </w:num>
  <w:num w:numId="1193">
    <w:abstractNumId w:val="991"/>
  </w:num>
  <w:num w:numId="1194">
    <w:abstractNumId w:val="991"/>
  </w:num>
  <w:num w:numId="1195">
    <w:abstractNumId w:val="991"/>
  </w:num>
  <w:num w:numId="1196">
    <w:abstractNumId w:val="991"/>
  </w:num>
  <w:num w:numId="1197">
    <w:abstractNumId w:val="991"/>
  </w:num>
  <w:num w:numId="1198">
    <w:abstractNumId w:val="991"/>
  </w:num>
  <w:num w:numId="1199">
    <w:abstractNumId w:val="991"/>
  </w:num>
  <w:num w:numId="1200">
    <w:abstractNumId w:val="991"/>
  </w:num>
  <w:num w:numId="1201">
    <w:abstractNumId w:val="991"/>
  </w:num>
  <w:num w:numId="1202">
    <w:abstractNumId w:val="991"/>
  </w:num>
  <w:num w:numId="1203">
    <w:abstractNumId w:val="991"/>
  </w:num>
  <w:num w:numId="1204">
    <w:abstractNumId w:val="991"/>
  </w:num>
  <w:num w:numId="1205">
    <w:abstractNumId w:val="991"/>
  </w:num>
  <w:num w:numId="1206">
    <w:abstractNumId w:val="991"/>
  </w:num>
  <w:num w:numId="1207">
    <w:abstractNumId w:val="991"/>
  </w:num>
  <w:num w:numId="1208">
    <w:abstractNumId w:val="991"/>
  </w:num>
  <w:num w:numId="1209">
    <w:abstractNumId w:val="991"/>
  </w:num>
  <w:num w:numId="1210">
    <w:abstractNumId w:val="991"/>
  </w:num>
  <w:num w:numId="1211">
    <w:abstractNumId w:val="991"/>
  </w:num>
  <w:num w:numId="1212">
    <w:abstractNumId w:val="991"/>
  </w:num>
  <w:num w:numId="1213">
    <w:abstractNumId w:val="991"/>
  </w:num>
  <w:num w:numId="1214">
    <w:abstractNumId w:val="991"/>
  </w:num>
  <w:num w:numId="1215">
    <w:abstractNumId w:val="991"/>
  </w:num>
  <w:num w:numId="1216">
    <w:abstractNumId w:val="991"/>
  </w:num>
  <w:num w:numId="1217">
    <w:abstractNumId w:val="991"/>
  </w:num>
  <w:num w:numId="1218">
    <w:abstractNumId w:val="991"/>
  </w:num>
  <w:num w:numId="1219">
    <w:abstractNumId w:val="991"/>
  </w:num>
  <w:num w:numId="1220">
    <w:abstractNumId w:val="991"/>
  </w:num>
  <w:num w:numId="1221">
    <w:abstractNumId w:val="991"/>
  </w:num>
  <w:num w:numId="1222">
    <w:abstractNumId w:val="991"/>
  </w:num>
  <w:num w:numId="1223">
    <w:abstractNumId w:val="991"/>
  </w:num>
  <w:num w:numId="1224">
    <w:abstractNumId w:val="991"/>
  </w:num>
  <w:num w:numId="1225">
    <w:abstractNumId w:val="991"/>
  </w:num>
  <w:num w:numId="1226">
    <w:abstractNumId w:val="991"/>
  </w:num>
  <w:num w:numId="1227">
    <w:abstractNumId w:val="991"/>
  </w:num>
  <w:num w:numId="1228">
    <w:abstractNumId w:val="991"/>
  </w:num>
  <w:num w:numId="1229">
    <w:abstractNumId w:val="991"/>
  </w:num>
  <w:num w:numId="1230">
    <w:abstractNumId w:val="991"/>
  </w:num>
  <w:num w:numId="1231">
    <w:abstractNumId w:val="991"/>
  </w:num>
  <w:num w:numId="1232">
    <w:abstractNumId w:val="991"/>
  </w:num>
  <w:num w:numId="1233">
    <w:abstractNumId w:val="991"/>
  </w:num>
  <w:num w:numId="1234">
    <w:abstractNumId w:val="991"/>
  </w:num>
  <w:num w:numId="1235">
    <w:abstractNumId w:val="991"/>
  </w:num>
  <w:num w:numId="1236">
    <w:abstractNumId w:val="991"/>
  </w:num>
  <w:num w:numId="1237">
    <w:abstractNumId w:val="991"/>
  </w:num>
  <w:num w:numId="1238">
    <w:abstractNumId w:val="991"/>
  </w:num>
  <w:num w:numId="1239">
    <w:abstractNumId w:val="991"/>
  </w:num>
  <w:num w:numId="1240">
    <w:abstractNumId w:val="991"/>
  </w:num>
  <w:num w:numId="1241">
    <w:abstractNumId w:val="991"/>
  </w:num>
  <w:num w:numId="1242">
    <w:abstractNumId w:val="991"/>
  </w:num>
  <w:num w:numId="1243">
    <w:abstractNumId w:val="991"/>
  </w:num>
  <w:num w:numId="1244">
    <w:abstractNumId w:val="991"/>
  </w:num>
  <w:num w:numId="1245">
    <w:abstractNumId w:val="991"/>
  </w:num>
  <w:num w:numId="1246">
    <w:abstractNumId w:val="991"/>
  </w:num>
  <w:num w:numId="1247">
    <w:abstractNumId w:val="991"/>
  </w:num>
  <w:num w:numId="1248">
    <w:abstractNumId w:val="991"/>
  </w:num>
  <w:num w:numId="1249">
    <w:abstractNumId w:val="991"/>
  </w:num>
  <w:num w:numId="1250">
    <w:abstractNumId w:val="991"/>
  </w:num>
  <w:num w:numId="1251">
    <w:abstractNumId w:val="991"/>
  </w:num>
  <w:num w:numId="1252">
    <w:abstractNumId w:val="991"/>
  </w:num>
  <w:num w:numId="1253">
    <w:abstractNumId w:val="991"/>
  </w:num>
  <w:num w:numId="1254">
    <w:abstractNumId w:val="991"/>
  </w:num>
  <w:num w:numId="1255">
    <w:abstractNumId w:val="991"/>
  </w:num>
  <w:num w:numId="1256">
    <w:abstractNumId w:val="991"/>
  </w:num>
  <w:num w:numId="1257">
    <w:abstractNumId w:val="991"/>
  </w:num>
  <w:num w:numId="1258">
    <w:abstractNumId w:val="991"/>
  </w:num>
  <w:num w:numId="1259">
    <w:abstractNumId w:val="991"/>
  </w:num>
  <w:num w:numId="1260">
    <w:abstractNumId w:val="991"/>
  </w:num>
  <w:num w:numId="1261">
    <w:abstractNumId w:val="991"/>
  </w:num>
  <w:num w:numId="1262">
    <w:abstractNumId w:val="991"/>
  </w:num>
  <w:num w:numId="1263">
    <w:abstractNumId w:val="991"/>
  </w:num>
  <w:num w:numId="1264">
    <w:abstractNumId w:val="991"/>
  </w:num>
  <w:num w:numId="1265">
    <w:abstractNumId w:val="991"/>
  </w:num>
  <w:num w:numId="1266">
    <w:abstractNumId w:val="991"/>
  </w:num>
  <w:num w:numId="1267">
    <w:abstractNumId w:val="991"/>
  </w:num>
  <w:num w:numId="1268">
    <w:abstractNumId w:val="991"/>
  </w:num>
  <w:num w:numId="1269">
    <w:abstractNumId w:val="991"/>
  </w:num>
  <w:num w:numId="1270">
    <w:abstractNumId w:val="991"/>
  </w:num>
  <w:num w:numId="1271">
    <w:abstractNumId w:val="991"/>
  </w:num>
  <w:num w:numId="1272">
    <w:abstractNumId w:val="991"/>
  </w:num>
  <w:num w:numId="1273">
    <w:abstractNumId w:val="991"/>
  </w:num>
  <w:num w:numId="1274">
    <w:abstractNumId w:val="991"/>
  </w:num>
  <w:num w:numId="1275">
    <w:abstractNumId w:val="991"/>
  </w:num>
  <w:num w:numId="1276">
    <w:abstractNumId w:val="991"/>
  </w:num>
  <w:num w:numId="1277">
    <w:abstractNumId w:val="991"/>
  </w:num>
  <w:num w:numId="1278">
    <w:abstractNumId w:val="991"/>
  </w:num>
  <w:num w:numId="1279">
    <w:abstractNumId w:val="991"/>
  </w:num>
  <w:num w:numId="1280">
    <w:abstractNumId w:val="991"/>
  </w:num>
  <w:num w:numId="1281">
    <w:abstractNumId w:val="991"/>
  </w:num>
  <w:num w:numId="1282">
    <w:abstractNumId w:val="991"/>
  </w:num>
  <w:num w:numId="1283">
    <w:abstractNumId w:val="991"/>
  </w:num>
  <w:num w:numId="1284">
    <w:abstractNumId w:val="991"/>
  </w:num>
  <w:num w:numId="1285">
    <w:abstractNumId w:val="991"/>
  </w:num>
  <w:num w:numId="1286">
    <w:abstractNumId w:val="991"/>
  </w:num>
  <w:num w:numId="1287">
    <w:abstractNumId w:val="991"/>
  </w:num>
  <w:num w:numId="1288">
    <w:abstractNumId w:val="991"/>
  </w:num>
  <w:num w:numId="1289">
    <w:abstractNumId w:val="991"/>
  </w:num>
  <w:num w:numId="1290">
    <w:abstractNumId w:val="991"/>
  </w:num>
  <w:num w:numId="1291">
    <w:abstractNumId w:val="991"/>
  </w:num>
  <w:num w:numId="1292">
    <w:abstractNumId w:val="991"/>
  </w:num>
  <w:num w:numId="1293">
    <w:abstractNumId w:val="991"/>
  </w:num>
  <w:num w:numId="1294">
    <w:abstractNumId w:val="991"/>
  </w:num>
  <w:num w:numId="1295">
    <w:abstractNumId w:val="991"/>
  </w:num>
  <w:num w:numId="1296">
    <w:abstractNumId w:val="991"/>
  </w:num>
  <w:num w:numId="1297">
    <w:abstractNumId w:val="991"/>
  </w:num>
  <w:num w:numId="1298">
    <w:abstractNumId w:val="991"/>
  </w:num>
  <w:num w:numId="1299">
    <w:abstractNumId w:val="991"/>
  </w:num>
  <w:num w:numId="1300">
    <w:abstractNumId w:val="991"/>
  </w:num>
  <w:num w:numId="1301">
    <w:abstractNumId w:val="991"/>
  </w:num>
  <w:num w:numId="1302">
    <w:abstractNumId w:val="991"/>
  </w:num>
  <w:num w:numId="1303">
    <w:abstractNumId w:val="991"/>
  </w:num>
  <w:num w:numId="1304">
    <w:abstractNumId w:val="991"/>
  </w:num>
  <w:num w:numId="1305">
    <w:abstractNumId w:val="991"/>
  </w:num>
  <w:num w:numId="1306">
    <w:abstractNumId w:val="991"/>
  </w:num>
  <w:num w:numId="1307">
    <w:abstractNumId w:val="991"/>
  </w:num>
  <w:num w:numId="1308">
    <w:abstractNumId w:val="991"/>
  </w:num>
  <w:num w:numId="1309">
    <w:abstractNumId w:val="991"/>
  </w:num>
  <w:num w:numId="1310">
    <w:abstractNumId w:val="991"/>
  </w:num>
  <w:num w:numId="1311">
    <w:abstractNumId w:val="991"/>
  </w:num>
  <w:num w:numId="1312">
    <w:abstractNumId w:val="991"/>
  </w:num>
  <w:num w:numId="1313">
    <w:abstractNumId w:val="991"/>
  </w:num>
  <w:num w:numId="1314">
    <w:abstractNumId w:val="991"/>
  </w:num>
  <w:num w:numId="1315">
    <w:abstractNumId w:val="991"/>
  </w:num>
  <w:num w:numId="1316">
    <w:abstractNumId w:val="991"/>
  </w:num>
  <w:num w:numId="1317">
    <w:abstractNumId w:val="991"/>
  </w:num>
  <w:num w:numId="1318">
    <w:abstractNumId w:val="991"/>
  </w:num>
  <w:num w:numId="1319">
    <w:abstractNumId w:val="991"/>
  </w:num>
  <w:num w:numId="1320">
    <w:abstractNumId w:val="991"/>
  </w:num>
  <w:num w:numId="1321">
    <w:abstractNumId w:val="991"/>
  </w:num>
  <w:num w:numId="1322">
    <w:abstractNumId w:val="991"/>
  </w:num>
  <w:num w:numId="1323">
    <w:abstractNumId w:val="991"/>
  </w:num>
  <w:num w:numId="1324">
    <w:abstractNumId w:val="991"/>
  </w:num>
  <w:num w:numId="1325">
    <w:abstractNumId w:val="991"/>
  </w:num>
  <w:num w:numId="1326">
    <w:abstractNumId w:val="991"/>
  </w:num>
  <w:num w:numId="1327">
    <w:abstractNumId w:val="991"/>
  </w:num>
  <w:num w:numId="1328">
    <w:abstractNumId w:val="991"/>
  </w:num>
  <w:num w:numId="1329">
    <w:abstractNumId w:val="991"/>
  </w:num>
  <w:num w:numId="1330">
    <w:abstractNumId w:val="991"/>
  </w:num>
  <w:num w:numId="1331">
    <w:abstractNumId w:val="991"/>
  </w:num>
  <w:num w:numId="1332">
    <w:abstractNumId w:val="991"/>
  </w:num>
  <w:num w:numId="1333">
    <w:abstractNumId w:val="991"/>
  </w:num>
  <w:num w:numId="1334">
    <w:abstractNumId w:val="991"/>
  </w:num>
  <w:num w:numId="1335">
    <w:abstractNumId w:val="991"/>
  </w:num>
  <w:num w:numId="1336">
    <w:abstractNumId w:val="991"/>
  </w:num>
  <w:num w:numId="1337">
    <w:abstractNumId w:val="991"/>
  </w:num>
  <w:num w:numId="1338">
    <w:abstractNumId w:val="991"/>
  </w:num>
  <w:num w:numId="1339">
    <w:abstractNumId w:val="991"/>
  </w:num>
  <w:num w:numId="1340">
    <w:abstractNumId w:val="991"/>
  </w:num>
  <w:num w:numId="1341">
    <w:abstractNumId w:val="991"/>
  </w:num>
  <w:num w:numId="1342">
    <w:abstractNumId w:val="991"/>
  </w:num>
  <w:num w:numId="1343">
    <w:abstractNumId w:val="991"/>
  </w:num>
  <w:num w:numId="1344">
    <w:abstractNumId w:val="991"/>
  </w:num>
  <w:num w:numId="1345">
    <w:abstractNumId w:val="991"/>
  </w:num>
  <w:num w:numId="1346">
    <w:abstractNumId w:val="991"/>
  </w:num>
  <w:num w:numId="1347">
    <w:abstractNumId w:val="991"/>
  </w:num>
  <w:num w:numId="1348">
    <w:abstractNumId w:val="991"/>
  </w:num>
  <w:num w:numId="1349">
    <w:abstractNumId w:val="991"/>
  </w:num>
  <w:num w:numId="1350">
    <w:abstractNumId w:val="991"/>
  </w:num>
  <w:num w:numId="1351">
    <w:abstractNumId w:val="991"/>
  </w:num>
  <w:num w:numId="1352">
    <w:abstractNumId w:val="991"/>
  </w:num>
  <w:num w:numId="1353">
    <w:abstractNumId w:val="991"/>
  </w:num>
  <w:num w:numId="1354">
    <w:abstractNumId w:val="991"/>
  </w:num>
  <w:num w:numId="13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61">
    <w:abstractNumId w:val="991"/>
  </w:num>
  <w:num w:numId="1362">
    <w:abstractNumId w:val="991"/>
  </w:num>
  <w:num w:numId="13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69">
    <w:abstractNumId w:val="991"/>
  </w:num>
  <w:num w:numId="1370">
    <w:abstractNumId w:val="991"/>
  </w:num>
  <w:num w:numId="1371">
    <w:abstractNumId w:val="991"/>
  </w:num>
  <w:num w:numId="1372">
    <w:abstractNumId w:val="991"/>
  </w:num>
  <w:num w:numId="1373">
    <w:abstractNumId w:val="991"/>
  </w:num>
  <w:num w:numId="1374">
    <w:abstractNumId w:val="991"/>
  </w:num>
  <w:num w:numId="1375">
    <w:abstractNumId w:val="991"/>
  </w:num>
  <w:num w:numId="1376">
    <w:abstractNumId w:val="991"/>
  </w:num>
  <w:num w:numId="1377">
    <w:abstractNumId w:val="991"/>
  </w:num>
  <w:num w:numId="1378">
    <w:abstractNumId w:val="991"/>
  </w:num>
  <w:num w:numId="1379">
    <w:abstractNumId w:val="991"/>
  </w:num>
  <w:num w:numId="1380">
    <w:abstractNumId w:val="991"/>
  </w:num>
  <w:num w:numId="1381">
    <w:abstractNumId w:val="991"/>
  </w:num>
  <w:num w:numId="1382">
    <w:abstractNumId w:val="991"/>
  </w:num>
  <w:num w:numId="1383">
    <w:abstractNumId w:val="991"/>
  </w:num>
  <w:num w:numId="1384">
    <w:abstractNumId w:val="991"/>
  </w:num>
  <w:num w:numId="1385">
    <w:abstractNumId w:val="991"/>
  </w:num>
  <w:num w:numId="1386">
    <w:abstractNumId w:val="991"/>
  </w:num>
  <w:num w:numId="1387">
    <w:abstractNumId w:val="991"/>
  </w:num>
  <w:num w:numId="1388">
    <w:abstractNumId w:val="991"/>
  </w:num>
  <w:num w:numId="1389">
    <w:abstractNumId w:val="991"/>
  </w:num>
  <w:num w:numId="1390">
    <w:abstractNumId w:val="991"/>
  </w:num>
  <w:num w:numId="1391">
    <w:abstractNumId w:val="991"/>
  </w:num>
  <w:num w:numId="13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94">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395">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396">
    <w:abstractNumId w:val="991"/>
  </w:num>
  <w:num w:numId="1397">
    <w:abstractNumId w:val="991"/>
  </w:num>
  <w:num w:numId="1398">
    <w:abstractNumId w:val="991"/>
  </w:num>
  <w:num w:numId="1399">
    <w:abstractNumId w:val="991"/>
  </w:num>
  <w:num w:numId="1400">
    <w:abstractNumId w:val="991"/>
  </w:num>
  <w:num w:numId="1401">
    <w:abstractNumId w:val="991"/>
  </w:num>
  <w:num w:numId="1402">
    <w:abstractNumId w:val="991"/>
  </w:num>
  <w:num w:numId="1403">
    <w:abstractNumId w:val="991"/>
  </w:num>
  <w:num w:numId="1404">
    <w:abstractNumId w:val="991"/>
  </w:num>
  <w:num w:numId="1405">
    <w:abstractNumId w:val="991"/>
  </w:num>
  <w:num w:numId="1406">
    <w:abstractNumId w:val="991"/>
  </w:num>
  <w:num w:numId="1407">
    <w:abstractNumId w:val="991"/>
  </w:num>
  <w:num w:numId="1408">
    <w:abstractNumId w:val="991"/>
  </w:num>
  <w:num w:numId="1409">
    <w:abstractNumId w:val="991"/>
  </w:num>
  <w:num w:numId="1410">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12">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13">
    <w:abstractNumId w:val="991"/>
  </w:num>
  <w:num w:numId="1414">
    <w:abstractNumId w:val="991"/>
  </w:num>
  <w:num w:numId="14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1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20" w:before="0" w:line="259" w:lineRule="auto"/>
    </w:pPr>
    <w:rPr>
      <w:rFonts w:ascii="Arial" w:eastAsia="Arial" w:hAnsi="Arial"/>
      <w:b w:val="0"/>
      <w:sz w:val="21"/>
    </w:rPr>
  </w:style>
  <w:style w:styleId="BodyText" w:type="paragraph">
    <w:name w:val="Body Text"/>
    <w:basedOn w:val="Normal"/>
    <w:link w:val="BodyTextChar"/>
    <w:qFormat/>
    <w:pPr>
      <w:spacing w:after="120" w:before="0" w:line="259" w:lineRule="auto"/>
    </w:pPr>
    <w:rPr>
      <w:rFonts w:ascii="Arial" w:eastAsia="Arial" w:hAnsi="Arial"/>
      <w:b w:val="0"/>
      <w:sz w:val="21"/>
    </w:rPr>
  </w:style>
  <w:style w:customStyle="1" w:styleId="FirstParagraph" w:type="paragraph">
    <w:name w:val="First Paragraph"/>
    <w:basedOn w:val="BodyText"/>
    <w:next w:val="BodyText"/>
    <w:qFormat/>
    <w:pPr>
      <w:spacing w:after="120" w:before="0" w:line="259" w:lineRule="auto"/>
    </w:pPr>
    <w:rPr>
      <w:rFonts w:ascii="Arial" w:eastAsia="Arial" w:hAnsi="Arial"/>
      <w:b w:val="0"/>
      <w:sz w:val="21"/>
    </w:rPr>
  </w:style>
  <w:style w:customStyle="1" w:styleId="Compact" w:type="paragraph">
    <w:name w:val="Compact"/>
    <w:basedOn w:val="BodyText"/>
    <w:qFormat/>
    <w:pPr>
      <w:spacing w:after="60" w:before="0" w:line="240" w:lineRule="auto"/>
    </w:pPr>
    <w:rPr>
      <w:rFonts w:ascii="Arial" w:eastAsia="Arial" w:hAnsi="Arial"/>
      <w:b w:val="0"/>
      <w:sz w:val="19"/>
    </w:rPr>
  </w:style>
  <w:style w:styleId="Title" w:type="paragraph">
    <w:name w:val="Title"/>
    <w:basedOn w:val="Normal"/>
    <w:next w:val="BodyText"/>
    <w:qFormat/>
    <w:pPr>
      <w:keepNext/>
      <w:keepLines/>
      <w:spacing w:after="160" w:before="0" w:line="240" w:lineRule="auto"/>
      <w:jc w:val="center"/>
    </w:pPr>
    <w:rPr>
      <w:rFonts w:ascii="Arial" w:asciiTheme="majorHAnsi" w:cstheme="majorBidi" w:eastAsia="Arial" w:eastAsiaTheme="majorEastAsia" w:hAnsi="Arial" w:hAnsiTheme="majorHAnsi"/>
      <w:b/>
      <w:bCs/>
      <w:color w:val="1F4E78"/>
      <w:sz w:val="38"/>
      <w:szCs w:val="36"/>
    </w:rPr>
  </w:style>
  <w:style w:styleId="Subtitle" w:type="paragraph">
    <w:name w:val="Subtitle"/>
    <w:basedOn w:val="Title"/>
    <w:next w:val="BodyText"/>
    <w:qFormat/>
    <w:pPr>
      <w:keepNext/>
      <w:keepLines/>
      <w:spacing w:after="160" w:before="0" w:line="240" w:lineRule="auto"/>
      <w:jc w:val="center"/>
    </w:pPr>
    <w:rPr>
      <w:rFonts w:ascii="Arial" w:hAnsi="Arial"/>
      <w:b w:val="0"/>
      <w:sz w:val="23"/>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20" w:before="80" w:line="252" w:lineRule="auto"/>
      <w:ind w:firstLine="0" w:left="480" w:right="480"/>
    </w:pPr>
    <w:rPr>
      <w:rFonts w:ascii="Arial" w:eastAsia="Arial" w:hAnsi="Arial"/>
      <w:b w:val="0"/>
      <w:sz w:val="19"/>
    </w:r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link w:val="VerbatimChar"/>
    <w:pPr>
      <w:wordWrap w:val="off"/>
      <w:spacing w:after="60" w:before="60" w:line="240" w:lineRule="auto"/>
    </w:pPr>
    <w:rPr>
      <w:rFonts w:ascii="Courier New" w:hAnsi="Courier New"/>
      <w:b w:val="0"/>
      <w:sz w:val="17"/>
    </w:rPr>
  </w:style>
  <w:style w:customStyle="1" w:styleId="KeywordTok" w:type="character">
    <w:name w:val="KeywordTok"/>
    <w:basedOn w:val="VerbatimChar"/>
    <w:rPr>
      <w:b/>
      <w:color w:val="007020"/>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b/>
      <w:color w:val="008000"/>
    </w:rPr>
  </w:style>
  <w:style w:customStyle="1" w:styleId="CommentTok" w:type="character">
    <w:name w:val="CommentTok"/>
    <w:basedOn w:val="VerbatimChar"/>
    <w:rPr>
      <w:i/>
      <w:color w:val="60a0b0"/>
    </w:rPr>
  </w:style>
  <w:style w:customStyle="1" w:styleId="DocumentationTok" w:type="character">
    <w:name w:val="DocumentationTok"/>
    <w:basedOn w:val="VerbatimChar"/>
    <w:rPr>
      <w:i/>
      <w:color w:val="ba2121"/>
    </w:rPr>
  </w:style>
  <w:style w:customStyle="1" w:styleId="AnnotationTok" w:type="character">
    <w:name w:val="AnnotationTok"/>
    <w:basedOn w:val="VerbatimChar"/>
    <w:rPr>
      <w:b/>
      <w:i/>
      <w:color w:val="60a0b0"/>
    </w:rPr>
  </w:style>
  <w:style w:customStyle="1" w:styleId="CommentVarTok" w:type="character">
    <w:name w:val="CommentVarTok"/>
    <w:basedOn w:val="VerbatimChar"/>
    <w:rPr>
      <w:b/>
      <w:i/>
      <w:color w:val="60a0b0"/>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b/>
      <w:color w:val="007020"/>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b/>
      <w:i/>
      <w:color w:val="60a0b0"/>
    </w:rPr>
  </w:style>
  <w:style w:customStyle="1" w:styleId="WarningTok" w:type="character">
    <w:name w:val="WarningTok"/>
    <w:basedOn w:val="VerbatimChar"/>
    <w:rPr>
      <w:b/>
      <w:i/>
      <w:color w:val="60a0b0"/>
    </w:rPr>
  </w:style>
  <w:style w:customStyle="1" w:styleId="AlertTok" w:type="character">
    <w:name w:val="AlertTok"/>
    <w:basedOn w:val="VerbatimChar"/>
    <w:rPr>
      <w:b/>
      <w:color w:val="ff0000"/>
    </w:rPr>
  </w:style>
  <w:style w:customStyle="1" w:styleId="ErrorTok" w:type="character">
    <w:name w:val="ErrorTok"/>
    <w:basedOn w:val="VerbatimChar"/>
    <w:rPr>
      <w:b/>
      <w:color w:val="ff0000"/>
    </w:rPr>
  </w:style>
  <w:style w:customStyle="1" w:styleId="NormalTok" w:type="character">
    <w:name w:val="NormalTok"/>
    <w:basedOn w:val="VerbatimChar"/>
    <w:rPr/>
  </w:style>
  <w:style w:customStyle="1" w:styleId="Heading1" w:type="paragraph">
    <w:name w:val="heading 1"/>
    <w:pPr>
      <w:keepNext/>
      <w:spacing w:after="120" w:before="240" w:line="240" w:lineRule="auto"/>
    </w:pPr>
    <w:rPr>
      <w:rFonts w:ascii="Arial" w:eastAsia="Arial" w:hAnsi="Arial"/>
      <w:b/>
      <w:color w:val="1F4E78"/>
      <w:sz w:val="32"/>
    </w:rPr>
  </w:style>
  <w:style w:customStyle="1" w:styleId="Heading2" w:type="paragraph">
    <w:name w:val="heading 2"/>
    <w:pPr>
      <w:keepNext/>
      <w:spacing w:after="80" w:before="200" w:line="240" w:lineRule="auto"/>
    </w:pPr>
    <w:rPr>
      <w:rFonts w:ascii="Arial" w:eastAsia="Arial" w:hAnsi="Arial"/>
      <w:b/>
      <w:color w:val="1F4E78"/>
      <w:sz w:val="26"/>
    </w:rPr>
  </w:style>
  <w:style w:customStyle="1" w:styleId="Heading3" w:type="paragraph">
    <w:name w:val="heading 3"/>
    <w:pPr>
      <w:keepNext/>
      <w:spacing w:after="60" w:before="160" w:line="240" w:lineRule="auto"/>
    </w:pPr>
    <w:rPr>
      <w:rFonts w:ascii="Arial" w:eastAsia="Arial" w:hAnsi="Arial"/>
      <w:b/>
      <w:color w:val="1F4E78"/>
      <w:sz w:val="23"/>
    </w:rPr>
  </w:style>
  <w:style w:customStyle="1" w:styleId="Heading4" w:type="paragraph">
    <w:name w:val="heading 4"/>
    <w:pPr>
      <w:keepNext/>
      <w:spacing w:after="40" w:before="120" w:line="240" w:lineRule="auto"/>
    </w:pPr>
    <w:rPr>
      <w:rFonts w:ascii="Arial" w:eastAsia="Arial" w:hAnsi="Arial"/>
      <w:b/>
      <w:color w:val="1F4E78"/>
      <w:sz w:val="21"/>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header" Target="header3.xml"/><Relationship Id="rId12" Type="http://schemas.openxmlformats.org/officeDocument/2006/relationships/footer" Target="footer1.xml"/><Relationship Id="rId13" Type="http://schemas.openxmlformats.org/officeDocument/2006/relationships/footer" Target="footer2.xml"/><Relationship Id="rId14" Type="http://schemas.openxmlformats.org/officeDocument/2006/relationships/footer" Target="footer3.xml"/><Relationship Id="rId293" Type="http://schemas.openxmlformats.org/officeDocument/2006/relationships/hyperlink" Target="https://doi.org/10.1016/0047-2484(92)90081-J" TargetMode="External"/><Relationship Id="rId294" Type="http://schemas.openxmlformats.org/officeDocument/2006/relationships/hyperlink" Target="https://doi.org/10.1017/S0140525X00032325" TargetMode="External"/><Relationship Id="rId310" Type="http://schemas.openxmlformats.org/officeDocument/2006/relationships/hyperlink" Target="https://doi.org/10.1037/0003-066X.55.1.68" TargetMode="External"/><Relationship Id="rId309" Type="http://schemas.openxmlformats.org/officeDocument/2006/relationships/hyperlink" Target="https://doi.org/10.1038/461472a" TargetMode="External"/><Relationship Id="rId308" Type="http://schemas.openxmlformats.org/officeDocument/2006/relationships/hyperlink" Target="https://doi.org/10.1038/s41586-023-06083-8" TargetMode="External"/><Relationship Id="rId302" Type="http://schemas.openxmlformats.org/officeDocument/2006/relationships/hyperlink" Target="https://doi.org/10.1073/pnas.0705414105" TargetMode="External"/><Relationship Id="rId290" Type="http://schemas.openxmlformats.org/officeDocument/2006/relationships/hyperlink" Target="https://doi.org/10.1111/1467-9965.00068" TargetMode="External"/><Relationship Id="rId305" Type="http://schemas.openxmlformats.org/officeDocument/2006/relationships/hyperlink" Target="https://doi.org/10.1126/science.1133755" TargetMode="External"/><Relationship Id="rId296" Type="http://schemas.openxmlformats.org/officeDocument/2006/relationships/hyperlink" Target="https://doi.org/10.1126/science.1205106" TargetMode="External"/><Relationship Id="rId311" Type="http://schemas.openxmlformats.org/officeDocument/2006/relationships/hyperlink" Target="https://doi.org/10.1126/science.1259855" TargetMode="External"/><Relationship Id="rId291" Type="http://schemas.openxmlformats.org/officeDocument/2006/relationships/hyperlink" Target="https://doi.org/10.1126/science.286.5439.509" TargetMode="External"/><Relationship Id="rId307" Type="http://schemas.openxmlformats.org/officeDocument/2006/relationships/hyperlink" Target="https://doi.org/10.21314/JOR.2000.038" TargetMode="External"/><Relationship Id="rId301" Type="http://schemas.openxmlformats.org/officeDocument/2006/relationships/hyperlink" Target="https://doi.org/10.2307/1914185" TargetMode="External"/><Relationship Id="rId295" Type="http://schemas.openxmlformats.org/officeDocument/2006/relationships/hyperlink" Target="https://doi.org/10.2307/2666999" TargetMode="External"/><Relationship Id="rId289" Type="http://schemas.openxmlformats.org/officeDocument/2006/relationships/hyperlink" Target="https://doi.org/10.48550/arXiv.1606.06565" TargetMode="External"/><Relationship Id="rId303" Type="http://schemas.openxmlformats.org/officeDocument/2006/relationships/hyperlink" Target="https://doi.org/10.48550/arXiv.1803.04585" TargetMode="External"/><Relationship Id="rId298" Type="http://schemas.openxmlformats.org/officeDocument/2006/relationships/hyperlink" Target="https://doi.org/10.59327/IPCC/AR6-9789291691647" TargetMode="External"/><Relationship Id="rId304" Type="http://schemas.openxmlformats.org/officeDocument/2006/relationships/hyperlink" Target="https://doi.org/10.6028/NIST.AI.100-1" TargetMode="External"/><Relationship Id="rId316" Type="http://schemas.openxmlformats.org/officeDocument/2006/relationships/hyperlink" Target="https://iris.who.int/handle/10665/43974" TargetMode="External"/><Relationship Id="rId306" Type="http://schemas.openxmlformats.org/officeDocument/2006/relationships/hyperlink" Target="https://rsf.org/en/index" TargetMode="External"/><Relationship Id="rId312" Type="http://schemas.openxmlformats.org/officeDocument/2006/relationships/hyperlink" Target="https://treaties.un.org/Pages/ViewDetails.aspx?src=TREATY&amp;mtdsg_no=IV-4&amp;chapter=4&amp;clang=\_en" TargetMode="External"/><Relationship Id="rId313" Type="http://schemas.openxmlformats.org/officeDocument/2006/relationships/hyperlink" Target="https://treaties.un.org/Pages/ViewDetails.aspx?src=TREATY&amp;mtdsg_no=IV-9&amp;chapter=4&amp;clang=\_en" TargetMode="External"/><Relationship Id="rId314" Type="http://schemas.openxmlformats.org/officeDocument/2006/relationships/hyperlink" Target="https://unhabitat.org/the-challenge-of-slums-global-report-on-human-settlements-2003" TargetMode="External"/><Relationship Id="rId318" Type="http://schemas.openxmlformats.org/officeDocument/2006/relationships/hyperlink" Target="https://worldjusticeproject.org/rule-of-law-index/" TargetMode="External"/><Relationship Id="rId292" Type="http://schemas.openxmlformats.org/officeDocument/2006/relationships/hyperlink" Target="https://www.echr.coe.int/the-convention" TargetMode="External"/><Relationship Id="rId299" Type="http://schemas.openxmlformats.org/officeDocument/2006/relationships/hyperlink" Target="https://www.ilo.org/ilo-declaration-fundamental-principles-and-rights-work/about-declaration/text-declaration-and-its-follow" TargetMode="External"/><Relationship Id="rId300" Type="http://schemas.openxmlformats.org/officeDocument/2006/relationships/hyperlink" Target="https://www.ilo.org/publications/ilo-indicators-forced-labour" TargetMode="External"/><Relationship Id="rId297" Type="http://schemas.openxmlformats.org/officeDocument/2006/relationships/hyperlink" Target="https://www.ipcinfo.org/" TargetMode="External"/><Relationship Id="rId315" Type="http://schemas.openxmlformats.org/officeDocument/2006/relationships/hyperlink" Target="https://www.un.org/en/genocideprevention/publications.shtml" TargetMode="External"/><Relationship Id="rId317" Type="http://schemas.openxmlformats.org/officeDocument/2006/relationships/hyperlink" Target="https://www.who.int/standards/classifications/international-classification-of-functioning-disability-and-health" TargetMode="External"/></Relationships>
</file>

<file path=word/_rels/footnotes.xml.rels><?xml version='1.0' encoding='UTF-8' standalone='yes'?>
<Relationships xmlns="http://schemas.openxmlformats.org/package/2006/relationships"><Relationship Id="rId293" Type="http://schemas.openxmlformats.org/officeDocument/2006/relationships/hyperlink" Target="https://doi.org/10.1016/0047-2484(92)90081-J" TargetMode="External"/><Relationship Id="rId294" Type="http://schemas.openxmlformats.org/officeDocument/2006/relationships/hyperlink" Target="https://doi.org/10.1017/S0140525X00032325" TargetMode="External"/><Relationship Id="rId310" Type="http://schemas.openxmlformats.org/officeDocument/2006/relationships/hyperlink" Target="https://doi.org/10.1037/0003-066X.55.1.68" TargetMode="External"/><Relationship Id="rId309" Type="http://schemas.openxmlformats.org/officeDocument/2006/relationships/hyperlink" Target="https://doi.org/10.1038/461472a" TargetMode="External"/><Relationship Id="rId308" Type="http://schemas.openxmlformats.org/officeDocument/2006/relationships/hyperlink" Target="https://doi.org/10.1038/s41586-023-06083-8" TargetMode="External"/><Relationship Id="rId302" Type="http://schemas.openxmlformats.org/officeDocument/2006/relationships/hyperlink" Target="https://doi.org/10.1073/pnas.0705414105" TargetMode="External"/><Relationship Id="rId290" Type="http://schemas.openxmlformats.org/officeDocument/2006/relationships/hyperlink" Target="https://doi.org/10.1111/1467-9965.00068" TargetMode="External"/><Relationship Id="rId305" Type="http://schemas.openxmlformats.org/officeDocument/2006/relationships/hyperlink" Target="https://doi.org/10.1126/science.1133755" TargetMode="External"/><Relationship Id="rId296" Type="http://schemas.openxmlformats.org/officeDocument/2006/relationships/hyperlink" Target="https://doi.org/10.1126/science.1205106" TargetMode="External"/><Relationship Id="rId311" Type="http://schemas.openxmlformats.org/officeDocument/2006/relationships/hyperlink" Target="https://doi.org/10.1126/science.1259855" TargetMode="External"/><Relationship Id="rId291" Type="http://schemas.openxmlformats.org/officeDocument/2006/relationships/hyperlink" Target="https://doi.org/10.1126/science.286.5439.509" TargetMode="External"/><Relationship Id="rId307" Type="http://schemas.openxmlformats.org/officeDocument/2006/relationships/hyperlink" Target="https://doi.org/10.21314/JOR.2000.038" TargetMode="External"/><Relationship Id="rId301" Type="http://schemas.openxmlformats.org/officeDocument/2006/relationships/hyperlink" Target="https://doi.org/10.2307/1914185" TargetMode="External"/><Relationship Id="rId295" Type="http://schemas.openxmlformats.org/officeDocument/2006/relationships/hyperlink" Target="https://doi.org/10.2307/2666999" TargetMode="External"/><Relationship Id="rId289" Type="http://schemas.openxmlformats.org/officeDocument/2006/relationships/hyperlink" Target="https://doi.org/10.48550/arXiv.1606.06565" TargetMode="External"/><Relationship Id="rId303" Type="http://schemas.openxmlformats.org/officeDocument/2006/relationships/hyperlink" Target="https://doi.org/10.48550/arXiv.1803.04585" TargetMode="External"/><Relationship Id="rId298" Type="http://schemas.openxmlformats.org/officeDocument/2006/relationships/hyperlink" Target="https://doi.org/10.59327/IPCC/AR6-9789291691647" TargetMode="External"/><Relationship Id="rId304" Type="http://schemas.openxmlformats.org/officeDocument/2006/relationships/hyperlink" Target="https://doi.org/10.6028/NIST.AI.100-1" TargetMode="External"/><Relationship Id="rId316" Type="http://schemas.openxmlformats.org/officeDocument/2006/relationships/hyperlink" Target="https://iris.who.int/handle/10665/43974" TargetMode="External"/><Relationship Id="rId306" Type="http://schemas.openxmlformats.org/officeDocument/2006/relationships/hyperlink" Target="https://rsf.org/en/index" TargetMode="External"/><Relationship Id="rId312" Type="http://schemas.openxmlformats.org/officeDocument/2006/relationships/hyperlink" Target="https://treaties.un.org/Pages/ViewDetails.aspx?src=TREATY&amp;mtdsg_no=IV-4&amp;chapter=4&amp;clang=\_en" TargetMode="External"/><Relationship Id="rId313" Type="http://schemas.openxmlformats.org/officeDocument/2006/relationships/hyperlink" Target="https://treaties.un.org/Pages/ViewDetails.aspx?src=TREATY&amp;mtdsg_no=IV-9&amp;chapter=4&amp;clang=\_en" TargetMode="External"/><Relationship Id="rId314" Type="http://schemas.openxmlformats.org/officeDocument/2006/relationships/hyperlink" Target="https://unhabitat.org/the-challenge-of-slums-global-report-on-human-settlements-2003" TargetMode="External"/><Relationship Id="rId318" Type="http://schemas.openxmlformats.org/officeDocument/2006/relationships/hyperlink" Target="https://worldjusticeproject.org/rule-of-law-index/" TargetMode="External"/><Relationship Id="rId292" Type="http://schemas.openxmlformats.org/officeDocument/2006/relationships/hyperlink" Target="https://www.echr.coe.int/the-convention" TargetMode="External"/><Relationship Id="rId299" Type="http://schemas.openxmlformats.org/officeDocument/2006/relationships/hyperlink" Target="https://www.ilo.org/ilo-declaration-fundamental-principles-and-rights-work/about-declaration/text-declaration-and-its-follow" TargetMode="External"/><Relationship Id="rId300" Type="http://schemas.openxmlformats.org/officeDocument/2006/relationships/hyperlink" Target="https://www.ilo.org/publications/ilo-indicators-forced-labour" TargetMode="External"/><Relationship Id="rId297" Type="http://schemas.openxmlformats.org/officeDocument/2006/relationships/hyperlink" Target="https://www.ipcinfo.org/" TargetMode="External"/><Relationship Id="rId315" Type="http://schemas.openxmlformats.org/officeDocument/2006/relationships/hyperlink" Target="https://www.un.org/en/genocideprevention/publications.shtml" TargetMode="External"/><Relationship Id="rId317" Type="http://schemas.openxmlformats.org/officeDocument/2006/relationships/hyperlink" Target="https://www.who.int/standards/classifications/international-classification-of-functioning-disability-and-health"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RippleLogic Canon v12.3.1</dc:title>
  <dc:creator>James McGaughran (James MathGov)</dc:creator>
  <cp:keywords/>
  <dcterms:created xsi:type="dcterms:W3CDTF">2026-07-18T17:38:06Z</dcterms:created>
  <dcterms:modified xsi:type="dcterms:W3CDTF">2026-07-18T17:38:06Z</dcterms:modified>
  <cp:lastModifiedBy>MathGov release engineering</cp:lastModifiedBy>
  <dc:description>Public research-source artifact; conformance is not empirical validation or deployment certification.</dc:description>
  <dc:subject>MathGov Core Release 2026.09 v12.3.1 / SGP v8.2.1</dc:subject>
</cp:coreProperties>
</file>

<file path=docProps/custom.xml><?xml version="1.0" encoding="utf-8"?>
<Properties xmlns="http://schemas.openxmlformats.org/officeDocument/2006/custom-properties" xmlns:vt="http://schemas.openxmlformats.org/officeDocument/2006/docPropsVTypes"/>
</file>