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7B76" w14:textId="77777777" w:rsidR="00733206" w:rsidRDefault="0083180D">
      <w:pPr>
        <w:spacing w:after="120"/>
        <w:jc w:val="center"/>
      </w:pPr>
      <w:r>
        <w:t>MathGov / RippleLogic Foundations Primer</w:t>
      </w:r>
    </w:p>
    <w:p w14:paraId="750A5048" w14:textId="77777777" w:rsidR="00733206" w:rsidRDefault="0083180D">
      <w:pPr>
        <w:spacing w:after="60"/>
        <w:jc w:val="center"/>
      </w:pPr>
      <w:r>
        <w:t>Version 2.6 (Informative)</w:t>
      </w:r>
    </w:p>
    <w:p>
      <w:pPr/>
      <w:r>
        <w:t>Version 2.6, synchronized companion edition for Canon v10.8 / SGP v5.5 / ripple.md v3.6 / Agent System v10.8 / Primer v2.6 / Aligners Sheet v3.6. Package line: MathGov / RippleLogic Core Release 2026.07 applies the Reality Grounding and Lean Cascade Patch, including structure-transition-consequence vocabulary, status-vs-trace discipline, and release-pin cleanup.</w:t>
      </w:r>
    </w:p>
    <w:p w14:paraId="27B6C202" w14:textId="77777777" w:rsidR="00733206" w:rsidRDefault="0083180D">
      <w:pPr>
        <w:spacing w:after="60"/>
        <w:jc w:val="center"/>
      </w:pPr>
      <w:r>
        <w:t>Companion to Canon v10.8 / SGP v5.5 / ripple.md v3.6 / Agent System v10.8 / Primer v2.6 / Aligners Sheet v3.6</w:t>
      </w:r>
    </w:p>
    <w:p w14:paraId="293D9747" w14:textId="77777777" w:rsidR="00733206" w:rsidRDefault="0083180D">
      <w:pPr>
        <w:spacing w:after="240"/>
        <w:jc w:val="center"/>
      </w:pPr>
      <w:r>
        <w:t>MathGov Institute for Ethical Systems Design</w:t>
      </w:r>
    </w:p>
    <w:p w14:paraId="1A032F8A" w14:textId="77777777" w:rsidR="00EE03CA" w:rsidRDefault="000208FA">
      <w:pPr>
        <w:pStyle w:val="Heading1"/>
      </w:pPr>
      <w:r>
        <w:t>Abstract</w:t>
      </w:r>
    </w:p>
    <w:p w14:paraId="0743882B" w14:textId="77777777" w:rsidR="00EE03CA" w:rsidRDefault="000208FA">
      <w:r>
        <w:t>This primer is the human doorway into MathGov, RippleLogic, and the Sentience Gradient Protocol. It explains why the framework exists, what problem it addresses, what it claims, what it does not claim, and how the main pieces fit together. It is informative only: the Canon and companion specifications remain the source of normative force.</w:t>
      </w:r>
    </w:p>
    <w:p w14:paraId="44CB9497" w14:textId="77777777" w:rsidR="00EE03CA" w:rsidRDefault="000208FA">
      <w:pPr>
        <w:pStyle w:val="Heading2"/>
      </w:pPr>
      <w:r>
        <w:t>Plain-language summary</w:t>
      </w:r>
    </w:p>
    <w:p w14:paraId="51103CD2" w14:textId="77777777" w:rsidR="00EE03CA" w:rsidRDefault="000208FA">
      <w:r>
        <w:t>Decisions ripple outward. They affect people, institutions, ecosystems, future generations, and sometimes intelligences that are not yet well understood. MathGov/RippleLogic gives readers a structured five-level method: Reality Grounding, Rights Floor, Tail-Risk Bound, Containment, and Ripple Score. In simpler words: ground the facts, protect the floor, bound ruin, preserve the whole, and choose the best ripple. The framework makes ethical reasoning auditable rather than merely rhetorical.</w:t>
      </w:r>
    </w:p>
    <w:p w14:paraId="76FA2791" w14:textId="77777777" w:rsidR="00EE03CA" w:rsidRDefault="000208FA">
      <w:pPr>
        <w:pStyle w:val="Heading2"/>
      </w:pPr>
      <w:r>
        <w:t>How to read this primer</w:t>
      </w:r>
    </w:p>
    <w:p w14:paraId="75CCD95D" w14:textId="77777777" w:rsidR="00EE03CA" w:rsidRDefault="000208FA">
      <w:r>
        <w:t>Begin with Sections 1 and 2 for the problem and basic identity of the framework. Then read Sections 3, 3A, 3B, and 3C for layer discipline, primitive audit, reference-structure reasoning, and Category Grounding. Use later sections to understand the cascade, SGP, audit posture, and release boundaries.</w:t>
      </w:r>
    </w:p>
    <w:p w14:paraId="3AE13C62" w14:textId="77777777" w:rsidR="00733206" w:rsidRDefault="00733206">
      <w:pPr>
        <w:pBdr>
          <w:bottom w:val="single" w:sz="6" w:space="4" w:color="888888"/>
        </w:pBdr>
      </w:pPr>
      <w:r/>
    </w:p>
    <w:p w14:paraId="6CFC5BEF" w14:textId="77777777" w:rsidR="00733206" w:rsidRDefault="00733206">
      <w:r/>
    </w:p>
    <w:p w14:paraId="285FD038" w14:textId="77777777" w:rsidR="00733206" w:rsidRDefault="0083180D">
      <w:pPr>
        <w:pStyle w:val="Heading1"/>
      </w:pPr>
      <w:r>
        <w:t>Section 1. The Problem MathGov Is Built To Address</w:t>
      </w:r>
    </w:p>
    <w:p w14:paraId="7EC3B980" w14:textId="77777777" w:rsidR="00733206" w:rsidRDefault="0083180D">
      <w:pPr>
        <w:spacing w:after="120"/>
      </w:pPr>
      <w:r>
        <w:t>Human authority alone is not stable enough for civilization-scale decision making. Humans can be wise, compassionate, courageous, and visionary. Humans can also be distorted by fear, greed, coercion, propaganda, concentrated power, institutional drift, tribal loyalty, short-term incentives, and survival pressure.</w:t>
      </w:r>
    </w:p>
    <w:p w14:paraId="35B05671" w14:textId="77777777" w:rsidR="00733206" w:rsidRDefault="0083180D">
      <w:pPr>
        <w:spacing w:after="120"/>
      </w:pPr>
      <w:r>
        <w:t>That is the surface problem. The deeper problem is structural: complex systems frequently reward local optimization while concealing larger-system harm.</w:t>
      </w:r>
    </w:p>
    <w:p w14:paraId="48F0F91A" w14:textId="77777777" w:rsidR="00733206" w:rsidRDefault="0083180D">
      <w:pPr>
        <w:spacing w:after="120"/>
      </w:pPr>
      <w:r>
        <w:t>A company can improve quarterly results while burning out its people. A nation can grow GDP while degrading the ecosystems supporting its survival. A government can claim stability while suppressing rights. An AI lab can increase capability while making alignment harder to reason about. From inside each system, the move can look rational. Zoom out far enough, and the pattern becomes dangerous.</w:t>
      </w:r>
    </w:p>
    <w:p w14:paraId="5F91424B" w14:textId="77777777" w:rsidR="00733206" w:rsidRDefault="0083180D">
      <w:pPr>
        <w:spacing w:after="120"/>
      </w:pPr>
      <w:r>
        <w:t>Local optimization. Global degradation.</w:t>
      </w:r>
    </w:p>
    <w:p w14:paraId="62A92E01" w14:textId="77777777" w:rsidR="00733206" w:rsidRDefault="0083180D">
      <w:pPr>
        <w:spacing w:after="120"/>
      </w:pPr>
      <w:r>
        <w:t>That is one of the central fractures MathGov and RippleLogic are designed to address. The goal is not to replace human judgment with a machine. The goal is to make judgment more transparent, auditable, less corruptible, less arbitrary, less captured by power, and more accountable to the full field of consequences.</w:t>
      </w:r>
    </w:p>
    <w:p w14:paraId="0F56D8BF" w14:textId="77777777" w:rsidR="00733206" w:rsidRDefault="00733206">
      <w:r/>
    </w:p>
    <w:p w14:paraId="11C5DEF2" w14:textId="77777777" w:rsidR="00733206" w:rsidRDefault="0083180D">
      <w:pPr>
        <w:pStyle w:val="Heading1"/>
      </w:pPr>
      <w:r>
        <w:t>Section 2. What MathGov Is, and Is Not</w:t>
      </w:r>
    </w:p>
    <w:p w14:paraId="6F06AF4C" w14:textId="77777777" w:rsidR="00733206" w:rsidRDefault="0083180D">
      <w:pPr>
        <w:pStyle w:val="Heading2"/>
      </w:pPr>
      <w:r>
        <w:t>2.1 What MathGov is</w:t>
      </w:r>
    </w:p>
    <w:p w14:paraId="6E7FD817" w14:textId="77777777" w:rsidR="00733206" w:rsidRDefault="0083180D">
      <w:pPr>
        <w:spacing w:after="120"/>
      </w:pPr>
      <w:r>
        <w:t>MathGov is a reality-seeking decision architecture. RippleLogic is its decision engine. SGP is its moral status and protection protocol. Together they constitute a proposed ethical operating-system architecture for governance, AI alignment, institutional design, and high-stakes decision-making under complexity.</w:t>
      </w:r>
    </w:p>
    <w:p w14:paraId="3991D055" w14:textId="77777777" w:rsidR="00733206" w:rsidRDefault="0083180D">
      <w:pPr>
        <w:pStyle w:val="Heading2"/>
      </w:pPr>
      <w:r>
        <w:t>2.2 What MathGov is not</w:t>
      </w:r>
    </w:p>
    <w:p w14:paraId="29F22EF6" w14:textId="77777777" w:rsidR="00733206" w:rsidRDefault="0083180D">
      <w:pPr>
        <w:spacing w:after="120"/>
      </w:pPr>
      <w:r>
        <w:t>MathGov is not a claim of final truth. It is not a substitute for human judgment, lawful authority, or democratic legitimacy. It does not claim that all values reduce perfectly to numbers. It does not claim that current AI systems are conscious. It does not claim to have solved alignment. It does not claim universal consent across cultures.</w:t>
      </w:r>
    </w:p>
    <w:p w14:paraId="4B00644A" w14:textId="77777777" w:rsidR="00733206" w:rsidRDefault="0083180D">
      <w:pPr>
        <w:spacing w:after="120"/>
      </w:pPr>
      <w:r>
        <w:t>What MathGov claims is more modest and more useful: that ethical and governance decisions become harder to corrupt, harder to hide, harder to capture, and easier to test against reality when their primitives are declared, their assumptions are exposed, their weights are visible, their rights floors are protected, their uncertainty is modeled, and their reasoning is auditable.</w:t>
      </w:r>
    </w:p>
    <w:p w14:paraId="69144B50" w14:textId="77777777" w:rsidR="002B5F72" w:rsidRDefault="00F27945">
      <w:r>
        <w:t>Architecture-final is not ProofPack-final. A framework can be coherent, specified, and useful before it is empirically validated, schema-complete, validator-complete, or Tier-4-ready; those stronger statuses require separate evidence and replay materials.</w:t>
      </w:r>
    </w:p>
    <w:p w14:paraId="4A9A337F" w14:textId="77777777" w:rsidR="00EE3588" w:rsidRDefault="00F27945">
      <w:pPr>
        <w:pStyle w:val="Heading2"/>
      </w:pPr>
      <w:r>
        <w:t>2.3 Layer discipline</w:t>
      </w:r>
    </w:p>
    <w:p w14:paraId="18B67D82" w14:textId="77777777" w:rsidR="00EE3588" w:rsidRDefault="00F27945">
      <w:r>
        <w:t>MathGov becomes clearer when each kind of statement is kept in its proper layer. It does not treat ontology, ethics, mathematics, evidence, governance, and interpretation as the same thing.</w:t>
      </w:r>
    </w:p>
    <w:p w14:paraId="2BF9AD0F" w14:textId="77777777" w:rsidR="00EE3588" w:rsidRDefault="00F27945">
      <w:r>
        <w:t>Operational ontology. Union-Based Reality describes the decision-relevant structure of interdependence: beings and systems exist inside relationships, dependencies, and consequences. This is an operational claim for governance-relevant domains, not a final metaphysical proof of all being.</w:t>
      </w:r>
    </w:p>
    <w:p>
      <w:pPr/>
      <w:r>
        <w:t>Reality, decision-relevant reality, reality surface, evidence, and interpretation are related but not identical. Reality is the evaluator-independent structure of constraint and consequence that holds whether or not any agent perceives, admits, models, or has power over it. Decision-relevant reality is the portion of that structure that materially bears on the decision. A reality surface is the portion actually captured, represented, or modeled in the run. Truth, for a decision claim, means correspondence to decision-relevant reality as supported by the declared reality surface and evidence trace. Evidence is the trace by which a claim is tested against the relevant surface. Interpretation is the judgment that connects evidence, uncertainty, values, and action. MathGov does not claim perfect access to reality; it requires declared, auditable, challengeable contact with the relevant reality surface.</w:t>
      </w:r>
    </w:p>
    <w:p>
      <w:pPr/>
      <w:r>
        <w:t>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14:paraId="2470E135" w14:textId="77777777" w:rsidR="00EE3588" w:rsidRDefault="00F27945">
      <w:r>
        <w:t>Normative commitment. Union-Based Ethics states what the framework is committed to protecting and optimizing: rights floors, reduced suffering and domination, catastrophic-risk limits, containment, and flourishing across affected stakeholders. These commitments are explicit rather than hidden inside equations.</w:t>
      </w:r>
    </w:p>
    <w:p w14:paraId="2470E135" w14:textId="77777777" w:rsidR="00EE3588" w:rsidRDefault="00F27945">
      <w:pPr/>
      <w:r>
        <w:t>Ethical-reality classes. MathGov distinguishes measured or indicator-supported ethical reality, such as injury, mortality, pollution, access, deprivation, or ecological exposure; inferred or uncertainty-bound ethical reality, such as sentience, suffering, agency restriction, psychological harm, or future risk; and explicit normative commitment, such as rights floors, dignity, non-domination, and future-generation standing. Each class requires a different evidence and audit posture.</w:t>
      </w:r>
    </w:p>
    <w:p w14:paraId="197C700B" w14:textId="77777777" w:rsidR="00EE3588" w:rsidRDefault="00F27945">
      <w:r>
        <w:t>Formal decision machinery. RippleLogic converts those commitments into gates, scores, weights, audit fields, and decision states. Formal machinery helps make judgment inspectable, but formal consistency alone is not proof that a decision is right.</w:t>
      </w:r>
    </w:p>
    <w:p w14:paraId="55E31BE7" w14:textId="77777777" w:rsidR="00EE3588" w:rsidRDefault="00F27945">
      <w:r>
        <w:t>Evidence and measurement. Impacts, probabilities, sentience estimates, stakeholder maps, and weights require evidence. Where evidence is weak, the framework must disclose uncertainty, run sensitivity checks, escalate, or refuse the stronger claim.</w:t>
      </w:r>
    </w:p>
    <w:p w14:paraId="04B258D2" w14:textId="77777777" w:rsidR="00EE3588" w:rsidRDefault="00F27945">
      <w:r>
        <w:t>Governance and interpretation. PCCs, public rationales, release manifests, and educational explanations make decisions accountable. They do not create truth by themselves. They make claims easier to inspect, contest, and repair.</w:t>
      </w:r>
    </w:p>
    <w:p w14:paraId="490612FB" w14:textId="77777777" w:rsidR="00EE3588" w:rsidRDefault="00F27945">
      <w:r>
        <w:t>Plain-language rule. Do not let one layer pretend to be another. Compliance is not correctness. Plausibility is not evidence. Intelligence is not sentience. Protection is not authority. Scoring is not admissibility. Refusal is not failure; it is a guard against false certainty.</w:t>
      </w:r>
    </w:p>
    <w:p>
      <w:pPr/>
      <w:r>
        <w:t>Five-level method. MathGov/RippleLogic is now best taught as: Reality Grounding -&gt; Rights Floor -&gt; Tail-Risk Bound -&gt; Containment -&gt; Ripple Score. Formal shorthand: RSG -&gt; NCRC -&gt; TRC -&gt; Containment -&gt; RLS.</w:t>
      </w:r>
    </w:p>
    <w:p>
      <w:pPr/>
      <w:r>
        <w:t>Reality Grounding means the decision must say what part of reality it is actually touching before it claims what should be done. A decision sees only a surface, not the whole territory. Evidence grounds the surface. Unknowns mark the edge. Claims must stay inside the ground they stand on.</w:t>
      </w:r>
    </w:p>
    <w:p>
      <w:pPr/>
      <w:r>
        <w:t>UCI/HOI placement in plain language. Containment is the structural safety step. UCI and HOI are structural sensors. If the sensors show containment-level damage, that belongs inside Containment. If the remaining options are tied or too close to call after Ripple Score, UCI/HOI may help choose the less brittle, less hollowing option, or the framework may refuse false certainty.</w:t>
      </w:r>
    </w:p>
    <w:p>
      <w:pPr/>
      <w:r>
        <w:t>PLSS rule. PLSS is the zoom lens, not the safety waiver. It keeps local decisions practical while preserving rights, tail-risk, containment, and structural-diagnostic duties.</w:t>
      </w:r>
    </w:p>
    <w:p w14:paraId="490612FB" w14:textId="77777777" w:rsidR="00EE3588" w:rsidRDefault="00F27945">
      <w:pPr/>
      <w:r>
        <w:t>Reality is not whatever the majority believes, whatever an institution certifies, whatever a model outputs, whatever a dashboard computes, whatever a legal authority declares, whatever is easiest to measure, whatever fits the preferred narrative, whatever produces the best score, or whatever the current surface happened to capture. Evidence is not reality. A score is not reality. A PCC is not reality. A model is not reality. Compliance is not correctness. Traceability is not truth. Plausibility is not evidence. Social force is not content-truth. Protection is not authority.</w:t>
      </w:r>
    </w:p>
    <w:p w14:paraId="091304D9" w14:textId="77777777" w:rsidR="00733206" w:rsidRDefault="00733206">
      <w:r/>
    </w:p>
    <w:p w14:paraId="39ADAE42" w14:textId="77777777" w:rsidR="002B5F72" w:rsidRDefault="00F27945">
      <w:pPr>
        <w:pStyle w:val="Heading2"/>
      </w:pPr>
      <w:r>
        <w:t>2.4 Why MathGov Does Not Claim Perfect Calculation</w:t>
      </w:r>
    </w:p>
    <w:p w14:paraId="5702E102" w14:textId="77777777" w:rsidR="002B5F72" w:rsidRDefault="00F27945">
      <w:r>
        <w:t>MathGov does not claim that all values, meanings, risks, harms, probabilities, or social effects can already be measured perfectly. Its purpose is more disciplined: to make assumptions visible, uncertainty explicit, rights floors non-negotiable, catastrophic risks harder to hide, and decisions easier to audit.</w:t>
      </w:r>
    </w:p>
    <w:p w14:paraId="247EEB0F" w14:textId="77777777" w:rsidR="002B5F72" w:rsidRDefault="00F27945">
      <w:r>
        <w:t>A number is not automatically truth. A score is useful only when the evidence behind it is visible, the uncertainty is disclosed, the affected stakeholders can be identified, and reviewers can challenge the assumptions. When the evidence is not strong enough, RippleLogic should not pretend certainty. It should narrow the claim, escalate for review, run sensitivity analysis, or refuse the stronger decision state.</w:t>
      </w:r>
    </w:p>
    <w:p w14:paraId="340C766B" w14:textId="77777777" w:rsidR="002B5F72" w:rsidRDefault="00F27945">
      <w:r>
        <w:t>This is why the system separates admissibility, permission, compliance, evidence, and execution. The goal is not perfect calculation; the goal is better judgment under declared constraints, with less hidden harm and more accountability to the full field of consequences.</w:t>
      </w:r>
    </w:p>
    <w:p w14:paraId="4EBBB002" w14:textId="77777777" w:rsidR="00EE03CA" w:rsidRDefault="000208FA">
      <w:r>
        <w:t>Plain-language maturity boundary</w:t>
      </w:r>
    </w:p>
    <w:p w14:paraId="115C13DF" w14:textId="77777777" w:rsidR="00EE03CA" w:rsidRDefault="000208FA">
      <w:r>
        <w:t>MathGov/RippleLogic is not a magic calculator. It does not make ethics automatic, and it does not remove human, legal, democratic, scientific, or professional responsibility. It makes ethical reasoning more structured, inspectable, rights-constrained, uncertainty-aware, and contestable.</w:t>
      </w:r>
    </w:p>
    <w:p w14:paraId="14730F02" w14:textId="77777777" w:rsidR="00EE03CA" w:rsidRDefault="000208FA">
      <w:r>
        <w:t>Some parts are mature as architecture but still need testing as measurement tools. UCI, biological SGP measurement, calibrated kernels, reference calculators, validators, and empirical pilots remain future maturity work unless separately published and verified.</w:t>
      </w:r>
    </w:p>
    <w:p w14:paraId="5D27A3C9" w14:textId="77777777" w:rsidR="00733206" w:rsidRDefault="0083180D">
      <w:pPr>
        <w:pStyle w:val="Heading1"/>
      </w:pPr>
      <w:r>
        <w:t>Section 3. Twelve Declared Primitives</w:t>
      </w:r>
    </w:p>
    <w:p w14:paraId="54C349B5" w14:textId="77777777" w:rsidR="00733206" w:rsidRDefault="0083180D">
      <w:pPr>
        <w:spacing w:after="120"/>
      </w:pPr>
      <w:r>
        <w:t>A primitive is a foundational starting point that the system does not derive from anything earlier inside the system. A primitive is not a claim of absolute truth. It is a declared foundation, openly stated and open to challenge. The MathGov primitives are organized into three groups: foundational claims about reality (P1 to P4), foundational ethical commitments (P5 to P9), and foundational structural commitments (P10 to P12).</w:t>
      </w:r>
    </w:p>
    <w:p>
      <w:pPr>
        <w:pStyle w:val="Heading2"/>
      </w:pPr>
      <w:r>
        <w:t>3.0 What MathGov Means by Reality</w:t>
      </w:r>
    </w:p>
    <w:p>
      <w:pPr/>
      <w:r>
        <w:t>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r>
        <w:t>Reality is named here operationally, not metaphysically. Consistent with the Canon's operational UBR boundary, MathGov does not assert a complete theory of being. It asserts something narrower and testable: decisions are embedded in an evaluator-independent structure of constraint and consequence that holds whether or not any agent perceives, admits, models, or has power over it. Evaluator-independent means independent of the evaluating agent's perception, admission, authority, model, or preference; it does not deny the reality of experience, social facts, institutions, norms, markets, laws, or model outputs when they shape welfare, rights, risk, agency, or available choices.</w:t>
      </w:r>
    </w:p>
    <w:p>
      <w:pPr/>
      <w:r>
        <w:t>Root-science boundary. MathGov treats constrained structure under transition producing consequence as the operational substrate for governance-relevant reality. This does not claim that reality is only physical matter or that MathGov has final metaphysical access. It means that physical, biological, experiential, social, institutional, informational, artificial-system, and formal/logical structures and constraints become decision-relevant when they shape rights, risk, welfare, agency, available choices, legitimacy, or auditability.</w:t>
      </w:r>
    </w:p>
    <w:p>
      <w:pPr/>
      <w:r>
        <w:t>A factor enters the reality surface of a decision when it bears on outcomes, welfare, rights, risk, containment, legitimacy, agency, or the structure of available choices. Constraint has at least two species: causal constraint, such as physical, biological, ecological, institutional, or social effects; and formal/logical constraint, such as coherence, conservation, computability, consistency, and mathematical possibility. MathGov uses both and must not collapse one into the other.</w:t>
      </w:r>
    </w:p>
    <w:p>
      <w:pPr/>
      <w:r>
        <w:t>Three distinctions keep this primitive disciplined. First, vehicle, content, and effect must be separated: a belief, norm, institution, model, market signal, or legal status can be a real vehicle with real effects even when its content is false. Consensus can therefore be socially real and causally powerful while still failing to track reality. Agreement does not make a harmful system harmless. Second, surface and territory must be separated: every model captures only a reality surface, while the territory exceeds every surface. Omitted factors are recorded as unknown, not zero. Third, reality, truth, and value must be separated: reality is what holds, truth is a sufficiently faithful map, and value is what matters. P1 fixes the first and grounds, but does not replace, the ethical commitments that follow.</w:t>
      </w:r>
    </w:p>
    <w:p>
      <w:pPr/>
      <w:r>
        <w:t>Experience is admitted to the reality surface in its own right, not solely because it may cause outward behavior. Pain, fear, attention, agency, dignity, and welfare-bearing experience are decision-relevant even when access to them is indirect and evidence-governed. SGP protection therefore does not depend on winning a contested claim that experience must be causally efficacious before it can matter.</w:t>
      </w:r>
    </w:p>
    <w:p>
      <w:pPr/>
      <w:r>
        <w:t>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This is why the non-averagable treatment of catastrophic risk and the Containment Gate follow from P1 under finitude rather than being optional severities added later.</w:t>
      </w:r>
    </w:p>
    <w:p w14:paraId="62EF8FF9" w14:textId="77777777" w:rsidR="00733206" w:rsidRDefault="0083180D">
      <w:pPr>
        <w:pStyle w:val="Heading2"/>
      </w:pPr>
      <w:r>
        <w:t>Group A. Foundational claims about reality</w:t>
      </w:r>
    </w:p>
    <w:p w14:paraId="1B7340E4" w14:textId="77777777" w:rsidR="00733206" w:rsidRDefault="0083180D">
      <w:pPr>
        <w:pStyle w:val="Heading3"/>
      </w:pPr>
      <w:r>
        <w:t>P1. Reality Constrains Outcomes</w:t>
      </w:r>
    </w:p>
    <w:p w14:paraId="2F8D20DA" w14:textId="77777777" w:rsidR="00733206" w:rsidRDefault="0083180D">
      <w:pPr>
        <w:spacing w:after="120"/>
      </w:pPr>
      <w:r>
        <w:t>Reality is not created by opinion, authority, ideology, wealth, status, institutional consensus, model output, or persuasive language. Those forces may be real vehicles with real effects, but their content can still be false. A policy can sound noble and still cause harm. A profitable system can still degrade the biosphere. A popular leader can still be wrong. A technically impressive AI system can still be misaligned. A social metric can rise while trust, health, ecological resilience, or institutional legitimacy collapses. Decisions have consequences whether or not anyone admits them.</w:t>
      </w:r>
    </w:p>
    <w:p w14:paraId="5432239C" w14:textId="77777777" w:rsidR="00733206" w:rsidRDefault="0083180D">
      <w:pPr>
        <w:spacing w:after="180"/>
        <w:ind w:left="360"/>
      </w:pPr>
      <w:r>
        <w:t>Statement: Reality constrains outcomes, and decision systems must remain accountable to real consequences under declared uncertainty.</w:t>
      </w:r>
    </w:p>
    <w:p w14:paraId="228CFE67" w14:textId="77777777" w:rsidR="00733206" w:rsidRDefault="0083180D">
      <w:pPr>
        <w:pStyle w:val="Heading3"/>
      </w:pPr>
      <w:r>
        <w:t>P2. Decisions Create Ripples</w:t>
      </w:r>
    </w:p>
    <w:p w14:paraId="16086A05" w14:textId="77777777" w:rsidR="00733206" w:rsidRDefault="0083180D">
      <w:pPr>
        <w:spacing w:after="120"/>
      </w:pPr>
      <w:r>
        <w:t>Every decision produces effects beyond the immediate actor. Effects may be direct or indirect, short-term or long-term, visible or hidden, local or systemic. This is the foundation of RippleLogic.</w:t>
      </w:r>
    </w:p>
    <w:p w14:paraId="5BD808EC" w14:textId="77777777" w:rsidR="00733206" w:rsidRDefault="0083180D">
      <w:pPr>
        <w:spacing w:after="180"/>
        <w:ind w:left="360"/>
      </w:pPr>
      <w:r>
        <w:t>Statement: Actions propagate through interconnected systems, producing measurable and partially uncertain ripple effects.</w:t>
      </w:r>
    </w:p>
    <w:p w14:paraId="09DB2E0A" w14:textId="77777777" w:rsidR="00733206" w:rsidRDefault="0083180D">
      <w:pPr>
        <w:pStyle w:val="Heading3"/>
      </w:pPr>
      <w:r>
        <w:t>P3. Stakeholders Exist Within Nested Unions</w:t>
      </w:r>
    </w:p>
    <w:p w14:paraId="3881E31D" w14:textId="77777777" w:rsidR="00733206" w:rsidRDefault="0083180D">
      <w:pPr>
        <w:spacing w:after="120"/>
      </w:pPr>
      <w:r>
        <w:t>No entity exists in complete isolation for governance-relevant domains. Persons, institutions, technologies, animals, ecosystems, and future intelligences exist within nested patterns of interdependence. The canonical operational stack used in RippleLogic Tier 1 to Tier 3 computation is U1 Self, U2 Household, U3 Community, U4 Organization, U5 Polity, U6 Collective Managing Intelligence Union (CMIU, also called Humanity), U7 Biosphere. Two further layers, U8 Cosmic and U9 Universal/AIU, are recognized as non-computational meta-unions and serve only as humility horizons and precautionary amplifiers under the current release line.</w:t>
      </w:r>
    </w:p>
    <w:p w14:paraId="69F2B330" w14:textId="77777777" w:rsidR="00733206" w:rsidRDefault="0083180D">
      <w:pPr>
        <w:spacing w:after="180"/>
        <w:ind w:left="360"/>
      </w:pPr>
      <w:r>
        <w:t>Statement: All decision-relevant beings and systems exist within nested unions of relationship and consequence.</w:t>
      </w:r>
    </w:p>
    <w:p w14:paraId="1ED1289C" w14:textId="77777777" w:rsidR="00733206" w:rsidRDefault="0083180D">
      <w:pPr>
        <w:pStyle w:val="Heading3"/>
      </w:pPr>
      <w:r>
        <w:t>P4. Welfare Is Multidimensional</w:t>
      </w:r>
    </w:p>
    <w:p w14:paraId="590F98ED" w14:textId="77777777" w:rsidR="00733206" w:rsidRDefault="0083180D">
      <w:pPr>
        <w:spacing w:after="120"/>
      </w:pPr>
      <w:r>
        <w:t>Well-being cannot be reduced to money, pleasure, productivity, GDP, or survival alone. The current canonical welfare dimensions are D1 Material, D2 Health, D3 Social, D4 Knowledge, D5 Agency, D6 Meaning, D7 Environment. These are operational categories, not metaphysical absolutes; they are open to refinement under governed update.</w:t>
      </w:r>
    </w:p>
    <w:p w14:paraId="466A950A" w14:textId="77777777" w:rsidR="00733206" w:rsidRDefault="0083180D">
      <w:pPr>
        <w:spacing w:after="180"/>
        <w:ind w:left="360"/>
      </w:pPr>
      <w:r>
        <w:t>Statement: Welfare must be evaluated across multiple dimensions, not collapsed into a single crude metric.</w:t>
      </w:r>
    </w:p>
    <w:p w14:paraId="01E46B6A" w14:textId="77777777" w:rsidR="00733206" w:rsidRDefault="0083180D">
      <w:pPr>
        <w:pStyle w:val="Heading2"/>
      </w:pPr>
      <w:r>
        <w:t>Group B. Foundational ethical commitments</w:t>
      </w:r>
    </w:p>
    <w:p w14:paraId="32F97FA0" w14:textId="77777777" w:rsidR="00733206" w:rsidRDefault="0083180D">
      <w:pPr>
        <w:pStyle w:val="Heading3"/>
      </w:pPr>
      <w:r>
        <w:t>P5. Rights Floors Are Non-Compensatory</w:t>
      </w:r>
    </w:p>
    <w:p w14:paraId="28A1E6DC" w14:textId="77777777" w:rsidR="00733206" w:rsidRDefault="0083180D">
      <w:pPr>
        <w:spacing w:after="120"/>
      </w:pPr>
      <w:r>
        <w:t>Some harms cannot be traded away because aggregate benefit appears positive. A system must not be able to say: most people benefit, so this group can be exploited. This is the basis of the Non-Compensatory Rights Constraint (NCRC). Welfare scoring may rank admissible options; it may not override rights floors.</w:t>
      </w:r>
    </w:p>
    <w:p w14:paraId="66224635" w14:textId="77777777" w:rsidR="00733206" w:rsidRDefault="0083180D">
      <w:pPr>
        <w:spacing w:after="180"/>
        <w:ind w:left="360"/>
      </w:pPr>
      <w:r>
        <w:t>Statement: Certain rights and protections function as floors, not negotiable preferences.</w:t>
      </w:r>
    </w:p>
    <w:p w14:paraId="4BEC599D" w14:textId="77777777" w:rsidR="00733206" w:rsidRDefault="0083180D">
      <w:pPr>
        <w:pStyle w:val="Heading3"/>
      </w:pPr>
      <w:r>
        <w:t>P6. Catastrophic Risk Cannot Be Averaged</w:t>
      </w:r>
    </w:p>
    <w:p w14:paraId="4536A743" w14:textId="77777777" w:rsidR="00733206" w:rsidRDefault="0083180D">
      <w:pPr>
        <w:spacing w:after="120"/>
      </w:pPr>
      <w:r>
        <w:t>Some risks are too severe, too irreversible, or too civilization-threatening to be treated as ordinary costs inside an expected-value calculation. A small probability of catastrophic failure still matters when the downside is structurally irreversible. This is the basis of the Tail-Risk Constraint (TRC), implemented through Conditional Value-at-Risk (CVaR) over a governed scenario set.</w:t>
      </w:r>
    </w:p>
    <w:p w14:paraId="5CBB9D44" w14:textId="77777777" w:rsidR="00733206" w:rsidRDefault="0083180D">
      <w:pPr>
        <w:spacing w:after="180"/>
        <w:ind w:left="360"/>
      </w:pPr>
      <w:r>
        <w:t>Statement: Catastrophic and irreversible risk must be bounded, not averaged.</w:t>
      </w:r>
    </w:p>
    <w:p w14:paraId="248D1112" w14:textId="77777777" w:rsidR="00733206" w:rsidRDefault="0083180D">
      <w:pPr>
        <w:pStyle w:val="Heading3"/>
      </w:pPr>
      <w:r>
        <w:t>P7. Larger Systems Constrain Smaller Ones</w:t>
      </w:r>
    </w:p>
    <w:p w14:paraId="52D4B16F" w14:textId="77777777" w:rsidR="00733206" w:rsidRDefault="0083180D">
      <w:pPr>
        <w:spacing w:after="120"/>
      </w:pPr>
      <w:r>
        <w:t>A system can win locally while damaging the larger system it depends on. A company can profit while destroying worker health. A nation can grow while degrading the biosphere. An AI lab can advance capability while raising alignment risk. This is the basis of the Containment gate.</w:t>
      </w:r>
    </w:p>
    <w:p w14:paraId="44A7DD9E" w14:textId="77777777" w:rsidR="00733206" w:rsidRDefault="0083180D">
      <w:pPr>
        <w:spacing w:after="180"/>
        <w:ind w:left="360"/>
      </w:pPr>
      <w:r>
        <w:t>Statement: No system may optimize one layer of reality by destabilizing the larger systems that sustain it.</w:t>
      </w:r>
    </w:p>
    <w:p w14:paraId="76EDDE9F" w14:textId="77777777" w:rsidR="00733206" w:rsidRDefault="0083180D">
      <w:pPr>
        <w:pStyle w:val="Heading3"/>
      </w:pPr>
      <w:r>
        <w:t>P8. Moral Consideration Scales With Sentience</w:t>
      </w:r>
    </w:p>
    <w:p w14:paraId="1E826D01" w14:textId="77777777" w:rsidR="00733206" w:rsidRDefault="0083180D">
      <w:pPr>
        <w:spacing w:after="120"/>
      </w:pPr>
      <w:r>
        <w:t>A rock, a bacterium, a tree, a forest, a dolphin, an elephant, an orangutan, a human, and a future artificial intelligence do not occupy identical ethical positions. Moral consideration should not be based on species membership, power, familiarity, or economic convenience alone. The Sentience Gradient Protocol assigns protection-relevant moral status under uncertainty according to evidence of awareness, agency, welfare/valence capacity, and union-participation capacity. Within the current canonical line, the human plateau (SG_norm(H) = 1.0) is treated as absolute; class-level and entity-level plateau assignments outside humans follow governed SGP procedure.</w:t>
      </w:r>
    </w:p>
    <w:p w14:paraId="0C9C80EE" w14:textId="77777777" w:rsidR="00733206" w:rsidRDefault="0083180D">
      <w:pPr>
        <w:spacing w:after="180"/>
        <w:ind w:left="360"/>
      </w:pPr>
      <w:r>
        <w:t>Statement: Moral consideration is assigned according to evidence of sentience and welfare-bearing capacity, under uncertainty, with the human plateau treated as absolute.</w:t>
      </w:r>
    </w:p>
    <w:p w14:paraId="6B0ADB76" w14:textId="77777777" w:rsidR="00733206" w:rsidRDefault="0083180D">
      <w:pPr>
        <w:pStyle w:val="Heading3"/>
      </w:pPr>
      <w:r>
        <w:t>P9. Domination Is a Distinct Harm</w:t>
      </w:r>
    </w:p>
    <w:p w14:paraId="1A923621" w14:textId="77777777" w:rsidR="00733206" w:rsidRDefault="0083180D">
      <w:pPr>
        <w:spacing w:after="120"/>
      </w:pPr>
      <w:r>
        <w:t>The Minimal Normative Axiom of Canon Section 3.1 centers not only suffering but domination. Concentrated, unaccountable, or coercive power over others can degrade dignity, agency, and the conditions for flourishing even where measurable welfare appears unchanged. Anti-capture, non-domination, and the preservation of meaningful contestability are first-order concerns of the framework.</w:t>
      </w:r>
    </w:p>
    <w:p w14:paraId="763357FE" w14:textId="77777777" w:rsidR="00733206" w:rsidRDefault="0083180D">
      <w:pPr>
        <w:spacing w:after="180"/>
        <w:ind w:left="360"/>
      </w:pPr>
      <w:r>
        <w:t>Statement: Reducing unnecessary suffering and reducing domination are co-equal normative concerns; neither can be traded for the other.</w:t>
      </w:r>
    </w:p>
    <w:p w14:paraId="2AC39A78" w14:textId="77777777" w:rsidR="00733206" w:rsidRDefault="0083180D">
      <w:pPr>
        <w:pStyle w:val="Heading2"/>
      </w:pPr>
      <w:r>
        <w:t>Group C. Foundational structural commitments</w:t>
      </w:r>
    </w:p>
    <w:p w14:paraId="2D09B65A" w14:textId="77777777" w:rsidR="00733206" w:rsidRDefault="0083180D">
      <w:pPr>
        <w:pStyle w:val="Heading3"/>
      </w:pPr>
      <w:r>
        <w:t>P10. Moral Status Is Not Decision Authority</w:t>
      </w:r>
    </w:p>
    <w:p w14:paraId="68A55C7B" w14:textId="77777777" w:rsidR="00733206" w:rsidRDefault="0083180D">
      <w:pPr>
        <w:spacing w:after="120"/>
      </w:pPr>
      <w:r>
        <w:t>Four separations are constitutive of the framework and must not be collapsed: (i) moral status is not decision authority; (ii) protection is not governance role; (iii) sentience is not the same as intelligence; (iv) admissibility logic is not welfare optimization. These separations matter because each pairing is regularly conflated in real institutional practice, and that conflation is one of the routes by which rights, audit, and containment are eroded.</w:t>
      </w:r>
    </w:p>
    <w:p w14:paraId="2AD9C6F5" w14:textId="77777777" w:rsidR="00733206" w:rsidRDefault="0083180D">
      <w:pPr>
        <w:spacing w:after="180"/>
        <w:ind w:left="360"/>
      </w:pPr>
      <w:r>
        <w:t>Statement: Moral status, decision authority, protection, governance role, sentience, intelligence, admissibility, and optimization are distinct objects and must not be collapsed.</w:t>
      </w:r>
    </w:p>
    <w:p w14:paraId="7FB26A89" w14:textId="77777777" w:rsidR="00733206" w:rsidRDefault="0083180D">
      <w:pPr>
        <w:pStyle w:val="Heading3"/>
      </w:pPr>
      <w:r>
        <w:t>P11. Uncertainty Must Be Made Visible</w:t>
      </w:r>
    </w:p>
    <w:p w14:paraId="7AADF92F" w14:textId="77777777" w:rsidR="00733206" w:rsidRDefault="0083180D">
      <w:pPr>
        <w:spacing w:after="120"/>
      </w:pPr>
      <w:r>
        <w:t>Most real decisions involve incomplete evidence, model uncertainty, value disagreement, measurement error, unknown side effects, and strategic behavior. The danger is not uncertainty itself; the danger is hidden uncertainty pretending to be certainty. RippleLogic requires uncertainty to be represented openly through declared methods, sensitivity analysis, and audit-flag semantics.</w:t>
      </w:r>
    </w:p>
    <w:p w14:paraId="7F3D842B" w14:textId="77777777" w:rsidR="00733206" w:rsidRDefault="0083180D">
      <w:pPr>
        <w:spacing w:after="180"/>
        <w:ind w:left="360"/>
      </w:pPr>
      <w:r>
        <w:t>Statement: Uncertainty must be represented openly rather than buried inside authority, rhetoric, or false precision.</w:t>
      </w:r>
    </w:p>
    <w:p w14:paraId="76046ED0" w14:textId="77777777" w:rsidR="00733206" w:rsidRDefault="0083180D">
      <w:pPr>
        <w:pStyle w:val="Heading3"/>
      </w:pPr>
      <w:r>
        <w:t>P12. Power Must Be Auditable</w:t>
      </w:r>
    </w:p>
    <w:p w14:paraId="231C11E2" w14:textId="77777777" w:rsidR="00733206" w:rsidRDefault="0083180D">
      <w:pPr>
        <w:spacing w:after="120"/>
      </w:pPr>
      <w:r>
        <w:t>Human authority alone is not stable enough at civilization scale because humans and institutions can be corrupted, coerced, captured, bribed, threatened, gamed, or distorted by incentives. The remedy is not to remove humans from governance; the remedy is to constrain authority by transparency, evidence, declared procedure, and contestability. The Provenance and Compliance Certificate (PCC), the Five-Sentence Public Rationale (5SPR), and the Notice-Choose-Act-Reflect (NCAR) loop exist to make legitimate authority inspectable.</w:t>
      </w:r>
    </w:p>
    <w:p w14:paraId="06E6C95F" w14:textId="77777777" w:rsidR="00733206" w:rsidRDefault="0083180D">
      <w:pPr>
        <w:spacing w:after="180"/>
        <w:ind w:left="360"/>
      </w:pPr>
      <w:r>
        <w:t>Statement: Legitimate decision power must be inspectable, challengeable, evidence-linked, rights-constrained, and accountable over time.</w:t>
      </w:r>
    </w:p>
    <w:p w14:paraId="5EC7F2D0" w14:textId="77777777" w:rsidR="00733206" w:rsidRDefault="00733206">
      <w:r/>
    </w:p>
    <w:p w14:paraId="37BB0355" w14:textId="77777777" w:rsidR="00733206" w:rsidRDefault="00733206">
      <w:pPr>
        <w:pStyle w:val="Heading1"/>
      </w:pPr>
      <w:r>
        <w:t>Section 3A. Primitive Dependency Audit</w:t>
      </w:r>
    </w:p>
    <w:p w14:paraId="1C7BB1B1" w14:textId="77777777" w:rsidR="00733206" w:rsidRDefault="00733206">
      <w:r>
        <w:t>The twelve MathGov primitives are declared starting points for this framework. They are not claims of absolute metaphysical irreducibility. Each primitive depends on background concepts, evidence traditions, measurement practices, and normative choices that must remain visible.</w:t>
      </w:r>
    </w:p>
    <w:p w14:paraId="505C96A9" w14:textId="77777777" w:rsidR="00733206" w:rsidRDefault="00733206">
      <w:r/>
    </w:p>
    <w:p w14:paraId="0B0CB68D" w14:textId="77777777" w:rsidR="00733206" w:rsidRDefault="00733206">
      <w:r>
        <w:t>This matters because a decision framework becomes more trustworthy when it declares where it begins, what it imports, what it assumes, what it measures, and what could force revision.</w:t>
      </w:r>
    </w:p>
    <w:p w14:paraId="01C3FAF2" w14:textId="77777777" w:rsidR="00733206" w:rsidRDefault="00733206">
      <w:r/>
    </w:p>
    <w:p w14:paraId="567EC079" w14:textId="77777777" w:rsidR="00733206" w:rsidRDefault="00733206">
      <w:r>
        <w:t>The following audit posture applies to all twelve primitives.</w:t>
      </w:r>
    </w:p>
    <w:p w14:paraId="57AAC264" w14:textId="77777777" w:rsidR="00733206" w:rsidRDefault="00733206">
      <w:r/>
    </w:p>
    <w:p w14:paraId="4CF05E67" w14:textId="77777777" w:rsidR="00733206" w:rsidRDefault="00733206">
      <w:r>
        <w:t>1. A primitive is a declared starting point inside MathGov, not an assertion that no deeper analysis is possible.</w:t>
      </w:r>
    </w:p>
    <w:p w14:paraId="3C627AB9" w14:textId="77777777" w:rsidR="00733206" w:rsidRDefault="00733206">
      <w:r>
        <w:t>2. A primitive may be imported from parent disciplines such as systems science, ethics, law, risk science, cognitive science, ecology, political theory, or decision theory.</w:t>
      </w:r>
    </w:p>
    <w:p w14:paraId="290AD4DD" w14:textId="77777777" w:rsidR="00733206" w:rsidRDefault="00733206">
      <w:r>
        <w:t>3. A primitive remains legitimate only if its dependencies are disclosed and its operational use remains testable, contestable, and revisable under governed update.</w:t>
      </w:r>
    </w:p>
    <w:p w14:paraId="1F94EAF8" w14:textId="77777777" w:rsidR="00733206" w:rsidRDefault="00733206">
      <w:r>
        <w:t>4. A primitive should not be protected by reinterpretation after reality contradicts its projected consequences.</w:t>
      </w:r>
    </w:p>
    <w:p w14:paraId="2F06E6EA" w14:textId="77777777" w:rsidR="00733206" w:rsidRDefault="00733206">
      <w:r>
        <w:t>5. Where a primitive cannot generate a unique operational consequence for a run, the correct response is not false certainty. The correct response is refusal, escalation, or bounded provisional action under declared uncertainty.</w:t>
      </w:r>
    </w:p>
    <w:p w14:paraId="36D5690A" w14:textId="77777777" w:rsidR="00733206" w:rsidRDefault="00733206">
      <w:r/>
    </w:p>
    <w:p w14:paraId="342B69CB" w14:textId="77777777" w:rsidR="00733206" w:rsidRDefault="00733206">
      <w:r>
        <w:t>Primitive dependency checklist:</w:t>
      </w:r>
    </w:p>
    <w:p w14:paraId="00865D54" w14:textId="77777777" w:rsidR="00733206" w:rsidRDefault="00733206">
      <w:r/>
    </w:p>
    <w:p w14:paraId="3DB7050E" w14:textId="77777777" w:rsidR="00733206" w:rsidRDefault="00733206">
      <w:r>
        <w:t>For each primitive P1 through P12, reviewers should ask:</w:t>
      </w:r>
    </w:p>
    <w:p w14:paraId="3149C401" w14:textId="77777777" w:rsidR="00733206" w:rsidRDefault="00733206">
      <w:r/>
    </w:p>
    <w:p w14:paraId="75F1181A" w14:textId="77777777" w:rsidR="00733206" w:rsidRDefault="00733206">
      <w:r>
        <w:t>- What does this primitive presuppose?</w:t>
      </w:r>
    </w:p>
    <w:p w14:paraId="3D36910F" w14:textId="77777777" w:rsidR="00733206" w:rsidRDefault="00733206">
      <w:r>
        <w:t>- What parent disciplines does it import from?</w:t>
      </w:r>
    </w:p>
    <w:p w14:paraId="7167D0C7" w14:textId="77777777" w:rsidR="00733206" w:rsidRDefault="00733206">
      <w:r>
        <w:t>- What operational role does it play in RippleLogic?</w:t>
      </w:r>
    </w:p>
    <w:p w14:paraId="36C14473" w14:textId="77777777" w:rsidR="00733206" w:rsidRDefault="00733206">
      <w:r>
        <w:t>- What would count as evidence that this primitive is incomplete, misframed, or misapplied?</w:t>
      </w:r>
    </w:p>
    <w:p w14:paraId="2F6BC7D2" w14:textId="77777777" w:rsidR="00733206" w:rsidRDefault="00733206">
      <w:r>
        <w:t>- Does this primitive affect admissibility, scoring, interpretation, or public communication?</w:t>
      </w:r>
    </w:p>
    <w:p w14:paraId="54DD872C" w14:textId="77777777" w:rsidR="00733206" w:rsidRDefault="00733206">
      <w:r>
        <w:t>- Does the current run depend on this primitive in a way that should be disclosed in the PCC?</w:t>
      </w:r>
    </w:p>
    <w:p w14:paraId="5197928D" w14:textId="77777777" w:rsidR="00733206" w:rsidRDefault="00733206">
      <w:r/>
    </w:p>
    <w:p w14:paraId="3EDE16D2" w14:textId="77777777" w:rsidR="00733206" w:rsidRDefault="00733206">
      <w:r>
        <w:t>Plain-language rule. MathGov does not become stronger by pretending its primitives float above all prior thought. It becomes stronger by declaring its starting points, exposing their dependencies, and letting reality test their consequences.</w:t>
      </w:r>
    </w:p>
    <w:p w14:paraId="691E49D5" w14:textId="77777777" w:rsidR="00733206" w:rsidRDefault="00733206">
      <w:r/>
    </w:p>
    <w:p w14:paraId="4A035E86" w14:textId="77777777" w:rsidR="00733206" w:rsidRDefault="00733206">
      <w:r>
        <w:t>Summary statement. The MathGov primitives are declared foundations for an ethical decision architecture. They are not final metaphysical proof. They are disciplined commitments that must remain visible, testable, and open to governed refinement.</w:t>
      </w:r>
    </w:p>
    <w:p w14:paraId="1D136DA9" w14:textId="77777777" w:rsidR="00EE03CA" w:rsidRDefault="000208FA">
      <w:pPr>
        <w:pStyle w:val="Heading1"/>
      </w:pPr>
      <w:r>
        <w:t>Section 3B. The Reference Stack: Against What Is the Decision Being Judged?</w:t>
      </w:r>
    </w:p>
    <w:p w14:paraId="0D62AD23" w14:textId="77777777" w:rsidR="00EE03CA" w:rsidRDefault="000208FA">
      <w:r>
        <w:t>A decision system is not trustworthy simply because it has rules, dashboards, audits, or guardrails. Those tools matter only when they are connected to a valid reference.</w:t>
      </w:r>
    </w:p>
    <w:p w14:paraId="1D98C8CC" w14:textId="77777777" w:rsidR="00EE03CA" w:rsidRDefault="000208FA">
      <w:r>
        <w:t>RippleLogic asks a simple but demanding question: Against what is this decision being evaluated?</w:t>
      </w:r>
    </w:p>
    <w:p w14:paraId="095BEC9D" w14:textId="77777777" w:rsidR="00EE03CA" w:rsidRDefault="000208FA">
      <w:r>
        <w:t>For a bridge, the reference may include load, stress, gravity, material strength, and failure thresholds. For governance, the reference is more layered. It includes bodies, needs, rights, ecosystems, institutional legitimacy, causal evidence, uncertainty, and audit records.</w:t>
      </w:r>
    </w:p>
    <w:p w14:paraId="269106D9" w14:textId="77777777" w:rsidR="00EE03CA" w:rsidRDefault="000208FA">
      <w:r>
        <w:t>RippleLogic does not pretend that every governance question has one simple physical reference. Instead, it uses a reference stack: physical constraints; biological needs; rights floors; catastrophic-risk corridors; containment conditions; stakeholder impacts; governance authority; evidence status; and auditability.</w:t>
      </w:r>
    </w:p>
    <w:p w14:paraId="24C07512" w14:textId="77777777" w:rsidR="00EE03CA" w:rsidRDefault="000208FA">
      <w:r>
        <w:t>This is why MathGov/RippleLogic is not merely a scoring system. It is a reference-structured decision architecture. If the reference is missing, circular, unfalsifiable, or too weak for the claim being made, the honest answer is not forced selection. The honest answer is refusal, escalation, more evidence, or a narrower claim.</w:t>
      </w:r>
    </w:p>
    <w:p w14:paraId="0657FCE6" w14:textId="77777777" w:rsidR="00EE03CA" w:rsidRDefault="000208FA">
      <w:r>
        <w:t>Plain-language rule. Do not govern by assumption. Declare the reference, show the evidence, disclose the uncertainty, and refuse false certainty.</w:t>
      </w:r>
    </w:p>
    <w:p>
      <w:pPr>
        <w:pStyle w:val="Heading1"/>
      </w:pPr>
      <w:r>
        <w:rPr>
          <w:b w:val="0"/>
        </w:rPr>
        <w:t>Section 3C. Category Grounding: Are the Words Still Attached to Reality?</w:t>
      </w:r>
    </w:p>
    <w:p>
      <w:r>
        <w:rPr>
          <w:b w:val="0"/>
        </w:rPr>
        <w:t>Reality Grounding asks what part of reality the decision has actually touched. Category Grounding asks whether the categories used to describe that reality are bounded correctly enough for the claim being made.</w:t>
      </w:r>
    </w:p>
    <w:p>
      <w:r>
        <w:rPr>
          <w:b w:val="0"/>
        </w:rPr>
        <w:t>This matters because a wrong category can make a good-looking metric dangerous. If the category is wrong, the metric may measure the wrong thing. If the metric measures the wrong thing, optimization can improve the wrong target. If governance protects the optimized metric, the system may become increasingly efficient at maintaining drift.</w:t>
      </w:r>
    </w:p>
    <w:p>
      <w:pPr/>
      <w:r>
        <w:t>Simple example. If a school optimizes "learning" but defines learning only as test-score improvement, it may raise the metric while weakening curiosity, confidence, teacher trust, long-term understanding, and student agency. Category Grounding asks whether "learning" was defined correctly before the score is optimized.</w:t>
      </w:r>
    </w:p>
    <w:p>
      <w:r>
        <w:rPr>
          <w:b w:val="0"/>
        </w:rPr>
        <w:t>Category Grounding is not a sixth step. It belongs inside Reality Grounding when material. The five-level method remains: Reality Grounding -&gt; Rights Floor -&gt; Tail-Risk Bound -&gt; Containment -&gt; Ripple Score.</w:t>
      </w:r>
    </w:p>
    <w:p>
      <w:r>
        <w:rPr>
          <w:b w:val="0"/>
        </w:rPr>
        <w:t>A category is material when it affects who counts as a stakeholder, what counts as harm, what counts as sentience or agency, what counts as safety or stability, what counts as catastrophic risk, what counts as containment damage, what counts as authority, or what metric will be optimized.</w:t>
      </w:r>
    </w:p>
    <w:p>
      <w:r>
        <w:rPr>
          <w:b w:val="0"/>
        </w:rPr>
        <w:t>Reviewers should ask: What does this term mean? What boundary defines it? What belongs inside it? What does not belong inside it? What reference structure tests it? What evidence surface supports it? What would force revision? What happens if this category is wrong?</w:t>
      </w:r>
    </w:p>
    <w:p>
      <w:r>
        <w:rPr>
          <w:b w:val="0"/>
        </w:rPr>
        <w:t>Plain-language rule. Before MathGov scores a thing, it checks whether the thing has been named, bounded, and grounded well enough for the decision. A score is not a cure for a bad category.</w:t>
      </w:r>
    </w:p>
    <w:p>
      <w:r>
        <w:rPr>
          <w:b w:val="0"/>
        </w:rPr>
        <w:t>Semantic debt. Semantic debt is the cost of continuing to use categories whose reality correspondence has become weak, stale, inherited, contested, or unreviewed. MathGov does not become stronger by hiding semantic debt. It becomes stronger by naming it, narrowing claims, and revising categories when reality requires it.</w:t>
      </w:r>
    </w:p>
    <w:p w14:paraId="7E4E14F7" w14:textId="77777777" w:rsidR="00733206" w:rsidRDefault="0083180D">
      <w:pPr>
        <w:pStyle w:val="Heading1"/>
      </w:pPr>
      <w:r>
        <w:t>Section 4. Union as a Reality Principle</w:t>
      </w:r>
    </w:p>
    <w:p w14:paraId="14874337" w14:textId="77777777" w:rsidR="00733206" w:rsidRDefault="0083180D">
      <w:pPr>
        <w:spacing w:after="120"/>
      </w:pPr>
      <w:r>
        <w:t>Union does not mean everything is the same. In MathGov, it means that decision-relevant beings and systems exist through relationships, dependencies, and consequences.</w:t>
      </w:r>
    </w:p>
    <w:p w14:paraId="242A55A5" w14:textId="77777777" w:rsidR="00733206" w:rsidRDefault="0083180D">
      <w:pPr>
        <w:spacing w:after="120"/>
      </w:pPr>
      <w:r>
        <w:t>This is the core of what Union-Based Reality (UBR in the canonical specification) describes. A human being is distinct, but never isolated. The body is built from organs, cells, water, minerals, breath, food, ancestry, language, culture, and environment. A family is built from individuals. A society is built from families, institutions, laws, ecosystems, and shared meanings. A biosphere is built from interdependent life. Every intelligence or intelligence-like system we have actually observed, biological, social, or artificial, operates through relationships among memory, perception, feedback, environment, and context. We have never found a real system in nature that operates in true isolation, and current scientific understanding gives us little reason to expect one.</w:t>
      </w:r>
    </w:p>
    <w:p w14:paraId="07246B6B" w14:textId="77777777" w:rsidR="00733206" w:rsidRDefault="0083180D">
      <w:pPr>
        <w:spacing w:after="120"/>
      </w:pPr>
      <w:r>
        <w:t>That is what union means in this framework. Not a doctrine, not a slogan, not a feeling. It is the operational condition that decisions happen inside structured relationships, not inside isolated abstractions.</w:t>
      </w:r>
    </w:p>
    <w:p w14:paraId="1B399E7F" w14:textId="77777777" w:rsidR="00733206" w:rsidRDefault="0083180D">
      <w:pPr>
        <w:spacing w:after="120"/>
      </w:pPr>
      <w:r>
        <w:t>Union does not erase difference. Water is not fire. A human is not a dolphin. A tree is not a government. A child is not an artificial intelligence. Distinctions matter. Boundaries matter. Rights matter. The framework's commitment to non-compensatory rights floors only makes sense because individual beings are real and their integrity is real.</w:t>
      </w:r>
    </w:p>
    <w:p w14:paraId="0C823193" w14:textId="77777777" w:rsidR="00733206" w:rsidRDefault="0083180D">
      <w:pPr>
        <w:spacing w:after="120"/>
      </w:pPr>
      <w:r>
        <w:t>But distinction is not absolute separation. Every being and system exists within larger fields of dependency and consequence. Actions ripple. Care propagates. Harm propagates. Trust propagates. Collapse propagates.</w:t>
      </w:r>
    </w:p>
    <w:p w14:paraId="79B49A28" w14:textId="77777777" w:rsidR="00733206" w:rsidRDefault="0083180D">
      <w:pPr>
        <w:spacing w:after="120"/>
      </w:pPr>
      <w:r>
        <w:t>These do not propagate at the same rate. Reality is not symmetric. A drop of poison ruins clean water; a drop of clean water does not redeem poisoned water. Construction takes years and destruction takes minutes. Trust is built slowly and lost quickly. Health degrades faster than it heals. A lie travels around the world before the truth has its boots on. Union is not balance in the sense of equal harm and equal benefit. Reality is asymmetric, and any honest system has to say so.</w:t>
      </w:r>
    </w:p>
    <w:p w14:paraId="208AF4DB" w14:textId="77777777" w:rsidR="00733206" w:rsidRDefault="0083180D">
      <w:pPr>
        <w:spacing w:after="120"/>
      </w:pPr>
      <w:r>
        <w:t>This rules out three common misreadings of union, all of which MathGov rejects.</w:t>
      </w:r>
    </w:p>
    <w:p w14:paraId="0DE04702" w14:textId="77777777" w:rsidR="00733206" w:rsidRDefault="0083180D">
      <w:pPr>
        <w:spacing w:after="120"/>
      </w:pPr>
      <w:r>
        <w:t>The first is cosmic merger: everything is one, so distinctions and harms do not really matter. This dissolves rights, accountability, and the moral weight of suffering, and it usually arrives wrapped in beautiful language. The framework rejects it.</w:t>
      </w:r>
    </w:p>
    <w:p w14:paraId="7010DC35" w14:textId="77777777" w:rsidR="00733206" w:rsidRDefault="0083180D">
      <w:pPr>
        <w:spacing w:after="120"/>
      </w:pPr>
      <w:r>
        <w:t>The second is required opposition: every good must be matched by an equal bad to keep things in balance. This is a misuse of yin and yang, of karma, of dialectic, and of the rhetoric of "both sides." A person does not need to do harm to do good. A system does not need to produce equal damage and benefit to be healthy. Clean water sustains life better than poisoned water. Truthful information serves people better than deception. Health is better than preventable sickness. Cooperation is more stable than domination over the long run. Better balance does not mean equal parts harm and benefit. Better balance means right relationship.</w:t>
      </w:r>
    </w:p>
    <w:p w14:paraId="51DCDE34" w14:textId="77777777" w:rsidR="00733206" w:rsidRDefault="0083180D">
      <w:pPr>
        <w:spacing w:after="120"/>
      </w:pPr>
      <w:r>
        <w:t>The third is collectivist dissolution: the individual is only a fragment of the whole, so individual rights bend to collective will. This is the totalitarian misuse of unity, and it is precisely the failure mode the rights gate (NCRC) is built to refuse.</w:t>
      </w:r>
    </w:p>
    <w:p w14:paraId="214561F6" w14:textId="77777777" w:rsidR="00733206" w:rsidRDefault="0083180D">
      <w:pPr>
        <w:spacing w:after="120"/>
      </w:pPr>
      <w:r>
        <w:t>Union also does not flatten attention. A breakfast choice acts strongly on the self, weakly on the household, and almost not at all on the polity. A national infrastructure decision acts the other way around. The discipline is to match moral and analytical attention to actual coupling, dependency, and consequence, not to perform equal concern at every scale.</w:t>
      </w:r>
    </w:p>
    <w:p w14:paraId="7DCBD183" w14:textId="77777777" w:rsidR="00733206" w:rsidRDefault="0083180D">
      <w:pPr>
        <w:spacing w:after="120"/>
      </w:pPr>
      <w:r>
        <w:t>So the MathGov claim is not "everything is one, therefore nothing matters." The claim is the opposite. Things have real identities, and those identities exist inside networks of cause, dependence, and effect. Decisions have to be evaluated by their ripples across the systems they actually touch.</w:t>
      </w:r>
    </w:p>
    <w:p w14:paraId="0F3182CF" w14:textId="77777777" w:rsidR="00733206" w:rsidRDefault="0083180D">
      <w:pPr>
        <w:spacing w:after="120"/>
      </w:pPr>
      <w:r>
        <w:t>Different vocabularies converge on the same observation. Things are connected. Connection has structure. Structure has consequences. Consequences are not symmetric. Decisions matter.</w:t>
      </w:r>
    </w:p>
    <w:p w14:paraId="7973E82F" w14:textId="77777777" w:rsidR="00733206" w:rsidRDefault="0083180D">
      <w:pPr>
        <w:spacing w:after="120"/>
      </w:pPr>
      <w:r>
        <w:t>Union is not dogma. In the operational sense used here, union is the condition that every decision unfolds inside a field of relationship, dependency, consequence, and accountability.</w:t>
      </w:r>
    </w:p>
    <w:p w14:paraId="6E9F3A9F" w14:textId="77777777" w:rsidR="00733206" w:rsidRDefault="00733206">
      <w:r/>
    </w:p>
    <w:p w14:paraId="6D98E729" w14:textId="77777777" w:rsidR="00733206" w:rsidRDefault="0083180D">
      <w:pPr>
        <w:pStyle w:val="Heading1"/>
      </w:pPr>
      <w:r>
        <w:t>Section 5. Eleven Declared Assumptions</w:t>
      </w:r>
    </w:p>
    <w:p w14:paraId="1DE90469" w14:textId="77777777" w:rsidR="00733206" w:rsidRDefault="0083180D">
      <w:pPr>
        <w:spacing w:after="120"/>
      </w:pPr>
      <w:r>
        <w:t>An assumption is a provisional claim used to make the system runnable. Assumptions are weaker than primitives. They must remain visible, challengeable, and revisable as evidence and practice accumulate.</w:t>
      </w:r>
    </w:p>
    <w:p w14:paraId="0F5AF502" w14:textId="77777777" w:rsidR="00733206" w:rsidRDefault="0083180D">
      <w:pPr>
        <w:pStyle w:val="Heading2"/>
      </w:pPr>
      <w:r>
        <w:t>A1. The seven welfare dimensions are a strong starting set</w:t>
      </w:r>
    </w:p>
    <w:p w14:paraId="2F75FE6E" w14:textId="77777777" w:rsidR="00733206" w:rsidRDefault="0083180D">
      <w:pPr>
        <w:spacing w:after="120"/>
      </w:pPr>
      <w:r>
        <w:t>Material, Health, Social, Knowledge, Agency, Meaning, and Environment appear broad enough to capture most major welfare effects relevant to current governance. They may be refined, subdivided, or expanded under governed update. They are not claimed to be metaphysically final.</w:t>
      </w:r>
    </w:p>
    <w:p w14:paraId="5CAE9E59" w14:textId="77777777" w:rsidR="00733206" w:rsidRDefault="0083180D">
      <w:pPr>
        <w:pStyle w:val="Heading2"/>
      </w:pPr>
      <w:r>
        <w:t>A2. The seven operational unions are sufficient for most current decisions</w:t>
      </w:r>
    </w:p>
    <w:p w14:paraId="31FD94C0" w14:textId="77777777" w:rsidR="00733206" w:rsidRDefault="0083180D">
      <w:pPr>
        <w:spacing w:after="120"/>
      </w:pPr>
      <w:r>
        <w:t>U1 Self through U7 Biosphere are sufficient for most contemporary governance, policy, business, AI, and ethical decisions. The Cosmic and Universal layers should remain humility horizons, not over-quantified before evidence supports parameterization.</w:t>
      </w:r>
    </w:p>
    <w:p w14:paraId="68404A1C" w14:textId="77777777" w:rsidR="00733206" w:rsidRDefault="0083180D">
      <w:pPr>
        <w:pStyle w:val="Heading2"/>
      </w:pPr>
      <w:r>
        <w:t>A3. Rights floors can be specified well enough to guide decisions</w:t>
      </w:r>
    </w:p>
    <w:p w14:paraId="05681581" w14:textId="77777777" w:rsidR="00733206" w:rsidRDefault="0083180D">
      <w:pPr>
        <w:spacing w:after="120"/>
      </w:pPr>
      <w:r>
        <w:t>Societies can identify core protected domains: life, bodily integrity, basic needs, dignity, liberty, due process, information integrity, and ecological integrity. Disagreement at the edges does not erase the reality of obvious violations; the existence of hard cases does not eliminate clear ones.</w:t>
      </w:r>
    </w:p>
    <w:p w14:paraId="050D969C" w14:textId="77777777" w:rsidR="00733206" w:rsidRDefault="0083180D">
      <w:pPr>
        <w:pStyle w:val="Heading2"/>
      </w:pPr>
      <w:r>
        <w:t>A4. Sentience can be evaluated on a gradient under uncertainty</w:t>
      </w:r>
    </w:p>
    <w:p w14:paraId="7557A09B" w14:textId="77777777" w:rsidR="00733206" w:rsidRDefault="0083180D">
      <w:pPr>
        <w:spacing w:after="120"/>
      </w:pPr>
      <w:r>
        <w:t>Moral status is not all-or-nothing. Evidence of awareness, welfare/valence capacity, agency, self-modeling, learning, communication or species-appropriate behavioral markers, and union-participation capacity can support graduated estimates. SGP procedures are designed to make these estimates governed, auditable, and corrigible rather than ad hoc. The human plateau is treated as absolute.</w:t>
      </w:r>
    </w:p>
    <w:p w14:paraId="3DB95484" w14:textId="77777777" w:rsidR="00733206" w:rsidRDefault="0083180D">
      <w:pPr>
        <w:pStyle w:val="Heading2"/>
      </w:pPr>
      <w:r>
        <w:t>A5. Weights can be made legitimate through Hybrid Democratic Weighting</w:t>
      </w:r>
    </w:p>
    <w:p w14:paraId="09EC2FB0" w14:textId="77777777" w:rsidR="00733206" w:rsidRDefault="0083180D">
      <w:pPr>
        <w:spacing w:after="120"/>
      </w:pPr>
      <w:r>
        <w:t>Welfare weights become more legitimate when they combine constitutional floors, stakeholder input, expert evidence, democratic review, sensitivity testing, and public audit. Hybrid Democratic Weighting (HDW) is the canonical mechanism for this combination. PLSS, where declared, governs prominence-adjusted residual welfare ranking under the same anti-capture logic.</w:t>
      </w:r>
    </w:p>
    <w:p w14:paraId="44EE1D59" w14:textId="77777777" w:rsidR="00733206" w:rsidRDefault="0083180D">
      <w:pPr>
        <w:pStyle w:val="Heading2"/>
      </w:pPr>
      <w:r>
        <w:t>A6. Quantification can improve ethics if it remains humble</w:t>
      </w:r>
    </w:p>
    <w:p w14:paraId="7DE8B1D3" w14:textId="77777777" w:rsidR="00733206" w:rsidRDefault="0083180D">
      <w:pPr>
        <w:spacing w:after="120"/>
      </w:pPr>
      <w:r>
        <w:t>Not everything valuable can be perfectly measured. Structured estimation is often better than unstructured power. The danger is false precision; scores must be treated as decision aids, not divine commands. RippleLogic addresses this through layered cascade, audit flags, and the prohibition of Tier-4 claims absent ProofPack.</w:t>
      </w:r>
    </w:p>
    <w:p w14:paraId="62FAEB54" w14:textId="77777777" w:rsidR="00733206" w:rsidRDefault="0083180D">
      <w:pPr>
        <w:pStyle w:val="Heading2"/>
      </w:pPr>
      <w:r>
        <w:t>A7. Open systems are less capture-prone than closed systems</w:t>
      </w:r>
    </w:p>
    <w:p w14:paraId="4F22E323" w14:textId="77777777" w:rsidR="00733206" w:rsidRDefault="0083180D">
      <w:pPr>
        <w:spacing w:after="120"/>
      </w:pPr>
      <w:r>
        <w:t>Open standards, public documentation, audit trails, and reproducible decision records reduce capture risk. Open does not guarantee integrity, but closed systems are easier to monopolize, manipulate, and hide.</w:t>
      </w:r>
    </w:p>
    <w:p w14:paraId="08708598" w14:textId="77777777" w:rsidR="00733206" w:rsidRDefault="0083180D">
      <w:pPr>
        <w:pStyle w:val="Heading2"/>
      </w:pPr>
      <w:r>
        <w:t>A8. Better decision architecture can reduce capture and authoritarianism</w:t>
      </w:r>
    </w:p>
    <w:p w14:paraId="5FC1BD75" w14:textId="77777777" w:rsidR="00733206" w:rsidRDefault="0083180D">
      <w:pPr>
        <w:spacing w:after="120"/>
      </w:pPr>
      <w:r>
        <w:t>MathGov does not claim to defeat authoritarianism, corruption, or destabilizing power concentration. It aims to make these failure modes substantially harder to sustain by forcing decisions into visible structures: who is affected, what rights are at stake, what harms are hidden, who benefits, who bears the risk, what evidence supports the decision, and whether the reasoning can be reconstructed later.</w:t>
      </w:r>
    </w:p>
    <w:p w14:paraId="268E15E9" w14:textId="77777777" w:rsidR="00733206" w:rsidRDefault="0083180D">
      <w:pPr>
        <w:pStyle w:val="Heading2"/>
      </w:pPr>
      <w:r>
        <w:t>A9. AI and digital systems will increasingly participate in governance</w:t>
      </w:r>
    </w:p>
    <w:p w14:paraId="33EB4E68" w14:textId="77777777" w:rsidR="00733206" w:rsidRDefault="0083180D">
      <w:pPr>
        <w:spacing w:after="120"/>
      </w:pPr>
      <w:r>
        <w:t>Whether or not current AI is sentient, AI systems already influence decisions: ranking information, automating workflows, recommending actions, detecting patterns, shaping perception, and mediating institutional behavior. Governance architecture must account for AI as both a tool used by decision-makers and a possible future stakeholder if SGP-grade evidence of moral patienthood emerges.</w:t>
      </w:r>
    </w:p>
    <w:p w14:paraId="652BBF8D" w14:textId="77777777" w:rsidR="00733206" w:rsidRDefault="0083180D">
      <w:pPr>
        <w:pStyle w:val="Heading2"/>
      </w:pPr>
      <w:r>
        <w:t>A10. The system itself can be gamed and must model agents</w:t>
      </w:r>
    </w:p>
    <w:p w14:paraId="5A6060E8" w14:textId="77777777" w:rsidR="00733206" w:rsidRDefault="0083180D">
      <w:pPr>
        <w:spacing w:after="120"/>
      </w:pPr>
      <w:r>
        <w:t>Any governance method can be captured, bureaucratized, moralized, weaponized, ignored, ritualized, or turned into ceremonial rationality. The framework must therefore model agents and incentives: who benefits, who resists, who can manipulate the process, who can route around it, and who bears the risk when the system fails.</w:t>
      </w:r>
    </w:p>
    <w:p w14:paraId="3E729892" w14:textId="77777777" w:rsidR="00733206" w:rsidRDefault="0083180D">
      <w:pPr>
        <w:pStyle w:val="Heading2"/>
      </w:pPr>
      <w:r>
        <w:t>A11. Corrigibility must hold, with a floor on what is revisable</w:t>
      </w:r>
    </w:p>
    <w:p w14:paraId="4D53EF48" w14:textId="77777777" w:rsidR="00733206" w:rsidRDefault="0083180D">
      <w:pPr>
        <w:spacing w:after="120"/>
      </w:pPr>
      <w:r>
        <w:t>MathGov must remain corrigible, evidence-responsive, and open to structural improvement, otherwise it ossifies into dogma. At the same time, corrigibility itself requires a floor: the rights gate, the catastrophic-risk gate, the containment gate, and the auditability commitment cannot be revised away by ordinary stakeholder process. Revision of these floors is constitutional in character and requires governed extension protocol, not ordinary update.</w:t>
      </w:r>
    </w:p>
    <w:p w14:paraId="280F799F" w14:textId="77777777" w:rsidR="00733206" w:rsidRDefault="00733206">
      <w:r/>
    </w:p>
    <w:p w14:paraId="74B981C7" w14:textId="77777777" w:rsidR="00733206" w:rsidRDefault="0083180D">
      <w:pPr>
        <w:pStyle w:val="Heading1"/>
      </w:pPr>
      <w:r>
        <w:t>Section 6. What MathGov Does Not Assume</w:t>
      </w:r>
    </w:p>
    <w:p w14:paraId="0BB4B844" w14:textId="77777777" w:rsidR="00733206" w:rsidRDefault="0083180D">
      <w:pPr>
        <w:spacing w:after="120"/>
      </w:pPr>
      <w:r>
        <w:t>Equally important to what MathGov declares is what it refuses to claim. The framework explicitly does not assume:</w:t>
      </w:r>
    </w:p>
    <w:p w14:paraId="2F0DBDAE" w14:textId="77777777" w:rsidR="00733206" w:rsidRDefault="0083180D">
      <w:pPr>
        <w:spacing w:after="60"/>
        <w:ind w:left="720" w:hanging="360"/>
      </w:pPr>
      <w:r>
        <w:t>•  That it possesses final ontology or final moral truth.</w:t>
      </w:r>
    </w:p>
    <w:p w14:paraId="3D327FCC" w14:textId="77777777" w:rsidR="00733206" w:rsidRDefault="0083180D">
      <w:pPr>
        <w:spacing w:after="60"/>
        <w:ind w:left="720" w:hanging="360"/>
      </w:pPr>
      <w:r>
        <w:t>•  That all values reduce perfectly to numbers.</w:t>
      </w:r>
    </w:p>
    <w:p w14:paraId="555D88CE" w14:textId="77777777" w:rsidR="00733206" w:rsidRDefault="0083180D">
      <w:pPr>
        <w:spacing w:after="60"/>
        <w:ind w:left="720" w:hanging="360"/>
      </w:pPr>
      <w:r>
        <w:t>•  That humans should surrender governance to AI systems.</w:t>
      </w:r>
    </w:p>
    <w:p w14:paraId="00561C8F" w14:textId="77777777" w:rsidR="00733206" w:rsidRDefault="0083180D">
      <w:pPr>
        <w:spacing w:after="60"/>
        <w:ind w:left="720" w:hanging="360"/>
      </w:pPr>
      <w:r>
        <w:t>•  That current AI systems are conscious or moral patients.</w:t>
      </w:r>
    </w:p>
    <w:p w14:paraId="029245A3" w14:textId="77777777" w:rsidR="00733206" w:rsidRDefault="0083180D">
      <w:pPr>
        <w:spacing w:after="60"/>
        <w:ind w:left="720" w:hanging="360"/>
      </w:pPr>
      <w:r>
        <w:t>•  That all beings have equal moral status.</w:t>
      </w:r>
    </w:p>
    <w:p w14:paraId="40862DB9" w14:textId="77777777" w:rsidR="00733206" w:rsidRDefault="0083180D">
      <w:pPr>
        <w:spacing w:after="60"/>
        <w:ind w:left="720" w:hanging="360"/>
      </w:pPr>
      <w:r>
        <w:t>•  That powerful beings matter more than vulnerable beings.</w:t>
      </w:r>
    </w:p>
    <w:p w14:paraId="7694DA33" w14:textId="77777777" w:rsidR="00733206" w:rsidRDefault="0083180D">
      <w:pPr>
        <w:spacing w:after="60"/>
        <w:ind w:left="720" w:hanging="360"/>
      </w:pPr>
      <w:r>
        <w:t>•  That a majority can vote away fundamental rights.</w:t>
      </w:r>
    </w:p>
    <w:p w14:paraId="4783C5CC" w14:textId="77777777" w:rsidR="00733206" w:rsidRDefault="0083180D">
      <w:pPr>
        <w:spacing w:after="60"/>
        <w:ind w:left="720" w:hanging="360"/>
      </w:pPr>
      <w:r>
        <w:t>•  That data is neutral or self-interpreting.</w:t>
      </w:r>
    </w:p>
    <w:p w14:paraId="2547F2E9" w14:textId="77777777" w:rsidR="00733206" w:rsidRDefault="0083180D">
      <w:pPr>
        <w:spacing w:after="60"/>
        <w:ind w:left="720" w:hanging="360"/>
      </w:pPr>
      <w:r>
        <w:t>•  That models cannot be captured.</w:t>
      </w:r>
    </w:p>
    <w:p w14:paraId="543E9947" w14:textId="77777777" w:rsidR="00733206" w:rsidRDefault="0083180D">
      <w:pPr>
        <w:spacing w:after="60"/>
        <w:ind w:left="720" w:hanging="360"/>
      </w:pPr>
      <w:r>
        <w:t>•  That formalization eliminates moral conflict.</w:t>
      </w:r>
    </w:p>
    <w:p w14:paraId="008B2152" w14:textId="77777777" w:rsidR="00733206" w:rsidRDefault="0083180D">
      <w:pPr>
        <w:spacing w:after="60"/>
        <w:ind w:left="720" w:hanging="360"/>
      </w:pPr>
      <w:r>
        <w:t>•  That one culture, nation, species, or institution should define flourishing for all others.</w:t>
      </w:r>
    </w:p>
    <w:p w14:paraId="748A092C" w14:textId="77777777" w:rsidR="00733206" w:rsidRDefault="0083180D">
      <w:pPr>
        <w:spacing w:after="60"/>
        <w:ind w:left="720" w:hanging="360"/>
      </w:pPr>
      <w:r>
        <w:t>•  That a Tier-4 conformance claim is currently legitimate (it is prohibited until ProofPack is publicly replayable and independently verified).</w:t>
      </w:r>
    </w:p>
    <w:p w14:paraId="6E8EDAA3" w14:textId="77777777" w:rsidR="00733206" w:rsidRDefault="0083180D">
      <w:pPr>
        <w:spacing w:after="120"/>
      </w:pPr>
      <w:r>
        <w:t>This boundary statement exists because the framework must avoid becoming exactly what it is designed to resist: a rigid authority system pretending to be universal while concealing its own assumptions.</w:t>
      </w:r>
    </w:p>
    <w:p w14:paraId="79669C1E" w14:textId="77777777" w:rsidR="00733206" w:rsidRDefault="00733206">
      <w:r/>
    </w:p>
    <w:p w14:paraId="7080234E" w14:textId="77777777" w:rsidR="00733206" w:rsidRDefault="0083180D">
      <w:pPr>
        <w:pStyle w:val="Heading1"/>
      </w:pPr>
      <w:r>
        <w:t>Section 7. The Operational Cascade</w:t>
      </w:r>
    </w:p>
    <w:p>
      <w:r>
        <w:t>RippleLogic operates as a five-level admissibility-and-ranking method. Each level answers one distinct question. Levels do not collapse into a single blended score; later levels do not override earlier levels; earlier success does not excuse later failure.</w:t>
      </w:r>
    </w:p>
    <w:p>
      <w:r>
        <w:t>Level 1, Reality Grounding / Reality-Surface Grounding. What reality surface, evidence trace, material unknowns, category boundaries, transition boundary, consequence pathways, and claim boundary support the run? If the claim exceeds its reality surface, the run must narrow, escalate, gather evidence, mark the result exploratory, or refuse the stronger claim.</w:t>
      </w:r>
    </w:p>
    <w:p>
      <w:r>
        <w:t>Level 2, Rights Floor / NCRC. Does this option cross a non-compensatory rights minimum? An option that does is inadmissible. Welfare ranking cannot rescue a rights-floor violation.</w:t>
      </w:r>
    </w:p>
    <w:p>
      <w:r>
        <w:t>Level 3, Tail-Risk Bound / TRC. Among rights-admissible options, is the catastrophic downside acceptably bounded? An option whose CVaR over the governed scenario set exceeds the declared corridor is inadmissible, regardless of expected welfare.</w:t>
      </w:r>
    </w:p>
    <w:p>
      <w:r>
        <w:t>Level 4, Containment. Among admissible options, does this option preserve sufficient integrity of the larger system that contains the local gain? An option that fails Containment is not selectable, even if it ranks highly on residual welfare.</w:t>
      </w:r>
    </w:p>
    <w:p>
      <w:r>
        <w:t>Level 5, Ripple Score / RLS. Among selectable options, which produces the best residual welfare pattern under the declared weighting regime? RLS ranks; it does not rescue failures in Reality Grounding, NCRC, TRC, or Containment.</w:t>
      </w:r>
    </w:p>
    <w:p>
      <w:r>
        <w:t>Special-case UCI / HOI tie-break. UCI and HOI are structural diagnostics used inside Containment when material. Only after options are already in the selectable set may residual UCI/HOI help document a tied, close, uncertainty-overlapped, or non-decisive RLS result. They do not reopen earlier gates and they are not a substitute welfare score.</w:t>
      </w:r>
    </w:p>
    <w:p>
      <w:r>
        <w:t>The non-overlap rule is canonical: Reality Grounding = claim authority; NCRC = rights feasibility; TRC = catastrophe feasibility; Containment = cross-scale structural feasibility; RLS = residual welfare ranking within the selectable set; residual UCI/HOI = non-decisive structural resolution or monitoring within the selectable set. No implementation, commentary, or downstream artifact may collapse these functions into a single blended score.</w:t>
      </w:r>
    </w:p>
    <w:p w14:paraId="536016B5" w14:textId="77777777" w:rsidR="00EE3588" w:rsidRDefault="00F27945">
      <w:pPr>
        <w:pStyle w:val="Heading1"/>
      </w:pPr>
      <w:r>
        <w:t>Section 8. The Five Decision States</w:t>
      </w:r>
    </w:p>
    <w:p w14:paraId="2853FA38" w14:textId="77777777" w:rsidR="00EE3588" w:rsidRDefault="00F27945">
      <w:r>
        <w:t>RippleLogic recognizes five distinct decision states. They must not be collapsed, and a later state must not be used to infer an earlier one.</w:t>
      </w:r>
    </w:p>
    <w:p w14:paraId="38B2EF5D" w14:textId="77777777" w:rsidR="00EE3588" w:rsidRDefault="00F27945">
      <w:r>
        <w:t>Rights-admissible. The option passes NCRC.</w:t>
      </w:r>
    </w:p>
    <w:p w14:paraId="4395A564" w14:textId="77777777" w:rsidR="00EE3588" w:rsidRDefault="00F27945">
      <w:r>
        <w:t>Admissible. The option passes NCRC and TRC.</w:t>
      </w:r>
    </w:p>
    <w:p w14:paraId="5EF6C8AA" w14:textId="77777777" w:rsidR="00EE3588" w:rsidRDefault="00F27945">
      <w:r>
        <w:t>Selectable. The option is admissible and passes Containment (Mode A).</w:t>
      </w:r>
    </w:p>
    <w:p w14:paraId="3C7D0BB5" w14:textId="77777777" w:rsidR="00EE3588" w:rsidRDefault="00F27945">
      <w:r>
        <w:t>Selected. The option is chosen from the selectable set after RLS, tie-break, and any required escalation disposition.</w:t>
      </w:r>
    </w:p>
    <w:p w14:paraId="2436F273" w14:textId="77777777" w:rsidR="00EE3588" w:rsidRDefault="00F27945">
      <w:r>
        <w:t>Refusal. The framework cannot uniquely determine the applicable admissibility or selection state from the declared inputs, evidence, projection rules, or layer commitments.</w:t>
      </w:r>
    </w:p>
    <w:p w14:paraId="6AFFFB7E" w14:textId="77777777" w:rsidR="00EE3588" w:rsidRDefault="00F27945">
      <w:r>
        <w:t>No downstream score may rescue failure at an earlier state. A welfare gain cannot make a rights-violating option admissible. A high RLS cannot make a containment-failing option selectable. Refusal must not be silently converted into gate failure, gate success, or discretionary selection. The decision-state vocabulary exists precisely to prevent these substitutions.</w:t>
      </w:r>
    </w:p>
    <w:p w14:paraId="7960092E" w14:textId="77777777" w:rsidR="00EE3588" w:rsidRDefault="00F27945">
      <w:pPr>
        <w:pStyle w:val="Heading2"/>
      </w:pPr>
      <w:r>
        <w:t>8.1 What refusal means in plain language</w:t>
      </w:r>
    </w:p>
    <w:p w14:paraId="744D2604" w14:textId="77777777" w:rsidR="00EE3588" w:rsidRDefault="00F27945">
      <w:r>
        <w:t>Refusal means the framework cannot honestly make the claim being asked of it. It is not the same as rejecting an option on ethical grounds. It is not the same as selecting the safest-looking option by instinct. It is a statement that the available evidence, declared projection, or category structure is insufficient for the requested verdict.</w:t>
      </w:r>
    </w:p>
    <w:p w14:paraId="4EB84E7B" w14:textId="77777777" w:rsidR="00EE3588" w:rsidRDefault="00F27945">
      <w:r>
        <w:t>For example, if a decision lacks enough evidence to determine whether a protected subgroup is harmed, the correct result is not to assume safety. If a scenario model cannot determine whether catastrophic risk is inside the corridor, the correct result is not to average the uncertainty away. If a sentience claim relies only on fluent language or self-report, the correct result is not to treat that as proof of moral patienthood.</w:t>
      </w:r>
    </w:p>
    <w:p w14:paraId="0FA7953C" w14:textId="77777777" w:rsidR="00EE3588" w:rsidRDefault="00F27945">
      <w:r>
        <w:t>Refusal can lead to more evidence gathering, redesign, escalation, a narrower claim, or bounded provisional action where delay itself would create harm. What it may not do is pretend that uncertainty has been solved.</w:t>
      </w:r>
    </w:p>
    <w:p w14:paraId="2B14DC64" w14:textId="77777777" w:rsidR="00733206" w:rsidRDefault="0083180D">
      <w:pPr>
        <w:pStyle w:val="Heading1"/>
      </w:pPr>
      <w:r>
        <w:t>Section 9. Critical Separations</w:t>
      </w:r>
    </w:p>
    <w:p w14:paraId="5A57A7A4" w14:textId="77777777" w:rsidR="00733206" w:rsidRDefault="0083180D">
      <w:pPr>
        <w:spacing w:after="120"/>
      </w:pPr>
      <w:r>
        <w:t>Four separations are constitutive of the framework and merit explicit restatement, because each is regularly conflated in institutional practice and each conflation opens a route to rights, audit, or containment failure.</w:t>
      </w:r>
    </w:p>
    <w:p w14:paraId="6FC72B12" w14:textId="77777777" w:rsidR="00733206" w:rsidRDefault="0083180D">
      <w:pPr>
        <w:spacing w:after="120"/>
      </w:pPr>
      <w:r>
        <w:t>Moral status is not decision authority. A being can warrant moral consideration without thereby acquiring governance role. Authority is grounded in responsibility, accountability, and procedural legitimacy, not in moral status alone.</w:t>
      </w:r>
    </w:p>
    <w:p w14:paraId="46CC5257" w14:textId="77777777" w:rsidR="00733206" w:rsidRDefault="0083180D">
      <w:pPr>
        <w:spacing w:after="120"/>
      </w:pPr>
      <w:r>
        <w:t>Protection is not governance role. A protected stakeholder is not, by virtue of protection, a decision-maker over others. SGP confers grounds for protection; it does not confer authority.</w:t>
      </w:r>
    </w:p>
    <w:p w14:paraId="277FB6BD" w14:textId="77777777" w:rsidR="00733206" w:rsidRDefault="0083180D">
      <w:pPr>
        <w:spacing w:after="120"/>
      </w:pPr>
      <w:r>
        <w:t>Sentience is not intelligence. Capability and welfare-bearing capacity are distinct. A highly capable system may not be a moral patient; a moral patient may not be highly capable. SGP scoring tracks the second; capability evaluation tracks the first.</w:t>
      </w:r>
    </w:p>
    <w:p w14:paraId="6992300C" w14:textId="77777777" w:rsidR="00733206" w:rsidRDefault="0083180D">
      <w:pPr>
        <w:spacing w:after="120"/>
      </w:pPr>
      <w:r>
        <w:t>Admissibility is not optimization. NCRC, TRC, and Containment are feasibility gates. RLS is welfare ranking. They have different inputs, different operators, and different failure consequences. A welfare maximum that is not admissible is not selectable; an admissible option with mediocre RLS is still selectable.</w:t>
      </w:r>
    </w:p>
    <w:p w14:paraId="284A2FD3" w14:textId="77777777" w:rsidR="00733206" w:rsidRDefault="00733206">
      <w:r/>
    </w:p>
    <w:p w14:paraId="411987F8" w14:textId="77777777" w:rsidR="00733206" w:rsidRDefault="0083180D">
      <w:pPr>
        <w:pStyle w:val="Heading1"/>
      </w:pPr>
      <w:r>
        <w:t>Section 10. SGP Integration: Plateau, Scalar Binding, Authority Boundary</w:t>
      </w:r>
    </w:p>
    <w:p>
      <w:r>
        <w:t>Current Human Plateau / CMIU clarification. Humans are not treated as full-plateau beings because of arbitrary species preference. Human persons receive non-degradable protection so rights cannot become a capacity test, and humanity currently provides the evidenced calibration anchor for reality-managing intelligence within the Collective Managing Intelligence Union (CMIU). This does not make humans metaphysically superior, and it does not close the plateau to non-human biological or artificial entities that meet the governed standard.</w:t>
      </w:r>
    </w:p>
    <w:p w14:paraId="0B821887" w14:textId="77777777" w:rsidR="00733206" w:rsidRDefault="0083180D">
      <w:pPr>
        <w:spacing w:after="120"/>
      </w:pPr>
      <w:r>
        <w:t>SGP v5.5 is the canonical companion specification for moral status, rights of protection, and graduated moral consideration across substrates. Three SGP commitments matter most for foundational understanding.</w:t>
      </w:r>
    </w:p>
    <w:p w14:paraId="18F3A7F2" w14:textId="77777777" w:rsidR="00733206" w:rsidRDefault="0083180D">
      <w:pPr>
        <w:pStyle w:val="Heading2"/>
      </w:pPr>
      <w:r>
        <w:t>10.1 The human plateau is absolute</w:t>
      </w:r>
    </w:p>
    <w:p w14:paraId="567EAB88" w14:textId="77777777" w:rsidR="00733206" w:rsidRDefault="0083180D">
      <w:pPr>
        <w:spacing w:after="120"/>
      </w:pPr>
      <w:r>
        <w:t>Human moral status is treated as plateau-bearing with SG_norm(H) = 1.0. This plateau is not subject to downward revision through ordinary update procedure. Class-level plateau assignments for non-human entities follow governed SGP class-level plateau records; entity-level plateau assignments follow governed individual plateau records. Plateau status is not inferred informally from taxon evidence alone.</w:t>
      </w:r>
    </w:p>
    <w:p w14:paraId="54875839" w14:textId="77777777" w:rsidR="00733206" w:rsidRDefault="0083180D">
      <w:pPr>
        <w:pStyle w:val="Heading2"/>
      </w:pPr>
      <w:r>
        <w:t>10.2 SGP scalar binding: welfare stream only</w:t>
      </w:r>
    </w:p>
    <w:p w14:paraId="6750580C" w14:textId="77777777" w:rsidR="00733206" w:rsidRDefault="0083180D">
      <w:pPr>
        <w:spacing w:after="120"/>
      </w:pPr>
      <w:r>
        <w:t>SGP-derived welfare-stream scaling (s_k) is applied only in the welfare stream used for RLS ranking, using SG_patient_norm(E) where available and otherwise SG_norm(E), while preserving the Human Plateau Rule and leaving admissibility layers unchanged. Admissibility layers (NCRC, TRC, Containment) operate on the base stream with s_k set to 1. This separation is non-negotiable: SGP weighting cannot be used to lower a rights floor, soften a catastrophe gate, or weaken a containment check. SGP shapes residual welfare comparison among already-feasible options; it does not shape feasibility.</w:t>
      </w:r>
    </w:p>
    <w:p w14:paraId="104EC04B" w14:textId="77777777" w:rsidR="00733206" w:rsidRDefault="0083180D">
      <w:pPr>
        <w:pStyle w:val="Heading2"/>
      </w:pPr>
      <w:r>
        <w:t>10.3 The authority boundary</w:t>
      </w:r>
    </w:p>
    <w:p w14:paraId="3833C15B" w14:textId="77777777" w:rsidR="00733206" w:rsidRDefault="0083180D">
      <w:pPr>
        <w:spacing w:after="120"/>
      </w:pPr>
      <w:r>
        <w:t>SGP confers grounds for protection and for inclusion in welfare and rights computation. SGP does not confer decision authority over other stakeholders, governance role, voting weight, or institutional power. The separation between moral status and authority is constitutive: a being can be highly protected and have no governance role, and an entity can hold legitimate authority while being morally considerable on the same terms as everyone else.</w:t>
      </w:r>
    </w:p>
    <w:p w14:paraId="348D9E2B" w14:textId="77777777" w:rsidR="00733206" w:rsidRDefault="00733206">
      <w:r/>
    </w:p>
    <w:p w14:paraId="37F9B6DB" w14:textId="77777777" w:rsidR="00733206" w:rsidRDefault="0083180D">
      <w:pPr>
        <w:pStyle w:val="Heading1"/>
      </w:pPr>
      <w:r>
        <w:t>Section 11. The Operating Sequence</w:t>
      </w:r>
    </w:p>
    <w:p w14:paraId="01E8C43B" w14:textId="77777777" w:rsidR="00733206" w:rsidRDefault="0083180D">
      <w:pPr>
        <w:spacing w:after="120"/>
      </w:pPr>
      <w:r>
        <w:t>A RippleLogic decision proceeds through eleven steps. Tier requirements (Section 15 of Canon) determine which steps are mandatory at which level of rigor.</w:t>
      </w:r>
    </w:p>
    <w:p w14:paraId="59BCC8A6" w14:textId="77777777" w:rsidR="00733206" w:rsidRDefault="0083180D">
      <w:pPr>
        <w:spacing w:after="60"/>
        <w:ind w:left="720" w:hanging="360"/>
      </w:pPr>
      <w:r>
        <w:t>1.  Define the decision. State what is being decided, who is deciding, what options exist, and what happens under no action. Declare tier and configuration.</w:t>
      </w:r>
    </w:p>
    <w:p w14:paraId="3A6A7182" w14:textId="77777777" w:rsidR="00733206" w:rsidRDefault="0083180D">
      <w:pPr>
        <w:spacing w:after="60"/>
        <w:ind w:left="720" w:hanging="360"/>
      </w:pPr>
      <w:r>
        <w:t>2.  Map stakeholders across affected unions. Identify the relevant scope chain from U1 Self through U7 Biosphere; note where U8 Cosmic or U9 Universal/AIU humility considerations apply.</w:t>
      </w:r>
    </w:p>
    <w:p w14:paraId="2091539B" w14:textId="77777777" w:rsidR="00733206" w:rsidRDefault="0083180D">
      <w:pPr>
        <w:spacing w:after="60"/>
        <w:ind w:left="720" w:hanging="360"/>
      </w:pPr>
      <w:r>
        <w:t>3.  Identify sentient and welfare-bearing stakeholders under SGP. Apply governed SGP procedure for class-level and entity-level moral status and rights of protection.</w:t>
      </w:r>
    </w:p>
    <w:p w14:paraId="024130D0" w14:textId="77777777" w:rsidR="00733206" w:rsidRDefault="0083180D">
      <w:pPr>
        <w:spacing w:after="60"/>
        <w:ind w:left="720" w:hanging="360"/>
      </w:pPr>
      <w:r>
        <w:t>4.  Apply NCRC. For each option, check whether any rights-covered cell crosses a non-compensatory minimum on the worst-off protected subgroup. Eliminate any option that fails.</w:t>
      </w:r>
    </w:p>
    <w:p w14:paraId="19FA4453" w14:textId="77777777" w:rsidR="00733206" w:rsidRDefault="0083180D">
      <w:pPr>
        <w:spacing w:after="60"/>
        <w:ind w:left="720" w:hanging="360"/>
      </w:pPr>
      <w:r>
        <w:t>5.  Apply TRC. For each rights-admissible option, evaluate CVaR over the governed scenario set against the declared corridor. Eliminate any option that exceeds the corridor; record TRC fallback if invoked.</w:t>
      </w:r>
    </w:p>
    <w:p w14:paraId="311BF6CD" w14:textId="77777777" w:rsidR="00733206" w:rsidRDefault="0083180D">
      <w:pPr>
        <w:spacing w:after="60"/>
        <w:ind w:left="720" w:hanging="360"/>
      </w:pPr>
      <w:r>
        <w:t>6.  Apply Containment (Mode A where required). For each admissible option, evaluate cross-scale structural feasibility; eliminate or escalate any option that degrades a containing union beyond tolerance.</w:t>
      </w:r>
    </w:p>
    <w:p w14:paraId="18D7EE5E" w14:textId="77777777" w:rsidR="00733206" w:rsidRDefault="0083180D">
      <w:pPr>
        <w:spacing w:after="60"/>
        <w:ind w:left="720" w:hanging="360"/>
      </w:pPr>
      <w:r>
        <w:t>7.  Score residual welfare via RLS. Rank selectable options across the active 49-cell welfare matrix using HDW (or PLSS, where declared) weights and declared uncertainty method.</w:t>
      </w:r>
    </w:p>
    <w:p w14:paraId="2EE04219" w14:textId="77777777" w:rsidR="00733206" w:rsidRDefault="0083180D">
      <w:pPr>
        <w:spacing w:after="60"/>
        <w:ind w:left="720" w:hanging="360"/>
      </w:pPr>
      <w:r>
        <w:t>8.  Make weights, evidence, and uncertainty visible. Declare union weights, dimension weights, evidence quality, stakeholder input, expert adjustments, uncertainty bands, and sensitivity tests in the PCC.</w:t>
      </w:r>
    </w:p>
    <w:p w14:paraId="6C548A87" w14:textId="77777777" w:rsidR="00733206" w:rsidRDefault="0083180D">
      <w:pPr>
        <w:spacing w:after="60"/>
        <w:ind w:left="720" w:hanging="360"/>
      </w:pPr>
      <w:r>
        <w:t>9.  Model agents and incentives. Identify who might resist, game, distort, or route around the decision; record relevant audit flags and mitigation plans.</w:t>
      </w:r>
    </w:p>
    <w:p w14:paraId="025347E5" w14:textId="77777777" w:rsidR="00733206" w:rsidRDefault="0083180D">
      <w:pPr>
        <w:spacing w:after="60"/>
        <w:ind w:left="720" w:hanging="360"/>
      </w:pPr>
      <w:r>
        <w:t>10.  Produce an auditable decision record. Emit the Provenance and Compliance Certificate (PCC) with the Five-Sentence Public Rationale (5SPR) and any required containment, SGP, and stewardship disclosures.</w:t>
      </w:r>
    </w:p>
    <w:p w14:paraId="4FF9D091" w14:textId="77777777" w:rsidR="00733206" w:rsidRDefault="0083180D">
      <w:pPr>
        <w:spacing w:after="60"/>
        <w:ind w:left="720" w:hanging="360"/>
      </w:pPr>
      <w:r>
        <w:t>11.  Run NCAR. Notice, Choose, Act, Reflect. After implementation, evaluate outcomes, surface missed harms, revisit weights, and trigger governed update where evidence requires it.</w:t>
      </w:r>
    </w:p>
    <w:p w14:paraId="3DC3233E" w14:textId="77777777" w:rsidR="00EE3588" w:rsidRDefault="00F27945">
      <w:pPr>
        <w:pStyle w:val="Heading1"/>
      </w:pPr>
      <w:r>
        <w:t>Section 11A. A Simple Reading of the System</w:t>
      </w:r>
    </w:p>
    <w:p w14:paraId="022BE6D5" w14:textId="77777777" w:rsidR="00EE3588" w:rsidRDefault="00F27945">
      <w:r>
        <w:t>A simple act can still be read through the full architecture without overcomplication. Suppose a parent has money to buy a toy for their own child and notices another child nearby who has less. The parent could buy for their own child, buy for the other child, buy something shareable, save the money, or do nothing.</w:t>
      </w:r>
    </w:p>
    <w:p w14:paraId="69431CAB" w14:textId="77777777" w:rsidR="00EE3588" w:rsidRDefault="00F27945">
      <w:r>
        <w:t>MathGov does not command one sentimental answer. It asks for disciplined attention. Are any rights at stake? Is anyone being coerced, neglected, humiliated, or endangered? Is there any catastrophic risk? Usually not. Is there a containment issue, such as undermining the parent’s household obligations or creating unhealthy dependency? Usually minor, but still worth noticing. Then the decision moves into residual welfare: self, household, nearby community, social trust, meaning, and material cost.</w:t>
      </w:r>
    </w:p>
    <w:p w14:paraId="4EAFBB2B" w14:textId="77777777" w:rsidR="00EE3588" w:rsidRDefault="00F27945">
      <w:r>
        <w:t>In a low-stakes moment, the full calculation can be mental and lightweight. In a high-stakes policy decision, the same logic becomes formal, documented, and auditable. This is the point of tiers: the structure is stable, but rigor scales with consequence.</w:t>
      </w:r>
    </w:p>
    <w:p w14:paraId="46AC3271" w14:textId="77777777" w:rsidR="00EE3588" w:rsidRDefault="00F27945">
      <w:r>
        <w:t>The deeper lesson is that RippleLogic is not only for governments or AI systems. It trains attention. It asks: who is touched, what is protected, what could go wrong, what improves, what is uncertain, and what should be learned after action?</w:t>
      </w:r>
    </w:p>
    <w:p w14:paraId="57180060" w14:textId="77777777" w:rsidR="00733206" w:rsidRDefault="00733206">
      <w:r/>
    </w:p>
    <w:p w14:paraId="4ED34F39" w14:textId="77777777" w:rsidR="002B5F72" w:rsidRDefault="00F27945">
      <w:pPr>
        <w:pStyle w:val="Heading1"/>
      </w:pPr>
      <w:r>
        <w:t>Section 11B. Execution Stability in Plain Language</w:t>
      </w:r>
    </w:p>
    <w:p w14:paraId="1B930A36" w14:textId="77777777" w:rsidR="002B5F72" w:rsidRDefault="00F27945">
      <w:r>
        <w:t>A decision is not finished merely because an option can be described, scored, or technically executed. Before a consequence-bearing action becomes real, RippleLogic now asks one additional practical question: what kind of transition are we about to enter?</w:t>
      </w:r>
    </w:p>
    <w:p w14:paraId="72FB7E8C" w14:textId="77777777" w:rsidR="002B5F72" w:rsidRDefault="00F27945">
      <w:r>
        <w:t>The Execution Stability Diagnostic classifies the transition itself. It asks whether the move preserves viable continuation, requires monitoring, creates bounded destabilization, intentionally closes an endpoint, fails containment, or remains underdetermined. This helps prevent a system from treating execution as automatic just because a draft, instruction, or score exists.</w:t>
      </w:r>
    </w:p>
    <w:p w14:paraId="3532C542" w14:textId="77777777" w:rsidR="002B5F72" w:rsidRDefault="00F27945">
      <w:r>
        <w:t>This does not make stability the highest moral value. Some stable systems are unjust. Some necessary reforms temporarily disturb existing arrangements. RippleLogic therefore keeps the order clear: rights floors, catastrophic-risk bounds, containment, and legitimate authority come first. Stability is a diagnostic about the transition into consequence, not a permission slip to preserve oppression or avoid needed repair.</w:t>
      </w:r>
    </w:p>
    <w:p w14:paraId="77C64D50" w14:textId="77777777" w:rsidR="002B5F72" w:rsidRDefault="00F27945">
      <w:r>
        <w:t>Plain-language rule. Do not ask only, can this be done? Ask: should this transition become real, under this evidence, with these affected stakeholders, this reversibility profile, this monitoring plan, and this claim boundary?</w:t>
      </w:r>
    </w:p>
    <w:p w14:paraId="0D90FC30" w14:textId="77777777" w:rsidR="002B5F72" w:rsidRDefault="00F27945">
      <w:r>
        <w:t>Simple example. If an institution wants to deploy a new AI assistant, the ordinary cascade asks whether rights are protected, tail risk is bounded, containment is preserved, and welfare improves. The execution stability check then asks whether deployment is reversible, whether failure modes are monitored, whether users have recourse, whether the system can be rolled back, and whether any endpoint-like consequence is being created without proper authority.</w:t>
      </w:r>
    </w:p>
    <w:p w14:paraId="0E277650" w14:textId="77777777" w:rsidR="00733206" w:rsidRDefault="0083180D">
      <w:pPr>
        <w:pStyle w:val="Heading1"/>
      </w:pPr>
      <w:r>
        <w:t>Section 12. Posture: Structured Humility Under Reality</w:t>
      </w:r>
    </w:p>
    <w:p w14:paraId="1AF2895F" w14:textId="77777777" w:rsidR="00733206" w:rsidRDefault="0083180D">
      <w:pPr>
        <w:spacing w:after="120"/>
      </w:pPr>
      <w:r>
        <w:t>A decision is better when it protects rights, bounds catastrophic risk, preserves the integrity of containing systems, improves welfare across affected unions, makes uncertainty visible, preserves auditability, and remains open to correction.</w:t>
      </w:r>
    </w:p>
    <w:p w14:paraId="658CBEBA" w14:textId="77777777" w:rsidR="00733206" w:rsidRDefault="0083180D">
      <w:pPr>
        <w:spacing w:after="120"/>
      </w:pPr>
      <w:r>
        <w:t>More compactly: choose the action that creates the best defensible ripple across affected stakeholders without violating rights and without destabilizing the systems that make life possible.</w:t>
      </w:r>
    </w:p>
    <w:p w14:paraId="637DCEC5" w14:textId="77777777" w:rsidR="00733206" w:rsidRDefault="0083180D">
      <w:pPr>
        <w:spacing w:after="120"/>
      </w:pPr>
      <w:r>
        <w:t>The deeper posture of MathGov is not final truth by declaration. It is structured humility under reality. The framework declares its primitives, exposes its assumptions, protects its rights floors, models uncertainty, documents reasoning, and remains open to correction as better evidence and better models emerge.</w:t>
      </w:r>
    </w:p>
    <w:p w14:paraId="6C72364D" w14:textId="77777777" w:rsidR="00733206" w:rsidRDefault="0083180D">
      <w:pPr>
        <w:spacing w:after="120"/>
      </w:pPr>
      <w:r>
        <w:t>The goal is not perfect morality by calculation. The goal is to make ethical and governance decisions harder to corrupt, harder to hide, harder to capture, and easier to test against reality, so that intelligences (human, institutional, and eventually artificial) can align with reality, with rights, with long-term survival, and with the flourishing of interconnected life itself.</w:t>
      </w:r>
    </w:p>
    <w:p w14:paraId="749A26E6" w14:textId="77777777" w:rsidR="00733206" w:rsidRDefault="00733206">
      <w:r/>
    </w:p>
    <w:p w14:paraId="58D33A5E" w14:textId="77777777" w:rsidR="00733206" w:rsidRDefault="00733206">
      <w:pPr>
        <w:pBdr>
          <w:bottom w:val="single" w:sz="6" w:space="4" w:color="888888"/>
        </w:pBdr>
      </w:pPr>
      <w:r/>
    </w:p>
    <w:p w14:paraId="3A7308E2" w14:textId="77777777" w:rsidR="002B5F72" w:rsidRDefault="00F27945">
      <w:pPr>
        <w:pStyle w:val="Heading1"/>
      </w:pPr>
      <w:r>
        <w:t>Section 13. What v10.8 Integrates and Completes: Scoring Literacy, Stream Separation, SGP v5.5, and Release Boundaries</w:t>
      </w:r>
    </w:p>
    <w:p>
      <w:pPr/>
      <w:r>
        <w:t>Current completion note. Core Release 2026.07 contains RippleLogic Canon v10.8, SGP v5.5, ripple.md v3.6, Agent System v10.8, Primer v2.6, and Aligners Sheet v3.6. The line preserves the core cascade while adding decision-verdict hardening, openability repair, and the Reality Grounding and Lean Cascade Patch: structure-transition-consequence vocabulary, vehicle/content/effect separation, surface/territory discipline, status-vs-trace audit flags, and non-averagability derivation under finitude.</w:t>
      </w:r>
    </w:p>
    <w:p w14:paraId="6A288CAF" w14:textId="77777777" w:rsidR="002B5F72" w:rsidRDefault="00F27945">
      <w:r>
        <w:t>The v10.1–v10.8 methodology hardening does not change the soul of MathGov or the core RippleLogic cascade. It makes the scientific posture stricter. A high-stakes claim should not merely sound coherent, fit the past, or be compatible with observed outcomes. It should declare what would count against it before the evidence is used to protect it.</w:t>
      </w:r>
    </w:p>
    <w:p w14:paraId="30A9F376" w14:textId="77777777" w:rsidR="002B5F72" w:rsidRDefault="00F27945">
      <w:r>
        <w:t>The plain-language rule is simple: say what you are assuming, say what follows if the assumption is right, say what we should observe, say how much error is tolerated, and say when the claim must be refused, downgraded, or abandoned.</w:t>
      </w:r>
    </w:p>
    <w:p w14:paraId="02EDC033" w14:textId="77777777" w:rsidR="002B5F72" w:rsidRDefault="00F27945">
      <w:pPr>
        <w:pStyle w:val="Heading2"/>
      </w:pPr>
      <w:r>
        <w:t>13.1 The seven-step trace</w:t>
      </w:r>
    </w:p>
    <w:p w14:paraId="75F31F31" w14:textId="77777777" w:rsidR="002B5F72" w:rsidRDefault="00F27945">
      <w:r>
        <w:t>Primitive commitment → Operator → Regime → Projection → Observable consequence → Tolerance → Verdict.</w:t>
      </w:r>
    </w:p>
    <w:p w14:paraId="0B00A3A0" w14:textId="77777777" w:rsidR="002B5F72" w:rsidRDefault="00F27945">
      <w:pPr>
        <w:pStyle w:val="Heading2"/>
      </w:pPr>
      <w:r>
        <w:t>13.2 What this prevents</w:t>
      </w:r>
    </w:p>
    <w:p w14:paraId="3291EF3E" w14:textId="77777777" w:rsidR="002B5F72" w:rsidRDefault="00F27945">
      <w:r>
        <w:t>This prevents post-hoc rescue, category collapse, symbolic overconfidence, vague claims of validation, and the habit of calling a useful model proven. It also prevents the opposite error: refusing to act where a bounded, rights-preserving, reversible, and well-audited provisional action is justified.</w:t>
      </w:r>
    </w:p>
    <w:p w14:paraId="2393E741" w14:textId="77777777" w:rsidR="002B5F72" w:rsidRDefault="00F27945">
      <w:pPr>
        <w:pStyle w:val="Heading2"/>
      </w:pPr>
      <w:r>
        <w:t>13.3 What this does not claim</w:t>
      </w:r>
    </w:p>
    <w:p w14:paraId="7C1B7842" w14:textId="77777777" w:rsidR="002B5F72" w:rsidRDefault="00F27945">
      <w:r>
        <w:t>The v10.8 method does not claim final truth, perfect objectivity, complete prediction, or immunity from formal limits. It says something more practical: every serious claim must carry its own audit trail, evidence boundary, and reality-facing test.</w:t>
      </w:r>
    </w:p>
    <w:p w14:paraId="44E17F67" w14:textId="77777777" w:rsidR="002B5F72" w:rsidRDefault="00F27945">
      <w:pPr>
        <w:pStyle w:val="Heading2"/>
      </w:pPr>
      <w:r>
        <w:t>13.4 Binary Gates and Uncertain Evidence</w:t>
      </w:r>
    </w:p>
    <w:p w14:paraId="19E15CF9" w14:textId="77777777" w:rsidR="002B5F72" w:rsidRDefault="00F27945">
      <w:r>
        <w:t>MathGov and RippleLogic distinguish two ideas that are often confused. A decision gate can be binary, while the evidence used to evaluate that gate can still be uncertain.</w:t>
      </w:r>
    </w:p>
    <w:p w14:paraId="75B88C07" w14:textId="77777777" w:rsidR="002B5F72" w:rsidRDefault="00F27945">
      <w:r>
        <w:t>For example, a rights floor may pass or fail. A tail-risk corridor may be exceeded or not exceeded. A containment relation may hold or fail. But the evidence used to evaluate these gates can involve measurement error, incomplete models, probability estimates, contested data, or human judgment.</w:t>
      </w:r>
    </w:p>
    <w:p w14:paraId="43E0E500" w14:textId="77777777" w:rsidR="002B5F72" w:rsidRDefault="00F27945">
      <w:r>
        <w:t>The v10.8 rule is simple: do not pretend uncertainty is gone merely because the decision surface needs a yes/no answer. Binary gates make governance accountable. Evidence humility keeps the binary answer honest.</w:t>
      </w:r>
    </w:p>
    <w:p w14:paraId="25BDFF9A" w14:textId="77777777" w:rsidR="002B5F72" w:rsidRDefault="00F27945">
      <w:r>
        <w:t>When evidence is not strong enough to support the requested claim, RippleLogic should not force a confident decision. It should narrow the claim, request more evidence, escalate to review, or refuse the stronger claim. Refusal is not failure; it is the system refusing to turn uncertainty into false certainty.</w:t>
      </w:r>
    </w:p>
    <w:p w14:paraId="05037F2E" w14:textId="77777777" w:rsidR="002B5F72" w:rsidRDefault="00F27945">
      <w:r>
        <w:t>This is why high-stakes decisions must identify the transition being proposed, the affected scopes, the primitive assumptions, the projection path, the observable consequences, and the conditions that would trigger rollback or refusal before consequence-bearing execution.</w:t>
      </w:r>
    </w:p>
    <w:p w14:paraId="7232BF15" w14:textId="77777777" w:rsidR="002B5F72" w:rsidRPr="008101B9" w:rsidRDefault="00F27945">
      <w:pPr>
        <w:pStyle w:val="Heading1"/>
        <w:rPr>
          <w:bCs w:val="0"/>
        </w:rPr>
      </w:pPr>
      <w:r>
        <w:t>Section 14. What Is Mature Now, and What Still Requires Validation?</w:t>
      </w:r>
    </w:p>
    <w:p>
      <w:pPr/>
      <w:r>
        <w:t>Current maturity note. Canon v10.8 is complete as the current core specification for this release line. SGP v5.5 is complete as the current moral-status and protection protocol. ripple.md v3.6, Agent System v10.8, Primer v2.6, and Aligners Sheet v3.6 are synchronized companions. Biological SGP measurement remains guidance-stage rather than measurement-complete, and stronger empirical or ProofPack claims remain non-claimable without separate evidence.</w:t>
      </w:r>
    </w:p>
    <w:p w14:paraId="1FD96B63" w14:textId="77777777" w:rsidR="002B5F72" w:rsidRDefault="00F27945">
      <w:r>
        <w:t>RippleLogic is mature as an architecture and decision methodology for its declared Tier 1-3 scope, but not every measurement surface is equally mature. This distinction protects the framework from overclaiming and helps reviewers understand where deployment caution is required.</w:t>
      </w:r>
    </w:p>
    <w:p w14:paraId="72F97806" w14:textId="77777777" w:rsidR="002B5F72" w:rsidRPr="008101B9" w:rsidRDefault="00F27945">
      <w:pPr>
        <w:pStyle w:val="Heading2"/>
        <w:rPr>
          <w:bCs w:val="0"/>
        </w:rPr>
      </w:pPr>
      <w:r>
        <w:t>14.1 Mature now</w:t>
      </w:r>
    </w:p>
    <w:p w14:paraId="677E6DD2" w14:textId="77777777" w:rsidR="002B5F72" w:rsidRDefault="002B5F72">
      <w:r/>
    </w:p>
    <w:p w14:paraId="78480400" w14:textId="77777777" w:rsidR="002B5F72" w:rsidRDefault="00F27945">
      <w:r>
        <w:t>The cascade architecture is specified: rights floors first, then tail risk, containment, residual scoring, and structural diagnostics.</w:t>
      </w:r>
    </w:p>
    <w:p w14:paraId="7DCE77B8" w14:textId="77777777" w:rsidR="002B5F72" w:rsidRDefault="002B5F72">
      <w:r/>
    </w:p>
    <w:p w14:paraId="74D3DAA2" w14:textId="77777777" w:rsidR="002B5F72" w:rsidRDefault="00F27945">
      <w:r>
        <w:t>The claim-boundary language is explicit: GitHub-ready does not mean ProofPack-ready, Tier 4-ready, or empirically validated.</w:t>
      </w:r>
    </w:p>
    <w:p w14:paraId="7E775E60" w14:textId="77777777" w:rsidR="002B5F72" w:rsidRDefault="002B5F72">
      <w:r/>
    </w:p>
    <w:p w14:paraId="446C8DDF" w14:textId="77777777" w:rsidR="002B5F72" w:rsidRDefault="00F27945">
      <w:r>
        <w:t>The audit vocabulary is strong enough for worked-run disclosure and reviewer challenge.</w:t>
      </w:r>
    </w:p>
    <w:p w14:paraId="138B8DBD" w14:textId="77777777" w:rsidR="002B5F72" w:rsidRPr="008101B9" w:rsidRDefault="00F27945">
      <w:pPr>
        <w:pStyle w:val="Heading2"/>
        <w:rPr>
          <w:bCs w:val="0"/>
        </w:rPr>
      </w:pPr>
      <w:r>
        <w:t>14.2 Still requiring validation</w:t>
      </w:r>
    </w:p>
    <w:p w14:paraId="6BC94A73" w14:textId="77777777" w:rsidR="002B5F72" w:rsidRDefault="002B5F72">
      <w:r/>
    </w:p>
    <w:p w14:paraId="2439FFDC" w14:textId="77777777" w:rsidR="002B5F72" w:rsidRDefault="00F27945">
      <w:r>
        <w:t>UCI is load-bearing, but cross-domain validated UCI instruments are not yet published.</w:t>
      </w:r>
    </w:p>
    <w:p w14:paraId="60196BEB" w14:textId="77777777" w:rsidR="002B5F72" w:rsidRDefault="002B5F72">
      <w:r/>
    </w:p>
    <w:p w14:paraId="4A4DFDC6" w14:textId="77777777" w:rsidR="002B5F72" w:rsidRDefault="00F27945">
      <w:r>
        <w:t>Kernel propagation is design-ready, but domain-calibrated and backtested kernels remain future work.</w:t>
      </w:r>
    </w:p>
    <w:p w14:paraId="2D0D61E2" w14:textId="77777777" w:rsidR="002B5F72" w:rsidRDefault="002B5F72">
      <w:r/>
    </w:p>
    <w:p w14:paraId="7570E37B" w14:textId="77777777" w:rsidR="002B5F72" w:rsidRDefault="00F27945">
      <w:r>
        <w:t>SGP biological evaluation is protection-useful, but individualized biological measurement requires species-appropriate annexes and expert validation.</w:t>
      </w:r>
    </w:p>
    <w:p w14:paraId="06D3D15C" w14:textId="77777777" w:rsidR="002B5F72" w:rsidRDefault="002B5F72">
      <w:r/>
    </w:p>
    <w:p w14:paraId="07136AA7" w14:textId="77777777" w:rsidR="002B5F72" w:rsidRDefault="00F27945">
      <w:r>
        <w:t>HDW can expose weights, but institutional capture must be actively audited rather than assumed away.</w:t>
      </w:r>
    </w:p>
    <w:p w14:paraId="0EEF2CF0" w14:textId="77777777" w:rsidR="002B5F72" w:rsidRDefault="002B5F72">
      <w:r/>
    </w:p>
    <w:p w14:paraId="089BA35F" w14:textId="77777777" w:rsidR="002B5F72" w:rsidRDefault="00F27945">
      <w:r>
        <w:t>PLSS keeps local decisions practical, but escalation triggers must be visible so local convenience does not hide non-local harm.</w:t>
      </w:r>
    </w:p>
    <w:p w14:paraId="55D71F1E" w14:textId="77777777" w:rsidR="002B5F72" w:rsidRPr="008101B9" w:rsidRDefault="00F27945">
      <w:pPr>
        <w:pStyle w:val="Heading2"/>
        <w:rPr>
          <w:bCs w:val="0"/>
        </w:rPr>
      </w:pPr>
      <w:r>
        <w:t>14.3 Plain-language rule</w:t>
      </w:r>
    </w:p>
    <w:p w14:paraId="38D1B729" w14:textId="77777777" w:rsidR="002B5F72" w:rsidRDefault="00F27945">
      <w:r>
        <w:t>The framework may be structurally ready before every instrument is fully validated. Good governance requires both: use the architecture now where appropriate, but disclose the maturity of the evidence, measurements, kernels, institutions, and escalation mechanisms behind each claim.</w:t>
      </w:r>
    </w:p>
    <w:p w14:paraId="606C83FF" w14:textId="77777777" w:rsidR="002B5F72" w:rsidRDefault="00F27945">
      <w:pPr>
        <w:pStyle w:val="Heading2"/>
      </w:pPr>
      <w:r>
        <w:t>14.4 Cross-Artifact Concept Map</w:t>
      </w:r>
    </w:p>
    <w:p w14:paraId="3E10C140" w14:textId="77777777" w:rsidR="002B5F72" w:rsidRDefault="00F27945">
      <w:pPr/>
      <w:r>
        <w:t>RippleLogic Canon v10.8 is the governing artifact. It defines the cascade, equations, admissibility gates, PCC requirements, claim boundaries, conformance vocabulary, reality-grounding records, schema ownership boundaries, and machine-readable registry expectations.</w:t>
      </w:r>
    </w:p>
    <w:p w14:paraId="23D29882" w14:textId="77777777" w:rsidR="002B5F72" w:rsidRDefault="00F27945">
      <w:pPr/>
      <w:r>
        <w:t>SGP v5.5 is the companion moral-status and protection protocol. It provides welfare-relevant protection scalars and evidence objects. It does not grant governance authority and does not override RippleLogic admissibility gates.</w:t>
      </w:r>
    </w:p>
    <w:p w14:paraId="6131680D" w14:textId="77777777" w:rsidR="002B5F72" w:rsidRDefault="00F27945">
      <w:pPr/>
      <w:r>
        <w:t>ripple.md v3.6 is the portable alignment contract and assurance wrapper. It helps implementations record evidence, decision notes, update legitimacy, reality-grounding fields, refusal conditions, and deployment assurance. It does not replace the Canon.</w:t>
      </w:r>
    </w:p>
    <w:p w14:paraId="3F7196BC" w14:textId="77777777" w:rsidR="002B5F72" w:rsidRDefault="00F27945">
      <w:pPr/>
      <w:r>
        <w:t>RippleLogic Agent System v10.8 governs agent deployment, security posture, mode control, operator authority, audit logging, reality-reference closure, refusal, rollback, and runtime conformance. It does not authorize an agent to bypass the Canon.</w:t>
      </w:r>
    </w:p>
    <w:p w14:paraId="03B0863D" w14:textId="77777777" w:rsidR="002B5F72" w:rsidRDefault="00F27945">
      <w:pPr/>
      <w:r>
        <w:t>Ripple Aligners Sheet v3.6 is a worked-run exemplar and training companion. It helps users inspect and replay a sample run, including FrameworkVerdict and RealityGroundingStatus surfaces. It is not a ProofPack, semantic validator, or reference calculator.</w:t>
      </w:r>
    </w:p>
    <w:p w14:paraId="261A80C4" w14:textId="77777777" w:rsidR="002B5F72" w:rsidRDefault="00F27945">
      <w:pPr/>
      <w:r>
        <w:t>Foundations Primer v2.6 is explanatory and carries no normative force. It helps readers understand MathGov and RippleLogic in plain language.</w:t>
      </w:r>
    </w:p>
    <w:p w14:paraId="61CAB84B" w14:textId="77777777" w:rsidR="002B5F72" w:rsidRDefault="00F27945">
      <w:r>
        <w:t>Release-integrity files document the release package. They verify file integrity and packaging claims, but they do not provide empirical validation or ProofPack readiness.</w:t>
      </w:r>
    </w:p>
    <w:p w14:paraId="390CEDF6" w14:textId="77777777" w:rsidR="002B5F72" w:rsidRDefault="00F27945">
      <w:r>
        <w:t>Machine-readable registries, schemas, CI checks, reference calculators, and calibration packs are tooling-line ProofPack-prep surfaces. Unless separately listed in the release manifest, they are not bundled in the v10.8 core foundation release. They improve machine-checkability and replay readiness but do not by themselves create Tier 4 readiness.</w:t>
      </w:r>
    </w:p>
    <w:p w14:paraId="4011D29B" w14:textId="77777777" w:rsidR="002B5F72" w:rsidRDefault="00F27945">
      <w:pPr/>
      <w:r>
        <w:t>Foundations Primer v2.6 is informative and carries no normative force.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06C94ECB" w14:textId="77777777" w:rsidR="002B5F72" w:rsidRDefault="00F27945">
      <w:pPr>
        <w:pStyle w:val="Heading2"/>
      </w:pPr>
      <w:r>
        <w:t>14.5 What Changes in Practice</w:t>
      </w:r>
    </w:p>
    <w:p w14:paraId="73E063FC" w14:textId="77777777" w:rsidR="002B5F72" w:rsidRDefault="00F27945">
      <w:r>
        <w:t>A RippleLogic-informed decision process changes institutional practice in five concrete ways.</w:t>
      </w:r>
    </w:p>
    <w:p w14:paraId="0268BB21" w14:textId="77777777" w:rsidR="002B5F72" w:rsidRDefault="002B5F72">
      <w:r/>
    </w:p>
    <w:p w14:paraId="06DF88C7" w14:textId="77777777" w:rsidR="002B5F72" w:rsidRDefault="00F27945">
      <w:r>
        <w:t>First, rights floors are checked before welfare optimization. A high-scoring option cannot rescue a rights violation.</w:t>
      </w:r>
    </w:p>
    <w:p w14:paraId="488EFF14" w14:textId="77777777" w:rsidR="002B5F72" w:rsidRDefault="002B5F72">
      <w:r/>
    </w:p>
    <w:p w14:paraId="30DC895C" w14:textId="77777777" w:rsidR="002B5F72" w:rsidRDefault="00F27945">
      <w:r>
        <w:t>Second, catastrophic tail risk is checked before ordinary ranking. Expected benefits cannot erase unacceptable catastrophic exposure.</w:t>
      </w:r>
    </w:p>
    <w:p w14:paraId="178E5695" w14:textId="77777777" w:rsidR="002B5F72" w:rsidRDefault="002B5F72">
      <w:r/>
    </w:p>
    <w:p w14:paraId="4A9C4288" w14:textId="77777777" w:rsidR="002B5F72" w:rsidRDefault="00F27945">
      <w:r>
        <w:t>Third, local gains must be tested against containing systems. A decision that helps a local actor while degrading a household, institution, polity, humanity, or biosphere-level support system requires escalation or refusal.</w:t>
      </w:r>
    </w:p>
    <w:p w14:paraId="67B14248" w14:textId="77777777" w:rsidR="002B5F72" w:rsidRDefault="002B5F72">
      <w:r/>
    </w:p>
    <w:p w14:paraId="1648AD0F" w14:textId="77777777" w:rsidR="002B5F72" w:rsidRDefault="00F27945">
      <w:r>
        <w:t>Fourth, uncertainty is not hidden. Weak evidence, missing indicators, unresolved maturity limits, and underdetermined projections must be disclosed.</w:t>
      </w:r>
    </w:p>
    <w:p w14:paraId="7D23D750" w14:textId="77777777" w:rsidR="002B5F72" w:rsidRDefault="002B5F72">
      <w:r/>
    </w:p>
    <w:p w14:paraId="6308011C" w14:textId="77777777" w:rsidR="002B5F72" w:rsidRDefault="00F27945">
      <w:r>
        <w:t>Fifth, the decision record becomes auditable. The system records what was considered, what was excluded, which evidence was used, which assumptions were made, which gates passed or failed, and why selection or refusal occurred.</w:t>
      </w:r>
    </w:p>
    <w:p w14:paraId="451F827D" w14:textId="77777777" w:rsidR="002B5F72" w:rsidRDefault="00F27945">
      <w:pPr>
        <w:pStyle w:val="Heading1"/>
      </w:pPr>
      <w:r>
        <w:t>Section 15. Practical Validation Path and Civilizational-OS Boundary</w:t>
      </w:r>
    </w:p>
    <w:p w14:paraId="64DDBDCA" w14:textId="77777777" w:rsidR="002B5F72" w:rsidRDefault="00F27945">
      <w:pPr>
        <w:pStyle w:val="Heading2"/>
      </w:pPr>
      <w:r>
        <w:t>15.1 Civilizational OS as aspiration, not proven status</w:t>
      </w:r>
    </w:p>
    <w:p w14:paraId="29C6DA0E" w14:textId="77777777" w:rsidR="002B5F72" w:rsidRDefault="00F27945">
      <w:r>
        <w:t>MathGov may be described as a proposed ethical operating system or civilizational operating-system candidate when speaking about its design ambition. That language should remain subordinate to the evidence. The current claimable status is more modest: MathGov/RippleLogic is a governance-and-alignment research program with a partially calculable ethical decision architecture, an assurance wrapper, and an agent governance companion.</w:t>
      </w:r>
    </w:p>
    <w:p w14:paraId="4CA82599" w14:textId="77777777" w:rsidR="002B5F72" w:rsidRDefault="00F27945">
      <w:pPr>
        <w:pStyle w:val="Heading2"/>
      </w:pPr>
      <w:r>
        <w:t>15.2 Protection is not participation</w:t>
      </w:r>
    </w:p>
    <w:p w14:paraId="69B7489A" w14:textId="77777777" w:rsidR="002B5F72" w:rsidRDefault="00F27945">
      <w:r>
        <w:t>SGP is clearest when it separates moral patienthood from governance participation. A being can deserve protection even if it cannot deliberate, communicate, vote, govern, or carry stewardship responsibility. This is especially important for animals, infants, cognitively atypical humans, non-linguistic minds, and future artificial or hybrid systems.</w:t>
      </w:r>
    </w:p>
    <w:p w14:paraId="37693CF9" w14:textId="77777777" w:rsidR="002B5F72" w:rsidRDefault="00F27945">
      <w:pPr>
        <w:pStyle w:val="Heading2"/>
      </w:pPr>
      <w:r>
        <w:t>15.3 Evidence labels for ordinary users</w:t>
      </w:r>
    </w:p>
    <w:p w14:paraId="5B54EE0D" w14:textId="77777777" w:rsidR="002B5F72" w:rsidRDefault="00F27945">
      <w:r>
        <w:t>When MathGov displays a number or score, users should be able to see whether the value was measured, estimated, assumed, expert-judged, contested, unvalidated, not observed, or only a sensitivity placeholder. This reduces false precision and helps people understand what the system knows, what it guesses, and what it has not yet proven.</w:t>
      </w:r>
    </w:p>
    <w:p w14:paraId="643D6181" w14:textId="77777777" w:rsidR="002B5F72" w:rsidRDefault="00F27945">
      <w:pPr>
        <w:pStyle w:val="Heading2"/>
      </w:pPr>
      <w:r>
        <w:t>15.4 Compact profiles</w:t>
      </w:r>
    </w:p>
    <w:p w14:paraId="21D28A93" w14:textId="77777777" w:rsidR="002B5F72" w:rsidRDefault="00F27945">
      <w:r>
        <w:t>For practical adoption, MathGov should be offered through compact profiles: policy review, procurement review, AI deployment review, university AI policy review, and family/community decision support. These profiles can simplify the process, but they cannot waive rights floors, catastrophic-risk checks, containment, refusal, or public accountability.</w:t>
      </w:r>
    </w:p>
    <w:p w14:paraId="251AF4C8" w14:textId="77777777" w:rsidR="002B5F72" w:rsidRDefault="00F27945">
      <w:pPr>
        <w:pStyle w:val="Heading1"/>
      </w:pPr>
      <w:r>
        <w:t>Section 16. Why v10.8 Focuses on Integration, Not Grand Claims</w:t>
      </w:r>
    </w:p>
    <w:p w14:paraId="162D6C28" w14:textId="77777777" w:rsidR="002B5F72" w:rsidRDefault="00F27945">
      <w:r>
        <w:t>The next meaningful improvement is not a larger claim about civilization. It is better integration: making sure evidence labels, SGP protection boundaries, compact profiles, workbook sanity checks, and release verification all point to the same disciplined claim boundary.</w:t>
      </w:r>
    </w:p>
    <w:p w14:paraId="679B09A7" w14:textId="77777777" w:rsidR="002B5F72" w:rsidRDefault="00F27945">
      <w:r>
        <w:t>A framework can become more trustworthy by saying less, checking more, and refusing false certainty. The v10.8 line should be read in that spirit: a clearer, more integrated release foundation, not a claim of empirical completion.</w:t>
      </w:r>
    </w:p>
    <w:p w14:paraId="41CE44AD" w14:textId="77777777" w:rsidR="002B5F72" w:rsidRDefault="00F27945">
      <w:r>
        <w:t>The practical path remains: reference calculator, schemas, test vectors, replayable PCC examples, independent reconstruction, inter-rater reliability, and shadow-mode pilots.</w:t>
      </w:r>
    </w:p>
    <w:p w14:paraId="212D881A" w14:textId="77777777" w:rsidR="002B5F72" w:rsidRDefault="00F27945">
      <w:pPr>
        <w:pStyle w:val="Heading1"/>
      </w:pPr>
      <w:r>
        <w:t>Section 17. What the Core Foundation Does and Does Not Include</w:t>
      </w:r>
    </w:p>
    <w:p w14:paraId="6ACB0C75" w14:textId="77777777" w:rsidR="002B5F72" w:rsidRDefault="00F27945">
      <w:r>
        <w:t>The core foundation explains the decision architecture, claim boundaries, and public-facing logic of MathGov and RippleLogic. It does not bundle all technical tooling by itself. Schemas, calculators, validators, machine-readable test vectors, evidence-hash registries, and replayable PCC examples belong in companion tooling releases unless explicitly included in the release manifest.</w:t>
      </w:r>
    </w:p>
    <w:p w14:paraId="0AA9DB7E" w14:textId="77777777" w:rsidR="002B5F72" w:rsidRDefault="00F27945">
      <w:r>
        <w:t>The practical path is staged: v10.8 is the clean core foundation; the v10.8 tooling line develops replayability; later empirical releases must test inter-rater reliability, reconstructability, and shadow-mode pilots before stronger operational-readiness claims are made.</w:t>
      </w:r>
    </w:p>
    <w:p w14:paraId="31563556" w14:textId="77777777" w:rsidR="002B5F72" w:rsidRDefault="00F27945">
      <w:r>
        <w:t>Final release-readiness interpretation. This primer is release-clean as an informative explanatory companion only. It should not be cited as a normative source of conformance, empirical validation, ProofPack readiness, machine-verifiable ecosystem completeness, or Tier 4 readiness.</w:t>
      </w:r>
    </w:p>
    <w:p w14:paraId="5348DF6F" w14:textId="77777777" w:rsidR="00733206" w:rsidRDefault="0083180D">
      <w:pPr>
        <w:pStyle w:val="Heading2"/>
      </w:pPr>
      <w:r>
        <w:t>Glossary Binding</w:t>
      </w:r>
    </w:p>
    <w:p w14:paraId="2DB09232" w14:textId="77777777" w:rsidR="00733206" w:rsidRDefault="0083180D">
      <w:pPr>
        <w:spacing w:after="120"/>
      </w:pPr>
      <w:r>
        <w:t>All technical terms used in this primer (NCRC, TRC, Containment, RLS, UCI, HOI, PCC, NCAR, HDW, PLSS, SGP, SG_norm, SG_patient_norm, plateau, rights-admissible, admissible, selectable, selected, Refusal, ProjectionPreRegistration, ComputationalClosure, CategoryCollapseSelfTest, RealityGroundingRecord, RealityGroundingStatus, CMIU, UBR, UBE, MNA, Bridge Premises, Stewardship, Execution Stability Diagnostic, PCC.ExecutionStabilityRecord, ESC_STABLE, ESC_DESTABILIZING_BOUNDED, ESC_ENDPOINT_REFUSED, ESC_UNDERDETERMINED, ripple.md, Aligners) are defined canonically in RippleLogic Canon v10.8 Appendix L and SGP v5.5. This primer defers to those definitions and adds none of its own.</w:t>
      </w:r>
    </w:p>
    <w:p w14:paraId="69E55F14" w14:textId="77777777" w:rsidR="00733206" w:rsidRDefault="0083180D">
      <w:pPr>
        <w:pStyle w:val="Heading2"/>
      </w:pPr>
      <w:r>
        <w:t>Version History</w:t>
      </w:r>
    </w:p>
    <w:p>
      <w:pPr/>
      <w:r>
        <w:t>v2.6 (Informative). Synchronized to Core Release 2026.07 and companion artifacts: RippleLogic Canon v10.8 / SGP v5.5 / ripple.md v3.6 / Agent System v10.8 / Aligners Sheet v3.6. Added the Reality Grounding and Lean Cascade Patch, Category Grounding / Primitive Audit explanation, structure-transition-consequence vocabulary, measurement-maturity and deployment-context clarification, HDW capture, PLSS escalation, UCI readiness, kernel posture, biological SGP maturity, and release-boundary cleanup.</w:t>
      </w:r>
    </w:p>
    <w:p w14:paraId="2B4E1AED" w14:textId="77777777" w:rsidR="002B5F72" w:rsidRDefault="00F27945">
      <w:r>
        <w:t>v2.1 (Informative). Re-pinned to RippleLogic Canon v10.1 / SGP v4.9 / ripple.md v3.1 / Agent System v10.1 / Aligners v3.1; added transition-admissibility and evidence-humility explanation. No normative claims added; companion-to-canon role unchanged.</w:t>
      </w:r>
    </w:p>
    <w:p w14:paraId="6E6BB5B6" w14:textId="77777777" w:rsidR="002B5F72" w:rsidRDefault="002B5F72">
      <w:r/>
    </w:p>
    <w:p w14:paraId="3526E920" w14:textId="77777777" w:rsidR="002B5F72" w:rsidRDefault="00F27945">
      <w:r>
        <w:t>v2.0 (Informative). Promoted from v1.5 to v2.0 to reflect added Section 13 (What v10.0 Adds: Reality-Coupled Methodology) and re-pinning to RippleLogic Canon v10.0 / SGP v4.8 / ripple.md v3.0 / Agent System v10.0 / Aligners v3.0. No normative claims added; companion-to-canon role unchanged.</w:t>
      </w:r>
    </w:p>
    <w:p w14:paraId="30CA3A95" w14:textId="77777777" w:rsidR="002B5F72" w:rsidRDefault="00F27945">
      <w:r>
        <w:t>v1.5 (Informative). Added a plain-language Execution Stability section, updated release-line pins to v10.0 / SGP v4.8 / ripple.md v3.0, and clarified that stability is a transition diagnostic subordinate to rights, tail-risk, containment, and legitimate authority.</w:t>
      </w:r>
    </w:p>
    <w:p w14:paraId="59362451" w14:textId="77777777" w:rsidR="00EE3588" w:rsidRDefault="00F27945">
      <w:r>
        <w:t>v1.4 (Informative). Strengthened the reader guide, added explicit layer discipline, softened union language to avoid final-ontology overclaiming, clarified Refusal in plain language, added a simple low-stakes reading example, expanded glossary binding for v9.6.5 hardening terms, and preserved the v9.6.5 / SGP v4.7.2 / ripple.md v2.3.5 companion line.</w:t>
      </w:r>
    </w:p>
    <w:p w14:paraId="0D1C2E7E" w14:textId="77777777" w:rsidR="00733206" w:rsidRDefault="0083180D">
      <w:pPr>
        <w:spacing w:after="120"/>
      </w:pPr>
      <w:r>
        <w:t>v1.1.1 (Informative). Final-fix release. Corrected Section 10 subsection numbering from 9.x to 10.x (carry-over from v1.1.0 renumbering). Replaced docx-js auto-numbering with manually-prefixed paragraphs in Section 6 and Section 11 to fix a rendering issue where some viewers reset every list item to "1." Softened the intelligence-and-isolation passage in Section 4 to avoid unnecessary objections about AI embodiment and absolute scientific claims.</w:t>
      </w:r>
    </w:p>
    <w:p w14:paraId="0D303CF1" w14:textId="77777777" w:rsidR="00733206" w:rsidRDefault="0083180D">
      <w:pPr>
        <w:spacing w:after="120"/>
      </w:pPr>
      <w:r>
        <w:t>v1.1.0 (Informative). Added Section 4, Union as a Reality Principle. This section unpacks the meaning of UBR for educated general readers, distinguishes union from sameness, names the asymmetric propagation of harm and care, and explicitly rules out three common misreadings: cosmic merger, required opposition (false balance), and collectivist dissolution. Sections 5 through 12 are the v1.0.0 sections renumbered.</w:t>
      </w:r>
    </w:p>
    <w:p w14:paraId="0E9EA0A0" w14:textId="77777777" w:rsidR="00733206" w:rsidRDefault="0083180D">
      <w:pPr>
        <w:spacing w:after="120"/>
      </w:pPr>
      <w:r>
        <w:t>v1.0.0 (Informative). Initial Foundations Primer companion to RippleLogic Canon v9.6.5. Established twelve-primitive, eleven-assumption structure with explicit boundary statement, cascade naming, decision-state vocabulary, critical separations, SGP plateau and scalar binding sections, and eleven-step operating sequence including PCC and NCAR.</w:t>
      </w:r>
    </w:p>
    <w:p w14:paraId="788DB05C" w14:textId="77777777" w:rsidR="00EE03CA" w:rsidRDefault="000208FA">
      <w:pPr>
        <w:pStyle w:val="Heading1"/>
      </w:pPr>
      <w:r>
        <w:t>Appendix A: Position, Precedence, and Release Package</w:t>
      </w:r>
    </w:p>
    <w:p w14:paraId="6EB3AB16" w14:textId="77777777" w:rsidR="00EE03CA" w:rsidRDefault="000208FA">
      <w:r>
        <w:t>This appendix preserves the primer’s informative status, pinning, reader guide, and release-package orientation moved out of the opening pages in v2.6. It does not create normative force and does not alter the Canon.</w:t>
      </w:r>
    </w:p>
    <w:p w14:paraId="6DD66147" w14:textId="77777777" w:rsidR="00733206" w:rsidRDefault="0083180D">
      <w:pPr>
        <w:pStyle w:val="Heading1"/>
      </w:pPr>
      <w:r>
        <w:t>Section 0. Position and Precedence</w:t>
      </w:r>
    </w:p>
    <w:p w14:paraId="545ECD4A" w14:textId="77777777" w:rsidR="00733206" w:rsidRDefault="0083180D">
      <w:pPr>
        <w:spacing w:after="120"/>
      </w:pPr>
      <w:r>
        <w:t>This document is an Informative companion to MathGov / RippleLogic Core Release 2026.07, governed by RippleLogic Canon v10.8. Its purpose is to make the foundations of MathGov, RippleLogic, and the Sentience Gradient Protocol (SGP) understandable to educated human readers in plain language, without weakening or replacing the normative content of the Canon.</w:t>
      </w:r>
    </w:p>
    <w:p w14:paraId="53F66A52" w14:textId="77777777" w:rsidR="00733206" w:rsidRDefault="0083180D">
      <w:pPr>
        <w:spacing w:after="120"/>
      </w:pPr>
      <w:r>
        <w:t>Normative status: This document is Informative. It carries no normative force. Where any sentence in this primer appears to conflict with the canonical specifications, the canonical specifications govern in the order set out in Canon Section 0.1.</w:t>
      </w:r>
    </w:p>
    <w:p w14:paraId="2F59AED8" w14:textId="77777777" w:rsidR="00733206" w:rsidRDefault="0083180D">
      <w:pPr>
        <w:spacing w:after="120"/>
      </w:pPr>
      <w:r>
        <w:t>Pinning: This primer is pinned to RippleLogic Canon v10.8, SGP v5.5, ripple.md Standard v3.6, RippleLogic Agent System v10.8, and Aligners Sheet v3.6. Any successor release line should re-pin this primer or supersede it explicitly.</w:t>
      </w:r>
    </w:p>
    <w:p w14:paraId="1E957341" w14:textId="77777777" w:rsidR="00733206" w:rsidRDefault="0083180D">
      <w:pPr>
        <w:spacing w:after="120"/>
      </w:pPr>
      <w:r>
        <w:t>Audience: Policy practitioners, governance reviewers, legal staff, public-sector technologists, and educated general readers who need to understand what MathGov claims, what it does not claim, and how its decision architecture works in operational terms.</w:t>
      </w:r>
    </w:p>
    <w:p w14:paraId="667355D5" w14:textId="77777777" w:rsidR="00EE3588" w:rsidRDefault="00F27945">
      <w:r>
        <w:t>This primer is explanatory only and does not itself create conformance claims; release identity, claim scope, and normative force remain governed by the pinned canonical artifacts and release manifest.</w:t>
      </w:r>
    </w:p>
    <w:p w14:paraId="71B0C8AF" w14:textId="77777777" w:rsidR="00EE3588" w:rsidRDefault="00F27945">
      <w:pPr>
        <w:pStyle w:val="Heading2"/>
      </w:pPr>
      <w:r>
        <w:t>Reader Guide</w:t>
      </w:r>
    </w:p>
    <w:p w14:paraId="260FC887" w14:textId="77777777" w:rsidR="00EE3588" w:rsidRDefault="00F27945">
      <w:r>
        <w:t>If you are new to MathGov, read Sections 1, 2, 4, 7, 8, and 12 first. These sections explain the purpose, boundaries, union logic, cascade, decision states, and governing posture of the framework in plain language.</w:t>
      </w:r>
    </w:p>
    <w:p w14:paraId="468CACB3" w14:textId="77777777" w:rsidR="00EE3588" w:rsidRDefault="00F27945">
      <w:r>
        <w:t>If you are reviewing the system for technical or institutional use, read Sections 3, 3A, 3B, 5, 9, 10, 11, and 13 next. These sections identify the declared primitives, assumptions, critical separations, SGP interface, and operating sequence.</w:t>
      </w:r>
    </w:p>
    <w:p w14:paraId="1DCA17B6" w14:textId="77777777" w:rsidR="00EE3588" w:rsidRDefault="00F27945">
      <w:r>
        <w:t>If a term in this primer appears to conflict with the canon, the canon controls. This primer is an explanatory bridge, not the source of normative force.</w:t>
      </w:r>
    </w:p>
    <w:p w14:paraId="7DB759F5" w14:textId="77777777" w:rsidR="00EE03CA" w:rsidRDefault="000208FA">
      <w:r>
        <w:t>How to read the release package</w:t>
      </w:r>
    </w:p>
    <w:p w14:paraId="7E030CA7" w14:textId="77777777" w:rsidR="00EE03CA" w:rsidRDefault="000208FA">
      <w:r>
        <w:t>The Canon is the governing specification. SGP is the moral-status and protection protocol. ripple.md is the portable wrapper and assurance contract. The Agent System is the deployment-control architecture. The Aligners Sheet is a worked-run exemplar and training companion, not a validator. The Methodology Summary explains what changed. The Release Claims and Non-Claims Statement explains what is and is not being claimed publicly.</w:t>
      </w:r>
    </w:p>
    <w:p w14:paraId="56095E39" w14:textId="77777777" w:rsidR="00EE03CA" w:rsidRDefault="000208FA">
      <w:r>
        <w:t>A simple rule: the core tells you what the system is; the companion files tell you how to understand, test, audit, and eventually validate it.</w:t>
      </w:r>
    </w:p>
    <w:p>
      <w:r/>
    </w:p>
    <w:p>
      <w:r/>
    </w:p>
    <w:p>
      <w:r/>
    </w:p>
    <w:p>
      <w:r/>
    </w:p>
    <w:p>
      <w:r/>
    </w:p>
    <w:p>
      <w:pPr>
        <w:pStyle w:val="Heading1"/>
      </w:pPr>
      <w:r>
        <w:t>Section 18. v2.6 Update: Computable Is Not Automatically Admissible</w:t>
      </w:r>
    </w:p>
    <w:p>
      <w:pPr>
        <w:pStyle w:val="Heading2"/>
      </w:pPr>
      <w:r>
        <w:t>18.1 Plain-language rule</w:t>
      </w:r>
    </w:p>
    <w:p>
      <w:r>
        <w:t>MathGov v10.8 adds one important clarity rule: a number can exist without being allowed to decide. A spreadsheet can calculate a score for an option that already failed rights protection. An AI can produce a confident recommendation that lacks authority. A sentience score can be estimated while still being too immature for a strong claim. In those cases, the output is computable but inadmissible.</w:t>
      </w:r>
    </w:p>
    <w:p>
      <w:pPr>
        <w:pStyle w:val="Heading2"/>
      </w:pPr>
      <w:r>
        <w:t>18.2 Why this matters</w:t>
      </w:r>
    </w:p>
    <w:p>
      <w:r>
        <w:t>This protects the framework from false precision. It prevents dashboards, agents, and reports from laundering weak evidence or failed gates into strong decisions. MathGov remains calculable, but calculation remains subordinate to rights, evidence, containment, lawful authority, and claim boundaries.</w:t>
      </w:r>
    </w:p>
    <w:p>
      <w:pPr>
        <w:pStyle w:val="Heading2"/>
      </w:pPr>
      <w:r>
        <w:t>18.3 Adaptive reserve</w:t>
      </w:r>
    </w:p>
    <w:p>
      <w:r>
        <w:t>The v10.8 line also adds an Adaptive Reserve diagnostic. Some systems fail because they are too chaotic; others fail because they are too tightly optimized and have no slack left. A decision can look efficient while making a family, institution, ecosystem, or society brittle. Adaptive Reserve asks whether enough recovery capacity, redundancy, attention, and reversibility remain after the decision.</w:t>
      </w:r>
    </w:p>
    <w:p>
      <w:pPr>
        <w:pStyle w:val="Heading2"/>
      </w:pPr>
      <w:r>
        <w:t>18.4 v2.6 release delta</w:t>
      </w:r>
    </w:p>
    <w:p>
      <w:pPr/>
      <w:r>
        <w:t>The Primer v2.6 explains the Canon v10.8 / SGP v5.5 layer-discipline update in plain language, including Canon Appendix AE. It remains informative only and does not replace the Canon, SGP, ripple.md, Agent System, or Aligners Sheet.</w:t>
      </w:r>
    </w:p>
    <w:p>
      <w:pPr>
        <w:pStyle w:val="Heading1"/>
        <w:spacing w:after="120" w:line="259" w:lineRule="auto"/>
        <w:jc w:val="left"/>
      </w:pPr>
      <w:r>
        <w:t>Section 19. v2.6.1 Update: Framework Verdict Is Not Authority Selection</w:t>
      </w:r>
    </w:p>
    <w:p>
      <w:pPr>
        <w:pStyle w:val="Heading2"/>
        <w:spacing w:after="120" w:line="259" w:lineRule="auto"/>
        <w:jc w:val="left"/>
      </w:pPr>
      <w:r>
        <w:t>19.1 Plain-language rule</w:t>
      </w:r>
    </w:p>
    <w:p>
      <w:pPr>
        <w:spacing w:after="120" w:line="259" w:lineRule="auto"/>
        <w:jc w:val="left"/>
      </w:pPr>
      <w:r>
        <w:t>MathGov can say what is blocked, what remains admissible, what is non-decisive, and what requires review. When human, institutional, democratic, expert, emergency, or operator judgment chooses among admissible non-decisive options, that choice must be labeled as an authority selection, not as a unique mathematical verdict.</w:t>
      </w:r>
    </w:p>
    <w:p>
      <w:pPr>
        <w:pStyle w:val="Heading2"/>
        <w:spacing w:after="120" w:line="259" w:lineRule="auto"/>
        <w:jc w:val="left"/>
      </w:pPr>
      <w:r>
        <w:t>19.2 Why this matters</w:t>
      </w:r>
    </w:p>
    <w:p>
      <w:pPr>
        <w:spacing w:after="120" w:line="259" w:lineRule="auto"/>
        <w:jc w:val="left"/>
      </w:pPr>
      <w:r>
        <w:t>This protects MathGov from false certainty. A dashboard may compute scores and a governance process may choose a path, but the system must not pretend that a non-decisive score created a unique framework-determined answer. Refusal is not failure; it is the disciplined boundary between evidence-backed decision support and overclaim.</w:t>
      </w:r>
    </w:p>
    <w:p>
      <w:pPr>
        <w:pStyle w:val="Heading2"/>
        <w:spacing w:after="120" w:line="259" w:lineRule="auto"/>
        <w:jc w:val="left"/>
      </w:pPr>
      <w:r>
        <w:t>19.3 Coverage and projection discipline</w:t>
      </w:r>
    </w:p>
    <w:p>
      <w:pPr>
        <w:spacing w:after="120" w:line="259" w:lineRule="auto"/>
        <w:jc w:val="left"/>
      </w:pPr>
      <w:r>
        <w:t>Required unknowns must be named. Missing evidence cannot silently become zero. High-stakes runs should state whether scenarios, weights, thresholds, uncertainty assumptions, stakeholder maps, and refusal conditions were declared before evaluation. A changed projection or changed assumption creates a new run boundary.</w:t>
      </w:r>
    </w:p>
    <w:p>
      <w:pPr>
        <w:pStyle w:val="Heading2"/>
        <w:spacing w:after="120" w:line="259" w:lineRule="auto"/>
        <w:jc w:val="left"/>
      </w:pPr>
      <w:r>
        <w:t>19.4 v2.6.1 release delta</w:t>
      </w:r>
    </w:p>
    <w:p>
      <w:pPr>
        <w:spacing w:after="120" w:line="259" w:lineRule="auto"/>
        <w:jc w:val="left"/>
      </w:pPr>
      <w:r>
        <w:t>The Primer v2.6.1 explains the MathGov-native hardening layer: decision-verdict semantics, authority-selection separation, projection-freeze visibility, coverage-status discipline, and falsification-class reasoning. It remains informative only and carries no normative force over the Canon or companion specifications.</w:t>
      </w:r>
    </w:p>
    <w:p>
      <w:r>
        <w:br w:type="page"/>
      </w:r>
    </w:p>
    <w:p>
      <w:pPr>
        <w:pStyle w:val="Heading1"/>
      </w:pPr>
      <w:r>
        <w:t>Section 20. v2.6 Update Summary: Reality Grounding and Lean Cascade</w:t>
      </w:r>
    </w:p>
    <w:p>
      <w:r>
        <w:t>The v2.6 primer teaches the five-level method: Reality Grounding -&gt; Rights Floor -&gt; Tail-Risk Bound -&gt; Containment -&gt; Ripple Score.</w:t>
      </w:r>
    </w:p>
    <w:p>
      <w:r>
        <w:t>Public mantra: Ground -&gt; Protect -&gt; Bound -&gt; Contain -&gt; Score.</w:t>
      </w:r>
    </w:p>
    <w:p>
      <w:r>
        <w:t>UCI/HOI are explained as structural sensors used inside Containment when material and only as special-case tie-break or monitoring tools when RLS is tied, close, or non-decisive.</w:t>
      </w:r>
    </w:p>
    <w:p/>
    <w:p>
      <w:pPr>
        <w:pStyle w:val="Heading1"/>
      </w:pPr>
      <w:r>
        <w:rPr>
          <w:b w:val="0"/>
        </w:rPr>
        <w:t>Section 21. Category Grounding Patch Summary</w:t>
      </w:r>
    </w:p>
    <w:p>
      <w:r>
        <w:rPr>
          <w:b w:val="0"/>
        </w:rPr>
        <w:t>The Category Grounding patch clarifies that Category Grounding, Primitive Audit, Reference Category Review, Definition Falsification Test, and Category-Reality Correspondence Check belong to one group inside Reality Grounding when material. They are not separate headline gates. They help MathGov avoid optimizing inherited assumptions or building governance layers on top of unexamined definitions.</w:t>
      </w:r>
    </w:p>
    <w:p>
      <w:r>
        <w:rPr>
          <w:b w:val="0"/>
        </w:rPr>
        <w:t>Public mantra update: Ground the category, ground the surface, protect the floor, bound ruin, contain structural damage, then score only what remains admissible. The short five-level public method remains Ground -&gt; Protect -&gt; Bound -&gt; Contain -&gt; Score.</w:t>
      </w:r>
    </w:p>
    <w:sectPr w:rsidR="00EE03CA">
      <w:headerReference w:type="even" r:id="rId7"/>
      <w:headerReference w:type="default" r:id="rId8"/>
      <w:footerReference w:type="even" r:id="rId9"/>
      <w:footerReference w:type="default" r:id="rId10"/>
      <w:headerReference w:type="first" r:id="rId11"/>
      <w:footerReference w:type="first" r:id="rId12"/>
      <w:pgSz w:w="12240" w:h="15840"/>
      <w:pgMar w:top="1152" w:right="1224" w:bottom="1152"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3E06" w14:textId="77777777" w:rsidR="000208FA" w:rsidRDefault="000208FA">
      <w:r>
        <w:separator/>
      </w:r>
    </w:p>
  </w:endnote>
  <w:endnote w:type="continuationSeparator" w:id="0">
    <w:p w14:paraId="70AD505B" w14:textId="77777777" w:rsidR="000208FA" w:rsidRDefault="00020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C432" w14:textId="77777777" w:rsidR="002B5F72" w:rsidRDefault="002B5F7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3662" w14:textId="77777777" w:rsidR="002B5F72" w:rsidRDefault="002B5F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3AED" w14:textId="77777777" w:rsidR="002B5F72" w:rsidRDefault="002B5F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06C6" w14:textId="77777777" w:rsidR="000208FA" w:rsidRDefault="000208FA">
      <w:r>
        <w:separator/>
      </w:r>
    </w:p>
  </w:footnote>
  <w:footnote w:type="continuationSeparator" w:id="0">
    <w:p w14:paraId="40521096" w14:textId="77777777" w:rsidR="000208FA" w:rsidRDefault="00020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8C4B" w14:textId="77777777" w:rsidR="002B5F72" w:rsidRDefault="002B5F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EA6A" w14:textId="77777777" w:rsidR="002B5F72" w:rsidRDefault="002B5F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079A" w14:textId="77777777" w:rsidR="002B5F72" w:rsidRDefault="002B5F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EAE"/>
    <w:multiLevelType w:val="hybridMultilevel"/>
    <w:tmpl w:val="C6C4E6AE"/>
    <w:lvl w:ilvl="0" w:tplc="4FD073EA">
      <w:start w:val="1"/>
      <w:numFmt w:val="bullet"/>
      <w:lvlText w:val="•"/>
      <w:lvlJc w:val="left"/>
      <w:pPr>
        <w:ind w:left="720" w:hanging="360"/>
      </w:pPr>
    </w:lvl>
    <w:lvl w:ilvl="1" w:tplc="7536F1E6">
      <w:numFmt w:val="decimal"/>
      <w:lvlText w:val=""/>
      <w:lvlJc w:val="left"/>
    </w:lvl>
    <w:lvl w:ilvl="2" w:tplc="86502E30">
      <w:numFmt w:val="decimal"/>
      <w:lvlText w:val=""/>
      <w:lvlJc w:val="left"/>
    </w:lvl>
    <w:lvl w:ilvl="3" w:tplc="2E26CFDE">
      <w:numFmt w:val="decimal"/>
      <w:lvlText w:val=""/>
      <w:lvlJc w:val="left"/>
    </w:lvl>
    <w:lvl w:ilvl="4" w:tplc="2C2AB91E">
      <w:numFmt w:val="decimal"/>
      <w:lvlText w:val=""/>
      <w:lvlJc w:val="left"/>
    </w:lvl>
    <w:lvl w:ilvl="5" w:tplc="4EC0882E">
      <w:numFmt w:val="decimal"/>
      <w:lvlText w:val=""/>
      <w:lvlJc w:val="left"/>
    </w:lvl>
    <w:lvl w:ilvl="6" w:tplc="D5AA7E60">
      <w:numFmt w:val="decimal"/>
      <w:lvlText w:val=""/>
      <w:lvlJc w:val="left"/>
    </w:lvl>
    <w:lvl w:ilvl="7" w:tplc="9FB697C8">
      <w:numFmt w:val="decimal"/>
      <w:lvlText w:val=""/>
      <w:lvlJc w:val="left"/>
    </w:lvl>
    <w:lvl w:ilvl="8" w:tplc="7E9E0790">
      <w:numFmt w:val="decimal"/>
      <w:lvlText w:val=""/>
      <w:lvlJc w:val="left"/>
    </w:lvl>
  </w:abstractNum>
  <w:abstractNum w:abstractNumId="1" w15:restartNumberingAfterBreak="0">
    <w:nsid w:val="369C2A51"/>
    <w:multiLevelType w:val="hybridMultilevel"/>
    <w:tmpl w:val="376A4BF6"/>
    <w:lvl w:ilvl="0" w:tplc="99F2840E">
      <w:start w:val="1"/>
      <w:numFmt w:val="decimal"/>
      <w:lvlText w:val="%1."/>
      <w:lvlJc w:val="left"/>
      <w:pPr>
        <w:ind w:left="720" w:hanging="360"/>
      </w:pPr>
    </w:lvl>
    <w:lvl w:ilvl="1" w:tplc="977AC91A">
      <w:numFmt w:val="decimal"/>
      <w:lvlText w:val=""/>
      <w:lvlJc w:val="left"/>
    </w:lvl>
    <w:lvl w:ilvl="2" w:tplc="871EFF78">
      <w:numFmt w:val="decimal"/>
      <w:lvlText w:val=""/>
      <w:lvlJc w:val="left"/>
    </w:lvl>
    <w:lvl w:ilvl="3" w:tplc="3BB03996">
      <w:numFmt w:val="decimal"/>
      <w:lvlText w:val=""/>
      <w:lvlJc w:val="left"/>
    </w:lvl>
    <w:lvl w:ilvl="4" w:tplc="BCA49132">
      <w:numFmt w:val="decimal"/>
      <w:lvlText w:val=""/>
      <w:lvlJc w:val="left"/>
    </w:lvl>
    <w:lvl w:ilvl="5" w:tplc="CE2851C6">
      <w:numFmt w:val="decimal"/>
      <w:lvlText w:val=""/>
      <w:lvlJc w:val="left"/>
    </w:lvl>
    <w:lvl w:ilvl="6" w:tplc="72AE1E86">
      <w:numFmt w:val="decimal"/>
      <w:lvlText w:val=""/>
      <w:lvlJc w:val="left"/>
    </w:lvl>
    <w:lvl w:ilvl="7" w:tplc="5F88657E">
      <w:numFmt w:val="decimal"/>
      <w:lvlText w:val=""/>
      <w:lvlJc w:val="left"/>
    </w:lvl>
    <w:lvl w:ilvl="8" w:tplc="EB026774">
      <w:numFmt w:val="decimal"/>
      <w:lvlText w:val=""/>
      <w:lvlJc w:val="left"/>
    </w:lvl>
  </w:abstractNum>
  <w:abstractNum w:abstractNumId="2" w15:restartNumberingAfterBreak="0">
    <w:nsid w:val="7345711C"/>
    <w:multiLevelType w:val="hybridMultilevel"/>
    <w:tmpl w:val="16342522"/>
    <w:lvl w:ilvl="0" w:tplc="DC46F828">
      <w:start w:val="1"/>
      <w:numFmt w:val="bullet"/>
      <w:lvlText w:val="●"/>
      <w:lvlJc w:val="left"/>
      <w:pPr>
        <w:ind w:left="720" w:hanging="360"/>
      </w:pPr>
    </w:lvl>
    <w:lvl w:ilvl="1" w:tplc="C3566390">
      <w:start w:val="1"/>
      <w:numFmt w:val="bullet"/>
      <w:lvlText w:val="○"/>
      <w:lvlJc w:val="left"/>
      <w:pPr>
        <w:ind w:left="1440" w:hanging="360"/>
      </w:pPr>
    </w:lvl>
    <w:lvl w:ilvl="2" w:tplc="0E02A52A">
      <w:start w:val="1"/>
      <w:numFmt w:val="bullet"/>
      <w:lvlText w:val="■"/>
      <w:lvlJc w:val="left"/>
      <w:pPr>
        <w:ind w:left="2160" w:hanging="360"/>
      </w:pPr>
    </w:lvl>
    <w:lvl w:ilvl="3" w:tplc="E96ED0DA">
      <w:start w:val="1"/>
      <w:numFmt w:val="bullet"/>
      <w:lvlText w:val="●"/>
      <w:lvlJc w:val="left"/>
      <w:pPr>
        <w:ind w:left="2880" w:hanging="360"/>
      </w:pPr>
    </w:lvl>
    <w:lvl w:ilvl="4" w:tplc="EC4EF35E">
      <w:start w:val="1"/>
      <w:numFmt w:val="bullet"/>
      <w:lvlText w:val="○"/>
      <w:lvlJc w:val="left"/>
      <w:pPr>
        <w:ind w:left="3600" w:hanging="360"/>
      </w:pPr>
    </w:lvl>
    <w:lvl w:ilvl="5" w:tplc="F2D46B8A">
      <w:start w:val="1"/>
      <w:numFmt w:val="bullet"/>
      <w:lvlText w:val="■"/>
      <w:lvlJc w:val="left"/>
      <w:pPr>
        <w:ind w:left="4320" w:hanging="360"/>
      </w:pPr>
    </w:lvl>
    <w:lvl w:ilvl="6" w:tplc="FDBA6414">
      <w:start w:val="1"/>
      <w:numFmt w:val="bullet"/>
      <w:lvlText w:val="●"/>
      <w:lvlJc w:val="left"/>
      <w:pPr>
        <w:ind w:left="5040" w:hanging="360"/>
      </w:pPr>
    </w:lvl>
    <w:lvl w:ilvl="7" w:tplc="C7188792">
      <w:start w:val="1"/>
      <w:numFmt w:val="bullet"/>
      <w:lvlText w:val="●"/>
      <w:lvlJc w:val="left"/>
      <w:pPr>
        <w:ind w:left="5760" w:hanging="360"/>
      </w:pPr>
    </w:lvl>
    <w:lvl w:ilvl="8" w:tplc="4CB664C6">
      <w:start w:val="1"/>
      <w:numFmt w:val="bullet"/>
      <w:lvlText w:val="●"/>
      <w:lvlJc w:val="left"/>
      <w:pPr>
        <w:ind w:left="6480" w:hanging="360"/>
      </w:pPr>
    </w:lvl>
  </w:abstractNum>
  <w:abstractNum w:abstractNumId="3" w15:restartNumberingAfterBreak="0">
    <w:nsid w:val="769C2240"/>
    <w:multiLevelType w:val="hybridMultilevel"/>
    <w:tmpl w:val="58FA03AE"/>
    <w:lvl w:ilvl="0" w:tplc="9C223770">
      <w:start w:val="1"/>
      <w:numFmt w:val="decimal"/>
      <w:lvlText w:val="%1."/>
      <w:lvlJc w:val="left"/>
      <w:pPr>
        <w:ind w:left="720" w:hanging="360"/>
      </w:pPr>
    </w:lvl>
    <w:lvl w:ilvl="1" w:tplc="23968F54">
      <w:numFmt w:val="decimal"/>
      <w:lvlText w:val=""/>
      <w:lvlJc w:val="left"/>
    </w:lvl>
    <w:lvl w:ilvl="2" w:tplc="20F83A8C">
      <w:numFmt w:val="decimal"/>
      <w:lvlText w:val=""/>
      <w:lvlJc w:val="left"/>
    </w:lvl>
    <w:lvl w:ilvl="3" w:tplc="935227CC">
      <w:numFmt w:val="decimal"/>
      <w:lvlText w:val=""/>
      <w:lvlJc w:val="left"/>
    </w:lvl>
    <w:lvl w:ilvl="4" w:tplc="28222B16">
      <w:numFmt w:val="decimal"/>
      <w:lvlText w:val=""/>
      <w:lvlJc w:val="left"/>
    </w:lvl>
    <w:lvl w:ilvl="5" w:tplc="5628A93E">
      <w:numFmt w:val="decimal"/>
      <w:lvlText w:val=""/>
      <w:lvlJc w:val="left"/>
    </w:lvl>
    <w:lvl w:ilvl="6" w:tplc="361C471A">
      <w:numFmt w:val="decimal"/>
      <w:lvlText w:val=""/>
      <w:lvlJc w:val="left"/>
    </w:lvl>
    <w:lvl w:ilvl="7" w:tplc="FF8899C2">
      <w:numFmt w:val="decimal"/>
      <w:lvlText w:val=""/>
      <w:lvlJc w:val="left"/>
    </w:lvl>
    <w:lvl w:ilvl="8" w:tplc="1FB60F0A">
      <w:numFmt w:val="decimal"/>
      <w:lvlText w:val=""/>
      <w:lvlJc w:val="left"/>
    </w:lvl>
  </w:abstractNum>
  <w:num w:numId="1" w16cid:durableId="18904130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206"/>
    <w:rsid w:val="000208FA"/>
    <w:rsid w:val="000C61D6"/>
    <w:rsid w:val="002B4FAA"/>
    <w:rsid w:val="002B5F72"/>
    <w:rsid w:val="00545D0E"/>
    <w:rsid w:val="00733206"/>
    <w:rsid w:val="00804E83"/>
    <w:rsid w:val="008101B9"/>
    <w:rsid w:val="0083180D"/>
    <w:rsid w:val="00DC411E"/>
    <w:rsid w:val="00DE161C"/>
    <w:rsid w:val="00EE03CA"/>
    <w:rsid w:val="00EE3588"/>
    <w:rsid w:val="00F27945"/>
    <w:rsid w:val="00F96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8947"/>
  <w15:docId w15:val="{6DB6A68A-1352-4460-8827-BDA273E7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uiPriority w:val="9"/>
    <w:qFormat/>
    <w:pPr>
      <w:spacing w:before="320" w:after="160"/>
      <w:outlineLvl w:val="0"/>
    </w:pPr>
    <w:rPr>
      <w:rFonts w:ascii="Aptos Display" w:hAnsi="Aptos Display"/>
      <w:b/>
      <w:bCs/>
      <w:color w:val="1F2A44"/>
      <w:sz w:val="30"/>
      <w:szCs w:val="30"/>
    </w:rPr>
  </w:style>
  <w:style w:type="paragraph" w:styleId="Heading2">
    <w:name w:val="heading 2"/>
    <w:uiPriority w:val="9"/>
    <w:unhideWhenUsed/>
    <w:qFormat/>
    <w:pPr>
      <w:spacing w:before="240" w:after="120"/>
      <w:outlineLvl w:val="1"/>
    </w:pPr>
    <w:rPr>
      <w:rFonts w:ascii="Aptos Display" w:hAnsi="Aptos Display"/>
      <w:b/>
      <w:bCs/>
      <w:color w:val="1F2A44"/>
      <w:sz w:val="26"/>
      <w:szCs w:val="26"/>
    </w:rPr>
  </w:style>
  <w:style w:type="paragraph" w:styleId="Heading3">
    <w:name w:val="heading 3"/>
    <w:uiPriority w:val="9"/>
    <w:unhideWhenUsed/>
    <w:qFormat/>
    <w:pPr>
      <w:spacing w:before="180" w:after="80"/>
      <w:outlineLvl w:val="2"/>
    </w:pPr>
    <w:rPr>
      <w:rFonts w:ascii="Aptos Display" w:hAnsi="Aptos Display"/>
      <w:b/>
      <w:bCs/>
      <w:color w:val="2E3B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ptos Display" w:hAnsi="Aptos Display"/>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8898</Words>
  <Characters>50724</Characters>
  <Application>Microsoft Office Word</Application>
  <DocSecurity>0</DocSecurity>
  <Lines>422</Lines>
  <Paragraphs>119</Paragraphs>
  <ScaleCrop>false</ScaleCrop>
  <Company/>
  <LinksUpToDate>false</LinksUpToDate>
  <CharactersWithSpaces>59503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Foundations Primer v2.6</dc:title>
  <dc:subject>Foundations primer synchronized to MathGov / RippleLogic Core 2026.07</dc:subject>
  <dc:creator>MathGov Core Release</dc:creator>
  <cp:keywords>MathGov; RippleLogic; Core Release 2026.07</cp:keywords>
  <dc:description>Foundations primer synchronized to MathGov / RippleLogic Core 2026.07</dc:description>
  <cp:lastModifiedBy>MathGov Core Release</cp:lastModifiedBy>
  <cp:revision>3</cp:revision>
  <dcterms:created xsi:type="dcterms:W3CDTF">2026-05-24T00:39:00Z</dcterms:created>
  <dcterms:modified xsi:type="dcterms:W3CDTF">2026-05-27T11:32:00Z</dcterms:modified>
  <cp:category>MathGov / RippleLogic Core Release</cp:category>
</cp:coreProperties>
</file>