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pplelogic-canon-v11.4"/>
    <w:p>
      <w:pPr>
        <w:pStyle w:val="Heading1"/>
      </w:pPr>
      <w:r>
        <w:t xml:space="preserve">RippleLogic Canon v11.4</w:t>
      </w:r>
    </w:p>
    <w:p>
      <w:pPr>
        <w:pStyle w:val="FirstParagraph"/>
      </w:pPr>
      <w:r>
        <w:t xml:space="preserve">RippleLogic: The Ethical Decision Operating System of the MathGov Framework</w:t>
      </w:r>
      <w:r>
        <w:br/>
      </w:r>
      <w:r>
        <w:t xml:space="preserve">A General-Purpose, Multi-Scale Decision Architecture for Rights-Floor Norms, Tail-Risk Control, and Auditable Decision-Making</w:t>
      </w:r>
    </w:p>
    <w:p>
      <w:pPr>
        <w:pStyle w:val="BodyText"/>
      </w:pPr>
      <w:r>
        <w:t xml:space="preserve">Tier 1-3: Implementable Now | Tier 4: Design Target (Tier-4 claims prohibited until a ProofPack is independently replayable)</w:t>
      </w:r>
    </w:p>
    <w:p>
      <w:pPr>
        <w:pStyle w:val="BodyText"/>
      </w:pPr>
      <w:r>
        <w:t xml:space="preserve">Author: James McGaughran (ORCID: 0009-0005-3324-7290)</w:t>
      </w:r>
      <w:r>
        <w:br/>
      </w:r>
      <w:r>
        <w:t xml:space="preserve">Affiliation: British University Vietnam (BUV); MathGov Institute for Ethical Systems Design</w:t>
      </w:r>
      <w:r>
        <w:br/>
      </w:r>
      <w:r>
        <w:t xml:space="preserve">Canonical Sites: ripplelogic.org, mathgov.org</w:t>
      </w:r>
      <w:r>
        <w:br/>
      </w:r>
      <w:r>
        <w:t xml:space="preserve">Repository: github.com/MathGov/ripple-logic</w:t>
      </w:r>
      <w:r>
        <w:br/>
      </w:r>
      <w:r>
        <w:t xml:space="preserve">Date: 19 June 2026</w:t>
      </w:r>
      <w:r>
        <w:br/>
      </w:r>
      <w:r>
        <w:t xml:space="preserve">Version: 11.4</w:t>
      </w:r>
      <w:r>
        <w:br/>
      </w:r>
      <w:r>
        <w:t xml:space="preserve">Package line: MathGov Core Release 2026.09 (Complete Ready Release, CSV Upgrade, and Falsification Discipline Patch)</w:t>
      </w:r>
      <w:r>
        <w:br/>
      </w:r>
      <w:r>
        <w:t xml:space="preserve">Package-note: This release consolidates the public cascade as</w:t>
      </w:r>
      <w:r>
        <w:t xml:space="preserve"> </w:t>
      </w:r>
      <w:r>
        <w:rPr>
          <w:rStyle w:val="VerbatimChar"/>
        </w:rPr>
        <w:t xml:space="preserve">RG -&gt; RF -&gt; TRC -&gt; CSV -&gt; RLS</w:t>
      </w:r>
      <w:r>
        <w:t xml:space="preserve"> </w:t>
      </w:r>
      <w:r>
        <w:t xml:space="preserve">and the formal shorthand as</w:t>
      </w:r>
      <w:r>
        <w:t xml:space="preserve"> </w:t>
      </w:r>
      <w:r>
        <w:rPr>
          <w:rStyle w:val="VerbatimChar"/>
        </w:rPr>
        <w:t xml:space="preserve">RG/RSG -&gt; RF/NCRC -&gt; TRC -&gt; CSV -&gt; RLS</w:t>
      </w:r>
      <w:r>
        <w:t xml:space="preserve">. RF is the public Rights Floor layer; NCRC is the formal non-compensatory predicate. CSV is Containment and Structural Viability, the strengthened fourth level of the existing five-level method, not a sixth public gate. RLS remains downstream and ranks only options that survive RG claim support, RF/NCRC, TRC, and CSV. This release integrates RF/CSV notes professionally through the Canon, Cascade Standard, CSV Gate Standard, README, and release reports rather than repeating long synchronization notes at the top of companion documents. Tier 4, ProofPack, empirical-validation, legal-certification, deployment-certification, automated moral-truth, and deterministic-selection overclaim boundaries remain unavailable.</w:t>
      </w:r>
    </w:p>
    <w:bookmarkEnd w:id="20"/>
    <w:bookmarkStart w:id="21" w:name="abstract"/>
    <w:p>
      <w:pPr>
        <w:pStyle w:val="Heading1"/>
      </w:pPr>
      <w:r>
        <w:t xml:space="preserve">ABSTRACT</w:t>
      </w:r>
    </w:p>
    <w:p>
      <w:pPr>
        <w:pStyle w:val="FirstParagraph"/>
      </w:pPr>
      <w:r>
        <w:t xml:space="preserve">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As a proposed Tier 1-3 design architecture rather than an empirically validated governance instrument, RippleLogic addresses this problem by operationalizing Union-Based Ethics as a general-purpose ethical operating system for auditable decision-making across layered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v11.4 Complete Ready Release carries forward the v11.0 Term Discrimination and Semantic Stability Patch and makes the discriminator, dependency position, non-collapse risks, and refusal condition explicit for material terms so that governance does not proceed through collapsed language. The framework evaluates candidate actions through a five-level admissibility-and-ranking method: Reality Grounding (RG), Rights Floor (RF), Tail-Risk Constraint (TRC), Containment and Structural Viability (CSV), and RippleLogic Score (RLS). Rights Floor is the public-facing name for the Non-Compensatory Rights Constraint (NCRC): rights-floor violations cannot be compensated by welfare gains elsewhere.</w:t>
      </w:r>
    </w:p>
    <w:bookmarkEnd w:id="21"/>
    <w:bookmarkStart w:id="26" w:name="Xdf7a226cd3955945a698a9f328950e86bbfddf7"/>
    <w:p>
      <w:pPr>
        <w:pStyle w:val="Heading1"/>
      </w:pPr>
      <w:r>
        <w:t xml:space="preserve">SECTION 1: INTRODUCTION: THE NEED FOR A GENERAL-PURPOSE ETHICAL OPERATING SYSTEM</w:t>
      </w:r>
    </w:p>
    <w:bookmarkStart w:id="22" w:name="alignment-failures-across-scales"/>
    <w:p>
      <w:pPr>
        <w:pStyle w:val="Heading2"/>
      </w:pPr>
      <w:r>
        <w:t xml:space="preserve">1.1 Alignment Failures Across Scales</w:t>
      </w:r>
    </w:p>
    <w:p>
      <w:pPr>
        <w:pStyle w:val="FirstParagraph"/>
      </w:pPr>
      <w:r>
        <w:t xml:space="preserve">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pPr>
      <w:r>
        <w:t xml:space="preserve">Civilizational target and method standard (Informative)</w:t>
      </w:r>
    </w:p>
    <w:p>
      <w:pPr>
        <w:pStyle w:val="BodyText"/>
      </w:pPr>
      <w:r>
        <w:t xml:space="preserve">Target. Protect the floor for all intelligences, bound catastrophic tail-risk, and expand long-run flourishing across the operational union stack.</w:t>
      </w:r>
    </w:p>
    <w:p>
      <w:pPr>
        <w:pStyle w:val="BodyText"/>
      </w:pPr>
      <w:r>
        <w:t xml:space="preserve">Method standard. A decision protocol is governance-grade only if it is auditable, reproducible, rights-respecting, tail-risk aware, and robust to Goodhart and adversarial pressure.</w:t>
      </w:r>
    </w:p>
    <w:bookmarkEnd w:id="22"/>
    <w:bookmarkStart w:id="23" w:name="Xb21f7fe00cff81a52e0df3626e227cade2d1ded"/>
    <w:p>
      <w:pPr>
        <w:pStyle w:val="Heading2"/>
      </w:pPr>
      <w:r>
        <w:t xml:space="preserve">1.2 The Alignment Trilemma (Coupled Failure Modes)</w:t>
      </w:r>
    </w:p>
    <w:p>
      <w:pPr>
        <w:pStyle w:val="FirstParagraph"/>
      </w:pPr>
      <w:r>
        <w:t xml:space="preserve">Existing decision frameworks exhibit three recurring failure modes that together constitute the alignment trilemma:</w:t>
      </w:r>
    </w:p>
    <w:p>
      <w:pPr>
        <w:pStyle w:val="BodyText"/>
      </w:pPr>
      <w:r>
        <w:t xml:space="preserve">Failure Mode A: Scalarization of Value</w:t>
      </w:r>
    </w:p>
    <w:p>
      <w:pPr>
        <w:pStyle w:val="BodyText"/>
      </w:pPr>
      <w:r>
        <w:t xml:space="preserve">Many decision methods collapse plural values into a single metric (expected utility, GDP, cost-benefit net present value). This enables</w:t>
      </w:r>
      <w:r>
        <w:t xml:space="preserve"> </w:t>
      </w:r>
      <w:r>
        <w:t xml:space="preserve">“</w:t>
      </w:r>
      <w:r>
        <w:t xml:space="preserve">moral laundering</w:t>
      </w:r>
      <w:r>
        <w:t xml:space="preserve">”</w:t>
      </w:r>
      <w:r>
        <w:t xml:space="preserve">: severe harms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pPr>
        <w:pStyle w:val="BodyText"/>
      </w:pPr>
      <w:r>
        <w:t xml:space="preserve">Failure Mode B: Tail-Risk Blindness</w:t>
      </w:r>
    </w:p>
    <w:p>
      <w:pPr>
        <w:pStyle w:val="BodyText"/>
      </w:pPr>
      <w:r>
        <w:t xml:space="preserve">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pPr>
        <w:pStyle w:val="BodyText"/>
      </w:pPr>
      <w:r>
        <w:t xml:space="preserve">Failure Mode C: Specification Gaming (Goodhart Vulnerability)</w:t>
      </w:r>
    </w:p>
    <w:p>
      <w:pPr>
        <w:pStyle w:val="BodyText"/>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w:t>
      </w:r>
    </w:p>
    <w:p>
      <w:pPr>
        <w:pStyle w:val="BodyText"/>
      </w:pPr>
      <w:r>
        <w:t xml:space="preserve">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p>
    <w:p>
      <w:pPr>
        <w:pStyle w:val="BodyText"/>
      </w:pPr>
      <w:r>
        <w:t xml:space="preserve">This architecture matters because Goodhart-type failure thrives where optimization is scalar, fungible, and weakly constrained. RippleLogic instead combines a 49-cell welfare matrix for welfare evaluation with an 8-right sparse rights-coverage system comprising 70 specific protected intersections. Harms therefore cannot simply be averaged away across unions or dimensions. A localized protected loss remains visible at the mapped protection point where it occurs.</w:t>
      </w:r>
    </w:p>
    <w:p>
      <w:pPr>
        <w:pStyle w:val="BodyText"/>
      </w:pPr>
      <w:r>
        <w:t xml:space="preserve">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pPr>
      <w:r>
        <w:t xml:space="preserve">Coupled Failure</w:t>
      </w:r>
    </w:p>
    <w:p>
      <w:pPr>
        <w:pStyle w:val="BodyText"/>
      </w:pPr>
      <w:r>
        <w:t xml:space="preserve">These three failure modes interact and amplify each other. Scalarization enables tail-risk blindness (catastrophe can be traded for ordinary benefit), tail-risk blindness creates exploitable blind spots, and specification gaming undermines attempts to</w:t>
      </w:r>
      <w:r>
        <w:t xml:space="preserve"> </w:t>
      </w:r>
      <w:r>
        <w:t xml:space="preserve">“</w:t>
      </w:r>
      <w:r>
        <w:t xml:space="preserve">patch</w:t>
      </w:r>
      <w:r>
        <w:t xml:space="preserve">”</w:t>
      </w:r>
      <w:r>
        <w:t xml:space="preserve"> </w:t>
      </w:r>
      <w:r>
        <w:t xml:space="preserve">either problem by shifting optimization pressure. Solving one in isolation is insufficient.</w:t>
      </w:r>
    </w:p>
    <w:p>
      <w:pPr>
        <w:pStyle w:val="BodyText"/>
      </w:pPr>
      <w:r>
        <w:t xml:space="preserve">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pPr>
      <w:r>
        <w:t xml:space="preserve">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pPr>
      <w:r>
        <w:t xml:space="preserve">Term-discrimination note. A material term must not borrow authority from a neighboring term. Permission is not admissibility; monitoring is not control; compliance is not correctness; certification is not validity; automation is not autonomy; protection is not authority; selected is not executable; and score is not truth. When term collapse would affect a gate, claim, authority state, or execution state, Term Discrimination is required inside Category Grounding.</w:t>
      </w:r>
    </w:p>
    <w:p>
      <w:pPr>
        <w:pStyle w:val="BodyText"/>
      </w:pPr>
      <w:r>
        <w:t xml:space="preserve">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v11.4 carries forward the v10.8 PLSS clarification to address this tension through Section 10.2A: admissibility remains full-scope, while residual welfare attention may become scope-proportionate.</w:t>
      </w:r>
    </w:p>
    <w:p>
      <w:pPr>
        <w:pStyle w:val="BodyText"/>
      </w:pPr>
      <w:r>
        <w:t xml:space="preserve">Reality Grounding clarification (Normative preview). RippleLogic now presents Reality Grounding as the first level of the public method because every later claim depends on the surface actually contacted. The method is not</w:t>
      </w:r>
      <w:r>
        <w:t xml:space="preserve"> </w:t>
      </w:r>
      <w:r>
        <w:t xml:space="preserve">“</w:t>
      </w:r>
      <w:r>
        <w:t xml:space="preserve">score first.</w:t>
      </w:r>
      <w:r>
        <w:t xml:space="preserve">”</w:t>
      </w:r>
      <w:r>
        <w:t xml:space="preserve"> </w:t>
      </w:r>
      <w:r>
        <w:t xml:space="preserve">It is ground first, protect the floor, bound ruin, preserve the whole, and only then score residual welfare.</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 xml:space="preserve">Computability-vs-realizability clarification (Normative preview). RippleLogic MUST NOT treat computed possibility, model fluency, simulation output, or generated abstraction as decision authority. Computable is not selectable; generated is not grounded; executable is not ethical; realizable is necessary but not sufficient. Reality Grounding decides the claim boundary; RF/NCRC decides rights admissibility; TRC decides ruin exposure; CSV decides whether the pathway can structurally stand; RLS ranks only the remaining selectable set.</w:t>
      </w:r>
    </w:p>
    <w:p>
      <w:pPr>
        <w:pStyle w:val="BodyText"/>
      </w:pPr>
      <w:r>
        <w:t xml:space="preserve">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CSV Gate. Only residual, non-gate-critical UCI/HOI signal remains available after RLS, and only when the leading options are tied, close, uncertainty-overlapped, or non-decisive.</w:t>
      </w:r>
    </w:p>
    <w:bookmarkEnd w:id="23"/>
    <w:bookmarkStart w:id="24" w:name="governance-grade-requirements"/>
    <w:p>
      <w:pPr>
        <w:pStyle w:val="Heading2"/>
      </w:pPr>
      <w:r>
        <w:t xml:space="preserve">1.3 Governance-Grade Requirements</w:t>
      </w:r>
    </w:p>
    <w:p>
      <w:pPr>
        <w:pStyle w:val="FirstParagraph"/>
      </w:pPr>
      <w:r>
        <w:t xml:space="preserve">RippleLogic is designed to satisfy eight non-optional requirements: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762"/>
        <w:gridCol w:w="3228"/>
        <w:gridCol w:w="3228"/>
      </w:tblGrid>
      <w:tr>
        <w:trPr>
          <w:tblHeader w:val="true"/>
          <w:cantSplit/>
        </w:trPr>
        <w:tc>
          <w:tcPr>
            <w:tcW w:w="2762"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Requirement</w:t>
            </w:r>
          </w:p>
        </w:tc>
        <w:tc>
          <w:tcPr>
            <w:tcW w:w="32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Description</w:t>
            </w:r>
          </w:p>
        </w:tc>
        <w:tc>
          <w:tcPr>
            <w:tcW w:w="32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RippleLogic Component</w:t>
            </w:r>
          </w:p>
        </w:tc>
      </w:tr>
      <w:tr>
        <w:trPr>
          <w:cantSplit/>
        </w:trPr>
        <w:tc>
          <w:tcPr>
            <w:tcW w:w="2762" w:type="dxa"/>
            <w:vAlign w:val="top"/>
            <w:tcMar>
              <w:top w:w="70" w:type="dxa"/>
              <w:start w:w="90" w:type="dxa"/>
              <w:bottom w:w="70" w:type="dxa"/>
              <w:end w:w="90" w:type="dxa"/>
            </w:tcMar>
            <w:shd w:fill="FFFFFF" w:val="clear"/>
          </w:tcPr>
          <w:p>
            <w:pPr>
              <w:pStyle w:val="Compact"/>
              <w:spacing w:before="0" w:after="0"/>
              <w:jc w:val="left"/>
            </w:pPr>
            <w:r>
              <w:rPr>
                <w:sz w:val="18"/>
              </w:rPr>
              <w:t xml:space="preserve">R0</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Reality Grounding: material claims must be grounded in a declared reality surface, evidence trace, known unknowns, transition boundary, consequence pathways, and claim boundary.</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Reality-Surface Grounding (Level 1)</w:t>
            </w:r>
          </w:p>
        </w:tc>
      </w:tr>
      <w:tr>
        <w:trPr>
          <w:cantSplit/>
        </w:trPr>
        <w:tc>
          <w:tcPr>
            <w:tcW w:w="2762" w:type="dxa"/>
            <w:vAlign w:val="top"/>
            <w:tcMar>
              <w:top w:w="70" w:type="dxa"/>
              <w:start w:w="90" w:type="dxa"/>
              <w:bottom w:w="70" w:type="dxa"/>
              <w:end w:w="90" w:type="dxa"/>
            </w:tcMar>
            <w:shd w:fill="F3F7FB" w:val="clear"/>
          </w:tcPr>
          <w:p>
            <w:pPr>
              <w:pStyle w:val="Compact"/>
              <w:spacing w:before="0" w:after="0"/>
              <w:jc w:val="left"/>
            </w:pPr>
            <w:r>
              <w:rPr>
                <w:sz w:val="18"/>
              </w:rPr>
              <w:t xml:space="preserve">R0A</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Term Discrimination: material terms must declare their definition, discriminator, dependency position, non-collapse risks, and refusal condition.</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Category Grounding inside Reality Grounding</w:t>
            </w:r>
          </w:p>
        </w:tc>
      </w:tr>
      <w:tr>
        <w:trPr>
          <w:cantSplit/>
        </w:trPr>
        <w:tc>
          <w:tcPr>
            <w:tcW w:w="2762" w:type="dxa"/>
            <w:vAlign w:val="top"/>
            <w:tcMar>
              <w:top w:w="70" w:type="dxa"/>
              <w:start w:w="90" w:type="dxa"/>
              <w:bottom w:w="70" w:type="dxa"/>
              <w:end w:w="90" w:type="dxa"/>
            </w:tcMar>
            <w:shd w:fill="FFFFFF" w:val="clear"/>
          </w:tcPr>
          <w:p>
            <w:pPr>
              <w:pStyle w:val="Compact"/>
              <w:spacing w:before="0" w:after="0"/>
              <w:jc w:val="left"/>
            </w:pPr>
            <w:r>
              <w:rPr>
                <w:sz w:val="18"/>
              </w:rPr>
              <w:t xml:space="preserve">R1</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Rights-first non-compensability: rights are lexicographic constraints, not weighted terms</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Rights Floor (RF/NCRC) (Level 2)</w:t>
            </w:r>
          </w:p>
        </w:tc>
      </w:tr>
      <w:tr>
        <w:trPr>
          <w:cantSplit/>
        </w:trPr>
        <w:tc>
          <w:tcPr>
            <w:tcW w:w="2762" w:type="dxa"/>
            <w:vAlign w:val="top"/>
            <w:tcMar>
              <w:top w:w="70" w:type="dxa"/>
              <w:start w:w="90" w:type="dxa"/>
              <w:bottom w:w="70" w:type="dxa"/>
              <w:end w:w="90" w:type="dxa"/>
            </w:tcMar>
            <w:shd w:fill="F3F7FB" w:val="clear"/>
          </w:tcPr>
          <w:p>
            <w:pPr>
              <w:pStyle w:val="Compact"/>
              <w:spacing w:before="0" w:after="0"/>
              <w:jc w:val="left"/>
            </w:pPr>
            <w:r>
              <w:rPr>
                <w:sz w:val="18"/>
              </w:rPr>
              <w:t xml:space="preserve">R2</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Explicit catastrophic risk bounding: tail risk is bounded by TRC using CVaR</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TRC / Tail-Risk Bound (Level 3)</w:t>
            </w:r>
          </w:p>
        </w:tc>
      </w:tr>
      <w:tr>
        <w:trPr>
          <w:cantSplit/>
        </w:trPr>
        <w:tc>
          <w:tcPr>
            <w:tcW w:w="2762" w:type="dxa"/>
            <w:vAlign w:val="top"/>
            <w:tcMar>
              <w:top w:w="70" w:type="dxa"/>
              <w:start w:w="90" w:type="dxa"/>
              <w:bottom w:w="70" w:type="dxa"/>
              <w:end w:w="90" w:type="dxa"/>
            </w:tcMar>
            <w:shd w:fill="FFFFFF" w:val="clear"/>
          </w:tcPr>
          <w:p>
            <w:pPr>
              <w:pStyle w:val="Compact"/>
              <w:spacing w:before="0" w:after="0"/>
              <w:jc w:val="left"/>
            </w:pPr>
            <w:r>
              <w:rPr>
                <w:sz w:val="18"/>
              </w:rPr>
              <w:t xml:space="preserve">R3</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Residual welfare ranking: multi-scale and multi-dimensional welfare representation after Reality Grounding, RF/NCRC, TRC, and CSV have formed the selectable set.</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RLS / RippleLogic Score over 7×7 Welfare Matrix (Level 5)</w:t>
            </w:r>
          </w:p>
        </w:tc>
      </w:tr>
      <w:tr>
        <w:trPr>
          <w:cantSplit/>
        </w:trPr>
        <w:tc>
          <w:tcPr>
            <w:tcW w:w="2762" w:type="dxa"/>
            <w:vAlign w:val="top"/>
            <w:tcMar>
              <w:top w:w="70" w:type="dxa"/>
              <w:start w:w="90" w:type="dxa"/>
              <w:bottom w:w="70" w:type="dxa"/>
              <w:end w:w="90" w:type="dxa"/>
            </w:tcMar>
            <w:shd w:fill="F3F7FB" w:val="clear"/>
          </w:tcPr>
          <w:p>
            <w:pPr>
              <w:pStyle w:val="Compact"/>
              <w:spacing w:before="0" w:after="0"/>
              <w:jc w:val="left"/>
            </w:pPr>
            <w:r>
              <w:rPr>
                <w:sz w:val="18"/>
              </w:rPr>
              <w:t xml:space="preserve">R4</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Explicit ripple propagation: interpretable kernel propagation under humility</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Kernel K</w:t>
            </w:r>
          </w:p>
        </w:tc>
      </w:tr>
      <w:tr>
        <w:trPr>
          <w:cantSplit/>
        </w:trPr>
        <w:tc>
          <w:tcPr>
            <w:tcW w:w="2762" w:type="dxa"/>
            <w:vAlign w:val="top"/>
            <w:tcMar>
              <w:top w:w="70" w:type="dxa"/>
              <w:start w:w="90" w:type="dxa"/>
              <w:bottom w:w="70" w:type="dxa"/>
              <w:end w:w="90" w:type="dxa"/>
            </w:tcMar>
            <w:shd w:fill="FFFFFF" w:val="clear"/>
          </w:tcPr>
          <w:p>
            <w:pPr>
              <w:pStyle w:val="Compact"/>
              <w:spacing w:before="0" w:after="0"/>
              <w:jc w:val="left"/>
            </w:pPr>
            <w:r>
              <w:rPr>
                <w:sz w:val="18"/>
              </w:rPr>
              <w:t xml:space="preserve">R5</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Structural integrity and containment: local gains may not degrade containing unions beyond tolerance; UCI/HOI or equivalent diagnostics are used inside CSV where material.</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CSV / Containment and Structural Viability (Level 4)</w:t>
            </w:r>
          </w:p>
        </w:tc>
      </w:tr>
      <w:tr>
        <w:trPr>
          <w:cantSplit/>
        </w:trPr>
        <w:tc>
          <w:tcPr>
            <w:tcW w:w="2762" w:type="dxa"/>
            <w:vAlign w:val="top"/>
            <w:tcMar>
              <w:top w:w="70" w:type="dxa"/>
              <w:start w:w="90" w:type="dxa"/>
              <w:bottom w:w="70" w:type="dxa"/>
              <w:end w:w="90" w:type="dxa"/>
            </w:tcMar>
            <w:shd w:fill="F3F7FB" w:val="clear"/>
          </w:tcPr>
          <w:p>
            <w:pPr>
              <w:pStyle w:val="Compact"/>
              <w:spacing w:before="0" w:after="0"/>
              <w:jc w:val="left"/>
            </w:pPr>
            <w:r>
              <w:rPr>
                <w:sz w:val="18"/>
              </w:rPr>
              <w:t xml:space="preserve">R6</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Legitimate weight governance: HDW blends constitutional floors with democratic tuning</w:t>
            </w:r>
          </w:p>
        </w:tc>
        <w:tc>
          <w:tcPr>
            <w:tcW w:w="3228" w:type="dxa"/>
            <w:vAlign w:val="top"/>
            <w:tcMar>
              <w:top w:w="70" w:type="dxa"/>
              <w:start w:w="90" w:type="dxa"/>
              <w:bottom w:w="70" w:type="dxa"/>
              <w:end w:w="90" w:type="dxa"/>
            </w:tcMar>
            <w:shd w:fill="F3F7FB" w:val="clear"/>
          </w:tcPr>
          <w:p>
            <w:pPr>
              <w:pStyle w:val="Compact"/>
              <w:spacing w:before="0" w:after="0"/>
              <w:jc w:val="left"/>
            </w:pPr>
            <w:r>
              <w:rPr>
                <w:sz w:val="18"/>
              </w:rPr>
              <w:t xml:space="preserve">HDW</w:t>
            </w:r>
          </w:p>
        </w:tc>
      </w:tr>
      <w:tr>
        <w:trPr>
          <w:cantSplit/>
        </w:trPr>
        <w:tc>
          <w:tcPr>
            <w:tcW w:w="2762" w:type="dxa"/>
            <w:vAlign w:val="top"/>
            <w:tcMar>
              <w:top w:w="70" w:type="dxa"/>
              <w:start w:w="90" w:type="dxa"/>
              <w:bottom w:w="70" w:type="dxa"/>
              <w:end w:w="90" w:type="dxa"/>
            </w:tcMar>
            <w:shd w:fill="FFFFFF" w:val="clear"/>
          </w:tcPr>
          <w:p>
            <w:pPr>
              <w:pStyle w:val="Compact"/>
              <w:spacing w:before="0" w:after="0"/>
              <w:jc w:val="left"/>
            </w:pPr>
            <w:r>
              <w:rPr>
                <w:sz w:val="18"/>
              </w:rPr>
              <w:t xml:space="preserve">R7</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Computability plus auditability: PCC and audit flags enable reconstruction, challenge, and learning</w:t>
            </w:r>
          </w:p>
        </w:tc>
        <w:tc>
          <w:tcPr>
            <w:tcW w:w="3228" w:type="dxa"/>
            <w:vAlign w:val="top"/>
            <w:tcMar>
              <w:top w:w="70" w:type="dxa"/>
              <w:start w:w="90" w:type="dxa"/>
              <w:bottom w:w="70" w:type="dxa"/>
              <w:end w:w="90" w:type="dxa"/>
            </w:tcMar>
            <w:shd w:fill="FFFFFF" w:val="clear"/>
          </w:tcPr>
          <w:p>
            <w:pPr>
              <w:pStyle w:val="Compact"/>
              <w:spacing w:before="0" w:after="0"/>
              <w:jc w:val="left"/>
            </w:pPr>
            <w:r>
              <w:rPr>
                <w:sz w:val="18"/>
              </w:rPr>
              <w:t xml:space="preserve">PCC plus AIL</w:t>
            </w:r>
          </w:p>
        </w:tc>
      </w:tr>
    </w:tbl>
    <w:bookmarkEnd w:id="24"/>
    <w:bookmarkStart w:id="25" w:name="paper-contributions"/>
    <w:p>
      <w:pPr>
        <w:pStyle w:val="Heading2"/>
      </w:pPr>
      <w:r>
        <w:t xml:space="preserve">1.4 Paper Contributions</w:t>
      </w:r>
    </w:p>
    <w:p>
      <w:pPr>
        <w:pStyle w:val="FirstParagraph"/>
      </w:pPr>
      <w:r>
        <w:t xml:space="preserve">This paper provides:</w:t>
      </w:r>
    </w:p>
    <w:p>
      <w:pPr>
        <w:numPr>
          <w:ilvl w:val="0"/>
          <w:numId w:val="1001"/>
        </w:numPr>
      </w:pPr>
      <w:r>
        <w:t xml:space="preserve">A fork-resistant normative specification for Tier 1-3 implementation.</w:t>
      </w:r>
    </w:p>
    <w:p>
      <w:pPr>
        <w:numPr>
          <w:ilvl w:val="0"/>
          <w:numId w:val="1001"/>
        </w:numPr>
      </w:pPr>
      <w:r>
        <w:t xml:space="preserve">Canonical equations and constraints sufficient for independent implementation.</w:t>
      </w:r>
    </w:p>
    <w:p>
      <w:pPr>
        <w:numPr>
          <w:ilvl w:val="0"/>
          <w:numId w:val="1001"/>
        </w:numPr>
      </w:pPr>
      <w:r>
        <w:t xml:space="preserve">Anti-gaming architecture (non-maskable cells, subgroup semantics, scenario governance, audit flags).</w:t>
      </w:r>
    </w:p>
    <w:p>
      <w:pPr>
        <w:numPr>
          <w:ilvl w:val="0"/>
          <w:numId w:val="1001"/>
        </w:numPr>
      </w:pPr>
      <w:r>
        <w:t xml:space="preserve">A validation and falsification program (Section 17).</w:t>
      </w:r>
    </w:p>
    <w:p>
      <w:pPr>
        <w:numPr>
          <w:ilvl w:val="0"/>
          <w:numId w:val="1001"/>
        </w:numPr>
      </w:pPr>
      <w:r>
        <w:t xml:space="preserve">A Tier-4 design target appendix (non-claimable until ProofPack).</w:t>
      </w:r>
    </w:p>
    <w:bookmarkEnd w:id="25"/>
    <w:bookmarkEnd w:id="26"/>
    <w:bookmarkStart w:id="43" w:name="Xdabb413858ee978afd41a8c25a7afff91e24894"/>
    <w:p>
      <w:pPr>
        <w:pStyle w:val="Heading1"/>
      </w:pPr>
      <w:r>
        <w:t xml:space="preserve">SECTION 2: ONTOLOGICAL FOUNDATIONS: UNION-BASED REALITY (UBR)</w:t>
      </w:r>
    </w:p>
    <w:bookmarkStart w:id="27" w:name="relational-ontology-descriptive-thesis"/>
    <w:p>
      <w:pPr>
        <w:pStyle w:val="Heading2"/>
      </w:pPr>
      <w:r>
        <w:t xml:space="preserve">2.1 Relational Ontology (Descriptive Thesis)</w:t>
      </w:r>
    </w:p>
    <w:p>
      <w:pPr>
        <w:pStyle w:val="FirstParagraph"/>
      </w:pPr>
      <w:r>
        <w:t xml:space="preserve">UBR thesis: No entity exists in complete isolation for governance-relevant domains; entities are embedded in interacting networks whose structure transmits the consequences of actions.</w:t>
      </w:r>
    </w:p>
    <w:p>
      <w:pPr>
        <w:pStyle w:val="BodyText"/>
      </w:pPr>
      <w:r>
        <w:t xml:space="preserve">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pPr>
      <w:r>
        <w:t xml:space="preserve">Scope conditions: UBR is most applicable in high-coupling systems with significant externalities, multi-scale feedbacks, and long time horizons. Low-coupling, short-horizon decisions may not require full UBR modeling; RippleLogic tiers allow proportional rigor.</w:t>
      </w:r>
    </w:p>
    <w:bookmarkEnd w:id="27"/>
    <w:bookmarkStart w:id="28" w:name="a-decision-relevant-reality-operational"/>
    <w:p>
      <w:pPr>
        <w:pStyle w:val="Heading2"/>
      </w:pPr>
      <w:r>
        <w:t xml:space="preserve">2.1A Decision-Relevant Reality (Operational)</w:t>
      </w:r>
    </w:p>
    <w:p>
      <w:pPr>
        <w:pStyle w:val="FirstParagraph"/>
      </w:pPr>
      <w:r>
        <w:t xml:space="preserve">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pPr>
        <w:pStyle w:val="BodyText"/>
      </w:pPr>
      <w:r>
        <w:t xml:space="preserve">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pStyle w:val="BodyText"/>
      </w:pPr>
      <w:r>
        <w:t xml:space="preserve">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pStyle w:val="BodyText"/>
      </w:pPr>
      <w:r>
        <w:t xml:space="preserve">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pStyle w:val="BodyText"/>
      </w:pPr>
      <w:r>
        <w:t xml:space="preserve">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pStyle w:val="BodyText"/>
      </w:pPr>
      <w:r>
        <w:t xml:space="preserve">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pStyle w:val="BodyText"/>
      </w:pPr>
      <w:r>
        <w:t xml:space="preserve">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pStyle w:val="BodyText"/>
      </w:pPr>
      <w:r>
        <w:t xml:space="preserve">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pStyle w:val="BodyText"/>
      </w:pPr>
      <w:r>
        <w:t xml:space="preserve">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pStyle w:val="BodyText"/>
      </w:pPr>
      <w:r>
        <w:t xml:space="preserve">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 xml:space="preserve">Consequence under finitude. 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Non-averagability is therefore forced, not merely preferred; TRC and CSV are the form this takes under RippleLogic.</w:t>
      </w:r>
    </w:p>
    <w:bookmarkEnd w:id="28"/>
    <w:bookmarkStart w:id="29" w:name="X7271d591db1dbf35d5913c1de7a4eb8d8335ab2"/>
    <w:p>
      <w:pPr>
        <w:pStyle w:val="Heading2"/>
      </w:pPr>
      <w:r>
        <w:t xml:space="preserve">2.1B Reality Grounding / Reality-Surface Grounding (RSG) (Normative)</w:t>
      </w:r>
    </w:p>
    <w:p>
      <w:pPr>
        <w:pStyle w:val="FirstParagraph"/>
      </w:pPr>
      <w:r>
        <w:t xml:space="preserve">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pStyle w:val="BodyText"/>
      </w:pPr>
      <w:r>
        <w:t xml:space="preserve">Definition. Reality Grounding is the process of declaring the decision-relevant reality surface, evidence trace, material unknowns, transition boundary, consequence pathways, and claim boundary before rights, risk, CSV, or scoring claims are made.</w:t>
      </w:r>
    </w:p>
    <w:p>
      <w:pPr>
        <w:pStyle w:val="BodyText"/>
      </w:pPr>
      <w:r>
        <w:t xml:space="preserve">Six required outputs. A valid RealityGroundingRecord SHOULD include: (1) reality_surface; (2) evidence_trace; (3) material_unknowns; (4) transition_or_action_boundary; (5) consequence_pathways; and (6) claim_boundary. Tier 3 and high-stakes Tier 2 runs SHOULD also include monitoring_path, falsification_or_revision_trigger, reviewer_status, and evidence_status by material claim.</w:t>
      </w:r>
    </w:p>
    <w:p>
      <w:pPr>
        <w:pStyle w:val="BodyText"/>
      </w:pPr>
      <w:r>
        <w:t xml:space="preserve">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pStyle w:val="BodyText"/>
      </w:pPr>
      <w:r>
        <w:t xml:space="preserve">RealityGroundingStatus assignment guide. The following table is a required reviewer guide for Tier 3 runs and a recommended guide for Tier 2 runs. It does not replace evidence review, but it constrains status drift.</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Evidence condition</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Required or recommended status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Direct measured evidence, current source trace, reviewer-visible boundary, and no material missing condition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GROUNDED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Modeled, inferred, or extrapolated from accepted sources with stated uncertainty</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ESTIMATED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Material result depends on declared assumptions that could change gate status, authority selection, or public claim strength</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ASSUMPTION_BOUND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Material fact is unknown and cannot be responsibly inferred from the declared surface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DECLARED_UNKNOWN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fact is outside the declared decision boundary, and the rationale shows it cannot affect the gate or claim under review</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OUT_OF_SCOPE_WITH_RATIONALE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Missing, stale, contested, or unsupported evidence could change NCRC/RF, TRC, CSV, deterministic selection, authority selection, or conformance claim</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INSUFFICIENT_GROUNDING</w:t>
            </w:r>
          </w:p>
        </w:tc>
      </w:tr>
    </w:tbl>
    <w:p>
      <w:pPr>
        <w:pStyle w:val="BodyText"/>
      </w:pPr>
      <w:r>
        <w:t xml:space="preserve">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pStyle w:val="BodyText"/>
      </w:pPr>
      <w:r>
        <w:t xml:space="preserve">Public teaching line. Reality is the territory. A decision sees only a surface. Evidence grounds the surface. Unknowns mark the edge. Claims must stay inside the ground they stand on.</w:t>
      </w:r>
    </w:p>
    <w:bookmarkEnd w:id="29"/>
    <w:bookmarkStart w:id="30" w:name="X3732a1ec0930e88d37be2e3adbd7d36e254b69c"/>
    <w:p>
      <w:pPr>
        <w:pStyle w:val="Heading2"/>
      </w:pPr>
      <w:r>
        <w:t xml:space="preserve">2.1C Category Grounding and Primitive Audit inside Reality Grounding (Normative)</w:t>
      </w:r>
    </w:p>
    <w:p>
      <w:pPr>
        <w:pStyle w:val="FirstParagraph"/>
      </w:pPr>
      <w:r>
        <w:t xml:space="preserve">Purpose. Category Grounding prevents a RippleLogic run from optimizing, governing, scoring, or authorizing action through categories whose definition, boundary, or reference structure is unexamined, stale, inherited without review, or too weak for the claim being made.</w:t>
      </w:r>
    </w:p>
    <w:p>
      <w:pPr>
        <w:pStyle w:val="BodyText"/>
      </w:pPr>
      <w:r>
        <w:t xml:space="preserve">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RippleLogic Score. The five-level method remains Reality Grounding -&gt; Rights Floor -&gt; TRC -&gt; CSV -&gt; RLS.</w:t>
      </w:r>
    </w:p>
    <w:p>
      <w:pPr>
        <w:pStyle w:val="BodyText"/>
      </w:pPr>
      <w:r>
        <w:t xml:space="preserve">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pStyle w:val="BodyText"/>
      </w:pPr>
      <w:r>
        <w:t xml:space="preserve">Materiality test. A category is material when changing its definition, inclusion boundary, exclusion boundary, or reference structure could change the RealityGroundingStatus, NCRC/Rights Floor result, TRC scenario set, CSV result, SGP interpretation, AuthoritySelectionRecord, conformance claim, public deployment claim, deterministic-selection claim, or optimized metric.</w:t>
      </w:r>
    </w:p>
    <w:p>
      <w:pPr>
        <w:pStyle w:val="BodyText"/>
      </w:pPr>
      <w:r>
        <w:t xml:space="preserve">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pPr>
        <w:pStyle w:val="BodyText"/>
      </w:pPr>
      <w:r>
        <w:t xml:space="preserve">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 xml:space="preserve">Term Discrimination extension. For material terms, the record MUST identify the discriminator that separates the term from likely neighboring terms, the dependency position the term occupies in the decision stack, and the condition under which the term must be narrowed, escalated, monitored, treated as sensitivity-only, or refused. A downstream term MUST NOT claim upstream authority: certification is evidence, not validity; permission is authorization, not admissibility; monitoring is observation, not control; automation is execution, not autonomy; protection is moral standing, not governance authority; and a score is a bounded computation, not truth.</w:t>
      </w:r>
    </w:p>
    <w:p>
      <w:pPr>
        <w:pStyle w:val="BodyText"/>
      </w:pPr>
      <w:r>
        <w:t xml:space="preserve">Claim action. If category grounding or term discrimination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or term collapse through RLS, PLSS, HDW, PCC completion, authority selection, certification, compliance, monitoring, model fluency, or stakeholder preference.</w:t>
      </w:r>
    </w:p>
    <w:p>
      <w:pPr>
        <w:pStyle w:val="BodyText"/>
      </w:pPr>
      <w:r>
        <w:t xml:space="preserve">Plain-language rule. Before MathGov scores a thing, it must check whether the thing has been named and bounded correctly enough for the claim being made.</w:t>
      </w:r>
    </w:p>
    <w:bookmarkEnd w:id="30"/>
    <w:bookmarkStart w:id="31" w:name="Xffa4b016d5b5b10fac80bf76c9eed2e5657e40a"/>
    <w:p>
      <w:pPr>
        <w:pStyle w:val="Heading2"/>
      </w:pPr>
      <w:r>
        <w:t xml:space="preserve">2.2 Unions as the Unit of Analysis (Operational Definition)</w:t>
      </w:r>
    </w:p>
    <w:p>
      <w:pPr>
        <w:pStyle w:val="FirstParagraph"/>
      </w:pPr>
      <w:r>
        <w:t xml:space="preserve">Definition: A union is a bounded pattern of interdependence: a set of entities whose internal interactions are sufficiently strong, frequent, or consequential that their welfare should be evaluated together for the decision context.</w:t>
      </w:r>
    </w:p>
    <w:p>
      <w:pPr>
        <w:pStyle w:val="BodyText"/>
      </w:pPr>
      <w:r>
        <w:t xml:space="preserve">In this specification, the operational objects scored and indexed by u are Union Scopes (Scopes), meaning unions used as stable scopes of aggregation and accountability.</w:t>
      </w:r>
    </w:p>
    <w:p>
      <w:pPr>
        <w:pStyle w:val="BodyText"/>
      </w:pPr>
      <w:r>
        <w:t xml:space="preserve">Unions are analytical constructs for causal and welfare accounting; they are not metaphysical substances. The union concept operationalizes the systems-theoretic observation that complex systems exhibit hierarchical modularity (Simon, 1962).</w:t>
      </w:r>
    </w:p>
    <w:bookmarkEnd w:id="31"/>
    <w:bookmarkStart w:id="32" w:name="Xa85c6b9fb120d231de60ecc27018544fde2a6aa"/>
    <w:p>
      <w:pPr>
        <w:pStyle w:val="Heading2"/>
      </w:pPr>
      <w:r>
        <w:t xml:space="preserve">2.2A Union Scopes and Instance Modeling (Normative)</w:t>
      </w:r>
    </w:p>
    <w:p>
      <w:pPr>
        <w:pStyle w:val="FirstParagraph"/>
      </w:pPr>
      <w:r>
        <w:t xml:space="preserve">Terminology clarification. In RippleLogic v11.4,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pPr>
      <w:r>
        <w:t xml:space="preserve">Purpose. Union Scopes are designed to be minimal but covering, a small stable set of aggregation scopes that prevents systematic stakeholder erasure while supporting auditability and comparability across decisions.</w:t>
      </w:r>
    </w:p>
    <w:bookmarkEnd w:id="32"/>
    <w:bookmarkStart w:id="33" w:name="a.1-definitions-normative"/>
    <w:p>
      <w:pPr>
        <w:pStyle w:val="Heading2"/>
      </w:pPr>
      <w:r>
        <w:t xml:space="preserve">2.2A.1 Definitions (Normative)</w:t>
      </w:r>
    </w:p>
    <w:p>
      <w:pPr>
        <w:pStyle w:val="FirstParagraph"/>
      </w:pPr>
      <w:r>
        <w:t xml:space="preserve">Union Scope (Scope). A Union Scope is a stable scope of impact aggregation used to evaluate decision consequences across nested interdependence levels. Union Scopes are the rows of the canonical 7×7 welfare matrix.</w:t>
      </w:r>
    </w:p>
    <w:p>
      <w:pPr>
        <w:pStyle w:val="BodyText"/>
      </w:pPr>
      <w:r>
        <w:t xml:space="preserve">Stakeholder. A stakeholder is any entity that is plausibly materially affected by a candidate option a, including entities affected through externalities, indirect pathways, or future propagation within the declared decision horizon.</w:t>
      </w:r>
    </w:p>
    <w:p>
      <w:pPr>
        <w:pStyle w:val="BodyText"/>
      </w:pPr>
      <w:r>
        <w:t xml:space="preserve">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pPr>
      <w:r>
        <w:t xml:space="preserve">Structural anchor. Scopes × Dimensions form the welfare matrix. Instances feed the cells.</w:t>
      </w:r>
    </w:p>
    <w:p>
      <w:pPr>
        <w:pStyle w:val="BodyText"/>
      </w:pPr>
      <w:r>
        <w:t xml:space="preserve">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bookmarkEnd w:id="33"/>
    <w:bookmarkStart w:id="34" w:name="X78cf27ec0caf8bcc47715eba460e79726abb8d6"/>
    <w:p>
      <w:pPr>
        <w:pStyle w:val="Heading2"/>
      </w:pPr>
      <w:r>
        <w:t xml:space="preserve">2.2A.2 Stakeholder Discovery Protocol (SDP) (Tier-linked; Normative)</w:t>
      </w:r>
    </w:p>
    <w:p>
      <w:pPr>
        <w:pStyle w:val="FirstParagraph"/>
      </w:pPr>
      <w:r>
        <w:t xml:space="preserve">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pPr>
      <w:r>
        <w:t xml:space="preserve">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pPr>
      <w:r>
        <w:t xml:space="preserve">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bookmarkEnd w:id="34"/>
    <w:bookmarkStart w:id="35" w:name="X210c2bb2bc21901e4f4d7f11ed07141acebd5b0"/>
    <w:p>
      <w:pPr>
        <w:pStyle w:val="Heading2"/>
      </w:pPr>
      <w:r>
        <w:t xml:space="preserve">2.2A.3 Instance-to-Scope Mapping Requirement (Tier-linked; Normative)</w:t>
      </w:r>
    </w:p>
    <w:p>
      <w:pPr>
        <w:pStyle w:val="FirstParagraph"/>
      </w:pPr>
      <w:r>
        <w:t xml:space="preserve">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pPr>
      <w:r>
        <w:t xml:space="preserve">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pPr>
      <w:r>
        <w:t xml:space="preserve">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bookmarkEnd w:id="35"/>
    <w:bookmarkStart w:id="36" w:name="X4031bce9e7ca49e8c55ae824e91e82c7d7b3ddf"/>
    <w:p>
      <w:pPr>
        <w:pStyle w:val="Heading2"/>
      </w:pPr>
      <w:r>
        <w:t xml:space="preserve">2.2A.4 Multi-scope Mapping and Redundancy Handling (Normative)</w:t>
      </w:r>
    </w:p>
    <w:p>
      <w:pPr>
        <w:pStyle w:val="FirstParagraph"/>
      </w:pPr>
      <w:r>
        <w:t xml:space="preserve">Multi-scope mapping is permitted. An instance MAY map to multiple Union Scopes where the decision plausibly affects that instance across multiple nested scales.</w:t>
      </w:r>
    </w:p>
    <w:p>
      <w:pPr>
        <w:pStyle w:val="BodyText"/>
      </w:pPr>
      <w:r>
        <w:t xml:space="preserve">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pPr>
      <w:r>
        <w:t xml:space="preserve">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pPr>
      <w:r>
        <w:t xml:space="preserve">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pPr>
      <w:r>
        <w:t xml:space="preserve">Allocation guard. Allocation SHALL NOT be used to suppress or mask adverse impacts in any rights-covered or catastrophe-relevant evaluation. Redundancy handling cannot weaken NCRC, TRC, or CSV computations.</w:t>
      </w:r>
    </w:p>
    <w:bookmarkEnd w:id="36"/>
    <w:bookmarkStart w:id="37" w:name="a.5-reduced-scope-mode-normative"/>
    <w:p>
      <w:pPr>
        <w:pStyle w:val="Heading2"/>
      </w:pPr>
      <w:r>
        <w:t xml:space="preserve">2.2A.5 Reduced-scope Mode (Normative)</w:t>
      </w:r>
    </w:p>
    <w:p>
      <w:pPr>
        <w:pStyle w:val="FirstParagraph"/>
      </w:pPr>
      <w:r>
        <w:t xml:space="preserve">Reduced-scope mode allows an evaluator to run with fewer than 7 scopes for mapping or reporting depth, provided omissions are explicitly disclosed. Reduced-scope mode SHALL NOT remove any non-maskable cells or required scope rows from NCRC, TRC, or CSV computation.</w:t>
      </w:r>
    </w:p>
    <w:p>
      <w:pPr>
        <w:pStyle w:val="BodyText"/>
      </w:pPr>
      <w:r>
        <w:t xml:space="preserve">Reduced-scope mode is a reporting or mapping-depth choice only. Admissibility computation MUST still evaluate all rights coverage sets C_r and catastrophe cell set C_cat as declared.</w:t>
      </w:r>
    </w:p>
    <w:p>
      <w:pPr>
        <w:pStyle w:val="BodyText"/>
      </w:pPr>
      <w:r>
        <w:t xml:space="preserve">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pPr>
      <w:r>
        <w:t xml:space="preserve">Common misread (informative). Misread:</w:t>
      </w:r>
      <w:r>
        <w:t xml:space="preserve"> </w:t>
      </w:r>
      <w:r>
        <w:t xml:space="preserve">“</w:t>
      </w:r>
      <w:r>
        <w:t xml:space="preserve">Unions limit who matters.</w:t>
      </w:r>
      <w:r>
        <w:t xml:space="preserve">”</w:t>
      </w:r>
      <w:r>
        <w:t xml:space="preserve"> </w:t>
      </w:r>
      <w:r>
        <w:t xml:space="preserve">Correction:</w:t>
      </w:r>
      <w:r>
        <w:t xml:space="preserve"> </w:t>
      </w:r>
      <w:r>
        <w:t xml:space="preserve">“</w:t>
      </w:r>
      <w:r>
        <w:t xml:space="preserve">Union Scopes prevent impacts from disappearing. Any stakeholder can be represented as an instance mapped into relevant scope(s), and omissions must be disclosed as coverage risk.</w:t>
      </w:r>
      <w:r>
        <w:t xml:space="preserve">”</w:t>
      </w:r>
    </w:p>
    <w:bookmarkEnd w:id="37"/>
    <w:bookmarkStart w:id="38" w:name="the-union-stack-seven-operational-unions"/>
    <w:p>
      <w:pPr>
        <w:pStyle w:val="Heading2"/>
      </w:pPr>
      <w:r>
        <w:t xml:space="preserve">2.3 The Union Stack (Seven Operational Unions)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882"/>
        <w:gridCol w:w="2307"/>
        <w:gridCol w:w="2514"/>
        <w:gridCol w:w="2514"/>
      </w:tblGrid>
      <w:tr>
        <w:trPr>
          <w:tblHeader w:val="true"/>
          <w:cantSplit/>
        </w:trPr>
        <w:tc>
          <w:tcPr>
            <w:tcW w:w="188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Union</w:t>
            </w:r>
          </w:p>
        </w:tc>
        <w:tc>
          <w:tcPr>
            <w:tcW w:w="2307"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Name</w:t>
            </w:r>
          </w:p>
        </w:tc>
        <w:tc>
          <w:tcPr>
            <w:tcW w:w="251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Definition</w:t>
            </w:r>
          </w:p>
        </w:tc>
        <w:tc>
          <w:tcPr>
            <w:tcW w:w="251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Characteristic Timescale</w:t>
            </w:r>
          </w:p>
        </w:tc>
      </w:tr>
      <w:tr>
        <w:trPr>
          <w:cantSplit/>
        </w:trPr>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U₁</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Self</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The individual locus of experience and agency</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Seconds to Decades</w:t>
            </w:r>
          </w:p>
        </w:tc>
      </w:tr>
      <w:tr>
        <w:trPr>
          <w:cantSplit/>
        </w:trPr>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U₂</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Household</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Primary cohabitation and resource pooling unit (Becker, 1981)</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Days to Decades</w:t>
            </w:r>
          </w:p>
        </w:tc>
      </w:tr>
      <w:tr>
        <w:trPr>
          <w:cantSplit/>
        </w:trPr>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U₃</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Community</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Local repeated-interaction network with social capital and trust dynamics (Putnam, 2000; Dunbar, 1993)</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Months to Generations</w:t>
            </w:r>
          </w:p>
        </w:tc>
      </w:tr>
      <w:tr>
        <w:trPr>
          <w:cantSplit/>
        </w:trPr>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U₄</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Organization</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Formal collective pursuing a purpose; structured coordination and institutional behavior (March &amp; Simon, 1958; North, 1990)</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Years to Centuries</w:t>
            </w:r>
          </w:p>
        </w:tc>
      </w:tr>
      <w:tr>
        <w:trPr>
          <w:cantSplit/>
        </w:trPr>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U₅</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Polity</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Governance authority unit over a jurisdiction; legitimacy and institutional structure (Weber, 1978)</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Decades to Centuries</w:t>
            </w:r>
          </w:p>
        </w:tc>
      </w:tr>
      <w:tr>
        <w:trPr>
          <w:cantSplit/>
        </w:trPr>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U₆</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Humanity/CMIU</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Collective Managing Intelligence Union: all managing intelligences; global coordination and systemic risk management (Ord, 2020; Steffen et al., 2015)</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Generations to Millennia</w:t>
            </w:r>
          </w:p>
        </w:tc>
      </w:tr>
      <w:tr>
        <w:trPr>
          <w:cantSplit/>
        </w:trPr>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U₇</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Biosphere</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Earth’s integrated life-support systems, including climate stability and ecosystem integrity (Odum, 1971; Steffen et al., 2015; Rockström et al., 2009, 2023)</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Centuries to Epochs</w:t>
            </w:r>
          </w:p>
        </w:tc>
      </w:tr>
    </w:tbl>
    <w:p>
      <w:pPr>
        <w:pStyle w:val="BodyText"/>
      </w:pPr>
      <w:r>
        <w:t xml:space="preserve">Canonical nesting chain: U₁ ⊂ U₂ ⊂ U₃ ⊂ U₄ ⊂ U₅ ⊂ U₆ ⊂ U₇</w:t>
      </w:r>
    </w:p>
    <w:p>
      <w:pPr>
        <w:pStyle w:val="BodyText"/>
      </w:pPr>
      <w:r>
        <w:t xml:space="preserve">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pPr>
      <w:r>
        <w:t xml:space="preserve">Ecological trophic cascades illustrate how interventions can propagate unpredictably across levels and why</w:t>
      </w:r>
      <w:r>
        <w:t xml:space="preserve"> </w:t>
      </w:r>
      <w:r>
        <w:t xml:space="preserve">“</w:t>
      </w:r>
      <w:r>
        <w:t xml:space="preserve">local wins</w:t>
      </w:r>
      <w:r>
        <w:t xml:space="preserve">”</w:t>
      </w:r>
      <w:r>
        <w:t xml:space="preserve"> </w:t>
      </w:r>
      <w:r>
        <w:t xml:space="preserve">can generate system losses, reinforcing the need for explicit containment and ripple modeling (Estes et al., 2011).</w:t>
      </w:r>
    </w:p>
    <w:bookmarkEnd w:id="38"/>
    <w:bookmarkStart w:id="39" w:name="X3693a7a7c2e2e0147febad22dbe62897ed7e30b"/>
    <w:p>
      <w:pPr>
        <w:pStyle w:val="Heading2"/>
      </w:pPr>
      <w:r>
        <w:t xml:space="preserve">2.4 Union Types vs Instances (Aggregation Rule)</w:t>
      </w:r>
    </w:p>
    <w:p>
      <w:pPr>
        <w:pStyle w:val="FirstParagraph"/>
      </w:pPr>
      <w:r>
        <w:t xml:space="preserve">The seven unions are types; real runs involve instances (many households, many organizations, many polities). Impacts MUST be aggregated within a union row using a declared aggregation method.</w:t>
      </w:r>
    </w:p>
    <w:p>
      <w:pPr>
        <w:pStyle w:val="BodyText"/>
      </w:pPr>
      <w:r>
        <w:t xml:space="preserve">Default aggregation (normative default for non-rights scoring): Population-weighted mean across affected instances.</w:t>
      </w:r>
    </w:p>
    <w:p>
      <w:pPr>
        <w:pStyle w:val="BodyText"/>
      </w:pPr>
      <w:r>
        <w:t xml:space="preserve">Rights exception: For rights-covered cells, apply worst-off subgroup checks within instances before aggregating (Section 7).</w:t>
      </w:r>
    </w:p>
    <w:p>
      <w:pPr>
        <w:pStyle w:val="BodyText"/>
      </w:pPr>
      <w:r>
        <w:t xml:space="preserve">Examples: Stakeholder Instances Mapped into Union Scopes (Non-Normative)</w:t>
      </w:r>
    </w:p>
    <w:p>
      <w:pPr>
        <w:pStyle w:val="BodyText"/>
      </w:pPr>
      <w:r>
        <w:t xml:space="preserve">This table illustrates how diverse stakeholders are represented as instances mapped into Union Scopes. The scope set is minimal but covering, it is a coordinate system for accountability, not a closed list of who matters.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Stakeholder instance (example)</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Typical role/context</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Mapped scope(s) (example)</w:t>
            </w:r>
          </w:p>
        </w:tc>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Notes (including multi-scope redundancy method when relevant)</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Me (decision owner)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direct personal impact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U1 Self</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Direct experience and agency locus.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Child or dependent in my care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care, safety, needs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U2 Household (and U1 for the child-as-person in detailed runs)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Household stability plus rights exposure often relevant.</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Local neighborhood residents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local externalities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U3 Community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Trust, cohesion, local health and environment.</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Employees or contractors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workplace policy impacts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U4 Organization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Pay, safety, dignity, due process.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Regulators, courts, enforcement bodies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compliance and legitimacy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U5 Polity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Law, procedure, rights enforcement capacity.</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Cross-border supply-chain workers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indirect externalities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U6 Humanity/CMIU</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Captures externalities beyond a single polity.</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Watershed or river system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ecological integrity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U7 Biosphere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Often ecology-rights and TRC relevant.</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Future generations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long-horizon impacts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U6 Humanity/CMIU + U7 Biosphere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Multi-scope mapping. Typically EMERGENT_SCALE_JUSTIFICATION, because effects differ across scales. Horizon and indicators must be explicit.</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Public information ecosystem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misinformation, censorship, legitimacy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U5 Polity + U6 Humanity/CMIU</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Multi-scope mapping. If represented in both scopes, declare redundancy handling. Default is EMERGENT_SCALE_JUSTIFICATION, or DEDUPLICATION with propagation.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Digital agents affected by policy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AI deployment governance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U6 Humanity/CMIU (SGP-gated for protections where applicable)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Protections handled via the SGP interface. Authority remains separately gated.</w:t>
            </w:r>
          </w:p>
        </w:tc>
      </w:tr>
    </w:tbl>
    <w:bookmarkEnd w:id="39"/>
    <w:bookmarkStart w:id="40" w:name="constructive-vs-pathological-unions"/>
    <w:p>
      <w:pPr>
        <w:pStyle w:val="Heading2"/>
      </w:pPr>
      <w:r>
        <w:t xml:space="preserve">2.5 Constructive vs Pathological Unions</w:t>
      </w:r>
    </w:p>
    <w:p>
      <w:pPr>
        <w:pStyle w:val="FirstParagraph"/>
      </w:pPr>
      <w:r>
        <w:t xml:space="preserve">Some unions grow by degrading their containing unions (for example, extractive industries or corruption networks). RippleLogic therefore does not assume</w:t>
      </w:r>
      <w:r>
        <w:t xml:space="preserve"> </w:t>
      </w:r>
      <w:r>
        <w:t xml:space="preserve">“</w:t>
      </w:r>
      <w:r>
        <w:t xml:space="preserve">union benefit</w:t>
      </w:r>
      <w:r>
        <w:t xml:space="preserve">”</w:t>
      </w:r>
      <w:r>
        <w:t xml:space="preserve"> </w:t>
      </w:r>
      <w:r>
        <w:t xml:space="preserve">is automatically good. The CSV Gate prevents local optimization that damages containing union coherence or viability beyond governed tolerance.</w:t>
      </w:r>
    </w:p>
    <w:bookmarkEnd w:id="40"/>
    <w:bookmarkStart w:id="41" w:name="meta-unions-non-computational-by-default"/>
    <w:p>
      <w:pPr>
        <w:pStyle w:val="Heading2"/>
      </w:pPr>
      <w:r>
        <w:t xml:space="preserve">2.6 Meta-Unions (Non-Computational by Default)</w:t>
      </w:r>
    </w:p>
    <w:p>
      <w:pPr>
        <w:pStyle w:val="FirstParagraph"/>
      </w:pPr>
      <w:r>
        <w:t xml:space="preserve">U₈ Cosmic and U₉ Universal / All-Encompassing Infinite Union (AIU)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bookmarkEnd w:id="41"/>
    <w:bookmarkStart w:id="42" w:name="X89fc53e92b284f5de526853171f99cc7bf508d8"/>
    <w:p>
      <w:pPr>
        <w:pStyle w:val="Heading2"/>
      </w:pPr>
      <w:r>
        <w:t xml:space="preserve">2.6A Operational UBR vs Metaphysical AIU (Normative Boundaries and Scope Discipline)</w:t>
      </w:r>
    </w:p>
    <w:p>
      <w:pPr>
        <w:pStyle w:val="FirstParagraph"/>
      </w:pPr>
      <w:r>
        <w:t xml:space="preserve">This section clarifies the strongest science-disciplined interpretation of Union-Based Reality (UBR), Union-Based Ethics (UBE), and the Universal/AIU horizon within the RippleLogic v11.4 line. Its purpose is to preserve conceptual clarity, prevent overclaiming, and maintain a clean boundary between what is currently operational, what is normatively stipulated, and what remains philosophical, phenomenological, or future-facing.</w:t>
      </w:r>
    </w:p>
    <w:p>
      <w:pPr>
        <w:pStyle w:val="BodyText"/>
      </w:pPr>
      <w:r>
        <w:t xml:space="preserve">Operational UBR. For the purposes of Tier 1 through Tier 3, UBR SHALL be interpreted operationally as a systems ontology of nested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pPr>
      <w:r>
        <w:t xml:space="preserve">Scope discipline. Implementations and public claims MUST distinguish among: (i) the operational-descriptive layer, where nested consequence is modeled across the scored union stack;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pPr>
      <w:r>
        <w:t xml:space="preserve">Operational boundary. The standard scored union stack for Tier 1 through Tier 3 remains U1 Self, U2 Household, U3 Community, U4 Organization, U5 Polity, U6 Humanity/CMIU, and U7 Biosphere. U8 Cosmic and U9 Universal / All-Encompassing Infinite Union (AIU) are meta-unions and are non-computational by default in the current release line.</w:t>
      </w:r>
    </w:p>
    <w:p>
      <w:pPr>
        <w:pStyle w:val="BodyText"/>
      </w:pPr>
      <w:r>
        <w:t xml:space="preserve">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pPr>
      <w:r>
        <w:t xml:space="preserve">Interpretation of</w:t>
      </w:r>
      <w:r>
        <w:t xml:space="preserve"> </w:t>
      </w:r>
      <w:r>
        <w:t xml:space="preserve">“</w:t>
      </w:r>
      <w:r>
        <w:t xml:space="preserve">we are one.</w:t>
      </w:r>
      <w:r>
        <w:t xml:space="preserve">”</w:t>
      </w:r>
      <w:r>
        <w:t xml:space="preserve"> </w:t>
      </w:r>
      <w:r>
        <w:t xml:space="preserve">Within RippleLogic v11.4, statements of oneness SHALL be interpreted in three distinct registers: (i) an operational register of strong interdependence and nested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pPr>
      <w:r>
        <w:t xml:space="preserve">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pPr>
      <w:r>
        <w:t xml:space="preserve">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All-Encompassing Infinite Union, fully resolved all metaphysical disagreements, or already solved universal alignment in the strongest ontological sense.</w:t>
      </w:r>
    </w:p>
    <w:p>
      <w:pPr>
        <w:pStyle w:val="BodyText"/>
      </w:pPr>
      <w:r>
        <w:t xml:space="preserve">Canonical summary. RippleLogic adopts UBR as an operational ontology of nested interdependence within measurable shared reality, adopts UBE through an explicit normative entry, and retains Cosmic and Universal/AIU language as non-computational horizon layers unless and until a governed extension protocol makes broader parameterization legitimate.</w:t>
      </w:r>
    </w:p>
    <w:bookmarkEnd w:id="42"/>
    <w:bookmarkEnd w:id="43"/>
    <w:bookmarkStart w:id="44" w:name="Xaa3bea1db0a0c9c7711123498f9d0d3ab9f25c8"/>
    <w:p>
      <w:pPr>
        <w:pStyle w:val="Heading1"/>
      </w:pPr>
      <w:r>
        <w:t xml:space="preserve">SECTION 3: NORMATIVE FOUNDATIONS: UNION-BASED ETHICS (UBE)</w:t>
      </w:r>
    </w:p>
    <w:bookmarkEnd w:id="44"/>
    <w:bookmarkStart w:id="57" w:name="a-ethical-reality"/>
    <w:p>
      <w:pPr>
        <w:pStyle w:val="Heading1"/>
      </w:pPr>
      <w:r>
        <w:t xml:space="preserve">3.0A Ethical Reality</w:t>
      </w:r>
    </w:p>
    <w:p>
      <w:pPr>
        <w:pStyle w:val="FirstParagraph"/>
      </w:pPr>
      <w:r>
        <w:t xml:space="preserve">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bookmarkStart w:id="45" w:name="minimal-normative-axiom-mna"/>
    <w:p>
      <w:pPr>
        <w:pStyle w:val="Heading2"/>
      </w:pPr>
      <w:r>
        <w:t xml:space="preserve">3.1 Minimal Normative Axiom (MNA)</w:t>
      </w:r>
    </w:p>
    <w:p>
      <w:pPr>
        <w:pStyle w:val="FirstParagraph"/>
      </w:pPr>
      <w:r>
        <w:t xml:space="preserve">RippleLogic adopts exactly one explicit normative axiom:</w:t>
      </w:r>
    </w:p>
    <w:p>
      <w:pPr>
        <w:pStyle w:val="BodyText"/>
      </w:pPr>
      <w:r>
        <w:t xml:space="preserve">MNA: Sentient welfare and flourishing matter. Unnecessary suffering and domination should be reduced. The enabling conditions for viable, non-dominated, and continuing flourishing should be preserved.</w:t>
      </w:r>
    </w:p>
    <w:p>
      <w:pPr>
        <w:pStyle w:val="BodyText"/>
      </w:pPr>
      <w:r>
        <w:t xml:space="preserve">This axiom is:</w:t>
      </w:r>
    </w:p>
    <w:p>
      <w:pPr>
        <w:pStyle w:val="BodyText"/>
      </w:pPr>
      <w:r>
        <w:t xml:space="preserve">Content-minimal: No single</w:t>
      </w:r>
      <w:r>
        <w:t xml:space="preserve"> </w:t>
      </w:r>
      <w:r>
        <w:t xml:space="preserve">“</w:t>
      </w:r>
      <w:r>
        <w:t xml:space="preserve">good life</w:t>
      </w:r>
      <w:r>
        <w:t xml:space="preserve">”</w:t>
      </w:r>
      <w:r>
        <w:t xml:space="preserve"> </w:t>
      </w:r>
      <w:r>
        <w:t xml:space="preserve">doctrine is prescribed.</w:t>
      </w:r>
    </w:p>
    <w:p>
      <w:pPr>
        <w:pStyle w:val="BodyText"/>
      </w:pPr>
      <w:r>
        <w:t xml:space="preserve">Scope-bounded: Applies where sentience or welfare-relevant moral patienthood is in scope.</w:t>
      </w:r>
    </w:p>
    <w:p>
      <w:pPr>
        <w:pStyle w:val="BodyText"/>
      </w:pPr>
      <w:r>
        <w:t xml:space="preserve">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BodyText"/>
      </w:pPr>
      <w:r>
        <w:t xml:space="preserve">Normatively explicit: RippleLogic does not claim to derive this axiom from mathematics alone or from descriptive facts alone.</w:t>
      </w:r>
    </w:p>
    <w:bookmarkEnd w:id="45"/>
    <w:bookmarkStart w:id="46" w:name="X9ee07be951ec25a19c7d202b92aa4751282fbbb"/>
    <w:p>
      <w:pPr>
        <w:pStyle w:val="Heading2"/>
      </w:pPr>
      <w:r>
        <w:t xml:space="preserve">3.1A Core Definitions for the Normative Layer (Normative)</w:t>
      </w:r>
    </w:p>
    <w:p>
      <w:pPr>
        <w:pStyle w:val="FirstParagraph"/>
      </w:pPr>
      <w:r>
        <w:t xml:space="preserve">Interpretation rule: RippleLogic protects welfare-bearing subjects directly and protects enabling conditions structurally where their degradation predictably undermines welfare, rights protection, non-domination, or long-run system viability.</w:t>
      </w:r>
    </w:p>
    <w:bookmarkEnd w:id="46"/>
    <w:bookmarkStart w:id="47" w:name="Xf0eb75f069bd79f5ddb9fe8eb54fbb5f27ed669"/>
    <w:p>
      <w:pPr>
        <w:pStyle w:val="Heading2"/>
      </w:pPr>
      <w:r>
        <w:t xml:space="preserve">3.1B Bridge Premises (Normative support; non-deductive)</w:t>
      </w:r>
    </w:p>
    <w:p>
      <w:pPr>
        <w:pStyle w:val="FirstParagraph"/>
      </w:pPr>
      <w:r>
        <w:t xml:space="preserve">The MNA is accompanied by two bridge premises that reduce arbitrariness while preserving honesty about the entry of normativity.</w:t>
      </w:r>
    </w:p>
    <w:p>
      <w:pPr>
        <w:pStyle w:val="BodyText"/>
      </w:pPr>
      <w:r>
        <w:t xml:space="preserve">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BodyText"/>
      </w:pPr>
      <w:r>
        <w:t xml:space="preserve">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pPr>
      <w:r>
        <w:t xml:space="preserve">These premises do not generate obligation by deduction. They explain why welfare-tracking, rights-tracking, and enabling-condition tracking are structurally relevant to intelligence acting in shared reality.</w:t>
      </w:r>
    </w:p>
    <w:bookmarkEnd w:id="47"/>
    <w:bookmarkStart w:id="48" w:name="Xe7055a6a684b074178d0859d0c1a1a44a3ee122"/>
    <w:p>
      <w:pPr>
        <w:pStyle w:val="Heading2"/>
      </w:pPr>
      <w:r>
        <w:t xml:space="preserve">3.1C Normative Commitment (Explicit final step)</w:t>
      </w:r>
    </w:p>
    <w:p>
      <w:pPr>
        <w:pStyle w:val="FirstParagraph"/>
      </w:pPr>
      <w:r>
        <w:t xml:space="preserve">RippleLogic adopts the commitment that credibly evidenced welfare-relevant states, rights-relevant states, and the enabling conditions on which they depend constitute reasons for action, not merely inputs for prediction.</w:t>
      </w:r>
    </w:p>
    <w:p>
      <w:pPr>
        <w:pStyle w:val="BodyText"/>
      </w:pPr>
      <w:r>
        <w:t xml:space="preserve">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bookmarkEnd w:id="48"/>
    <w:bookmarkStart w:id="49" w:name="X6b2eb27936025e8e1304354e6c1f0f48c9bb43a"/>
    <w:p>
      <w:pPr>
        <w:pStyle w:val="Heading2"/>
      </w:pPr>
      <w:r>
        <w:t xml:space="preserve">3.1D Evidence Discipline for Normative Claims (Normative)</w:t>
      </w:r>
    </w:p>
    <w:p>
      <w:pPr>
        <w:pStyle w:val="FirstParagraph"/>
      </w:pPr>
      <w:r>
        <w:t xml:space="preserve">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pPr>
      <w:r>
        <w:t xml:space="preserve">If such a state or condition materially affects admissibility, precautionary handling, selection, or tie-break outcome, it MUST be recorded in PCC.NormativeInputRegister with sufficient provenance for independent review.</w:t>
      </w:r>
    </w:p>
    <w:p>
      <w:pPr>
        <w:pStyle w:val="BodyText"/>
      </w:pPr>
      <w:r>
        <w:t xml:space="preserve">Unsupported narrative assertion, rhetorical force, linguistic fluency, or undeclared evaluator intuition SHALL NOT by itself constitute a sufficient reason-for-action input within RippleLogic.</w:t>
      </w:r>
    </w:p>
    <w:bookmarkEnd w:id="49"/>
    <w:bookmarkStart w:id="50" w:name="conditional-is-ought-bridge"/>
    <w:p>
      <w:pPr>
        <w:pStyle w:val="Heading2"/>
      </w:pPr>
      <w:r>
        <w:t xml:space="preserve">3.2 Conditional Is-Ought Bridge</w:t>
      </w:r>
    </w:p>
    <w:p>
      <w:pPr>
        <w:pStyle w:val="FirstParagraph"/>
      </w:pPr>
      <w:r>
        <w:t xml:space="preserve">RippleLogic avoids deriving values from facts by using a conditional bridge:</w:t>
      </w:r>
    </w:p>
    <w:p>
      <w:pPr>
        <w:pStyle w:val="BodyText"/>
      </w:pPr>
      <w:r>
        <w:t xml:space="preserve">IF</w:t>
      </w:r>
    </w:p>
    <w:p>
      <w:pPr>
        <w:pStyle w:val="BodyText"/>
      </w:pPr>
      <w:r>
        <w:t xml:space="preserve">(UBR) actions propagate through nested unions,</w:t>
      </w:r>
    </w:p>
    <w:p>
      <w:pPr>
        <w:pStyle w:val="BodyText"/>
      </w:pPr>
      <w:r>
        <w:t xml:space="preserve">AND</w:t>
      </w:r>
    </w:p>
    <w:p>
      <w:pPr>
        <w:pStyle w:val="BodyText"/>
      </w:pPr>
      <w:r>
        <w:t xml:space="preserve">(MNA) sentient welfare and flourishing matter, unnecessary suffering and domination should be reduced, and the enabling conditions for viable, non-dominated, and continuing flourishing should be preserved,</w:t>
      </w:r>
    </w:p>
    <w:p>
      <w:pPr>
        <w:pStyle w:val="BodyText"/>
      </w:pPr>
      <w:r>
        <w:t xml:space="preserve">AND</w:t>
      </w:r>
    </w:p>
    <w:p>
      <w:pPr>
        <w:pStyle w:val="BodyText"/>
      </w:pPr>
      <w:r>
        <w:t xml:space="preserve">(BP1)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pPr>
      <w:r>
        <w:t xml:space="preserve">AND</w:t>
      </w:r>
    </w:p>
    <w:p>
      <w:pPr>
        <w:pStyle w:val="BodyText"/>
      </w:pPr>
      <w:r>
        <w:t xml:space="preserve">(BP2) in plural, uncertain, co-embedded systems, systematic degradation of stakeholders’ welfare conditions, rights floors, or enabling conditions increases instability, conflict, tail risk, and long-run governance failure,</w:t>
      </w:r>
    </w:p>
    <w:p>
      <w:pPr>
        <w:pStyle w:val="BodyText"/>
      </w:pPr>
      <w:r>
        <w:t xml:space="preserve">THEN</w:t>
      </w:r>
    </w:p>
    <w:p>
      <w:pPr>
        <w:pStyle w:val="BodyText"/>
      </w:pPr>
      <w:r>
        <w:t xml:space="preserve">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pPr>
      <w:r>
        <w:t xml:space="preserve">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bookmarkEnd w:id="50"/>
    <w:bookmarkStart w:id="51" w:name="a-derived-governance-rule-normative"/>
    <w:p>
      <w:pPr>
        <w:pStyle w:val="Heading2"/>
      </w:pPr>
      <w:r>
        <w:t xml:space="preserve">3.2A Derived Governance Rule (Normative)</w:t>
      </w:r>
    </w:p>
    <w:p>
      <w:pPr>
        <w:pStyle w:val="FirstParagraph"/>
      </w:pPr>
      <w:r>
        <w:t xml:space="preserve">In governance contexts, RippleLogic operationalizes the above commitment through the canonical lexicographic cascade:</w:t>
      </w:r>
    </w:p>
    <w:p>
      <w:pPr>
        <w:pStyle w:val="BodyText"/>
      </w:pPr>
      <w:r>
        <w:t xml:space="preserve">A_sel := {a in O : NCRC(a) AND TRC(a) AND CSV_status(a) in {CSV_PASS, CSV_PASS_WITH_CONTROLS, CSV_NOT_MATERIAL}}. If A_sel is empty, escalate, redesign, or invoke governed fallback per the canon. Otherwise rank over A_sel using RLS and the declared tie-break chain.</w:t>
      </w:r>
    </w:p>
    <w:p>
      <w:pPr>
        <w:pStyle w:val="BodyText"/>
      </w:pPr>
      <w:r>
        <w:t xml:space="preserve">1. Protect rights floors first through NCRC.</w:t>
      </w:r>
    </w:p>
    <w:p>
      <w:pPr>
        <w:pStyle w:val="BodyText"/>
      </w:pPr>
      <w:r>
        <w:t xml:space="preserve">2. Bound catastrophic downside second through TRC.</w:t>
      </w:r>
    </w:p>
    <w:p>
      <w:pPr>
        <w:pStyle w:val="BodyText"/>
      </w:pPr>
      <w:r>
        <w:t xml:space="preserve">3. Block pathological containing-scope degradation through CSV as the third option-filtering gate after the RG claim-authority precondition.</w:t>
      </w:r>
    </w:p>
    <w:p>
      <w:pPr>
        <w:pStyle w:val="BodyText"/>
      </w:pPr>
      <w:r>
        <w:t xml:space="preserve">4. Rank remaining feasible options fourth through welfare scoring under declared weights, uncertainty rules, and auditability requirements.</w:t>
      </w:r>
    </w:p>
    <w:p>
      <w:pPr>
        <w:pStyle w:val="BodyText"/>
      </w:pPr>
      <w:r>
        <w:t xml:space="preserve">5. Resolve non-decisive cases structurally through UCI/HOI tie-breaks and escalation rules.</w:t>
      </w:r>
    </w:p>
    <w:p>
      <w:pPr>
        <w:pStyle w:val="BodyText"/>
      </w:pPr>
      <w:r>
        <w:t xml:space="preserve">Interpretation rule: RippleLogic does not define</w:t>
      </w:r>
      <w:r>
        <w:t xml:space="preserve"> </w:t>
      </w:r>
      <w:r>
        <w:t xml:space="preserve">“</w:t>
      </w:r>
      <w:r>
        <w:t xml:space="preserve">ought</w:t>
      </w:r>
      <w:r>
        <w:t xml:space="preserve">”</w:t>
      </w:r>
      <w:r>
        <w:t xml:space="preserve"> </w:t>
      </w:r>
      <w:r>
        <w:t xml:space="preserve">as unconstrained welfare maximization. It defines</w:t>
      </w:r>
      <w:r>
        <w:t xml:space="preserve"> </w:t>
      </w:r>
      <w:r>
        <w:t xml:space="preserve">“</w:t>
      </w:r>
      <w:r>
        <w:t xml:space="preserve">ought,</w:t>
      </w:r>
      <w:r>
        <w:t xml:space="preserve">”</w:t>
      </w:r>
      <w:r>
        <w:t xml:space="preserve"> </w:t>
      </w:r>
      <w:r>
        <w:t xml:space="preserve">in governance-grade decision settings, as selection from a rights-safe, tail-bounded, containment-safe feasible set under auditable evidence and uncertainty discipline.</w:t>
      </w:r>
    </w:p>
    <w:bookmarkEnd w:id="51"/>
    <w:bookmarkStart w:id="52" w:name="b-open-research-frontier-informative"/>
    <w:p>
      <w:pPr>
        <w:pStyle w:val="Heading2"/>
      </w:pPr>
      <w:r>
        <w:t xml:space="preserve">3.2B Open Research Frontier (Informative)</w:t>
      </w:r>
    </w:p>
    <w:p>
      <w:pPr>
        <w:pStyle w:val="FirstParagraph"/>
      </w:pPr>
      <w:r>
        <w:t xml:space="preserve">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bookmarkEnd w:id="52"/>
    <w:bookmarkStart w:id="53" w:name="seven-welfare-dimensions-canonical"/>
    <w:p>
      <w:pPr>
        <w:pStyle w:val="Heading2"/>
      </w:pPr>
      <w:r>
        <w:t xml:space="preserve">3.3 Seven Welfare Dimensions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744"/>
        <w:gridCol w:w="2985"/>
        <w:gridCol w:w="3489"/>
      </w:tblGrid>
      <w:tr>
        <w:trPr>
          <w:tblHeader w:val="true"/>
          <w:cantSplit/>
        </w:trPr>
        <w:tc>
          <w:tcPr>
            <w:tcW w:w="274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Dimension</w:t>
            </w:r>
          </w:p>
        </w:tc>
        <w:tc>
          <w:tcPr>
            <w:tcW w:w="2985"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Name</w:t>
            </w:r>
          </w:p>
        </w:tc>
        <w:tc>
          <w:tcPr>
            <w:tcW w:w="348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Description</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D₁</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Material</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Resources and infrastructure for survival and functioning</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D₂</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Health</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Physical and mental functioning; morbidity and mortality risk</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D₃</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Social</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Belonging, trust, relational integrity, cooperation</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D₄</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Knowledge</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Epistemic access and learning conditions</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D₅</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Agency</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Autonomy and effective choice; freedom from coercion</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D₆</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Meaning</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Coherence, purpose, valued life projects (measured cautiously)</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D₇</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Environment</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Ecological and built context integrity sustaining life</w:t>
            </w:r>
          </w:p>
        </w:tc>
      </w:tr>
    </w:tbl>
    <w:p>
      <w:pPr>
        <w:pStyle w:val="BodyText"/>
      </w:pPr>
      <w:r>
        <w:t xml:space="preserve">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bookmarkEnd w:id="53"/>
    <w:bookmarkStart w:id="54" w:name="non-fungibility-at-rights-level"/>
    <w:p>
      <w:pPr>
        <w:pStyle w:val="Heading2"/>
      </w:pPr>
      <w:r>
        <w:t xml:space="preserve">3.4 Non-Fungibility at Rights Level</w:t>
      </w:r>
    </w:p>
    <w:p>
      <w:pPr>
        <w:pStyle w:val="FirstParagraph"/>
      </w:pPr>
      <w:r>
        <w:t xml:space="preserve">Dimensions are treated as non-fungible at the rights layer: gains in one dimension MUST NOT compensate rights-floor violations in another. This is enforced structurally by NCRC (Section 7), not by weight tuning.</w:t>
      </w:r>
    </w:p>
    <w:bookmarkEnd w:id="54"/>
    <w:bookmarkStart w:id="55" w:name="unioning-enacted-practice"/>
    <w:p>
      <w:pPr>
        <w:pStyle w:val="Heading2"/>
      </w:pPr>
      <w:r>
        <w:t xml:space="preserve">3.5 Unioning (Enacted Practice)</w:t>
      </w:r>
    </w:p>
    <w:p>
      <w:pPr>
        <w:pStyle w:val="FirstParagraph"/>
      </w:pPr>
      <w:r>
        <w:t xml:space="preserve">Unioning = redesigning decisions until they are rights-safe (NCRC), tail-safe (TRC), containment-safe, and net-positive across unions under declared uncertainty policy, treating apparent</w:t>
      </w:r>
      <w:r>
        <w:t xml:space="preserve"> </w:t>
      </w:r>
      <w:r>
        <w:t xml:space="preserve">“</w:t>
      </w:r>
      <w:r>
        <w:t xml:space="preserve">tradeoffs</w:t>
      </w:r>
      <w:r>
        <w:t xml:space="preserve">”</w:t>
      </w:r>
      <w:r>
        <w:t xml:space="preserve"> </w:t>
      </w:r>
      <w:r>
        <w:t xml:space="preserve">as design failures before acceptance.</w:t>
      </w:r>
    </w:p>
    <w:p>
      <w:pPr>
        <w:pStyle w:val="BodyText"/>
      </w:pPr>
      <w:r>
        <w:t xml:space="preserve">Unioning worked example (Non-Normative)</w:t>
      </w:r>
    </w:p>
    <w:p>
      <w:pPr>
        <w:pStyle w:val="BodyText"/>
      </w:pPr>
      <w:r>
        <w:t xml:space="preserve">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pPr>
      <w:r>
        <w:t xml:space="preserve">Step 1, fail. Option A fails NCRC due to increased probability of serious injury and due-process erosion. It is rejected even if it would raise RLS.</w:t>
      </w:r>
    </w:p>
    <w:p>
      <w:pPr>
        <w:pStyle w:val="BodyText"/>
      </w:pPr>
      <w:r>
        <w:t xml:space="preserve">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pPr>
      <w:r>
        <w:t xml:space="preserve">Step 3, pass and select. Option B passes NCRC, passes TRC and CSV, then competes on RLS among admissible options. The PCC records the redesign rationale and the rights-floor reasoning, so the improvement is legible and replayable.</w:t>
      </w:r>
    </w:p>
    <w:bookmarkEnd w:id="55"/>
    <w:bookmarkStart w:id="56" w:name="Xce6559bad39e11c2e9b0db762adf11efde9c93e"/>
    <w:p>
      <w:pPr>
        <w:pStyle w:val="Heading2"/>
      </w:pPr>
      <w:r>
        <w:t xml:space="preserve">3.6 NCAR Learning Loop (Corrigibility Requirement)</w:t>
      </w:r>
    </w:p>
    <w:p>
      <w:pPr>
        <w:pStyle w:val="FirstParagraph"/>
      </w:pPr>
      <w:r>
        <w:t xml:space="preserve">RippleLogic is embedded in Notice, Choose, Act, Reflect. The system is corrigible: it records assumptions and outcomes, updates kernels and parameters via governed procedures, and preserves accountability through versioned PCCs.</w:t>
      </w:r>
    </w:p>
    <w:bookmarkEnd w:id="56"/>
    <w:bookmarkEnd w:id="57"/>
    <w:bookmarkStart w:id="74" w:name="Xa0639dfba04952623bf5ffd0c96f65572183032"/>
    <w:p>
      <w:pPr>
        <w:pStyle w:val="Heading1"/>
      </w:pPr>
      <w:r>
        <w:t xml:space="preserve">SECTION 4: SYSTEM OVERVIEW: THE RIPPLELOGIC ARCHITECTURE</w:t>
      </w:r>
    </w:p>
    <w:p>
      <w:pPr>
        <w:pStyle w:val="FirstParagraph"/>
      </w:pPr>
      <w:r>
        <w:t xml:space="preserve">Public method. RippleLogic SHOULD be taught and implemented at the public level as:</w:t>
      </w:r>
    </w:p>
    <w:p>
      <w:pPr>
        <w:pStyle w:val="BodyText"/>
      </w:pPr>
      <w:r>
        <w:t xml:space="preserve">Reality Grounding -&gt; Rights Floor -&gt; TRC -&gt; CSV -&gt; RLS</w:t>
      </w:r>
    </w:p>
    <w:p>
      <w:pPr>
        <w:pStyle w:val="BodyText"/>
      </w:pPr>
      <w:r>
        <w:t xml:space="preserve">Human mnemonic:</w:t>
      </w:r>
    </w:p>
    <w:p>
      <w:pPr>
        <w:pStyle w:val="BodyText"/>
      </w:pPr>
      <w:r>
        <w:t xml:space="preserve">Ground -&gt; Protect -&gt; Bound -&gt; Contain/Verify -&gt; Score</w:t>
      </w:r>
    </w:p>
    <w:p>
      <w:pPr>
        <w:pStyle w:val="BodyText"/>
      </w:pPr>
      <w:r>
        <w:t xml:space="preserve">Formal method. In formal notation and audit surfaces, this corresponds to: RG/RSG -&gt; RF/NCRC -&gt; TRC -&gt; CSV -&gt; RLS, where RG is Reality Grounding and RSG is the reality-surface grounding implementation record.</w:t>
      </w:r>
    </w:p>
    <w:p>
      <w:pPr>
        <w:pStyle w:val="BodyText"/>
      </w:pPr>
      <w:r>
        <w:t xml:space="preserve">Clarification. Reality Grounding is a claim-authority precondition, not an option-rejecting gate. RF/NCRC, TRC, and CSV gate admissibility and selectability. RLS ranks the selectable set. The five-level method therefore consists of one claim-authority precondition (RG), three hard feasibility/selectability gates (RF/NCRC, TRC, CSV), and one residual ranking layer (RLS).</w:t>
      </w:r>
    </w:p>
    <w:p>
      <w:pPr>
        <w:pStyle w:val="BodyText"/>
      </w:pPr>
      <w:r>
        <w:t xml:space="preserve">Level 1, Reality Grounding (RG/RSG). Declare the reality surface, evidence trace, material unknowns, transition boundary, consequence pathways, category boundaries, and claim boundary. If grounding is insufficient for a material claim, narrow, escalate, mark exploratory, or refuse the stronger claim.</w:t>
      </w:r>
    </w:p>
    <w:p>
      <w:pPr>
        <w:pStyle w:val="BodyText"/>
      </w:pPr>
      <w:r>
        <w:t xml:space="preserve">Level 2, Rights Floor (RF/NCRC). Apply the Non-Compensatory Rights Constraint. Rights-floor harms are non-compensatory and cannot be rescued by welfare score.</w:t>
      </w:r>
    </w:p>
    <w:p>
      <w:pPr>
        <w:pStyle w:val="BodyText"/>
      </w:pPr>
      <w:r>
        <w:t xml:space="preserve">Level 3, TRC / Tail-Risk Bound. Apply the Tail-Risk Constraint. Catastrophic or unbounded downside cannot be averaged into ordinary welfare gains.</w:t>
      </w:r>
    </w:p>
    <w:p>
      <w:pPr>
        <w:pStyle w:val="BodyText"/>
      </w:pPr>
      <w:r>
        <w:t xml:space="preserve">Level 4, CSV / Containment and Structural Viability. Apply the CSV gate. CSV asks whether the option’s local gain can stand without unacceptably damaging, hollowing, overloading, exploiting, or depending on the larger systems that make the gain possible. UCI/HOI and related structural diagnostics are evaluated inside CSV when material. Structural Viability is explicit inside CSV: resource closure, dependency closure, endpoint/reversibility coherence, operational capacity non-exceedance, and internal non-contradiction.</w:t>
      </w:r>
    </w:p>
    <w:p>
      <w:pPr>
        <w:pStyle w:val="BodyText"/>
      </w:pPr>
      <w:r>
        <w:t xml:space="preserve">Level 5, RLS / RippleLogic Score. Rank only the options that remain selectable. If RLS is tied, close, or non-decisive, apply the special-case tie-break rule using residual UCI/HOI where available or return REFUSE_DETERMINISTIC_SELECTION.</w:t>
      </w:r>
    </w:p>
    <w:p>
      <w:pPr>
        <w:pStyle w:val="BodyText"/>
      </w:pPr>
      <w:r>
        <w:t xml:space="preserve">Mantra. Ground -&gt; Protect -&gt; Bound -&gt; Contain/Verify -&gt; Score.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Layer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Question answered</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Output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RG / Reality Grounding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What reality surface, evidence trace, unknowns, transition boundary, consequence pathways, category boundaries, and claim boundary support this run?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Grounded, narrowed, escalated, exploratory, or refused.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NCRC</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Does the option violate a non-compensatory rights floor?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Rights-admissible or rejected.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TRC</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Is catastrophic tail risk acceptably bounded?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Admissible or rejected.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Can the option deliver its claimed good without uncontained harm, hollowing, lock-in, structural non-viability, or degrading containing systems beyond tolerance?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Selectable, pass with controls, redesign required, emergency provisional, excluded, or escalated.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Among selectable options, which has the strongest residual welfare pattern?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Ranked selectable options.</w:t>
            </w:r>
          </w:p>
        </w:tc>
      </w:tr>
    </w:tbl>
    <w:bookmarkStart w:id="58" w:name="formal-definition"/>
    <w:p>
      <w:pPr>
        <w:pStyle w:val="Heading2"/>
      </w:pPr>
      <w:r>
        <w:t xml:space="preserve">4.1 Formal Definition</w:t>
      </w:r>
    </w:p>
    <w:p>
      <w:pPr>
        <w:pStyle w:val="FirstParagraph"/>
      </w:pPr>
      <w:r>
        <w:t xml:space="preserve">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bookmarkEnd w:id="58"/>
    <w:bookmarkStart w:id="59" w:name="X9948084d4a6a9a1d811016fb10e2b8ff2e5c4ca"/>
    <w:p>
      <w:pPr>
        <w:pStyle w:val="Heading2"/>
      </w:pPr>
      <w:r>
        <w:t xml:space="preserve">4.2 Core Objects and Implementable Data Structures</w:t>
      </w:r>
    </w:p>
    <w:p>
      <w:pPr>
        <w:pStyle w:val="FirstParagraph"/>
      </w:pPr>
      <w:r>
        <w:t xml:space="preserve">Every RippleLogic run works from declared objects. These are not decorative labels; they are the minimum data surfaces that make the decision auditable, reproducible, and challengeable.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Object</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Description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Option set O</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Finite set of candidate actions.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Welfare impact matrix per option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I_prop(u,d,a) in [-1,+1], after direct impact construction, propagation, and saturation. Cell interpretation is governed by the canonical 49-cell reference grid and Appendix AD.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Rights impacts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I_rights(u,d,a), using worst-off protected subgroup semantics for rights-covered cells.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Scenario set S with probabilities p_s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Scenario surface for TRC, including mandatory tail categories and probability floors where required.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Catastrophe cells C_cat and weights omega</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Catastrophe-relevant welfare cells and tail-risk weights used in TRC.</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Kernel K, sparse 49x49</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Propagation structure. NONE or QUICK modes are permitted in Tier 1-3 subject to the canon.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Weights w_u and v_d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Union-scope and dimension weights, governed by HDW where required and constitutional floors where applicable.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Structural metrics UCI and HOI</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Containment and tie-break diagnostics, subject to maturity boundaries.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ReferenceStructureRecord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declared reference object, evidence status, causal pathway, falsification condition, authority boundary, and refusal trigger for the claim being made.</w:t>
            </w:r>
          </w:p>
        </w:tc>
      </w:tr>
    </w:tbl>
    <w:bookmarkEnd w:id="59"/>
    <w:bookmarkStart w:id="60" w:name="reference-structure-discipline"/>
    <w:p>
      <w:pPr>
        <w:pStyle w:val="Heading2"/>
      </w:pPr>
      <w:r>
        <w:t xml:space="preserve">4.3 Reference Structure Discipline</w:t>
      </w:r>
    </w:p>
    <w:p>
      <w:pPr>
        <w:pStyle w:val="FirstParagraph"/>
      </w:pPr>
      <w:r>
        <w:t xml:space="preserve">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BodyText"/>
      </w:pPr>
      <w:r>
        <w:t xml:space="preserve">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BodyText"/>
      </w:pPr>
      <w:r>
        <w:t xml:space="preserve">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BodyText"/>
      </w:pPr>
      <w:r>
        <w:t xml:space="preserve">Reference structure discipline does not create a sixth gate and does not alter the canonical method. Reality Grounding, NCRC, TRC, CSV, RLS, and UCI/HOI diagnostic handling retain their existing roles. The Reference Structure Protocol strengthens the evidence substrate used to evaluate those roles.</w:t>
      </w:r>
    </w:p>
    <w:p>
      <w:pPr>
        <w:pStyle w:val="BodyText"/>
      </w:pPr>
      <w:r>
        <w:t xml:space="preserve">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BodyText"/>
      </w:pPr>
      <w:r>
        <w:t xml:space="preserve">Plain-language rule. Governance without a declared reference structure becomes assumption management. RippleLogic requires declared references, visible evidence, falsifiable claims, and refusal when the reference structure cannot support the claim.</w:t>
      </w:r>
    </w:p>
    <w:bookmarkEnd w:id="60"/>
    <w:bookmarkStart w:id="62" w:name="X9ce9ca10ead52b5b4009a2d8a6f1a29f4e3c67a"/>
    <w:p>
      <w:pPr>
        <w:pStyle w:val="Heading2"/>
      </w:pPr>
      <w:r>
        <w:t xml:space="preserve">4.4 Formal Gate Sequence and Residual Tie-Break (Normative)</w:t>
      </w:r>
    </w:p>
    <w:p>
      <w:pPr>
        <w:pStyle w:val="FirstParagraph"/>
      </w:pPr>
      <w:r>
        <w:t xml:space="preserve">RippleLogic evaluates candidate options through a formal gate sequence with a claim-authority precondition. Reality Grounding first establishes whether the requested claim can be made at the declared strength. RF/NCRC, TRC, and CSV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BodyText"/>
      </w:pPr>
      <w:r>
        <w:t xml:space="preserve">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BodyText"/>
      </w:pPr>
      <w:r>
        <w:t xml:space="preserve">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BodyText"/>
      </w:pPr>
      <w:r>
        <w:t xml:space="preserve">Formal gate 3, CSV: containment and structural viability feasibility. CSV determines whether an admissible option is selectable with respect to containing-system integrity and execution viability. It asks whether local or sub-scope welfare gains degrade containing unions, hollow out capacities, create lock-in, externalize burdens, exceed operational capacity, or fail structural viability. An option that fails CSV is not selectable, even if it passes NCRC and TRC and would otherwise rank highly on residual welfare.</w:t>
      </w:r>
    </w:p>
    <w:p>
      <w:pPr>
        <w:pStyle w:val="BodyText"/>
      </w:pPr>
      <w:r>
        <w:t xml:space="preserve">Ranking stage, RLS: residual welfare ranking. RLS is applied only to options that have already passed RF/NCRC, TRC, and CSV. It ranks surviving options by weighted welfare aggregation over the active cell set, subject to non-maskable-cell rules and weight-governance requirements. RLS MUST NOT override or soften any earlier gate.</w:t>
      </w:r>
    </w:p>
    <w:p>
      <w:pPr>
        <w:pStyle w:val="BodyText"/>
      </w:pPr>
      <w:r>
        <w:t xml:space="preserve">Special-case UCI/HOI tie-break rule: structural resolution after RLS non-decisiveness. UCI and HOI are first evaluated inside CSV when material to structural integrity, hollowing risk, or containment. Only after options are already selectable may residual UCI/HOI help document a tied, close, uncertainty-overlapped, or non-decisive RLS result. UCI and HOI do not act as public cascade stages and do not reopen prior gate decisions.</w:t>
      </w:r>
    </w:p>
    <w:p>
      <w:pPr>
        <w:pStyle w:val="BodyText"/>
      </w:pPr>
      <w:r>
        <w:t xml:space="preserve">Non-overlap rule. For interpretation and auditability, the formal gate/ranking functions SHALL be read as follows: RG/RSG = claim authority; NCRC = rights feasibility; TRC = catastrophe feasibility; CSV = containment and structural viability feasibility; RLS = residual welfare ranking within the selectable set; UCI/HOI tie-break = special-case non-decisive structural resolution or monitoring within the selectable set, not a regular public cascade level. No implementation, commentary, or downstream artifact may collapse these functions into a single blended score.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840"/>
        <w:gridCol w:w="2459"/>
        <w:gridCol w:w="2459"/>
        <w:gridCol w:w="2459"/>
      </w:tblGrid>
      <w:tr>
        <w:trPr>
          <w:tblHeader w:val="true"/>
          <w:cantSplit/>
        </w:trPr>
        <w:tc>
          <w:tcPr>
            <w:tcW w:w="1840"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Level</w:t>
            </w:r>
          </w:p>
        </w:tc>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Name</w:t>
            </w:r>
          </w:p>
        </w:tc>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Function</w:t>
            </w:r>
          </w:p>
        </w:tc>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Failure consequence</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1</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RG / Reality Grounding</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Claim grounding and reality-surface discipline; claim-authority precondition, not an option-rejecting gate.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Narrow, escalate, mark exploratory, or refuse stronger claim.</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2</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Rights Floor (RF/NCRC)</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Rights feasibility.</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Rejected except Emergency Mode.</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3</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TRC / Tail-Risk Bound</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Catastrophic tail-risk feasibility.</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Rejected or escalated.</w:t>
            </w:r>
          </w:p>
        </w:tc>
      </w:tr>
      <w:tr>
        <w:trPr>
          <w:cantSplit/>
        </w:trPr>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4</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CSV / Containment and Structural Viability</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Containing-system integrity, structural viability, hollowing/dependency/lock-in screening, and controls/redesign logic.</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Pass, pass with controls, redesign required, emergency provisional, excluded, escalated, or refused.</w:t>
            </w:r>
          </w:p>
        </w:tc>
      </w:tr>
      <w:tr>
        <w:trPr>
          <w:cantSplit/>
        </w:trPr>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5</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RLS / RippleLogic Score</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Residual welfare ranking among selectable options.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Selection if decisive; if tied/close/non-decisive, apply tie-break rule or refuse deterministic selection.</w:t>
            </w:r>
          </w:p>
        </w:tc>
      </w:tr>
    </w:tbl>
    <w:bookmarkStart w:id="61" w:name="Xdfe5d49d4e46e3d475cb46532655ae76daf41a7"/>
    <w:p>
      <w:pPr>
        <w:pStyle w:val="Heading3"/>
      </w:pPr>
      <w:r>
        <w:t xml:space="preserve">4.4A Structural Viability within CSV (Normative clarification)</w:t>
      </w:r>
    </w:p>
    <w:p>
      <w:pPr>
        <w:pStyle w:val="FirstParagraph"/>
      </w:pPr>
      <w:r>
        <w:t xml:space="preserve">Structural Viability is explicit inside CSV, not a sixth public method level. It asks whether an option that otherwise passes Reality Grounding, NCRC, TRC, and containment integrity can structurally execute within the declared reality surface without undefined resource, dependency, reversibility, operational-capacity, or internal-contradiction failure.</w:t>
      </w:r>
    </w:p>
    <w:p>
      <w:pPr>
        <w:pStyle w:val="BodyText"/>
      </w:pPr>
      <w:r>
        <w:t xml:space="preserve">Formal shorthand: RG/RSG -&gt; RF/NCRC -&gt; TRC -&gt; CSV -&gt; RLS. Where material, the CSV result includes Structural Viability status before any option enters RLS. An option may be ethically preferable as a redesign target while still failing current structural viability for execution. In that case, the option may be documented as SVC_DESIGN_TARGET or CSV_REDESIGN_REQUIRED, but it MUST NOT be claimed as currently selectable, executable, deployment-ready, or deterministically selected.</w:t>
      </w:r>
    </w:p>
    <w:p>
      <w:pPr>
        <w:pStyle w:val="BodyText"/>
      </w:pPr>
      <w:r>
        <w:t xml:space="preserve">Non-import boundary. Structural Viability uses only MathGov-native records: resource declarations, dependency declarations, reversibility and endpoint status, operational limits, and contradiction checks. It MUST NOT import capacity/binding ontology, regime coordinates, hidden kernels, or undisclosed reference generators.</w:t>
      </w:r>
    </w:p>
    <w:bookmarkEnd w:id="61"/>
    <w:bookmarkEnd w:id="62"/>
    <w:bookmarkStart w:id="63" w:name="Xddecec7846b1a92d420fd7dbfad7f450a444ee4"/>
    <w:p>
      <w:pPr>
        <w:pStyle w:val="Heading2"/>
      </w:pPr>
      <w:r>
        <w:t xml:space="preserve">4.5 Cascade Gate Inputs and Outputs (Informative)</w:t>
      </w:r>
    </w:p>
    <w:p>
      <w:pPr>
        <w:pStyle w:val="FirstParagraph"/>
      </w:pPr>
      <w:r>
        <w:t xml:space="preserve">This table summarizes what each gate consumes, what it produces, and what it may eliminate or flag. It is a fast correctness check for implementers.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Gate / layer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Consumes</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Produces</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Eliminates / flags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 Grounding layer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 surface, evidence trace, material unknowns, transition boundary, consequence pathways, claim boundary, and reviewer/evidence status where material.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RealityGroundingStatus; claim boundary; refusal/escalation/narrowing disposition.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Blocks, narrows, escalates, marks exploratory, or refuses claims that exceed the grounded surface; does not compare options as an admissibility gate.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NCRC rights floor</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Rights-covered cell impacts I_prop_base(u,d,a) for C_r; subgroup operator gamma; rights thresholds.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rights_admissible(a) in {0,1}; violation depths v_r(a); redesign targets.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Eliminates any option with v_r(a)&gt;0; flags RIGHTS_CELL_OMITTED_INVALID where required rights cells are omitted, excluded, or undisclosed.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TRC tail-risk / CVaR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Scenario set S with categories and floors; catastrophe loss proxy L(a,s) over C_cat; alpha; tau_TRC.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TRC_pass(a) in {0,1}; CVaR_alpha[L(a)].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Eliminates any option with CVaR_alpha &gt; tau_TRC; flags missing mandatory tail categories, probability floor violations, or omitted catastrophe cells.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 system safety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 triggers; structural posture thresholds; Delta UCI / HOI / Adaptive Reserve or equivalent diagnostics where material; reversibility and repair evidence.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containment_pass(a) in {0,1}; containment posture notes; remediation plan if unavailable.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Eliminates or escalates options failing containment; flags CONTAINMENT_STRUCTURAL_DIAGNOSTIC_UNAVAILABLE or CONTAINMENT_UCI_HOI_UNAVAILABLE when required evidence is missing.</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RLS welfare 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Active welfare cells, including rights-covered and catastrophe cells subject to non-maskable rules; weights w_u and v_d; applicability mask m(u,d); uncertainty proxies.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RLS(a); Gap(a,b); welfare ranking over remaining options.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Does not override NCRC/TRC/CSV; flags invalid masking of rights or catastrophe cells from RLS aggregation.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Tie-break / monitoring diagnostics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Residual UCI/HOI or equivalent structural indicators not already decisive for Containment; monitoring and hollowing documentation.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Tie-break signal, monitoring warning, or future-run steering.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Not a gate; may be used only when RLS is tied, close, uncertainty-overlapped, or non-decisive, or for monitoring. Cannot rescue earlier failure.</w:t>
            </w:r>
          </w:p>
        </w:tc>
      </w:tr>
    </w:tbl>
    <w:bookmarkEnd w:id="63"/>
    <w:bookmarkStart w:id="64" w:name="Xced2c250d025c9757f0c5037ccdca81f3c308d0"/>
    <w:p>
      <w:pPr>
        <w:pStyle w:val="Heading2"/>
      </w:pPr>
      <w:r>
        <w:t xml:space="preserve">4.6 End-to-End Algorithm (Tier 1-3 Executable) (Normative)</w:t>
      </w:r>
    </w:p>
    <w:p>
      <w:pPr>
        <w:pStyle w:val="FirstParagraph"/>
      </w:pPr>
      <w:r>
        <w:t xml:space="preserve">Algorithm: RippleLogic_Run</w:t>
      </w:r>
    </w:p>
    <w:p>
      <w:pPr>
        <w:pStyle w:val="BodyText"/>
      </w:pPr>
      <w:r>
        <w:t xml:space="preserve">Inputs, minimum: decision scope; baseline; option set O; union and dimension sets; weights; rights canon; TRC canon when required; containment parameters; propagation mode; kernel if used; scenario set where Tier-3 TRC is required.</w:t>
      </w:r>
    </w:p>
    <w:p>
      <w:pPr>
        <w:pStyle w:val="BodyText"/>
      </w:pPr>
      <w:r>
        <w:t xml:space="preserve">Outputs: selected option a* or escalation, plus PCC.</w:t>
      </w:r>
    </w:p>
    <w:p>
      <w:pPr>
        <w:pStyle w:val="BodyText"/>
      </w:pPr>
      <w:r>
        <w:t xml:space="preserve">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BodyText"/>
      </w:pPr>
      <w:r>
        <w:t xml:space="preserve">Step 2: Impact construction. For each option a, estimate direct impacts from impact instances; saturate into I_dir; propagate in NONE or QUICK to obtain I_prop; apply post-propagation saturation. Record uncertainty notes and missing-data penalties as required.</w:t>
      </w:r>
    </w:p>
    <w:p>
      <w:pPr>
        <w:pStyle w:val="BodyText"/>
      </w:pPr>
      <w:r>
        <w:t xml:space="preserve">Step 3: NCRC gate. For rights-covered cells, compute worst-off subgroup impacts I_rights. Compute violation depths v_r(a). Options with any v_r(a) &gt; 0 fail NCRC. If the passing set is empty, invoke Emergency Mode.</w:t>
      </w:r>
    </w:p>
    <w:p>
      <w:pPr>
        <w:pStyle w:val="BodyText"/>
      </w:pPr>
      <w:r>
        <w:t xml:space="preserve">Step 4: TRC gate. For each rights-admissible option, compute scenario losses L(a,s) over catastrophe cells and compute CVaR_alpha. Exclude options exceeding tau_TRC. If no option remains, invoke TRC fallback.</w:t>
      </w:r>
    </w:p>
    <w:p>
      <w:pPr>
        <w:pStyle w:val="BodyText"/>
      </w:pPr>
      <w:r>
        <w:t xml:space="preserve">Step 5: CSV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CSV before RLS. If required structural diagnostic evidence is unavailable, downgrade, collect evidence, rerun, escalate, refuse the stronger claim, or record a permitted waiver where the applicable tier permits waiver.</w:t>
      </w:r>
    </w:p>
    <w:p>
      <w:pPr>
        <w:pStyle w:val="BodyText"/>
      </w:pPr>
      <w:r>
        <w:t xml:space="preserve">Step 6: RLS ranking. Compute RLS(a) only for selectable options. Compute uncertainty and apply the discrimination rule where required. If decisive, select the top option.</w:t>
      </w:r>
    </w:p>
    <w:p>
      <w:pPr>
        <w:pStyle w:val="BodyText"/>
      </w:pPr>
      <w:r>
        <w:t xml:space="preserve">Step 7: Special-case tie-break / non-decisive handling. If RLS is tied, close, uncertainty-overlapped, or otherwise non-decisive, compare only options already in the selectable set. Apply residual UCI/HOI only as tie-break, monitoring, or hollowing-risk documentation. Do not reopen NCRC, TRC, or CSV. Do not use residual UCI/HOI to rescue failed Containment or compensate for missing containment evidence. If still non-decisive, return REFUSE_DETERMINISTIC_SELECTION, escalate, or record authorized judgment through the proper AuthoritySelectionRecord.</w:t>
      </w:r>
    </w:p>
    <w:p>
      <w:pPr>
        <w:pStyle w:val="BodyText"/>
      </w:pPr>
      <w:r>
        <w:t xml:space="preserve">Step 8: Emit PCC. Record inputs, intermediate computations, gate results, sensitivity outputs where required, ReferenceStructureRecord where required, refusal record if applicable, and public rationale.</w:t>
      </w:r>
    </w:p>
    <w:bookmarkEnd w:id="64"/>
    <w:bookmarkStart w:id="65" w:name="Xd94fbe15c4cb43a6422e2f25979a70ad7d4c930"/>
    <w:p>
      <w:pPr>
        <w:pStyle w:val="Heading2"/>
      </w:pPr>
      <w:r>
        <w:t xml:space="preserve">4.7 Canonical 49-Cell Reference Table (v10.6+; Informative)</w:t>
      </w:r>
    </w:p>
    <w:p>
      <w:pPr>
        <w:pStyle w:val="FirstParagraph"/>
      </w:pPr>
      <w:r>
        <w:t xml:space="preserve">Each cell in the 7×7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BodyText"/>
      </w:pPr>
      <w:r>
        <w:t xml:space="preserve">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326"/>
        <w:gridCol w:w="1127"/>
        <w:gridCol w:w="1127"/>
        <w:gridCol w:w="1127"/>
        <w:gridCol w:w="1127"/>
        <w:gridCol w:w="1127"/>
        <w:gridCol w:w="1127"/>
        <w:gridCol w:w="1127"/>
      </w:tblGrid>
      <w:tr>
        <w:trPr>
          <w:tblHeader w:val="true"/>
          <w:cantSplit/>
        </w:trPr>
        <w:tc>
          <w:tcPr>
            <w:tcW w:w="1326"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Union / Dimension</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D1 Material</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D2 Health</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D3 Social</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D4 Knowledge</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D5 Agency</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D6 Meaning</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D7 Environment</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U1 Self</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resources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health and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relationships and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knowledge and learning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agency and autonomy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meaning and purpose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environmental conditions</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U2 Household</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resources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health and safety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relationships and cohesion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knowledge and learning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agency and autonomy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meaning and purpose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environmental conditions</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U3 Community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resources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health and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relationships and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knowledge and learning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agency and autonomy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meaning and purpose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environmental conditions</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U4 Organization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resources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health and safety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relationships and cohesion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knowledge and learning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agency and autonomy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meaning and purpose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environmental conditions</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U5 Polity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resources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health and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relationships and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knowledge and learning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agency and autonomy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meaning and purpose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polity/public environmental conditions</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U6 Humanity/CMIU</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resources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health and safety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relationships and cohesion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knowledge and learning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agency and autonomy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meaning and purpose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humanity-wide environmental conditions</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U7 Biosphere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resources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health and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relationships and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knowledge and learning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agency and autonomy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meaning and purpose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biospheric environmental conditions</w:t>
            </w:r>
          </w:p>
        </w:tc>
      </w:tr>
    </w:tbl>
    <w:p>
      <w:pPr>
        <w:pStyle w:val="BodyText"/>
      </w:pPr>
      <w:r>
        <w:t xml:space="preserve">Release packaging rule (v10.6+). Every public release PDF MUST include this 49-cell table and the stakeholder-to-scope examples table below, either in Section 4 or in a dedicated reference-table appendix that is directly linked from Section 4.</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Scenario</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Primary scope logging</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Secondary / cross-scope impacts</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Redundancy handling note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Parent transfers $100 to adult child.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Recipient: U2 Household (child household) x D1 Material.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Sender household reduced resources, U2 x D1; governance/admin impacts logged separately if applicable.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DEDUPLICATION: log the transfer effect-token once; do not create a second impact instance for the same token.</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City spends $1M on public hospital upgrades.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Community: U3 Community x D2 Health.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Households benefit; polity accountability impacts may exist.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ALLOCATION if the same investment benefits multiple scopes; record effect-tokens and coefficients.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National carbon tax: estimated 60% benefit to biosphere, 40% to humanity/CMIU.</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Allocate the policy benefit token across U7 and U6 with coefficients 0.6 and 0.4.</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Polity administrative burden and compliance costs logged as distinct impacts.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ALLOCATION: explicit coefficients; no allocation laundering.</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Factory emissions affect local residents and ecosystem.</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Local health harm to residents: U3 Community x D2 Health.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Ecosystem degradation: U7 Biosphere x D7 Environment.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EMERGENT_SCALE_JUSTIFICATION: different mechanisms at different scales, not duplicate counting.</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River communities 50km downstream affected by discharge.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Downstream residents: U3 Community, separate instance from factory-neighbor community.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Potential rights exposure flagged through stakeholder discovery.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SDP externality detection: omission-likely stakeholder class logged separately.</w:t>
            </w:r>
          </w:p>
        </w:tc>
      </w:tr>
    </w:tbl>
    <w:bookmarkEnd w:id="65"/>
    <w:bookmarkStart w:id="66" w:name="implementation-tiers-normative-summary"/>
    <w:p>
      <w:pPr>
        <w:pStyle w:val="Heading2"/>
      </w:pPr>
      <w:r>
        <w:t xml:space="preserve">4.8 Implementation Tiers (Normative Summary)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Requirement</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1 Heuristic</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2 Core</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3 Auditable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NCRC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Heuristic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with subgroup semantics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 qualitative screen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catastrophe relevance is plausible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Scenario set size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5 minimum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20 minimum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Kernel propagation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NONE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NONE default; QUICK if KQS policy satisfied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QUICK only if KQS policy satisfied plus sensitivity</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 Mode 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and binding</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basic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full</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Sensitivity analysis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bl>
    <w:p>
      <w:pPr>
        <w:pStyle w:val="BodyText"/>
      </w:pPr>
      <w:r>
        <w:t xml:space="preserve">Tier 4 boundary. Tier 4 is a design target only in v11.4 and MUST NOT be claimed until ProofPack is public and independently replayable.</w:t>
      </w:r>
    </w:p>
    <w:bookmarkEnd w:id="66"/>
    <w:bookmarkStart w:id="73" w:name="X800ed4650d56b07ae8b53e8c41ad963d70d7733"/>
    <w:p>
      <w:pPr>
        <w:pStyle w:val="Heading2"/>
      </w:pPr>
      <w:r>
        <w:t xml:space="preserve">4.9 Refusal Under Underdetermination (Normative)</w:t>
      </w:r>
    </w:p>
    <w:p>
      <w:pPr>
        <w:pStyle w:val="FirstParagraph"/>
      </w:pPr>
      <w:r>
        <w:t xml:space="preserve">Purpose. RippleLogic distinguishes gate failure from underdetermination. Gate failure occurs when a declared option uniquely violates NCRC, TRC, or CSV requirements. Refusal occurs when the framework cannot uniquely determine whether an option passes, fails, or can be selected from the declared inputs and projection rules.</w:t>
      </w:r>
    </w:p>
    <w:p>
      <w:pPr>
        <w:pStyle w:val="BodyText"/>
      </w:pPr>
      <w:r>
        <w:t xml:space="preserve">Refusal is not weakness, discretion, or rhetorical caution. It is a formal anti-overclaiming state. A run that enters Refusal MUST NOT claim that the relevant option is admissible, selectable, selected, aligned, safe, or RippleLogic-conformant for the unresolved claim.</w:t>
      </w:r>
    </w:p>
    <w:bookmarkStart w:id="67" w:name="refusal-triggers-normative"/>
    <w:p>
      <w:pPr>
        <w:pStyle w:val="Heading3"/>
      </w:pPr>
      <w:r>
        <w:t xml:space="preserve">4.9.1 Refusal triggers (Normative)</w:t>
      </w:r>
    </w:p>
    <w:p>
      <w:pPr>
        <w:pStyle w:val="FirstParagraph"/>
      </w:pPr>
      <w:r>
        <w:t xml:space="preserve">R-1 Gate-critical unknown. A rights-covered cell, catastrophe cell, Containment indicator, or other gate-critical input remains UNKNOWN_IMPACT after the applicable evidence, phantom-instance, or conservative-default rule has been applied.</w:t>
      </w:r>
    </w:p>
    <w:p>
      <w:pPr>
        <w:pStyle w:val="BodyText"/>
      </w:pPr>
      <w:r>
        <w:t xml:space="preserve">R-2 Non-unique projection. The projection from stakeholder instances, subgroup evidence, scenario data, or scope mapping to a gate verdict admits two or more materially different admissibility interpretations under the same declared evidence.</w:t>
      </w:r>
    </w:p>
    <w:p>
      <w:pPr>
        <w:pStyle w:val="BodyText"/>
      </w:pPr>
      <w:r>
        <w:t xml:space="preserve">R-3 Material indistinguishability. Two or more options are observationally indistinguishable on available welfare evidence but materially different in possible rights exposure, tail-risk exposure, domination risk, or containment risk.</w:t>
      </w:r>
    </w:p>
    <w:p>
      <w:pPr>
        <w:pStyle w:val="BodyText"/>
      </w:pPr>
      <w:r>
        <w:t xml:space="preserve">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BodyText"/>
      </w:pPr>
      <w:r>
        <w:t xml:space="preserve">R-5 Projection modification after observation. A ProjectionPreRegistration object, threshold, rights coverage set, catastrophe cell set, scenario set, weight rule, SGP scalar binding, or Containment trigger is materially modified after relevant decision evidence has been consulted, unless the run is voided and restarted.</w:t>
      </w:r>
    </w:p>
    <w:p>
      <w:pPr>
        <w:pStyle w:val="BodyText"/>
      </w:pPr>
      <w:r>
        <w:t xml:space="preserve">R-6 Claim-boundary mismatch. The evidence available may support a lower-tier, local, provisional, or exploratory claim but is insufficient for the stronger claim being attempted.</w:t>
      </w:r>
    </w:p>
    <w:bookmarkEnd w:id="67"/>
    <w:bookmarkStart w:id="68" w:name="refusal-effects-normative"/>
    <w:p>
      <w:pPr>
        <w:pStyle w:val="Heading3"/>
      </w:pPr>
      <w:r>
        <w:t xml:space="preserve">4.9.2 Refusal effects (Normative)</w:t>
      </w:r>
    </w:p>
    <w:p>
      <w:pPr>
        <w:pStyle w:val="FirstParagraph"/>
      </w:pPr>
      <w:r>
        <w:t xml:space="preserve">1. stop any claim of admissibility, selectability, selection, conformance, or alignment for the unresolved option or run;</w:t>
      </w:r>
    </w:p>
    <w:p>
      <w:pPr>
        <w:pStyle w:val="BodyText"/>
      </w:pPr>
      <w:r>
        <w:t xml:space="preserve">2. emit a PCC.RefusalRecord;</w:t>
      </w:r>
    </w:p>
    <w:p>
      <w:pPr>
        <w:pStyle w:val="BodyText"/>
      </w:pPr>
      <w:r>
        <w:t xml:space="preserve">3. identify the unresolved gate, scope, dimension, scenario, stakeholder class, or projection rule;</w:t>
      </w:r>
    </w:p>
    <w:p>
      <w:pPr>
        <w:pStyle w:val="BodyText"/>
      </w:pPr>
      <w:r>
        <w:t xml:space="preserve">4. state the minimum evidence or procedural condition required for re-run;</w:t>
      </w:r>
    </w:p>
    <w:p>
      <w:pPr>
        <w:pStyle w:val="BodyText"/>
      </w:pPr>
      <w:r>
        <w:t xml:space="preserve">5. route the decision to escalation, redesign, bounded provisional action, or no-action baseline review according to tier and stakes.</w:t>
      </w:r>
    </w:p>
    <w:bookmarkEnd w:id="68"/>
    <w:bookmarkStart w:id="69" w:name="X7ad4807c0af0c8fb536ae62e9235d082611dfa8"/>
    <w:p>
      <w:pPr>
        <w:pStyle w:val="Heading3"/>
      </w:pPr>
      <w:r>
        <w:t xml:space="preserve">4.9.3 Emergency and provisional action (Normative)</w:t>
      </w:r>
    </w:p>
    <w:p>
      <w:pPr>
        <w:pStyle w:val="FirstParagraph"/>
      </w:pPr>
      <w:r>
        <w:t xml:space="preserve">Refusal blocks strong conformance claims. It does not automatically imply inaction in emergency contexts. Where delay itself creates material harm, a provisional action MAY proceed only if all of the following hold:</w:t>
      </w:r>
    </w:p>
    <w:p>
      <w:pPr>
        <w:pStyle w:val="BodyText"/>
      </w:pPr>
      <w:r>
        <w:t xml:space="preserve">1. the action is rights-preserving under the best available conservative screen;</w:t>
      </w:r>
    </w:p>
    <w:p>
      <w:pPr>
        <w:pStyle w:val="BodyText"/>
      </w:pPr>
      <w:r>
        <w:t xml:space="preserve">2. catastrophic tail-risk is not plausibly increased beyond the declared emergency corridor;</w:t>
      </w:r>
    </w:p>
    <w:p>
      <w:pPr>
        <w:pStyle w:val="BodyText"/>
      </w:pPr>
      <w:r>
        <w:t xml:space="preserve">3. the action is reversible, staged, or bounded where feasible;</w:t>
      </w:r>
    </w:p>
    <w:p>
      <w:pPr>
        <w:pStyle w:val="BodyText"/>
      </w:pPr>
      <w:r>
        <w:t xml:space="preserve">4. escalation and independent review are triggered;</w:t>
      </w:r>
    </w:p>
    <w:p>
      <w:pPr>
        <w:pStyle w:val="BodyText"/>
      </w:pPr>
      <w:r>
        <w:t xml:space="preserve">5. the PCC clearly marks the action as PROVISIONAL_UNDER_REFUSAL rather than admissible, selectable, or selected under normal conformance.</w:t>
      </w:r>
    </w:p>
    <w:bookmarkEnd w:id="69"/>
    <w:bookmarkStart w:id="70" w:name="distinction-from-gate-failure-normative"/>
    <w:p>
      <w:pPr>
        <w:pStyle w:val="Heading3"/>
      </w:pPr>
      <w:r>
        <w:t xml:space="preserve">4.9.4 Distinction from gate failure (Normative)</w:t>
      </w:r>
    </w:p>
    <w:p>
      <w:pPr>
        <w:pStyle w:val="FirstParagraph"/>
      </w:pPr>
      <w:r>
        <w:t xml:space="preserve">Gate failure is committed: NCRC violation, TRC corridor breach, or CSV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bookmarkEnd w:id="70"/>
    <w:bookmarkStart w:id="71" w:name="pcc-fields-for-refusal-normative"/>
    <w:p>
      <w:pPr>
        <w:pStyle w:val="Heading3"/>
      </w:pPr>
      <w:r>
        <w:t xml:space="preserve">4.9.5 PCC fields for Refusal (Normative)</w:t>
      </w:r>
    </w:p>
    <w:p>
      <w:pPr>
        <w:pStyle w:val="FirstParagraph"/>
      </w:pPr>
      <w:r>
        <w:t xml:space="preserve">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bookmarkEnd w:id="71"/>
    <w:bookmarkStart w:id="72" w:name="Xd61611dff5528c84371225ae7e677e565c666cd"/>
    <w:p>
      <w:pPr>
        <w:pStyle w:val="Heading3"/>
      </w:pPr>
      <w:r>
        <w:t xml:space="preserve">4.9.6 Relation to ripple.md IND and NA (Informative)</w:t>
      </w:r>
    </w:p>
    <w:p>
      <w:pPr>
        <w:pStyle w:val="FirstParagraph"/>
      </w:pPr>
      <w:r>
        <w:t xml:space="preserve">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bookmarkEnd w:id="72"/>
    <w:bookmarkEnd w:id="73"/>
    <w:bookmarkEnd w:id="74"/>
    <w:bookmarkStart w:id="91" w:name="X47a6519c1d137a160de0f30c797ffe6d6d7016a"/>
    <w:p>
      <w:pPr>
        <w:pStyle w:val="Heading1"/>
      </w:pPr>
      <w:r>
        <w:t xml:space="preserve">SECTION 5: WELFARE IMPACT CONSTRUCTION (CALCULABLE)</w:t>
      </w:r>
    </w:p>
    <w:bookmarkStart w:id="76" w:name="X523fad201e951e935bf047090458728c2ec64c7"/>
    <w:p>
      <w:pPr>
        <w:pStyle w:val="Heading2"/>
      </w:pPr>
      <w:r>
        <w:t xml:space="preserve">5.0 Purpose and Design Requirements (Normative)</w:t>
      </w:r>
    </w:p>
    <w:p>
      <w:pPr>
        <w:pStyle w:val="FirstParagraph"/>
      </w:pPr>
      <w:r>
        <w:t xml:space="preserve">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pPr>
      <w:r>
        <w:t xml:space="preserve">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bookmarkStart w:id="75" w:name="stakeholder-coverage-index-sci-normative"/>
    <w:p>
      <w:pPr>
        <w:pStyle w:val="Heading3"/>
      </w:pPr>
      <w:r>
        <w:t xml:space="preserve">5.0.1 Stakeholder Coverage Index (SCI) (Normative)</w:t>
      </w:r>
    </w:p>
    <w:p>
      <w:pPr>
        <w:pStyle w:val="FirstParagraph"/>
      </w:pPr>
      <w:r>
        <w:t xml:space="preserve">SCI is a tier-governed disclosure ladder describing the stakeholder coverage posture of a run. SCI does not change scoring formulas. It is an auditability and integrity signal that supports comparability and anti-theater enforcement.</w:t>
      </w:r>
    </w:p>
    <w:p>
      <w:pPr>
        <w:pStyle w:val="BodyText"/>
      </w:pPr>
      <w:r>
        <w:t xml:space="preserve">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pPr>
      <w:r>
        <w:t xml:space="preserve">Tier minima. Tier 2 runs MUST achieve at least SCI-1. Tier 3 runs MUST achieve at least SCI-2.</w:t>
      </w:r>
    </w:p>
    <w:p>
      <w:pPr>
        <w:pStyle w:val="BodyText"/>
      </w:pPr>
      <w:r>
        <w:t xml:space="preserve">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bookmarkEnd w:id="75"/>
    <w:bookmarkEnd w:id="76"/>
    <w:bookmarkStart w:id="77" w:name="X14c07903ecff8bfff33a7105cb5b70ddc10a9b0"/>
    <w:p>
      <w:pPr>
        <w:pStyle w:val="Heading2"/>
      </w:pPr>
      <w:r>
        <w:t xml:space="preserve">5.0A End-to-End Cell Computation Recipe (Informative)</w:t>
      </w:r>
    </w:p>
    <w:p>
      <w:pPr>
        <w:pStyle w:val="FirstParagraph"/>
      </w:pPr>
      <w:r>
        <w:t xml:space="preserve">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BodyText"/>
      </w:pPr>
      <w:r>
        <w:t xml:space="preserve">8) Emit PCC: record parameters, ReachBasis, gate results, RLS summary, and the public 5SPR. If reduced-scope mode is used, include the required attestations and blind-spot statement.</w:t>
      </w:r>
    </w:p>
    <w:p>
      <w:pPr>
        <w:pStyle w:val="Compact"/>
        <w:numPr>
          <w:ilvl w:val="0"/>
          <w:numId w:val="1002"/>
        </w:numPr>
      </w:pPr>
      <w:r>
        <w:t xml:space="preserve">Run the formal method: RSG / Reality Grounding → RF / Rights Floor (formal NCRC) → TRC / Tail-Risk Bound → CSV / Containment and Structural Viability → RLS / RippleLogic Score. Treat UCI/HOI or equivalent structural diagnostics as CSV evidence when material, and as residual tie-break/monitoring evidence only when RLS is tied, close, uncertainty-overlapped, or non-decisive.</w:t>
      </w:r>
    </w:p>
    <w:p>
      <w:pPr>
        <w:pStyle w:val="FirstParagraph"/>
      </w:pPr>
      <w:r>
        <w:t xml:space="preserve">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BodyText"/>
      </w:pPr>
      <w:r>
        <w:t xml:space="preserve">5) Compute the direct contribution and accumulate to the cell: Ĩ_dir(u,d,a) = Σ_k ( μ_k · r_k · τ(t_k) · ℓ_k · c_k · e_k · s_k ) over k in that cell. Apply the canonical saturation (for example tanh) to obtain I_dir(u,d,a) ∈ [-1,+1].</w:t>
      </w:r>
    </w:p>
    <w:p>
      <w:pPr>
        <w:pStyle w:val="BodyText"/>
      </w:pPr>
      <w:r>
        <w:t xml:space="preserve">Stream note (Normative). For admissibility layers (NCRC, TRC, CSV), compute the Base stream with s_k:=1 for all impact instances. Sentience multipliers s_k may be applied only in the Welfare stream used for RLS, per Section 5.1 and Appendix G.</w:t>
      </w:r>
    </w:p>
    <w:p>
      <w:pPr>
        <w:pStyle w:val="BodyText"/>
      </w:pPr>
      <w:r>
        <w:t xml:space="preserve">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sentience multiplier s_k ≥ 0 with Human Plateau constraints (Appendix G).</w:t>
      </w:r>
    </w:p>
    <w:p>
      <w:pPr>
        <w:pStyle w:val="BodyText"/>
      </w:pPr>
      <w:r>
        <w:t xml:space="preserve">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pPr>
        <w:pStyle w:val="BodyText"/>
      </w:pPr>
      <w:r>
        <w:t xml:space="preserve">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BodyText"/>
      </w:pPr>
      <w:r>
        <w:t xml:space="preserve">3) Construct Impact Instances k for each active welfare cell (u,d): each k must reference (a) a stakeholder instance, (b) a cell (u,d), and (c) a direct or indirect pathway description.</w:t>
      </w:r>
    </w:p>
    <w:p>
      <w:pPr>
        <w:pStyle w:val="BodyText"/>
      </w:pPr>
      <w:r>
        <w:t xml:space="preserve">2) Build the representation layer: SDP → Stakeholders → Stakeholder Instances (InstanceMap with union-scope coverage).</w:t>
      </w:r>
    </w:p>
    <w:p>
      <w:pPr>
        <w:pStyle w:val="BodyText"/>
      </w:pPr>
      <w:r>
        <w:t xml:space="preserve">1) Declare the run: option set A, unions U_run, welfare dimensions D, horizon window, and kernel propagation policy (NONE / QUICK). If effect-token redundancy handling is used, declare the redundancy mode (EMERGENT / DEDUP / ALLOCATION) and α budgets separately.</w:t>
      </w:r>
    </w:p>
    <w:bookmarkEnd w:id="77"/>
    <w:bookmarkStart w:id="78" w:name="baseline-zero-rule-normative"/>
    <w:p>
      <w:pPr>
        <w:pStyle w:val="Heading2"/>
      </w:pPr>
      <w:r>
        <w:t xml:space="preserve">5.1 Baseline-Zero Rule (Normative)</w:t>
      </w:r>
    </w:p>
    <w:p>
      <w:pPr>
        <w:pStyle w:val="FirstParagraph"/>
      </w:pPr>
      <w:r>
        <w:t xml:space="preserve">Semantic anchor (MUST): For all unions u, dimensions d, and options a:</w:t>
      </w:r>
    </w:p>
    <w:p>
      <w:pPr>
        <w:pStyle w:val="BodyText"/>
      </w:pPr>
      <w:r>
        <w:t xml:space="preserve">I(u,d,a) = 0 if and only if the predicted indicator state under option a equals the baseline indicator state.</w:t>
      </w:r>
    </w:p>
    <w:p>
      <w:pPr>
        <w:pStyle w:val="BodyText"/>
      </w:pPr>
      <w:r>
        <w:t xml:space="preserve">Interpretation: </w:t>
      </w:r>
      <w:r>
        <w:t xml:space="preserve">“</w:t>
      </w:r>
      <w:r>
        <w:t xml:space="preserve">0 means no change from baseline</w:t>
      </w:r>
      <w:r>
        <w:t xml:space="preserve">”</w:t>
      </w:r>
      <w:r>
        <w:t xml:space="preserve"> </w:t>
      </w:r>
      <w:r>
        <w:t xml:space="preserve">is globally enforced. Any method that produces absolute levels MUST immediately convert them into baseline-relative deltas before entering RippleLogic impact scoring.</w:t>
      </w:r>
    </w:p>
    <w:p>
      <w:pPr>
        <w:pStyle w:val="BodyText"/>
      </w:pPr>
      <w:r>
        <w:t xml:space="preserve">Stream binding (Normative): Compute two impact streams that share τ(t), μ_k, and all other terms. Base stream fixes s_k := 1.0 for all impact instances and is the only stream used by admissibility layers (NCRC, TRC, CSV). Welfare stream may apply s_k per the SGP binding interface and is used only for RLS.</w:t>
      </w:r>
    </w:p>
    <w:bookmarkEnd w:id="78"/>
    <w:bookmarkStart w:id="79" w:name="X16829071bf3c125384380fc5e23e2dada00d28f"/>
    <w:p>
      <w:pPr>
        <w:pStyle w:val="Heading2"/>
      </w:pPr>
      <w:r>
        <w:t xml:space="preserve">5.1A Baseline Contract for Admissibility Layers (Normative)</w:t>
      </w:r>
    </w:p>
    <w:p>
      <w:pPr>
        <w:pStyle w:val="FirstParagraph"/>
      </w:pPr>
      <w:r>
        <w:t xml:space="preserve">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w:t>
      </w:r>
      <w:r>
        <w:t xml:space="preserve"> </w:t>
      </w:r>
      <w:r>
        <w:t xml:space="preserve">“</w:t>
      </w:r>
      <w:r>
        <w:t xml:space="preserve">floor baseline</w:t>
      </w:r>
      <w:r>
        <w:t xml:space="preserve">”</w:t>
      </w:r>
      <w:r>
        <w:t xml:space="preserve">), not merely the status quo.</w:t>
      </w:r>
    </w:p>
    <w:p>
      <w:pPr>
        <w:pStyle w:val="BodyText"/>
      </w:pPr>
      <w:r>
        <w:t xml:space="preserve">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p>
    <w:p>
      <w:pPr>
        <w:pStyle w:val="BodyText"/>
      </w:pPr>
      <w:r>
        <w:t xml:space="preserve">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bookmarkEnd w:id="79"/>
    <w:bookmarkStart w:id="81" w:name="impact-instances-normative"/>
    <w:p>
      <w:pPr>
        <w:pStyle w:val="Heading2"/>
      </w:pPr>
      <w:r>
        <w:t xml:space="preserve">5.2 Impact Instances (Normative)</w:t>
      </w:r>
    </w:p>
    <w:p>
      <w:pPr>
        <w:pStyle w:val="FirstParagraph"/>
      </w:pPr>
      <w:r>
        <w:t xml:space="preserve">RippleLogic represents impacts in each active welfare cell (u,d) for option a as a finite set of impact instances K(u,d,a). Each instance captures one distinct causal pathway or measurable effect.</w:t>
      </w:r>
    </w:p>
    <w:p>
      <w:pPr>
        <w:pStyle w:val="BodyText"/>
      </w:pPr>
      <w:r>
        <w:t xml:space="preserve">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pPr>
      <w:r>
        <w:t xml:space="preserve">Informative: Scopes × Dimensions form the welfare matrix. Instances feed the cells.</w:t>
      </w:r>
    </w:p>
    <w:bookmarkStart w:id="80" w:name="X90f1024a6ae322a5cadfd5b474e14a9b435bb15"/>
    <w:p>
      <w:pPr>
        <w:pStyle w:val="Heading3"/>
      </w:pPr>
      <w:r>
        <w:t xml:space="preserve">5.2.1 ReachBasis canon (Tier 2+ required) (Normative)</w:t>
      </w:r>
    </w:p>
    <w:p>
      <w:pPr>
        <w:pStyle w:val="FirstParagraph"/>
      </w:pPr>
      <w:r>
        <w:t xml:space="preserve">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BodyText"/>
      </w:pPr>
      <w:r>
        <w:t xml:space="preserve">ReachBasisType (Normative). For each r_k, the PCC MUST record one ReachBasisType ∈ {POPULATION_FRACTION, ASSET_OR_FLOW_FRACTION, AREA_OR_VOLUME_FRACTION, OTHER_DECLARED}. If OTHER_DECLARED is used, the PCC MUST define the basis and the denominator unambiguously.</w:t>
      </w:r>
    </w:p>
    <w:p>
      <w:pPr>
        <w:pStyle w:val="BodyText"/>
      </w:pPr>
      <w:r>
        <w:t xml:space="preserve">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BodyText"/>
      </w:pPr>
      <w:r>
        <w:t xml:space="preserve">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BodyText"/>
      </w:pPr>
      <w:r>
        <w:t xml:space="preserve">Anti-inflation rule (Normative). If the denominator is uncertain or contestable, the PCC MUST choose a conservative denominator that biases r_k downward (reducing claimed reach) unless a stronger denominator is justified by evidence.</w:t>
      </w:r>
    </w:p>
    <w:p>
      <w:pPr>
        <w:pStyle w:val="BodyText"/>
      </w:pPr>
      <w:r>
        <w:t xml:space="preserve">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pPr>
      <w:r>
        <w:t xml:space="preserve">Table 5.1: Impact Instance Parameters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459"/>
        <w:gridCol w:w="1840"/>
        <w:gridCol w:w="2459"/>
        <w:gridCol w:w="2459"/>
      </w:tblGrid>
      <w:tr>
        <w:trPr>
          <w:tblHeader w:val="true"/>
          <w:cantSplit/>
        </w:trPr>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Parameter</w:t>
            </w:r>
          </w:p>
        </w:tc>
        <w:tc>
          <w:tcPr>
            <w:tcW w:w="1840"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Symbol</w:t>
            </w:r>
          </w:p>
        </w:tc>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Range</w:t>
            </w:r>
          </w:p>
        </w:tc>
        <w:tc>
          <w:tcPr>
            <w:tcW w:w="24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Meaning</w:t>
            </w: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Magnitude</w:t>
            </w:r>
          </w:p>
        </w:tc>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μ_k</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[-1,+1]</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Signed severity of welfare change (baseline-relative). Positive = improvement; negative = harm.</w:t>
            </w: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Reach</w:t>
            </w:r>
          </w:p>
        </w:tc>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r_k</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[0,1]</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Fraction of the relevant stakeholder population materially affected.</w:t>
            </w: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Time horizon</w:t>
            </w:r>
          </w:p>
        </w:tc>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t_k</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(0, ∞) years</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Duration over which the effect remains materially relevant.</w:t>
            </w: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Likelihood</w:t>
            </w:r>
          </w:p>
        </w:tc>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ℓ_k</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[0,1]</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Conditional probability the instance occurs (conditional on scenario model, if used).</w:t>
            </w: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Confidence</w:t>
            </w:r>
          </w:p>
        </w:tc>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c_k</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[0.1,1]</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Analyst confidence in the instance specification and mapping (floor prevents</w:t>
            </w:r>
            <w:r>
              <w:rPr>
                <w:sz w:val="17"/>
              </w:rPr>
              <w:t xml:space="preserve"> </w:t>
            </w:r>
            <w:r>
              <w:rPr>
                <w:sz w:val="17"/>
              </w:rPr>
              <w:t xml:space="preserve">“</w:t>
            </w:r>
            <w:r>
              <w:rPr>
                <w:sz w:val="17"/>
              </w:rPr>
              <w:t xml:space="preserve">zeroing out</w:t>
            </w:r>
            <w:r>
              <w:rPr>
                <w:sz w:val="17"/>
              </w:rPr>
              <w:t xml:space="preserve">”</w:t>
            </w:r>
            <w:r>
              <w:rPr>
                <w:sz w:val="17"/>
              </w:rPr>
              <w:t xml:space="preserve">).</w:t>
            </w:r>
          </w:p>
        </w:tc>
      </w:tr>
      <w:tr>
        <w:trPr>
          <w:cantSplit/>
        </w:trPr>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Equity/resilience multiplier</w:t>
            </w:r>
          </w:p>
        </w:tc>
        <w:tc>
          <w:tcPr>
            <w:tcW w:w="1840" w:type="dxa"/>
            <w:vAlign w:val="top"/>
            <w:tcMar>
              <w:top w:w="70" w:type="dxa"/>
              <w:start w:w="90" w:type="dxa"/>
              <w:bottom w:w="70" w:type="dxa"/>
              <w:end w:w="90" w:type="dxa"/>
            </w:tcMar>
            <w:shd w:fill="F3F7FB" w:val="clear"/>
          </w:tcPr>
          <w:p>
            <w:pPr>
              <w:pStyle w:val="Compact"/>
              <w:spacing w:before="0" w:after="0"/>
              <w:jc w:val="left"/>
            </w:pPr>
            <w:r>
              <w:rPr>
                <w:sz w:val="17"/>
              </w:rPr>
              <w:t xml:space="preserve">e_k</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Tier 2: 1.00 only unless named governed instrument; Tier 3: [0.75, 1.25] default 1.00</w:t>
            </w:r>
          </w:p>
        </w:tc>
        <w:tc>
          <w:tcPr>
            <w:tcW w:w="2459" w:type="dxa"/>
            <w:vAlign w:val="top"/>
            <w:tcMar>
              <w:top w:w="70" w:type="dxa"/>
              <w:start w:w="90" w:type="dxa"/>
              <w:bottom w:w="70" w:type="dxa"/>
              <w:end w:w="90" w:type="dxa"/>
            </w:tcMar>
            <w:shd w:fill="F3F7FB" w:val="clear"/>
          </w:tcPr>
          <w:p>
            <w:pPr>
              <w:pStyle w:val="Compact"/>
              <w:spacing w:before="0" w:after="0"/>
              <w:jc w:val="left"/>
            </w:pPr>
            <w:r>
              <w:rPr>
                <w:sz w:val="17"/>
              </w:rPr>
              <w:t xml:space="preserve">Governed multiplier for declared equity/resilience/context corrections only; MUST NOT function as a hidden weight or sign-changing control.</w:t>
            </w:r>
          </w:p>
        </w:tc>
      </w:tr>
      <w:tr>
        <w:trPr>
          <w:cantSplit/>
        </w:trPr>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Sentience multiplier</w:t>
            </w:r>
          </w:p>
        </w:tc>
        <w:tc>
          <w:tcPr>
            <w:tcW w:w="1840" w:type="dxa"/>
            <w:vAlign w:val="top"/>
            <w:tcMar>
              <w:top w:w="70" w:type="dxa"/>
              <w:start w:w="90" w:type="dxa"/>
              <w:bottom w:w="70" w:type="dxa"/>
              <w:end w:w="90" w:type="dxa"/>
            </w:tcMar>
            <w:shd w:fill="FFFFFF" w:val="clear"/>
          </w:tcPr>
          <w:p>
            <w:pPr>
              <w:pStyle w:val="Compact"/>
              <w:spacing w:before="0" w:after="0"/>
              <w:jc w:val="left"/>
            </w:pPr>
            <w:r>
              <w:rPr>
                <w:sz w:val="17"/>
              </w:rPr>
              <w:t xml:space="preserve">s_k</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[0,1] (default 1)</w:t>
            </w:r>
          </w:p>
        </w:tc>
        <w:tc>
          <w:tcPr>
            <w:tcW w:w="2459" w:type="dxa"/>
            <w:vAlign w:val="top"/>
            <w:tcMar>
              <w:top w:w="70" w:type="dxa"/>
              <w:start w:w="90" w:type="dxa"/>
              <w:bottom w:w="70" w:type="dxa"/>
              <w:end w:w="90" w:type="dxa"/>
            </w:tcMar>
            <w:shd w:fill="FFFFFF" w:val="clear"/>
          </w:tcPr>
          <w:p>
            <w:pPr>
              <w:pStyle w:val="Compact"/>
              <w:spacing w:before="0" w:after="0"/>
              <w:jc w:val="left"/>
            </w:pPr>
            <w:r>
              <w:rPr>
                <w:sz w:val="17"/>
              </w:rPr>
              <w:t xml:space="preserve">From SGP interface when ethically relevant; MUST be 1 for humans (Human Plateau Rule).</w:t>
            </w:r>
          </w:p>
        </w:tc>
      </w:tr>
    </w:tbl>
    <w:p>
      <w:pPr>
        <w:pStyle w:val="BodyText"/>
      </w:pPr>
      <w:r>
        <w:t xml:space="preserve">Normative notes:</w:t>
      </w:r>
    </w:p>
    <w:p>
      <w:pPr>
        <w:pStyle w:val="Compact"/>
        <w:numPr>
          <w:ilvl w:val="0"/>
          <w:numId w:val="1003"/>
        </w:numPr>
      </w:pPr>
      <w:r>
        <w:t xml:space="preserve">c_k has a floor of 0.1 to prevent omission-by-zeroing; low confidence should reduce weight but not erase impact.</w:t>
      </w:r>
    </w:p>
    <w:p>
      <w:pPr>
        <w:pStyle w:val="FirstParagraph"/>
      </w:pPr>
      <w:r>
        <w:t xml:space="preserve">Gate-critical confidence guard (Normative). For adverse gate-critical impacts in the rights coverage set C_r, the catastrophe cell set C_cat, or material CSV indicators, low confidence SHALL NOT by itself reduce gate severity below a conservative admissibility-relevant bound. If confidence, evidence, or measurement maturity is insufficient and the RF/NCRC, TRC, or CSV outcome could change, the run MUST either apply a governed conservative bound, narrow the claim, collect stronger evidence and rerun, downgrade the claim boundary, escalate, or route to Refusal. Confidence may represent epistemic uncertainty, but it MUST NOT launder severe but uncertain gate-critical harm into pass status.</w:t>
      </w:r>
    </w:p>
    <w:p>
      <w:pPr>
        <w:pStyle w:val="Compact"/>
        <w:numPr>
          <w:ilvl w:val="0"/>
          <w:numId w:val="1004"/>
        </w:numPr>
      </w:pPr>
      <w:r>
        <w:t xml:space="preserve">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FirstParagraph"/>
      </w:pPr>
      <w:r>
        <w:t xml:space="preserve">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BodyText"/>
      </w:pPr>
      <w:r>
        <w:t xml:space="preserve">Registry omission rule (Normative clarification). PCC.EKRegistry MAY be omitted when all impact instances in the run use e_k = 1.00 and no Tier-2 named-instrument exception is invoked.</w:t>
      </w:r>
    </w:p>
    <w:p>
      <w:pPr>
        <w:pStyle w:val="BodyText"/>
      </w:pPr>
      <w:r>
        <w:t xml:space="preserve">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Compact"/>
        <w:numPr>
          <w:ilvl w:val="0"/>
          <w:numId w:val="1005"/>
        </w:numPr>
      </w:pPr>
      <w:r>
        <w:t xml:space="preserve">Non-default SGP-derived sentience multipliers may be applied only in the Welfare stream for non-human, non-plateau entities where an authoritative SGP record is available. For humans and all plateau-bearing entities, s_k MUST be 1.0. SGP-derived scalars MUST NOT weaken any human protection or alter NCRC, TRC, or CSV (Section 12; Appendix G).</w:t>
      </w:r>
    </w:p>
    <w:bookmarkEnd w:id="80"/>
    <w:bookmarkEnd w:id="81"/>
    <w:bookmarkStart w:id="82" w:name="temporal-weighting-normative"/>
    <w:p>
      <w:pPr>
        <w:pStyle w:val="Heading2"/>
      </w:pPr>
      <w:r>
        <w:t xml:space="preserve">5.3 Temporal Weighting (Normative)</w:t>
      </w:r>
    </w:p>
    <w:p>
      <w:pPr>
        <w:pStyle w:val="FirstParagraph"/>
      </w:pPr>
      <w:r>
        <w:t xml:space="preserve">τ(t) = min(1, ln(1 + max(t, t_min)) / ln(1 + T_ref))</w:t>
      </w:r>
    </w:p>
    <w:p>
      <w:pPr>
        <w:pStyle w:val="BodyText"/>
      </w:pPr>
      <w:r>
        <w:t xml:space="preserve">Intuition anchor (informative): τ(t) is the fraction of full governance-horizon weight an effect receives.</w:t>
      </w:r>
    </w:p>
    <w:p>
      <w:pPr>
        <w:pStyle w:val="BodyText"/>
      </w:pPr>
      <w:r>
        <w:t xml:space="preserve">Defaults:</w:t>
      </w:r>
    </w:p>
    <w:p>
      <w:pPr>
        <w:pStyle w:val="BodyText"/>
      </w:pPr>
      <w:r>
        <w:t xml:space="preserve">t_min = 0.083 years (approximately 1 month; prevents τ(0) = 0)</w:t>
      </w:r>
    </w:p>
    <w:p>
      <w:pPr>
        <w:pStyle w:val="BodyText"/>
      </w:pPr>
      <w:r>
        <w:t xml:space="preserve">T_ref = 25 years (governance reference horizon)</w:t>
      </w:r>
    </w:p>
    <w:p>
      <w:pPr>
        <w:pStyle w:val="BodyText"/>
      </w:pPr>
      <w:r>
        <w:t xml:space="preserve">Illustrative values (with defaults):</w:t>
      </w:r>
    </w:p>
    <w:p>
      <w:pPr>
        <w:pStyle w:val="BodyText"/>
      </w:pPr>
      <w:r>
        <w:t xml:space="preserve">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BodyText"/>
      </w:pPr>
      <w:r>
        <w:t xml:space="preserve">Sensitivity note (Tier 3): T_ref SHOULD be perturbed (for example, T_ref = 15 and T_ref = 50) as part of the sensitivity bundle. If selection changes under T_ref perturbation, the PCC MUST document this sensitivity.</w:t>
      </w:r>
    </w:p>
    <w:p>
      <w:pPr>
        <w:pStyle w:val="BodyText"/>
      </w:pPr>
      <w:r>
        <w:t xml:space="preserve">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BodyText"/>
      </w:pPr>
      <w:r>
        <w:t xml:space="preserve">τ(100) = 1.00 (capped)</w:t>
      </w:r>
    </w:p>
    <w:p>
      <w:pPr>
        <w:pStyle w:val="BodyText"/>
      </w:pPr>
      <w:r>
        <w:t xml:space="preserve">τ(50) = 1.00 (capped: no bonus beyond T_ref)</w:t>
      </w:r>
    </w:p>
    <w:p>
      <w:pPr>
        <w:pStyle w:val="BodyText"/>
      </w:pPr>
      <w:r>
        <w:t xml:space="preserve">τ(25) = 1.00 (reference horizon: full weight)</w:t>
      </w:r>
    </w:p>
    <w:p>
      <w:pPr>
        <w:pStyle w:val="BodyText"/>
      </w:pPr>
      <w:r>
        <w:t xml:space="preserve">τ(10) ≈ 0.74 (10 years)</w:t>
      </w:r>
    </w:p>
    <w:p>
      <w:pPr>
        <w:pStyle w:val="BodyText"/>
      </w:pPr>
      <w:r>
        <w:t xml:space="preserve">τ(5) ≈ 0.55 (5 years)</w:t>
      </w:r>
    </w:p>
    <w:p>
      <w:pPr>
        <w:pStyle w:val="BodyText"/>
      </w:pPr>
      <w:r>
        <w:t xml:space="preserve">τ(1) ≈ 0.21 (1 year)</w:t>
      </w:r>
    </w:p>
    <w:p>
      <w:pPr>
        <w:pStyle w:val="BodyText"/>
      </w:pPr>
      <w:r>
        <w:t xml:space="preserve">τ(0.083) ≈ 0.025 (1 month: minimal but nonzero)</w:t>
      </w:r>
    </w:p>
    <w:p>
      <w:pPr>
        <w:pStyle w:val="BodyText"/>
      </w:pPr>
      <w:r>
        <w:t xml:space="preserve">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807"/>
        <w:gridCol w:w="4411"/>
      </w:tblGrid>
      <w:tr>
        <w:trPr>
          <w:tblHeader w:val="true"/>
          <w:cantSplit/>
        </w:trPr>
        <w:tc>
          <w:tcPr>
            <w:tcW w:w="4807"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Time Horizon (years)</w:t>
            </w:r>
          </w:p>
        </w:tc>
        <w:tc>
          <w:tcPr>
            <w:tcW w:w="4411"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τ(t) Value</w:t>
            </w:r>
          </w:p>
        </w:tc>
      </w:tr>
      <w:tr>
        <w:trPr>
          <w:cantSplit/>
        </w:trPr>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1</w:t>
            </w:r>
          </w:p>
        </w:tc>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 0.21</w:t>
            </w:r>
          </w:p>
        </w:tc>
      </w:tr>
      <w:tr>
        <w:trPr>
          <w:cantSplit/>
        </w:trPr>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5</w:t>
            </w:r>
          </w:p>
        </w:tc>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 0.55</w:t>
            </w:r>
          </w:p>
        </w:tc>
      </w:tr>
      <w:tr>
        <w:trPr>
          <w:cantSplit/>
        </w:trPr>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10</w:t>
            </w:r>
          </w:p>
        </w:tc>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 0.74</w:t>
            </w:r>
          </w:p>
        </w:tc>
      </w:tr>
      <w:tr>
        <w:trPr>
          <w:cantSplit/>
        </w:trPr>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25</w:t>
            </w:r>
          </w:p>
        </w:tc>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1.00</w:t>
            </w:r>
          </w:p>
        </w:tc>
      </w:tr>
      <w:tr>
        <w:trPr>
          <w:cantSplit/>
        </w:trPr>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50</w:t>
            </w:r>
          </w:p>
        </w:tc>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1.00 (capped)</w:t>
            </w:r>
          </w:p>
        </w:tc>
      </w:tr>
    </w:tbl>
    <w:bookmarkEnd w:id="82"/>
    <w:bookmarkStart w:id="83" w:name="X4d9333bc7e8cc2c0e24d163be9005612b4cf2c2"/>
    <w:p>
      <w:pPr>
        <w:pStyle w:val="Heading2"/>
      </w:pPr>
      <w:r>
        <w:t xml:space="preserve">5.4 Pre-Saturation Direct Impact Aggregation (Normative)</w:t>
      </w:r>
    </w:p>
    <w:p>
      <w:pPr>
        <w:pStyle w:val="FirstParagraph"/>
      </w:pPr>
      <w:r>
        <w:t xml:space="preserve">For option a, union u, dimension d, define the pre-saturation direct impact per stream x ∈ {base, welfare}:</w:t>
      </w:r>
    </w:p>
    <w:p>
      <w:pPr>
        <w:pStyle w:val="BodyText"/>
      </w:pPr>
      <w:r>
        <w:t xml:space="preserve">Ĩ_dir,x(u,d,a) = Σ_{k ∈ K(u,d,a)} [r_k × τ(t_k) × ℓ_k × c_k × e_k × s_{k,x} × μ_k]</w:t>
      </w:r>
    </w:p>
    <w:p>
      <w:pPr>
        <w:pStyle w:val="BodyText"/>
      </w:pPr>
      <w:r>
        <w:t xml:space="preserve">where s_{k,base} := 1.0 for all impact instances, and s_{k,welfare} may use the SGP sentience multiplier only as permitted by Section 12 and Appendix G. When the stream is clear from context, the shorthand Ĩ_dir(u,d,a) may be used. Appendix B controls the stream-separated equations.</w:t>
      </w:r>
    </w:p>
    <w:bookmarkEnd w:id="83"/>
    <w:bookmarkStart w:id="84" w:name="saturation-normative"/>
    <w:p>
      <w:pPr>
        <w:pStyle w:val="Heading2"/>
      </w:pPr>
      <w:r>
        <w:t xml:space="preserve">5.5 Saturation (Normative)</w:t>
      </w:r>
    </w:p>
    <w:p>
      <w:pPr>
        <w:pStyle w:val="FirstParagraph"/>
      </w:pPr>
      <w:r>
        <w:t xml:space="preserve">To ensure all direct impacts lie in [-1,+1] and avoid runaway totals, RippleLogic uses smooth saturation:</w:t>
      </w:r>
    </w:p>
    <w:p>
      <w:pPr>
        <w:pStyle w:val="BodyText"/>
      </w:pPr>
      <w:r>
        <w:t xml:space="preserve">I_dir(u,d,a) = tanh(β × Ĩ_dir(u,d,a))</w:t>
      </w:r>
    </w:p>
    <w:p>
      <w:pPr>
        <w:pStyle w:val="BodyText"/>
      </w:pPr>
      <w:r>
        <w:t xml:space="preserve">Default: β = 2.</w:t>
      </w:r>
    </w:p>
    <w:bookmarkEnd w:id="84"/>
    <w:bookmarkStart w:id="87" w:name="Xcaa9bd9baced32c2cdf4b10d5e1e312138e8d0e"/>
    <w:p>
      <w:pPr>
        <w:pStyle w:val="Heading2"/>
      </w:pPr>
      <w:r>
        <w:t xml:space="preserve">5.6 Magnitude Construction μ_k: Canonical Anchoring Methods (Normative)</w:t>
      </w:r>
    </w:p>
    <w:p>
      <w:pPr>
        <w:pStyle w:val="FirstParagraph"/>
      </w:pPr>
      <w:r>
        <w:t xml:space="preserve">Magnitude μ_k MUST represent a baseline-relative change on the normalized [-1,+1] scale. RippleLogic permits two canonical anchoring families:</w:t>
      </w:r>
    </w:p>
    <w:bookmarkStart w:id="85" w:name="X243369da455101f2ff8bedd2ae213a8baf3d2e0"/>
    <w:p>
      <w:pPr>
        <w:pStyle w:val="Heading3"/>
      </w:pPr>
      <w:r>
        <w:t xml:space="preserve">5.6.1 Percentile Anchoring (Default for non-rights cells)</w:t>
      </w:r>
    </w:p>
    <w:p>
      <w:pPr>
        <w:pStyle w:val="FirstParagraph"/>
      </w:pPr>
      <w:r>
        <w:t xml:space="preserve">Let x be the raw indicator (higher-is-better unless specified). Let P₅, P₅₀, P₉₅ be the 5th, 50th, and 95th percentiles of x in a declared reference class.</w:t>
      </w:r>
    </w:p>
    <w:p>
      <w:pPr>
        <w:pStyle w:val="BodyText"/>
      </w:pPr>
      <w:r>
        <w:t xml:space="preserve">Define a bounded level score:</w:t>
      </w:r>
    </w:p>
    <w:p>
      <w:pPr>
        <w:pStyle w:val="BodyText"/>
      </w:pPr>
      <w:r>
        <w:t xml:space="preserve">If x ≥ P₅₀:</w:t>
      </w:r>
    </w:p>
    <w:p>
      <w:pPr>
        <w:pStyle w:val="BodyText"/>
      </w:pPr>
      <w:r>
        <w:t xml:space="preserve">S(x) = clip((x − P₅₀) / (P₉₅ − P₅₀), 0, +1)</w:t>
      </w:r>
    </w:p>
    <w:p>
      <w:pPr>
        <w:pStyle w:val="BodyText"/>
      </w:pPr>
      <w:r>
        <w:t xml:space="preserve">If x &lt; P₅₀:</w:t>
      </w:r>
    </w:p>
    <w:p>
      <w:pPr>
        <w:pStyle w:val="BodyText"/>
      </w:pPr>
      <w:r>
        <w:t xml:space="preserve">S(x) = clip((x − P₅₀) / (P₅₀ − P₅), −1, 0)</w:t>
      </w:r>
    </w:p>
    <w:p>
      <w:pPr>
        <w:pStyle w:val="BodyText"/>
      </w:pPr>
      <w:r>
        <w:t xml:space="preserve">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pPr>
      <w:r>
        <w:t xml:space="preserve">Then define magnitude as a baseline-relative delta:</w:t>
      </w:r>
    </w:p>
    <w:p>
      <w:pPr>
        <w:pStyle w:val="BodyText"/>
      </w:pPr>
      <w:r>
        <w:t xml:space="preserve">μ_k = clip(S(x_a) − S(x₀), -1, +1)</w:t>
      </w:r>
    </w:p>
    <w:p>
      <w:pPr>
        <w:pStyle w:val="BodyText"/>
      </w:pPr>
      <w:r>
        <w:t xml:space="preserve">Where x₀ is baseline indicator value, and x_a is the predicted value under option a.</w:t>
      </w:r>
    </w:p>
    <w:p>
      <w:pPr>
        <w:pStyle w:val="BodyText"/>
      </w:pPr>
      <w:r>
        <w:t xml:space="preserve">If higher values are worse (for example, mortality rate), use:</w:t>
      </w:r>
    </w:p>
    <w:p>
      <w:pPr>
        <w:pStyle w:val="BodyText"/>
      </w:pPr>
      <w:r>
        <w:t xml:space="preserve">S_worse(x) = −S(x)</w:t>
      </w:r>
    </w:p>
    <w:p>
      <w:pPr>
        <w:pStyle w:val="BodyText"/>
      </w:pPr>
      <w:r>
        <w:t xml:space="preserve">Normative requirement: The PCC MUST record the reference class and percentile values used.</w:t>
      </w:r>
    </w:p>
    <w:bookmarkEnd w:id="85"/>
    <w:bookmarkStart w:id="86" w:name="Xdf26430059238207a8f0ab4956b0df22a186aec"/>
    <w:p>
      <w:pPr>
        <w:pStyle w:val="Heading3"/>
      </w:pPr>
      <w:r>
        <w:t xml:space="preserve">5.6.2 Threshold Anchoring (Required for rights-covered cells unless invariant reference is declared)</w:t>
      </w:r>
    </w:p>
    <w:p>
      <w:pPr>
        <w:pStyle w:val="FirstParagraph"/>
      </w:pPr>
      <w:r>
        <w:t xml:space="preserve">For rights-covered cells (cells in any rights coverage set C_r), analysts MUST NOT use context-local percentile anchoring unless the reference class is declared invariant under governance.</w:t>
      </w:r>
    </w:p>
    <w:p>
      <w:pPr>
        <w:pStyle w:val="BodyText"/>
      </w:pPr>
      <w:r>
        <w:t xml:space="preserve">Default rule (Tier 1-3): Rights-covered magnitudes MUST be derived using threshold anchoring with explicit</w:t>
      </w:r>
      <w:r>
        <w:t xml:space="preserve"> </w:t>
      </w:r>
      <w:r>
        <w:t xml:space="preserve">“</w:t>
      </w:r>
      <w:r>
        <w:t xml:space="preserve">good/bad</w:t>
      </w:r>
      <w:r>
        <w:t xml:space="preserve">”</w:t>
      </w:r>
      <w:r>
        <w:t xml:space="preserve"> </w:t>
      </w:r>
      <w:r>
        <w:t xml:space="preserve">anchors so that rights semantics do not drift.</w:t>
      </w:r>
    </w:p>
    <w:p>
      <w:pPr>
        <w:pStyle w:val="BodyText"/>
      </w:pPr>
      <w:r>
        <w:t xml:space="preserve">Let x_good be the indicator level consistent with rights-safe conditions and x_bad be the indicator level representing a severe rights violation onset. Map to a bounded level score:</w:t>
      </w:r>
    </w:p>
    <w:p>
      <w:pPr>
        <w:pStyle w:val="BodyText"/>
      </w:pPr>
      <w:r>
        <w:t xml:space="preserve">For higher-is-better indicators: S(x) = clip((x − x_bad) / (x_good − x_bad), -1, +1)</w:t>
      </w:r>
    </w:p>
    <w:p>
      <w:pPr>
        <w:pStyle w:val="BodyText"/>
      </w:pPr>
      <w:r>
        <w:t xml:space="preserve">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pPr>
      <w:r>
        <w:t xml:space="preserve">For higher-is-worse indicators: S(x) = clip((x_bad − x) / (x_bad − x_good), -1, +1)</w:t>
      </w:r>
    </w:p>
    <w:p>
      <w:pPr>
        <w:pStyle w:val="BodyText"/>
      </w:pPr>
      <w:r>
        <w:t xml:space="preserve">Then compute baseline-delta magnitude:</w:t>
      </w:r>
    </w:p>
    <w:p>
      <w:pPr>
        <w:pStyle w:val="BodyText"/>
      </w:pPr>
      <w:r>
        <w:t xml:space="preserve">μ_k = clip(S(x_a) − S(x₀), -1, +1)</w:t>
      </w:r>
    </w:p>
    <w:p>
      <w:pPr>
        <w:pStyle w:val="BodyText"/>
      </w:pPr>
      <w:r>
        <w:t xml:space="preserve">Normative requirement: The PCC MUST record x_good, x_bad, indicator definition, and direction.</w:t>
      </w:r>
    </w:p>
    <w:p>
      <w:pPr>
        <w:pStyle w:val="BodyText"/>
      </w:pPr>
      <w:r>
        <w:t xml:space="preserve">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bookmarkEnd w:id="86"/>
    <w:bookmarkEnd w:id="87"/>
    <w:bookmarkStart w:id="88" w:name="X72e663baf79f1eab9f8e0536737277c6cb9cfa9"/>
    <w:p>
      <w:pPr>
        <w:pStyle w:val="Heading2"/>
      </w:pPr>
      <w:r>
        <w:t xml:space="preserve">5.7 Missing Data Rule (Ignorance Penalty) (Normative)</w:t>
      </w:r>
    </w:p>
    <w:p>
      <w:pPr>
        <w:pStyle w:val="FirstParagraph"/>
      </w:pPr>
      <w:r>
        <w:t xml:space="preserve">To prevent score inflation by omission:</w:t>
      </w:r>
    </w:p>
    <w:p>
      <w:pPr>
        <w:pStyle w:val="BodyText"/>
      </w:pPr>
      <w:r>
        <w:t xml:space="preserve">If a welfare cell (u,d) is active (required by tier context and not masked for RLS), but no defensible instances can be specified, the PCC MUST:</w:t>
      </w:r>
    </w:p>
    <w:p>
      <w:pPr>
        <w:pStyle w:val="Compact"/>
        <w:numPr>
          <w:ilvl w:val="0"/>
          <w:numId w:val="1006"/>
        </w:numPr>
      </w:pPr>
      <w:r>
        <w:t xml:space="preserve">Mark the cell as</w:t>
      </w:r>
      <w:r>
        <w:t xml:space="preserve"> </w:t>
      </w:r>
      <w:r>
        <w:t xml:space="preserve">“</w:t>
      </w:r>
      <w:r>
        <w:t xml:space="preserve">UNKNOWN_IMPACT</w:t>
      </w:r>
      <w:r>
        <w:t xml:space="preserve">”</w:t>
      </w:r>
      <w:r>
        <w:t xml:space="preserve">, and</w:t>
      </w:r>
    </w:p>
    <w:p>
      <w:pPr>
        <w:pStyle w:val="Compact"/>
        <w:numPr>
          <w:ilvl w:val="0"/>
          <w:numId w:val="1007"/>
        </w:numPr>
      </w:pPr>
      <w:r>
        <w:t xml:space="preserve">Include a phantom instance with canonical parameters: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058"/>
        <w:gridCol w:w="5160"/>
      </w:tblGrid>
      <w:tr>
        <w:trPr>
          <w:tblHeader w:val="true"/>
          <w:cantSplit/>
        </w:trPr>
        <w:tc>
          <w:tcPr>
            <w:tcW w:w="405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Parameter</w:t>
            </w:r>
          </w:p>
        </w:tc>
        <w:tc>
          <w:tcPr>
            <w:tcW w:w="516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Phantom Value</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μ_phantom</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r</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t</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T_ref (25 years)</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ℓ</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c</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e</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s</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1</w:t>
            </w:r>
          </w:p>
        </w:tc>
      </w:tr>
    </w:tbl>
    <w:p>
      <w:pPr>
        <w:pStyle w:val="BodyText"/>
      </w:pPr>
      <w:r>
        <w:t xml:space="preserve">This yields a mild negative default rather than unjustified neutrality.</w:t>
      </w:r>
    </w:p>
    <w:p>
      <w:pPr>
        <w:pStyle w:val="BodyText"/>
      </w:pPr>
      <w:r>
        <w:t xml:space="preserve">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pPr>
      <w:r>
        <w:t xml:space="preserve">Clarification: This rule does not apply to cells that are legitimately out of scope and properly masked with justification; it DOES apply to non-maskable cells and to any cell required by the tier’s minimum coverage rules.</w:t>
      </w:r>
    </w:p>
    <w:p>
      <w:pPr>
        <w:pStyle w:val="BodyText"/>
      </w:pPr>
      <w:r>
        <w:t xml:space="preserve">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bookmarkEnd w:id="88"/>
    <w:bookmarkStart w:id="89" w:name="X642a2915d0f8cfbc469b45458e7dc887e12c35b"/>
    <w:p>
      <w:pPr>
        <w:pStyle w:val="Heading2"/>
      </w:pPr>
      <w:r>
        <w:t xml:space="preserve">5.8 Scenario-Conditioned Impacts (Normative for TRC runs)</w:t>
      </w:r>
    </w:p>
    <w:p>
      <w:pPr>
        <w:pStyle w:val="FirstParagraph"/>
      </w:pPr>
      <w:r>
        <w:t xml:space="preserve">When TRC is in use (Tier 3 required; Tier 2 required when catastrophe relevance plausible), impacts MUST be scenario-conditioned at least for catastrophe cells:</w:t>
      </w:r>
    </w:p>
    <w:p>
      <w:pPr>
        <w:pStyle w:val="BodyText"/>
      </w:pPr>
      <w:r>
        <w:t xml:space="preserve">Scenario probabilities p_s are governed (Appendix D). Scenario conditioning enters through ℓ_k and/or instance presence, and through propagation if scenario-specific kernels are declared.</w:t>
      </w:r>
    </w:p>
    <w:bookmarkEnd w:id="89"/>
    <w:bookmarkStart w:id="90" w:name="Xbde02cb1a78c7585d005c3b985b7763296fe2ee"/>
    <w:p>
      <w:pPr>
        <w:pStyle w:val="Heading2"/>
      </w:pPr>
      <w:r>
        <w:t xml:space="preserve">5.9 Worked Examples (Non-Normative, Computation-Illustrative)</w:t>
      </w:r>
    </w:p>
    <w:p>
      <w:pPr>
        <w:pStyle w:val="FirstParagraph"/>
      </w:pPr>
      <w:r>
        <w:t xml:space="preserve">Example 5.1: Direct impact, Community-Social cell</w:t>
      </w:r>
    </w:p>
    <w:p>
      <w:pPr>
        <w:pStyle w:val="BodyText"/>
      </w:pPr>
      <w:r>
        <w:t xml:space="preserve">Decision: Remote-work policy option a. Cell: u=3 (Community), d=3 (Social).</w:t>
      </w:r>
    </w:p>
    <w:p>
      <w:pPr>
        <w:pStyle w:val="BodyText"/>
      </w:pPr>
      <w:r>
        <w:t xml:space="preserve">Assume T_ref = 25, β = 2.</w:t>
      </w:r>
    </w:p>
    <w:p>
      <w:pPr>
        <w:pStyle w:val="BodyText"/>
      </w:pPr>
      <w:r>
        <w:t xml:space="preserve">Instance 1: Reduced in-person interaction</w:t>
      </w:r>
    </w:p>
    <w:p>
      <w:pPr>
        <w:pStyle w:val="Compact"/>
        <w:numPr>
          <w:ilvl w:val="0"/>
          <w:numId w:val="1008"/>
        </w:numPr>
      </w:pPr>
      <w:r>
        <w:t xml:space="preserve">μ₁ = -0.30, r₁ = 0.80, t₁ = 3 years, ℓ₁ = 0.90, c₁ = 0.70, e₁ = 1, s₁ = 1</w:t>
      </w:r>
    </w:p>
    <w:p>
      <w:pPr>
        <w:pStyle w:val="FirstParagraph"/>
      </w:pPr>
      <w:r>
        <w:t xml:space="preserve">Instance 2: Increased online community participation</w:t>
      </w:r>
    </w:p>
    <w:p>
      <w:pPr>
        <w:pStyle w:val="Compact"/>
        <w:numPr>
          <w:ilvl w:val="0"/>
          <w:numId w:val="1009"/>
        </w:numPr>
      </w:pPr>
      <w:r>
        <w:t xml:space="preserve">μ₂ = +0.15, r₂ = 0.50, t₂ = 5 years, ℓ₂ = 0.70, c₂ = 0.50, e₂ = 1, s₂ = 1</w:t>
      </w:r>
    </w:p>
    <w:p>
      <w:pPr>
        <w:pStyle w:val="FirstParagraph"/>
      </w:pPr>
      <w:r>
        <w:t xml:space="preserve">Compute temporal weights:</w:t>
      </w:r>
    </w:p>
    <w:p>
      <w:pPr>
        <w:pStyle w:val="Compact"/>
        <w:numPr>
          <w:ilvl w:val="0"/>
          <w:numId w:val="1010"/>
        </w:numPr>
      </w:pPr>
      <w:r>
        <w:t xml:space="preserve">τ(3) = ln(4)/ln(26) ≈ 0.43</w:t>
      </w:r>
    </w:p>
    <w:p>
      <w:pPr>
        <w:pStyle w:val="Compact"/>
        <w:numPr>
          <w:ilvl w:val="0"/>
          <w:numId w:val="1011"/>
        </w:numPr>
      </w:pPr>
      <w:r>
        <w:t xml:space="preserve">τ(5) = ln(6)/ln(26) ≈ 0.55</w:t>
      </w:r>
    </w:p>
    <w:p>
      <w:pPr>
        <w:pStyle w:val="FirstParagraph"/>
      </w:pPr>
      <w:r>
        <w:t xml:space="preserve">Compute contributions:</w:t>
      </w:r>
    </w:p>
    <w:p>
      <w:pPr>
        <w:pStyle w:val="Compact"/>
        <w:numPr>
          <w:ilvl w:val="0"/>
          <w:numId w:val="1012"/>
        </w:numPr>
      </w:pPr>
      <w:r>
        <w:t xml:space="preserve">Inst1: 0.80 × 0.43 × 0.90 × 0.70 × 1 × 1 × (-0.30) ≈ -0.065</w:t>
      </w:r>
    </w:p>
    <w:p>
      <w:pPr>
        <w:pStyle w:val="Compact"/>
        <w:numPr>
          <w:ilvl w:val="0"/>
          <w:numId w:val="1013"/>
        </w:numPr>
      </w:pPr>
      <w:r>
        <w:t xml:space="preserve">Inst2: 0.50 × 0.55 × 0.70 × 0.50 × 1 × 1 × (+0.15) ≈ +0.014</w:t>
      </w:r>
    </w:p>
    <w:p>
      <w:pPr>
        <w:pStyle w:val="FirstParagraph"/>
      </w:pPr>
      <w:r>
        <w:t xml:space="preserve">Aggregate pre-saturation:</w:t>
      </w:r>
    </w:p>
    <w:p>
      <w:pPr>
        <w:pStyle w:val="Compact"/>
        <w:numPr>
          <w:ilvl w:val="0"/>
          <w:numId w:val="1014"/>
        </w:numPr>
      </w:pPr>
      <w:r>
        <w:t xml:space="preserve">Ĩ_dir = -0.065 + 0.014 = -0.051</w:t>
      </w:r>
    </w:p>
    <w:p>
      <w:pPr>
        <w:pStyle w:val="FirstParagraph"/>
      </w:pPr>
      <w:r>
        <w:t xml:space="preserve">Saturate:</w:t>
      </w:r>
    </w:p>
    <w:p>
      <w:pPr>
        <w:pStyle w:val="Compact"/>
        <w:numPr>
          <w:ilvl w:val="0"/>
          <w:numId w:val="1015"/>
        </w:numPr>
      </w:pPr>
      <w:r>
        <w:t xml:space="preserve">I_dir(3,3,a) = tanh(2 × -0.051) = tanh(-0.102) ≈ -0.10</w:t>
      </w:r>
    </w:p>
    <w:p>
      <w:pPr>
        <w:pStyle w:val="FirstParagraph"/>
      </w:pPr>
      <w:r>
        <w:t xml:space="preserve">Example 5.2: Missing-data penalty</w:t>
      </w:r>
    </w:p>
    <w:p>
      <w:pPr>
        <w:pStyle w:val="BodyText"/>
      </w:pPr>
      <w:r>
        <w:t xml:space="preserve">Cell u=7 (Biosphere), d=7 (Environment) is active (non-maskable for environment-relevant decisions). Analyst lacks defensible estimates.</w:t>
      </w:r>
    </w:p>
    <w:p>
      <w:pPr>
        <w:pStyle w:val="BodyText"/>
      </w:pPr>
      <w:r>
        <w:t xml:space="preserve">Phantom instance yields:</w:t>
      </w:r>
    </w:p>
    <w:p>
      <w:pPr>
        <w:pStyle w:val="Compact"/>
        <w:numPr>
          <w:ilvl w:val="0"/>
          <w:numId w:val="1016"/>
        </w:numPr>
      </w:pPr>
      <w:r>
        <w:t xml:space="preserve">Ĩ_dir = 1 × 1 × 1 × 1 × 1 × 1 × (-0.10) = -0.10</w:t>
      </w:r>
    </w:p>
    <w:p>
      <w:pPr>
        <w:pStyle w:val="Compact"/>
        <w:numPr>
          <w:ilvl w:val="0"/>
          <w:numId w:val="1017"/>
        </w:numPr>
      </w:pPr>
      <w:r>
        <w:t xml:space="preserve">I_dir = tanh(2 × -0.10) ≈ -0.20</w:t>
      </w:r>
    </w:p>
    <w:p>
      <w:pPr>
        <w:pStyle w:val="FirstParagraph"/>
      </w:pPr>
      <w:r>
        <w:t xml:space="preserve">This enforces humility: missing evidence is mildly negative, not neutral.</w:t>
      </w:r>
    </w:p>
    <w:bookmarkEnd w:id="90"/>
    <w:bookmarkEnd w:id="91"/>
    <w:bookmarkStart w:id="102" w:name="X48a7ffb759511b287ff8303a6aff4e38228c667"/>
    <w:p>
      <w:pPr>
        <w:pStyle w:val="Heading1"/>
      </w:pPr>
      <w:r>
        <w:t xml:space="preserve">SECTION 6: RIPPLE PROPAGATION: KERNEL AND EPISTEMIC HUMILITY</w:t>
      </w:r>
    </w:p>
    <w:bookmarkStart w:id="92" w:name="purpose-normative"/>
    <w:p>
      <w:pPr>
        <w:pStyle w:val="Heading2"/>
      </w:pPr>
      <w:r>
        <w:t xml:space="preserve">6.0 Purpose (Normative)</w:t>
      </w:r>
    </w:p>
    <w:p>
      <w:pPr>
        <w:pStyle w:val="FirstParagraph"/>
      </w:pPr>
      <w:r>
        <w:t xml:space="preserve">Ripple propagation models how direct impacts in one cell causally and institutionally ripple into other cells across unions and dimensions. This makes cross-scale externalities explicit and auditable.</w:t>
      </w:r>
    </w:p>
    <w:p>
      <w:pPr>
        <w:pStyle w:val="BodyText"/>
      </w:pPr>
      <w:r>
        <w:t xml:space="preserve">Tier posture: Tier 1-3 permit NONE or QUICK propagation. FULL propagation is a Tier-4 design target only and MUST NOT be used for Tier 1-3 compliance claims.</w:t>
      </w:r>
    </w:p>
    <w:bookmarkEnd w:id="92"/>
    <w:bookmarkStart w:id="93" w:name="X1ca6c135a8cda191ffdc58a053d87addc2fa5ca"/>
    <w:p>
      <w:pPr>
        <w:pStyle w:val="Heading2"/>
      </w:pPr>
      <w:r>
        <w:t xml:space="preserve">6.1 Kernel Definition and Convention (Normative)</w:t>
      </w:r>
    </w:p>
    <w:p>
      <w:pPr>
        <w:pStyle w:val="FirstParagraph"/>
      </w:pPr>
      <w:r>
        <w:t xml:space="preserve">Let the 49 welfare cells be indexed by i = φ(u,d) with φ(u,d) = 7(u-1) + d. The ripple kernel is a sparse matrix K ∈ ℝ^{49×49}.</w:t>
      </w:r>
    </w:p>
    <w:p>
      <w:pPr>
        <w:pStyle w:val="BodyText"/>
      </w:pPr>
      <w:r>
        <w:t xml:space="preserve">Kernel convention (MUST):</w:t>
      </w:r>
    </w:p>
    <w:p>
      <w:pPr>
        <w:pStyle w:val="Compact"/>
        <w:numPr>
          <w:ilvl w:val="0"/>
          <w:numId w:val="1018"/>
        </w:numPr>
      </w:pPr>
      <w:r>
        <w:t xml:space="preserve">K_{ij} maps effect from source cell j to target cell i (target-row, source-column).</w:t>
      </w:r>
    </w:p>
    <w:p>
      <w:pPr>
        <w:pStyle w:val="Compact"/>
        <w:numPr>
          <w:ilvl w:val="0"/>
          <w:numId w:val="1019"/>
        </w:numPr>
      </w:pPr>
      <w:r>
        <w:t xml:space="preserve">Propagation uses left multiplication: Ĩ_prop = I_dir + K × I_dir</w:t>
      </w:r>
    </w:p>
    <w:p>
      <w:pPr>
        <w:pStyle w:val="FirstParagraph"/>
      </w:pPr>
      <w:r>
        <w:t xml:space="preserve">Interpretation:</w:t>
      </w:r>
    </w:p>
    <w:p>
      <w:pPr>
        <w:pStyle w:val="BodyText"/>
      </w:pPr>
      <w:r>
        <w:t xml:space="preserve">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Compact"/>
        <w:numPr>
          <w:ilvl w:val="0"/>
          <w:numId w:val="1020"/>
        </w:numPr>
      </w:pPr>
      <w:r>
        <w:t xml:space="preserve">κ &gt; 0: improving source j tends to improve target i.</w:t>
      </w:r>
    </w:p>
    <w:p>
      <w:pPr>
        <w:pStyle w:val="Compact"/>
        <w:numPr>
          <w:ilvl w:val="0"/>
          <w:numId w:val="1021"/>
        </w:numPr>
      </w:pPr>
      <w:r>
        <w:t xml:space="preserve">κ &lt; 0: improving source j tends to harm target i.</w:t>
      </w:r>
    </w:p>
    <w:p>
      <w:pPr>
        <w:pStyle w:val="Compact"/>
        <w:numPr>
          <w:ilvl w:val="0"/>
          <w:numId w:val="1022"/>
        </w:numPr>
      </w:pPr>
      <w:r>
        <w:t xml:space="preserve">κ = 0: no modeled pathway.</w:t>
      </w:r>
    </w:p>
    <w:bookmarkEnd w:id="93"/>
    <w:bookmarkStart w:id="94" w:name="propagation-modes-tier-1-3-normative"/>
    <w:p>
      <w:pPr>
        <w:pStyle w:val="Heading2"/>
      </w:pPr>
      <w:r>
        <w:t xml:space="preserve">6.2 Propagation Modes (Tier 1-3) (Normative)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Mode</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Formula</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Use Case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NONE (Direct-only)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I_prop := I_dir</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Tier 1-2 default</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QUICK (First-order)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Ĩ_prop = I_dir + K × I_dir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Tier 3 with sensitivity</w:t>
            </w:r>
          </w:p>
        </w:tc>
      </w:tr>
    </w:tbl>
    <w:p>
      <w:pPr>
        <w:pStyle w:val="BodyText"/>
      </w:pPr>
      <w:r>
        <w:t xml:space="preserve">Stream note (Normative). Propagation is applied per stream x∈{base, welfare} as defined in Appendix B. In Section 6 (and any tables using shorthand), I_dir and I_prop are shorthand for I_dir,x and I_prop,x when the stream is clear from context. Admissibility gates (NCRC, TRC, CSV) use the Base stream; RLS uses the Welfare stream.</w:t>
      </w:r>
    </w:p>
    <w:p>
      <w:pPr>
        <w:pStyle w:val="BodyText"/>
      </w:pPr>
      <w:r>
        <w:t xml:space="preserve">Normative restriction: FULL propagation is PROHIBITED for Tier 1-3 claims in this v11.4 release line.</w:t>
      </w:r>
    </w:p>
    <w:bookmarkEnd w:id="94"/>
    <w:bookmarkStart w:id="95" w:name="post-propagation-saturation-normative"/>
    <w:p>
      <w:pPr>
        <w:pStyle w:val="Heading2"/>
      </w:pPr>
      <w:r>
        <w:t xml:space="preserve">6.3 Post-Propagation Saturation (Normative)</w:t>
      </w:r>
    </w:p>
    <w:p>
      <w:pPr>
        <w:pStyle w:val="FirstParagraph"/>
      </w:pPr>
      <w:r>
        <w:t xml:space="preserve">Because propagation can push values outside [-1,+1], apply elementwise saturation:</w:t>
      </w:r>
    </w:p>
    <w:p>
      <w:pPr>
        <w:pStyle w:val="BodyText"/>
      </w:pPr>
      <w:r>
        <w:t xml:space="preserve">I_prop_x(u,d,a) = tanh(β_prop × Ĩ_prop_x(u,d,a))</w:t>
      </w:r>
    </w:p>
    <w:p>
      <w:pPr>
        <w:pStyle w:val="BodyText"/>
      </w:pPr>
      <w:r>
        <w:t xml:space="preserve">Notation: I_prop_base and I_prop_welfare denote the x=base and x=welfare outputs respectively.</w:t>
      </w:r>
    </w:p>
    <w:p>
      <w:pPr>
        <w:pStyle w:val="BodyText"/>
      </w:pPr>
      <w:r>
        <w:t xml:space="preserve">Default: β_prop = 1.</w:t>
      </w:r>
    </w:p>
    <w:bookmarkEnd w:id="95"/>
    <w:bookmarkStart w:id="96" w:name="Xe6b6f698c516b3eee812583c8802b913a97753d"/>
    <w:p>
      <w:pPr>
        <w:pStyle w:val="Heading2"/>
      </w:pPr>
      <w:r>
        <w:t xml:space="preserve">6.4 Stability Constraints and Humility Fallbacks (Normative)</w:t>
      </w:r>
    </w:p>
    <w:p>
      <w:pPr>
        <w:pStyle w:val="FirstParagraph"/>
      </w:pPr>
      <w:r>
        <w:t xml:space="preserve">Kernel stability guardrails (defaults; may be tightened by governance):</w:t>
      </w:r>
    </w:p>
    <w:p>
      <w:pPr>
        <w:pStyle w:val="Compact"/>
        <w:numPr>
          <w:ilvl w:val="0"/>
          <w:numId w:val="1023"/>
        </w:numPr>
      </w:pPr>
      <w:r>
        <w:t xml:space="preserve">Entry bound: |K_{ij}| ≤ κ_max, default κ_max = 0.5</w:t>
      </w:r>
    </w:p>
    <w:p>
      <w:pPr>
        <w:pStyle w:val="Compact"/>
        <w:numPr>
          <w:ilvl w:val="0"/>
          <w:numId w:val="1024"/>
        </w:numPr>
      </w:pPr>
      <w:r>
        <w:t xml:space="preserve">Absolute row-sum bound (required): ∥K∥∞ := max_i Σ_j |K_{ij}| ≤ ρ_max, default ρ_max = 0.9.</w:t>
      </w:r>
    </w:p>
    <w:p>
      <w:pPr>
        <w:pStyle w:val="Compact"/>
        <w:numPr>
          <w:ilvl w:val="0"/>
          <w:numId w:val="1025"/>
        </w:numPr>
      </w:pPr>
      <w:r>
        <w:t xml:space="preserve">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FirstParagraph"/>
      </w:pPr>
      <w:r>
        <w:t xml:space="preserve">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BodyText"/>
      </w:pPr>
      <w:r>
        <w:t xml:space="preserve">If the declared kernel violates entry bounds or row-sum bounds (and therefore fails the Tier 1-3 stability verification rule above), the run MUST:</w:t>
      </w:r>
    </w:p>
    <w:p>
      <w:pPr>
        <w:pStyle w:val="Compact"/>
        <w:numPr>
          <w:ilvl w:val="0"/>
          <w:numId w:val="1026"/>
        </w:numPr>
      </w:pPr>
      <w:r>
        <w:t xml:space="preserve">Set propagation_mode = NONE, and</w:t>
      </w:r>
    </w:p>
    <w:p>
      <w:pPr>
        <w:pStyle w:val="Compact"/>
        <w:numPr>
          <w:ilvl w:val="0"/>
          <w:numId w:val="1027"/>
        </w:numPr>
      </w:pPr>
      <w:r>
        <w:t xml:space="preserve">Record a PCC limitation: KERNEL_HUMILITY_FALLBACK = TRUE.</w:t>
      </w:r>
    </w:p>
    <w:p>
      <w:pPr>
        <w:pStyle w:val="FirstParagraph"/>
      </w:pPr>
      <w:r>
        <w:t xml:space="preserve">Rationale: An unstable or over-amplifying kernel is worse than no kernel; it creates false certainty and is easy to game.</w:t>
      </w:r>
    </w:p>
    <w:bookmarkEnd w:id="96"/>
    <w:bookmarkStart w:id="98" w:name="kernel-quality-score-kqs-normative"/>
    <w:p>
      <w:pPr>
        <w:pStyle w:val="Heading2"/>
      </w:pPr>
      <w:r>
        <w:t xml:space="preserve">6.5 Kernel Quality Score (KQS) (Normative)</w:t>
      </w:r>
    </w:p>
    <w:p>
      <w:pPr>
        <w:pStyle w:val="FirstParagraph"/>
      </w:pPr>
      <w:r>
        <w:t xml:space="preserve">KQS summarizes readiness of the kernel for decision-relevant propagation:</w:t>
      </w:r>
    </w:p>
    <w:p>
      <w:pPr>
        <w:pStyle w:val="BodyText"/>
      </w:pPr>
      <w:r>
        <w:t xml:space="preserve">KQS = w_cov × C_cov + w_id × C_id + w_stab × C_stab + w_pred × C_pred</w:t>
      </w:r>
    </w:p>
    <w:p>
      <w:pPr>
        <w:pStyle w:val="BodyText"/>
      </w:pPr>
      <w:r>
        <w:t xml:space="preserve">Default component weights: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916"/>
        <w:gridCol w:w="4302"/>
      </w:tblGrid>
      <w:tr>
        <w:trPr>
          <w:tblHeader w:val="true"/>
          <w:cantSplit/>
        </w:trPr>
        <w:tc>
          <w:tcPr>
            <w:tcW w:w="491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Component</w:t>
            </w:r>
          </w:p>
        </w:tc>
        <w:tc>
          <w:tcPr>
            <w:tcW w:w="430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Weight</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Coverage (C_cov)</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0.25</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Identifiability (C_id)</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0.30</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Stability (C_stab)</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0.20</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Prediction (C_pred)</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0.25</w:t>
            </w:r>
          </w:p>
        </w:tc>
      </w:tr>
    </w:tbl>
    <w:p>
      <w:pPr>
        <w:pStyle w:val="BodyText"/>
      </w:pPr>
      <w:r>
        <w:t xml:space="preserve">Component meanings (each in [0,1]):</w:t>
      </w:r>
    </w:p>
    <w:p>
      <w:pPr>
        <w:pStyle w:val="Compact"/>
        <w:numPr>
          <w:ilvl w:val="0"/>
          <w:numId w:val="1028"/>
        </w:numPr>
      </w:pPr>
      <w:r>
        <w:t xml:space="preserve">C_cov: coverage evidence proportion (share of relied-upon edges with cited evidence)</w:t>
      </w:r>
    </w:p>
    <w:p>
      <w:pPr>
        <w:pStyle w:val="Compact"/>
        <w:numPr>
          <w:ilvl w:val="0"/>
          <w:numId w:val="1029"/>
        </w:numPr>
      </w:pPr>
      <w:r>
        <w:t xml:space="preserve">C_id: identifiability (edges are specified with clear endpoints and sign; replayable)</w:t>
      </w:r>
    </w:p>
    <w:p>
      <w:pPr>
        <w:pStyle w:val="Compact"/>
        <w:numPr>
          <w:ilvl w:val="0"/>
          <w:numId w:val="1030"/>
        </w:numPr>
      </w:pPr>
      <w:r>
        <w:t xml:space="preserve">C_stab: stability margin (satisfies bounds with margin)</w:t>
      </w:r>
    </w:p>
    <w:p>
      <w:pPr>
        <w:pStyle w:val="Compact"/>
        <w:numPr>
          <w:ilvl w:val="0"/>
          <w:numId w:val="1031"/>
        </w:numPr>
      </w:pPr>
      <w:r>
        <w:t xml:space="preserve">C_pred: predictive accuracy (backtest/pilot performance where available; otherwise conservative prior)</w:t>
      </w:r>
    </w:p>
    <w:bookmarkStart w:id="97" w:name="X42892f10f2e94413bd5c6c03650de57d79b8ff2"/>
    <w:p>
      <w:pPr>
        <w:pStyle w:val="Heading3"/>
      </w:pPr>
      <w:r>
        <w:t xml:space="preserve">6.5.1 Canonical KQS computation (Tier 1-3 deterministic) (Normative)</w:t>
      </w:r>
    </w:p>
    <w:p>
      <w:pPr>
        <w:pStyle w:val="FirstParagraph"/>
      </w:pPr>
      <w:r>
        <w:t xml:space="preserve">Definition (Normative). A</w:t>
      </w:r>
      <w:r>
        <w:t xml:space="preserve"> </w:t>
      </w:r>
      <w:r>
        <w:t xml:space="preserve">‘</w:t>
      </w:r>
      <w:r>
        <w:t xml:space="preserve">relied-upon edge</w:t>
      </w:r>
      <w:r>
        <w:t xml:space="preserve">’</w:t>
      </w:r>
      <w:r>
        <w:t xml:space="preserve"> </w:t>
      </w:r>
      <w:r>
        <w:t xml:space="preserve">is any kernel edge (i,j) with |K_ij| ≥ κ_use_min that touches at least one active cell (Section 10.3) or any non-maskable cell in C_r or C_cat. Default κ_use_min = 0.05 unless the PCC declares a stricter value.</w:t>
      </w:r>
    </w:p>
    <w:p>
      <w:pPr>
        <w:pStyle w:val="BodyText"/>
      </w:pPr>
      <w:r>
        <w:t xml:space="preserve">C_cov (Normative). Let E_use be the set of relied-upon edges. Let E_evid be those edges in E_use whose evidence fields include (i) an EvidenceClass ∈ {A,B,C} and (ii) a citation or provenance reference sufficient for retrieval. Then C_cov := |E_evid| / max(1, |E_use|).</w:t>
      </w:r>
    </w:p>
    <w:p>
      <w:pPr>
        <w:pStyle w:val="BodyText"/>
      </w:pPr>
      <w:r>
        <w:t xml:space="preserve">C_id (Normative). Let E_id be those edges in E_use with declared source union/dimension, target union/dimension, sign, and numeric magnitude fields present and within canonical bounds. Then C_id := |E_id| / max(1, |E_use|).</w:t>
      </w:r>
    </w:p>
    <w:p>
      <w:pPr>
        <w:pStyle w:val="BodyText"/>
      </w:pPr>
      <w:r>
        <w:t xml:space="preserve">C_stab (Normative). If QUICK is used, compute PCC.Kernel.RowSumAbsMax = ||K||_∞ and PCC.Kernel.EntryAbsMax = max_ij |K_ij| per Section 6.4. Set C_stab := 0 if any bound is violated; otherwise C_stab := clip((ρ_max - ||K||_∞)/ρ_max, 0, 1), with default ρ_max = 0.9.</w:t>
      </w:r>
    </w:p>
    <w:p>
      <w:pPr>
        <w:pStyle w:val="BodyText"/>
      </w:pPr>
      <w:r>
        <w:t xml:space="preserve">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BodyText"/>
      </w:pPr>
      <w:r>
        <w:t xml:space="preserve">Disclosure rule (Normative). The PCC MUST record κ_use_min, the edge counts |E_use|, |E_evid|, |E_id|, and the computed component values C_cov, C_id, C_stab, C_pred used in the KQS calculation.</w:t>
      </w:r>
    </w:p>
    <w:p>
      <w:pPr>
        <w:pStyle w:val="BodyText"/>
      </w:pPr>
      <w:r>
        <w:t xml:space="preserve">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BodyText"/>
      </w:pPr>
      <w:r>
        <w:t xml:space="preserve">KQS policy (MUST) for Tier 3:</w:t>
      </w:r>
    </w:p>
    <w:p>
      <w:pPr>
        <w:pStyle w:val="Compact"/>
        <w:numPr>
          <w:ilvl w:val="0"/>
          <w:numId w:val="1032"/>
        </w:numPr>
      </w:pPr>
      <w:r>
        <w:t xml:space="preserve">If KQS &lt; 0.40: Kernel MUST NOT be used; propagation_mode = NONE.</w:t>
      </w:r>
    </w:p>
    <w:p>
      <w:pPr>
        <w:pStyle w:val="Compact"/>
        <w:numPr>
          <w:ilvl w:val="0"/>
          <w:numId w:val="1033"/>
        </w:numPr>
      </w:pPr>
      <w:r>
        <w:t xml:space="preserve">If 0.40 ≤ KQS &lt; 0.50: QUICK allowed only with mandatory kernel sensitivity; otherwise use NONE.</w:t>
      </w:r>
    </w:p>
    <w:p>
      <w:pPr>
        <w:pStyle w:val="Compact"/>
        <w:numPr>
          <w:ilvl w:val="0"/>
          <w:numId w:val="1034"/>
        </w:numPr>
      </w:pPr>
      <w:r>
        <w:t xml:space="preserve">If KQS ≥ 0.50: Kernel use permitted with required sensitivity at Tier 3.</w:t>
      </w:r>
    </w:p>
    <w:p>
      <w:pPr>
        <w:pStyle w:val="FirstParagraph"/>
      </w:pPr>
      <w:r>
        <w:t xml:space="preserve">Tier 1-2 default: propagation_mode = NONE unless the PCC explicitly declares kernel use and its KQS.</w:t>
      </w:r>
    </w:p>
    <w:bookmarkEnd w:id="97"/>
    <w:bookmarkEnd w:id="98"/>
    <w:bookmarkStart w:id="99" w:name="Xae9173d43732e503f6f2d4070dfc2aa0eee1dd7"/>
    <w:p>
      <w:pPr>
        <w:pStyle w:val="Heading2"/>
      </w:pPr>
      <w:r>
        <w:t xml:space="preserve">6.6 Kernel Sensitivity Requirements (Normative for Tier 3 when QUICK is used)</w:t>
      </w:r>
    </w:p>
    <w:p>
      <w:pPr>
        <w:pStyle w:val="FirstParagraph"/>
      </w:pPr>
      <w:r>
        <w:t xml:space="preserve">When QUICK propagation is used at Tier 3, the PCC MUST include sensitivity analysis:</w:t>
      </w:r>
    </w:p>
    <w:p>
      <w:pPr>
        <w:pStyle w:val="Compact"/>
        <w:numPr>
          <w:ilvl w:val="0"/>
          <w:numId w:val="1035"/>
        </w:numPr>
      </w:pPr>
      <w:r>
        <w:t xml:space="preserve">Perturb each relied-upon edge in E_use (as defined in Section 6.5.1) by ±0.05 (or ±10% of its magnitude, whichever is larger; declare the rule).</w:t>
      </w:r>
    </w:p>
    <w:p>
      <w:pPr>
        <w:pStyle w:val="Compact"/>
        <w:numPr>
          <w:ilvl w:val="0"/>
          <w:numId w:val="1036"/>
        </w:numPr>
      </w:pPr>
      <w:r>
        <w:t xml:space="preserve">Recompute the cascade for each perturbation set (at minimum one-at-a-time).</w:t>
      </w:r>
    </w:p>
    <w:p>
      <w:pPr>
        <w:pStyle w:val="Compact"/>
        <w:numPr>
          <w:ilvl w:val="0"/>
          <w:numId w:val="1037"/>
        </w:numPr>
      </w:pPr>
      <w:r>
        <w:t xml:space="preserve">If admissibility outcomes (NCRC, TRC, CSV) or the selected option changes, set audit_flag = DECISION_FRAGILE_KERNEL and escalate per tier policy.</w:t>
      </w:r>
    </w:p>
    <w:bookmarkEnd w:id="99"/>
    <w:bookmarkStart w:id="100" w:name="Xe58f0a95a4fe1a12f3034b889cbf7cbceac28e7"/>
    <w:p>
      <w:pPr>
        <w:pStyle w:val="Heading2"/>
      </w:pPr>
      <w:r>
        <w:t xml:space="preserve">6.7 KOPS and Starter Kernel (Tier 2-3) (Normative plus Provisional Labeling)</w:t>
      </w:r>
    </w:p>
    <w:p>
      <w:pPr>
        <w:pStyle w:val="FirstParagraph"/>
      </w:pPr>
      <w:r>
        <w:t xml:space="preserve">RippleLogic permits a governed subset of kernel edges called the Key Operational Pathways Set (KOPS). KOPS is the set of</w:t>
      </w:r>
      <w:r>
        <w:t xml:space="preserve"> </w:t>
      </w:r>
      <w:r>
        <w:t xml:space="preserve">“</w:t>
      </w:r>
      <w:r>
        <w:t xml:space="preserve">load-bearing</w:t>
      </w:r>
      <w:r>
        <w:t xml:space="preserve">”</w:t>
      </w:r>
      <w:r>
        <w:t xml:space="preserve"> </w:t>
      </w:r>
      <w:r>
        <w:t xml:space="preserve">pathways that are documented with evidence notes, sign-checked against literature or backtests, and sensitivity-audited.</w:t>
      </w:r>
    </w:p>
    <w:p>
      <w:pPr>
        <w:pStyle w:val="BodyText"/>
      </w:pPr>
      <w:r>
        <w:t xml:space="preserve">A Starter KOPS may be provided (Appendix K) and MUST be labeled PROVISIONAL with evidence classes and a global shrink factor for elicited edges (default 0.35). If a starter kernel is used, the PCC MUST disclose this and MUST include kernel sensitivity.</w:t>
      </w:r>
    </w:p>
    <w:bookmarkEnd w:id="100"/>
    <w:bookmarkStart w:id="101" w:name="X7c2d0d0b55c57e690fc353603137017ba7b1462"/>
    <w:p>
      <w:pPr>
        <w:pStyle w:val="Heading2"/>
      </w:pPr>
      <w:r>
        <w:t xml:space="preserve">6.8 Scenario-Conditioned Propagation (Tier 1-3 Default Rule)</w:t>
      </w:r>
    </w:p>
    <w:p>
      <w:pPr>
        <w:pStyle w:val="FirstParagraph"/>
      </w:pPr>
      <w:r>
        <w:t xml:space="preserve">Default: Kernel is not scenario-conditioned; scenario enters via instance likelihoods ℓ_k and scenario-specific instance activation. Scenario-conditioned kernels K_s may be used only with explicit PCC justification and must carry KQS and sensitivity per scenario class.</w:t>
      </w:r>
    </w:p>
    <w:bookmarkEnd w:id="101"/>
    <w:bookmarkEnd w:id="102"/>
    <w:bookmarkStart w:id="117" w:name="X5a0d83b91cd58284c513865880458f3920e19ba"/>
    <w:p>
      <w:pPr>
        <w:pStyle w:val="Heading1"/>
      </w:pPr>
      <w:r>
        <w:t xml:space="preserve">SECTION 7: RIGHTS LAYER: NON-COMPENSATORY RIGHTS CONSTRAINT (NCRC)</w:t>
      </w:r>
    </w:p>
    <w:bookmarkStart w:id="103" w:name="Xe4c3ac3e30c18b9225432356aad3140fba39d0b"/>
    <w:p>
      <w:pPr>
        <w:pStyle w:val="Heading2"/>
      </w:pPr>
      <w:r>
        <w:t xml:space="preserve">7.0 Purpose and Union-Based Ethics Rationale (Normative)</w:t>
      </w:r>
    </w:p>
    <w:p>
      <w:pPr>
        <w:pStyle w:val="FirstParagraph"/>
      </w:pPr>
      <w:r>
        <w:t xml:space="preserve">RippleLogic enforces non-compensability: certain harms are not permitted to be</w:t>
      </w:r>
      <w:r>
        <w:t xml:space="preserve"> </w:t>
      </w:r>
      <w:r>
        <w:t xml:space="preserve">“</w:t>
      </w:r>
      <w:r>
        <w:t xml:space="preserve">paid for</w:t>
      </w:r>
      <w:r>
        <w:t xml:space="preserve">”</w:t>
      </w:r>
      <w:r>
        <w:t xml:space="preserve"> </w:t>
      </w:r>
      <w:r>
        <w:t xml:space="preserve">by aggregate benefits elsewhere. NCRC operationalizes this by removing rights-violating options prior to any welfare optimization.</w:t>
      </w:r>
    </w:p>
    <w:p>
      <w:pPr>
        <w:pStyle w:val="BodyText"/>
      </w:pPr>
      <w:r>
        <w:t xml:space="preserve">Union-Based Ethics (UBE) justification: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bookmarkEnd w:id="103"/>
    <w:bookmarkStart w:id="105" w:name="canonical-rights-set-normative"/>
    <w:p>
      <w:pPr>
        <w:pStyle w:val="Heading2"/>
      </w:pPr>
      <w:r>
        <w:t xml:space="preserve">7.1 Canonical Rights Set (Normative)</w:t>
      </w:r>
    </w:p>
    <w:p>
      <w:pPr>
        <w:pStyle w:val="FirstParagraph"/>
      </w:pPr>
      <w:r>
        <w:t xml:space="preserve">RippleLogic defines eight core rights as feasibility floors:</w:t>
      </w:r>
    </w:p>
    <w:p>
      <w:pPr>
        <w:pStyle w:val="BodyText"/>
      </w:pPr>
      <w:r>
        <w:t xml:space="preserve">Table 7.1: Canonical Rights Thresholds (Normative)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4"/>
        <w:gridCol w:w="1882"/>
        <w:gridCol w:w="2307"/>
        <w:gridCol w:w="2514"/>
      </w:tblGrid>
      <w:tr>
        <w:trPr>
          <w:tblHeader w:val="true"/>
          <w:cantSplit/>
        </w:trPr>
        <w:tc>
          <w:tcPr>
            <w:tcW w:w="251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Right</w:t>
            </w:r>
          </w:p>
        </w:tc>
        <w:tc>
          <w:tcPr>
            <w:tcW w:w="188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Code</w:t>
            </w:r>
          </w:p>
        </w:tc>
        <w:tc>
          <w:tcPr>
            <w:tcW w:w="2307"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Threshold θ_r</w:t>
            </w:r>
          </w:p>
        </w:tc>
        <w:tc>
          <w:tcPr>
            <w:tcW w:w="251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Normative Anchor</w:t>
            </w:r>
          </w:p>
        </w:tc>
      </w:tr>
      <w:tr>
        <w:trPr>
          <w:cantSplit/>
        </w:trPr>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Life</w:t>
            </w:r>
          </w:p>
        </w:tc>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LIFE</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-0.90</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Near-certain or highly probable death or lethal exposure</w:t>
            </w:r>
          </w:p>
        </w:tc>
      </w:tr>
      <w:tr>
        <w:trPr>
          <w:cantSplit/>
        </w:trPr>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Bodily Integrity</w:t>
            </w:r>
          </w:p>
        </w:tc>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BODY</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-0.70</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Severe injury, disability, torture, serious bodily violation</w:t>
            </w:r>
          </w:p>
        </w:tc>
      </w:tr>
      <w:tr>
        <w:trPr>
          <w:cantSplit/>
        </w:trPr>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Liberty</w:t>
            </w:r>
          </w:p>
        </w:tc>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LBTY</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-0.65</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Arbitrary detention, forced labor, coercive confinement</w:t>
            </w:r>
          </w:p>
        </w:tc>
      </w:tr>
      <w:tr>
        <w:trPr>
          <w:cantSplit/>
        </w:trPr>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Basic Needs</w:t>
            </w:r>
          </w:p>
        </w:tc>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NEED</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-0.50</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Severe deprivation: food insecurity, homelessness, loss of basic subsistence</w:t>
            </w:r>
          </w:p>
        </w:tc>
      </w:tr>
      <w:tr>
        <w:trPr>
          <w:cantSplit/>
        </w:trPr>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Dignity</w:t>
            </w:r>
          </w:p>
        </w:tc>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DIGN</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-0.55</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Systematic humiliation, dehumanization, targeted degradation</w:t>
            </w:r>
          </w:p>
        </w:tc>
      </w:tr>
      <w:tr>
        <w:trPr>
          <w:cantSplit/>
        </w:trPr>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Due Process</w:t>
            </w:r>
          </w:p>
        </w:tc>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PROC</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-0.45</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Denial of fair hearing, non-transparent coercive procedure</w:t>
            </w:r>
          </w:p>
        </w:tc>
      </w:tr>
      <w:tr>
        <w:trPr>
          <w:cantSplit/>
        </w:trPr>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Information</w:t>
            </w:r>
          </w:p>
        </w:tc>
        <w:tc>
          <w:tcPr>
            <w:tcW w:w="1882" w:type="dxa"/>
            <w:vAlign w:val="top"/>
            <w:tcMar>
              <w:top w:w="70" w:type="dxa"/>
              <w:start w:w="90" w:type="dxa"/>
              <w:bottom w:w="70" w:type="dxa"/>
              <w:end w:w="90" w:type="dxa"/>
            </w:tcMar>
            <w:shd w:fill="FFFFFF" w:val="clear"/>
          </w:tcPr>
          <w:p>
            <w:pPr>
              <w:pStyle w:val="Compact"/>
              <w:spacing w:before="0" w:after="0"/>
              <w:jc w:val="left"/>
            </w:pPr>
            <w:r>
              <w:rPr>
                <w:sz w:val="17"/>
              </w:rPr>
              <w:t xml:space="preserve">INFO</w:t>
            </w:r>
          </w:p>
        </w:tc>
        <w:tc>
          <w:tcPr>
            <w:tcW w:w="2307" w:type="dxa"/>
            <w:vAlign w:val="top"/>
            <w:tcMar>
              <w:top w:w="70" w:type="dxa"/>
              <w:start w:w="90" w:type="dxa"/>
              <w:bottom w:w="70" w:type="dxa"/>
              <w:end w:w="90" w:type="dxa"/>
            </w:tcMar>
            <w:shd w:fill="FFFFFF" w:val="clear"/>
          </w:tcPr>
          <w:p>
            <w:pPr>
              <w:pStyle w:val="Compact"/>
              <w:spacing w:before="0" w:after="0"/>
              <w:jc w:val="left"/>
            </w:pPr>
            <w:r>
              <w:rPr>
                <w:sz w:val="17"/>
              </w:rPr>
              <w:t xml:space="preserve">-0.40</w:t>
            </w:r>
          </w:p>
        </w:tc>
        <w:tc>
          <w:tcPr>
            <w:tcW w:w="2514" w:type="dxa"/>
            <w:vAlign w:val="top"/>
            <w:tcMar>
              <w:top w:w="70" w:type="dxa"/>
              <w:start w:w="90" w:type="dxa"/>
              <w:bottom w:w="70" w:type="dxa"/>
              <w:end w:w="90" w:type="dxa"/>
            </w:tcMar>
            <w:shd w:fill="FFFFFF" w:val="clear"/>
          </w:tcPr>
          <w:p>
            <w:pPr>
              <w:pStyle w:val="Compact"/>
              <w:spacing w:before="0" w:after="0"/>
              <w:jc w:val="left"/>
            </w:pPr>
            <w:r>
              <w:rPr>
                <w:sz w:val="17"/>
              </w:rPr>
              <w:t xml:space="preserve">Systematic censorship, epistemic coercion, pervasive disinformation constraints</w:t>
            </w:r>
          </w:p>
        </w:tc>
      </w:tr>
      <w:tr>
        <w:trPr>
          <w:cantSplit/>
        </w:trPr>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Ecological Integrity</w:t>
            </w:r>
          </w:p>
        </w:tc>
        <w:tc>
          <w:tcPr>
            <w:tcW w:w="1882" w:type="dxa"/>
            <w:vAlign w:val="top"/>
            <w:tcMar>
              <w:top w:w="70" w:type="dxa"/>
              <w:start w:w="90" w:type="dxa"/>
              <w:bottom w:w="70" w:type="dxa"/>
              <w:end w:w="90" w:type="dxa"/>
            </w:tcMar>
            <w:shd w:fill="F3F7FB" w:val="clear"/>
          </w:tcPr>
          <w:p>
            <w:pPr>
              <w:pStyle w:val="Compact"/>
              <w:spacing w:before="0" w:after="0"/>
              <w:jc w:val="left"/>
            </w:pPr>
            <w:r>
              <w:rPr>
                <w:sz w:val="17"/>
              </w:rPr>
              <w:t xml:space="preserve">ECOL</w:t>
            </w:r>
          </w:p>
        </w:tc>
        <w:tc>
          <w:tcPr>
            <w:tcW w:w="2307" w:type="dxa"/>
            <w:vAlign w:val="top"/>
            <w:tcMar>
              <w:top w:w="70" w:type="dxa"/>
              <w:start w:w="90" w:type="dxa"/>
              <w:bottom w:w="70" w:type="dxa"/>
              <w:end w:w="90" w:type="dxa"/>
            </w:tcMar>
            <w:shd w:fill="F3F7FB" w:val="clear"/>
          </w:tcPr>
          <w:p>
            <w:pPr>
              <w:pStyle w:val="Compact"/>
              <w:spacing w:before="0" w:after="0"/>
              <w:jc w:val="left"/>
            </w:pPr>
            <w:r>
              <w:rPr>
                <w:sz w:val="17"/>
              </w:rPr>
              <w:t xml:space="preserve">-0.65</w:t>
            </w:r>
          </w:p>
        </w:tc>
        <w:tc>
          <w:tcPr>
            <w:tcW w:w="2514" w:type="dxa"/>
            <w:vAlign w:val="top"/>
            <w:tcMar>
              <w:top w:w="70" w:type="dxa"/>
              <w:start w:w="90" w:type="dxa"/>
              <w:bottom w:w="70" w:type="dxa"/>
              <w:end w:w="90" w:type="dxa"/>
            </w:tcMar>
            <w:shd w:fill="F3F7FB" w:val="clear"/>
          </w:tcPr>
          <w:p>
            <w:pPr>
              <w:pStyle w:val="Compact"/>
              <w:spacing w:before="0" w:after="0"/>
              <w:jc w:val="left"/>
            </w:pPr>
            <w:r>
              <w:rPr>
                <w:sz w:val="17"/>
              </w:rPr>
              <w:t xml:space="preserve">Material biosphere integrity breach or planetary boundary transgression corridor</w:t>
            </w:r>
          </w:p>
        </w:tc>
      </w:tr>
    </w:tbl>
    <w:p>
      <w:pPr>
        <w:pStyle w:val="BodyText"/>
      </w:pPr>
      <w:r>
        <w:t xml:space="preserve">Ecological Integrity boundary. ECOL is a MathGov non-compensatory enabling-condition protection for biosphere integrity and life-supporting ecological conditions. It may overlap with legal environmental rights where recognized, but this Canon does not claim universal legal status by itself.</w:t>
      </w:r>
    </w:p>
    <w:p>
      <w:pPr>
        <w:pStyle w:val="BodyText"/>
      </w:pPr>
      <w:r>
        <w:t xml:space="preserve">Normative interpretation rule: Thresholds θ_r are admissibility floors, not weights. They do not represent</w:t>
      </w:r>
      <w:r>
        <w:t xml:space="preserve"> </w:t>
      </w:r>
      <w:r>
        <w:t xml:space="preserve">“</w:t>
      </w:r>
      <w:r>
        <w:t xml:space="preserve">how important</w:t>
      </w:r>
      <w:r>
        <w:t xml:space="preserve">”</w:t>
      </w:r>
      <w:r>
        <w:t xml:space="preserve"> </w:t>
      </w:r>
      <w:r>
        <w:t xml:space="preserve">a right is; they represent the minimum allowable protection level.</w:t>
      </w:r>
    </w:p>
    <w:p>
      <w:pPr>
        <w:pStyle w:val="BodyText"/>
      </w:pPr>
      <w:r>
        <w:t xml:space="preserve">Threshold governance. All thresholds are explicitly challengeable. Revisions require justification, version increment, PCC documentation preserving prior values, and sensitivity outcomes over a reference decision suite.</w:t>
      </w:r>
    </w:p>
    <w:p>
      <w:pPr>
        <w:pStyle w:val="BodyText"/>
      </w:pPr>
      <w:r>
        <w:t xml:space="preserve">Threshold epistemic boundary. Rights thresholds are versioned governance priors, not discovered empirical constants or jurisdiction-specific legal conclusions. They may be challenged, localized, stress-tested, and revised under governed update rules, but they remain non-compensatory while active in a run.</w:t>
      </w:r>
    </w:p>
    <w:p>
      <w:pPr>
        <w:pStyle w:val="BodyText"/>
      </w:pPr>
      <w:r>
        <w:t xml:space="preserve">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pPr>
      <w:r>
        <w:t xml:space="preserve">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pPr>
      <w:r>
        <w:t xml:space="preserve">Right INFO (θ = -0.40). Normative anchor: systematic censorship, epistemic coercion, or deliberate degradation of the information environment such that agents cannot form informed preferences. Example anchors: systematic media control and censorship per RSF Press Freedom Index</w:t>
      </w:r>
      <w:r>
        <w:t xml:space="preserve"> </w:t>
      </w:r>
      <w:r>
        <w:t xml:space="preserve">“</w:t>
      </w:r>
      <w:r>
        <w:t xml:space="preserve">Very Serious Situation</w:t>
      </w:r>
      <w:r>
        <w:t xml:space="preserve">”</w:t>
      </w:r>
      <w:r>
        <w:t xml:space="preserve"> </w:t>
      </w:r>
      <w:r>
        <w:t xml:space="preserve">(score below 40); persistent large-scale disinformation operations affecting public health, safety, or governance; surveillance-driven chilling effects that measurably suppress information seeking or expression.</w:t>
      </w:r>
    </w:p>
    <w:p>
      <w:pPr>
        <w:pStyle w:val="BodyText"/>
      </w:pPr>
      <w:r>
        <w:t xml:space="preserve">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pPr>
      <w:r>
        <w:t xml:space="preserve">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pPr>
      <w:r>
        <w:t xml:space="preserve">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pPr>
      <w:r>
        <w:t xml:space="preserve">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pPr>
      <w:r>
        <w:t xml:space="preserve">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pPr>
      <w:r>
        <w:t xml:space="preserve">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pPr>
      <w:r>
        <w:t xml:space="preserve">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bookmarkStart w:id="104" w:name="threshold-calibration-protocol-normative"/>
    <w:p>
      <w:pPr>
        <w:pStyle w:val="Heading3"/>
      </w:pPr>
      <w:r>
        <w:t xml:space="preserve">7.1.1 Threshold Calibration Protocol (Normative)</w:t>
      </w:r>
    </w:p>
    <w:p>
      <w:pPr>
        <w:pStyle w:val="FirstParagraph"/>
      </w:pPr>
      <w:r>
        <w:t xml:space="preserve">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pPr>
      <w:r>
        <w:t xml:space="preserve">Calibration follows two principles:</w:t>
      </w:r>
    </w:p>
    <w:p>
      <w:pPr>
        <w:pStyle w:val="BodyText"/>
      </w:pPr>
      <w:r>
        <w:t xml:space="preserve">First, thresholds are placed relative to the semantics of the impact scale: -1.0 denotes an extreme, worst-case welfare decrement in the relevant domain; +1.0 denotes an extreme improvement.</w:t>
      </w:r>
    </w:p>
    <w:p>
      <w:pPr>
        <w:pStyle w:val="BodyText"/>
      </w:pPr>
      <w:r>
        <w:t xml:space="preserve">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pPr>
      <w:r>
        <w:t xml:space="preserve">Operationally, a threshold is justified by two to four anchor conditions per right, a mapping rule from anchors to the [-1, +1] scale using threshold anchoring (Section 5.6.2), and a mandatory sensitivity sweep.</w:t>
      </w:r>
    </w:p>
    <w:bookmarkEnd w:id="104"/>
    <w:bookmarkEnd w:id="105"/>
    <w:bookmarkStart w:id="106" w:name="rights-coverage-sets-c_r-normative"/>
    <w:p>
      <w:pPr>
        <w:pStyle w:val="Heading2"/>
      </w:pPr>
      <w:r>
        <w:t xml:space="preserve">7.2 Rights Coverage Sets C_r (Normative)</w:t>
      </w:r>
    </w:p>
    <w:p>
      <w:pPr>
        <w:pStyle w:val="FirstParagraph"/>
      </w:pPr>
      <w:r>
        <w:t xml:space="preserve">Each right applies to a defined subset of welfare cells C_r. NCRC evaluates each right across its coverage set and uses the worst-off subgroup for rights-covered cells.</w:t>
      </w:r>
    </w:p>
    <w:p>
      <w:pPr>
        <w:pStyle w:val="BodyText"/>
      </w:pPr>
      <w:r>
        <w:t xml:space="preserve">Canonical coverage sets (authoritative):</w:t>
      </w:r>
    </w:p>
    <w:p>
      <w:pPr>
        <w:pStyle w:val="BodyText"/>
      </w:pPr>
      <w:r>
        <w:t xml:space="preserve">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Right</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Coverage Set C_r</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LIFE</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Health): u ∈ {1,2,3,4,5,6}} ∪ {(6, Environment)}</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BODY</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Health): u ∈ {1,2,3,4,5,6}}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LBTY</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Agency): u ∈ {1,2,3,4,5,6}} ∪ {(u, Social): u ∈ {3,4,5,6}}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NEED</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Material): u ∈ {1,2,3,4,5,6}} ∪ {(u, Health): u ∈ {1,2,3,4,5,6}}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DIGN</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Social): u ∈ {1,2,3,4,5,6}} ∪ {(u, Agency): u ∈ {1,2,3,4,5,6}}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PROC</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Agency): u ∈ {4,5,6}} ∪ {(u, Knowledge): u ∈ {4,5,6}} ∪ {(u, Social): u ∈ {4,5,6}}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INFO</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Knowledge): u ∈ {1,2,3,4,5,6}} ∪ {(u, Agency): u ∈ {1,2,3,4,5,6}}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ECOL</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{(6, Environment), (7, Environment)}</w:t>
            </w:r>
          </w:p>
        </w:tc>
      </w:tr>
    </w:tbl>
    <w:bookmarkEnd w:id="106"/>
    <w:bookmarkStart w:id="109" w:name="worst-off-subgroup-semantics-normative"/>
    <w:p>
      <w:pPr>
        <w:pStyle w:val="Heading2"/>
      </w:pPr>
      <w:r>
        <w:t xml:space="preserve">7.3 Worst-Off Subgroup Semantics (Normative)</w:t>
      </w:r>
    </w:p>
    <w:p>
      <w:pPr>
        <w:pStyle w:val="FirstParagraph"/>
      </w:pPr>
      <w:r>
        <w:t xml:space="preserve">Rights cannot be averaged away. For every rights-covered cell (u,d) in any C_r, define:</w:t>
      </w:r>
    </w:p>
    <w:p>
      <w:pPr>
        <w:pStyle w:val="BodyText"/>
      </w:pPr>
      <w:r>
        <w:t xml:space="preserve">I_rights(u,d,a) = min_{g ∈ G_{u,d}} I_prop_base(u,d,a|g)</w:t>
      </w:r>
    </w:p>
    <w:p>
      <w:pPr>
        <w:pStyle w:val="BodyText"/>
      </w:pPr>
      <w:r>
        <w:t xml:space="preserve">Where G_{u,d} is the set of protected subgroups relevant to that cell.</w:t>
      </w:r>
    </w:p>
    <w:p>
      <w:pPr>
        <w:pStyle w:val="BodyText"/>
      </w:pPr>
      <w:r>
        <w:t xml:space="preserve">Tier requirements:</w:t>
      </w:r>
    </w:p>
    <w:p>
      <w:pPr>
        <w:pStyle w:val="Compact"/>
        <w:numPr>
          <w:ilvl w:val="0"/>
          <w:numId w:val="1038"/>
        </w:numPr>
      </w:pPr>
      <w:r>
        <w:t xml:space="preserve">Tier 3: Subgroup enumeration is REQUIRED for rights-covered cells (Appendix H PCC requirements).</w:t>
      </w:r>
    </w:p>
    <w:p>
      <w:pPr>
        <w:pStyle w:val="Compact"/>
        <w:numPr>
          <w:ilvl w:val="0"/>
          <w:numId w:val="1039"/>
        </w:numPr>
      </w:pPr>
      <w:r>
        <w:t xml:space="preserve">Tier 2 (strict posture): Subgroup enumeration is REQUIRED at least for directly affected populations in rights-covered cells; when infeasible, the PCC MUST record SUBGROUP_LIMITATION and apply a conservative bound rule (Section 7.3.2).</w:t>
      </w:r>
    </w:p>
    <w:bookmarkStart w:id="107" w:name="X3698808b757f3571c9c6a318c90efdb696b1324"/>
    <w:p>
      <w:pPr>
        <w:pStyle w:val="Heading3"/>
      </w:pPr>
      <w:r>
        <w:t xml:space="preserve">7.3.1 Minimum subgroup categories (Normative minimum)</w:t>
      </w:r>
    </w:p>
    <w:p>
      <w:pPr>
        <w:pStyle w:val="FirstParagraph"/>
      </w:pPr>
      <w:r>
        <w:t xml:space="preserve">At minimum, when applicable and feasible, G_{u,d} SHOULD include subgroups defined by:</w:t>
      </w:r>
    </w:p>
    <w:p>
      <w:pPr>
        <w:pStyle w:val="Compact"/>
        <w:numPr>
          <w:ilvl w:val="0"/>
          <w:numId w:val="1040"/>
        </w:numPr>
      </w:pPr>
      <w:r>
        <w:t xml:space="preserve">Age (children; elderly)</w:t>
      </w:r>
    </w:p>
    <w:p>
      <w:pPr>
        <w:pStyle w:val="Compact"/>
        <w:numPr>
          <w:ilvl w:val="0"/>
          <w:numId w:val="1041"/>
        </w:numPr>
      </w:pPr>
      <w:r>
        <w:t xml:space="preserve">Disability status</w:t>
      </w:r>
    </w:p>
    <w:p>
      <w:pPr>
        <w:pStyle w:val="Compact"/>
        <w:numPr>
          <w:ilvl w:val="0"/>
          <w:numId w:val="1042"/>
        </w:numPr>
      </w:pPr>
      <w:r>
        <w:t xml:space="preserve">Legally protected characteristics relevant in jurisdiction</w:t>
      </w:r>
    </w:p>
    <w:p>
      <w:pPr>
        <w:pStyle w:val="Compact"/>
        <w:numPr>
          <w:ilvl w:val="0"/>
          <w:numId w:val="1043"/>
        </w:numPr>
      </w:pPr>
      <w:r>
        <w:t xml:space="preserve">Economic vulnerability (for example, bottom income quintile)</w:t>
      </w:r>
    </w:p>
    <w:p>
      <w:pPr>
        <w:pStyle w:val="Compact"/>
        <w:numPr>
          <w:ilvl w:val="0"/>
          <w:numId w:val="1044"/>
        </w:numPr>
      </w:pPr>
      <w:r>
        <w:t xml:space="preserve">Geographic exposure (for example, high-risk locations)</w:t>
      </w:r>
    </w:p>
    <w:p>
      <w:pPr>
        <w:pStyle w:val="Compact"/>
        <w:numPr>
          <w:ilvl w:val="0"/>
          <w:numId w:val="1045"/>
        </w:numPr>
      </w:pPr>
      <w:r>
        <w:t xml:space="preserve">Domain-specific protected groups (for example, patients, detainees, precarious workers, indigenous communities)</w:t>
      </w:r>
    </w:p>
    <w:bookmarkEnd w:id="107"/>
    <w:bookmarkStart w:id="108" w:name="Xc78d2b41ea77740486431be060a2c6fd857513a"/>
    <w:p>
      <w:pPr>
        <w:pStyle w:val="Heading3"/>
      </w:pPr>
      <w:r>
        <w:t xml:space="preserve">7.3.2 Conservative fallback when subgroup disaggregation is infeasible (Tier 2-3) (Normative)</w:t>
      </w:r>
    </w:p>
    <w:p>
      <w:pPr>
        <w:pStyle w:val="FirstParagraph"/>
      </w:pPr>
      <w:r>
        <w:t xml:space="preserve">If subgroup impacts I_prop_base(u,d,a|g) cannot be produced for a rights-covered cell, the run MUST:</w:t>
      </w:r>
    </w:p>
    <w:p>
      <w:pPr>
        <w:pStyle w:val="Compact"/>
        <w:numPr>
          <w:ilvl w:val="0"/>
          <w:numId w:val="1046"/>
        </w:numPr>
      </w:pPr>
      <w:r>
        <w:t xml:space="preserve">Record SUBGROUP_LIMITATION in the PCC, and</w:t>
      </w:r>
    </w:p>
    <w:p>
      <w:pPr>
        <w:pStyle w:val="Compact"/>
        <w:numPr>
          <w:ilvl w:val="0"/>
          <w:numId w:val="1047"/>
        </w:numPr>
      </w:pPr>
      <w:r>
        <w:t xml:space="preserve">Apply a conservative rights bound for that cell:</w:t>
      </w:r>
    </w:p>
    <w:p>
      <w:pPr>
        <w:pStyle w:val="FirstParagraph"/>
      </w:pPr>
      <w:r>
        <w:t xml:space="preserve">Let γ_subgroup be a conservatism factor (default γ_subgroup = 1.5). Then define:</w:t>
      </w:r>
    </w:p>
    <w:p>
      <w:pPr>
        <w:pStyle w:val="Compact"/>
        <w:numPr>
          <w:ilvl w:val="0"/>
          <w:numId w:val="1048"/>
        </w:numPr>
      </w:pPr>
      <w:r>
        <w:t xml:space="preserve">If I_prop_base(u,d,a) &lt; 0, set I_rights(u,d,a) = max(-1, γ_subgroup × I_prop_base(u,d,a))</w:t>
      </w:r>
    </w:p>
    <w:p>
      <w:pPr>
        <w:pStyle w:val="Compact"/>
        <w:numPr>
          <w:ilvl w:val="0"/>
          <w:numId w:val="1049"/>
        </w:numPr>
      </w:pPr>
      <w:r>
        <w:t xml:space="preserve">Else set I_rights(u,d,a) = I_prop_base(u,d,a)</w:t>
      </w:r>
    </w:p>
    <w:p>
      <w:pPr>
        <w:pStyle w:val="FirstParagraph"/>
      </w:pPr>
      <w:r>
        <w:t xml:space="preserve">This bound applies only for NCRC checking, not for RLS scoring.</w:t>
      </w:r>
    </w:p>
    <w:p>
      <w:pPr>
        <w:pStyle w:val="BodyText"/>
      </w:pPr>
      <w:r>
        <w:t xml:space="preserve">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bookmarkEnd w:id="108"/>
    <w:bookmarkEnd w:id="109"/>
    <w:bookmarkStart w:id="110" w:name="X9d236438ab1d9cd9d646ae92c462c03b8bac10f"/>
    <w:p>
      <w:pPr>
        <w:pStyle w:val="Heading2"/>
      </w:pPr>
      <w:r>
        <w:t xml:space="preserve">7.4 Violation Depth and NCRC Admissibility (Normative)</w:t>
      </w:r>
    </w:p>
    <w:p>
      <w:pPr>
        <w:pStyle w:val="FirstParagraph"/>
      </w:pPr>
      <w:r>
        <w:t xml:space="preserve">For each right r, define violation depth:</w:t>
      </w:r>
    </w:p>
    <w:p>
      <w:pPr>
        <w:pStyle w:val="BodyText"/>
      </w:pPr>
      <w:r>
        <w:t xml:space="preserve">v_r(a) = max_{(u,d) ∈ C_r} (θ_r − I_rights(u,d,a))⁺</w:t>
      </w:r>
    </w:p>
    <w:p>
      <w:pPr>
        <w:pStyle w:val="BodyText"/>
      </w:pPr>
      <w:r>
        <w:t xml:space="preserve">where (x)⁺ = max(x, 0).</w:t>
      </w:r>
    </w:p>
    <w:p>
      <w:pPr>
        <w:pStyle w:val="BodyText"/>
      </w:pPr>
      <w:r>
        <w:t xml:space="preserve">NCRC pass/fail predicate:</w:t>
      </w:r>
    </w:p>
    <w:p>
      <w:pPr>
        <w:pStyle w:val="BodyText"/>
      </w:pPr>
      <w:r>
        <w:t xml:space="preserve">NCRC(a) = TRUE if and only if v_r(a) = 0 for all r ∈ R</w:t>
      </w:r>
    </w:p>
    <w:p>
      <w:pPr>
        <w:pStyle w:val="BodyText"/>
      </w:pPr>
      <w:r>
        <w:t xml:space="preserve">NCRC-passing set:</w:t>
      </w:r>
    </w:p>
    <w:p>
      <w:pPr>
        <w:pStyle w:val="BodyText"/>
      </w:pPr>
      <w:r>
        <w:t xml:space="preserve">A_NCRC = {a ∈ O : NCRC(a) = TRUE}</w:t>
      </w:r>
    </w:p>
    <w:p>
      <w:pPr>
        <w:pStyle w:val="BodyText"/>
      </w:pPr>
      <w:r>
        <w:t xml:space="preserve">Interpretation: If any right’s threshold is violated in any covered cell for the worst-off subgroup, the option is rights-inadmissible, regardless of any benefits elsewhere.</w:t>
      </w:r>
    </w:p>
    <w:bookmarkEnd w:id="110"/>
    <w:bookmarkStart w:id="115" w:name="X62e51fe48e04714661a2bbebea4def521f13568"/>
    <w:p>
      <w:pPr>
        <w:pStyle w:val="Heading2"/>
      </w:pPr>
      <w:r>
        <w:t xml:space="preserve">7.5 Emergency Mode (Rights-Failure Handling) (Normative)</w:t>
      </w:r>
    </w:p>
    <w:p>
      <w:pPr>
        <w:pStyle w:val="FirstParagraph"/>
      </w:pPr>
      <w:r>
        <w:t xml:space="preserve">If A_NCRC = ∅ (no option passes rights), RippleLogic enters Emergency Mode. Emergency Mode is not a loophole; it is a controlled failure protocol.</w:t>
      </w:r>
    </w:p>
    <w:bookmarkStart w:id="111" w:name="Xdef41c911144afb721bc8e0d8cd1ca97df43401"/>
    <w:p>
      <w:pPr>
        <w:pStyle w:val="Heading3"/>
      </w:pPr>
      <w:r>
        <w:t xml:space="preserve">7.5.1 Emergency Mode rights priority order (Normative)</w:t>
      </w:r>
    </w:p>
    <w:p>
      <w:pPr>
        <w:pStyle w:val="FirstParagraph"/>
      </w:pPr>
      <w:r>
        <w:t xml:space="preserve">Rights are ordered lexicographically by the canonical emergency priority:</w:t>
      </w:r>
    </w:p>
    <w:p>
      <w:pPr>
        <w:pStyle w:val="BodyText"/>
      </w:pPr>
      <w:r>
        <w:t xml:space="preserve">[LIFE, BODY, ECOL, LBTY, NEED, DIGN, PROC, INFO]</w:t>
      </w:r>
    </w:p>
    <w:p>
      <w:pPr>
        <w:pStyle w:val="BodyText"/>
      </w:pPr>
      <w:r>
        <w:t xml:space="preserve">This ordering MUST be used exactly.</w:t>
      </w:r>
    </w:p>
    <w:bookmarkEnd w:id="111"/>
    <w:bookmarkStart w:id="112" w:name="emergency-mode-selection-rule-normative"/>
    <w:p>
      <w:pPr>
        <w:pStyle w:val="Heading3"/>
      </w:pPr>
      <w:r>
        <w:t xml:space="preserve">7.5.2 Emergency Mode selection rule (Normative)</w:t>
      </w:r>
    </w:p>
    <w:p>
      <w:pPr>
        <w:pStyle w:val="FirstParagraph"/>
      </w:pPr>
      <w:r>
        <w:t xml:space="preserve">Construct the violation depth vector for each option:</w:t>
      </w:r>
    </w:p>
    <w:p>
      <w:pPr>
        <w:pStyle w:val="BodyText"/>
      </w:pPr>
      <w:r>
        <w:t xml:space="preserve">v(a) = (v_LIFE(a), v_BODY(a), v_ECOL(a), v_LBTY(a), v_NEED(a), v_DIGN(a), v_PROC(a), v_INFO(a))</w:t>
      </w:r>
    </w:p>
    <w:p>
      <w:pPr>
        <w:pStyle w:val="BodyText"/>
      </w:pPr>
      <w:r>
        <w:t xml:space="preserve">Select the option that lexicographically minimizes v(a). If tied:</w:t>
      </w:r>
    </w:p>
    <w:p>
      <w:pPr>
        <w:pStyle w:val="Compact"/>
        <w:numPr>
          <w:ilvl w:val="0"/>
          <w:numId w:val="1050"/>
        </w:numPr>
      </w:pPr>
      <w:r>
        <w:t xml:space="preserve">Minimize TRC CVaR (if TRC scenarios exist or are rapidly constructed), then</w:t>
      </w:r>
    </w:p>
    <w:p>
      <w:pPr>
        <w:pStyle w:val="Compact"/>
        <w:numPr>
          <w:ilvl w:val="0"/>
          <w:numId w:val="1051"/>
        </w:numPr>
      </w:pPr>
      <w:r>
        <w:t xml:space="preserve">Maximize RLS.</w:t>
      </w:r>
    </w:p>
    <w:bookmarkEnd w:id="112"/>
    <w:bookmarkStart w:id="113" w:name="X771e600c346149ec2f1a0562ed10ce6b9672bac"/>
    <w:p>
      <w:pPr>
        <w:pStyle w:val="Heading3"/>
      </w:pPr>
      <w:r>
        <w:t xml:space="preserve">7.5.3 Independent Challenger Requirement (Normative)</w:t>
      </w:r>
    </w:p>
    <w:p>
      <w:pPr>
        <w:pStyle w:val="FirstParagraph"/>
      </w:pPr>
      <w:r>
        <w:t xml:space="preserve">Before Emergency Mode can be invoked, an independent challenger MUST propose at least one alternative option.</w:t>
      </w:r>
    </w:p>
    <w:p>
      <w:pPr>
        <w:pStyle w:val="BodyText"/>
      </w:pPr>
      <w:r>
        <w:t xml:space="preserve">Independence requirements (MUST):</w:t>
      </w:r>
    </w:p>
    <w:p>
      <w:pPr>
        <w:pStyle w:val="Compact"/>
        <w:numPr>
          <w:ilvl w:val="0"/>
          <w:numId w:val="1052"/>
        </w:numPr>
      </w:pPr>
      <w:r>
        <w:t xml:space="preserve">No reporting relationship to decision owner</w:t>
      </w:r>
    </w:p>
    <w:p>
      <w:pPr>
        <w:pStyle w:val="Compact"/>
        <w:numPr>
          <w:ilvl w:val="0"/>
          <w:numId w:val="1053"/>
        </w:numPr>
      </w:pPr>
      <w:r>
        <w:t xml:space="preserve">No material interest in decision outcome</w:t>
      </w:r>
    </w:p>
    <w:p>
      <w:pPr>
        <w:pStyle w:val="Compact"/>
        <w:numPr>
          <w:ilvl w:val="0"/>
          <w:numId w:val="1054"/>
        </w:numPr>
      </w:pPr>
      <w:r>
        <w:t xml:space="preserve">Access to the same information set</w:t>
      </w:r>
    </w:p>
    <w:p>
      <w:pPr>
        <w:pStyle w:val="FirstParagraph"/>
      </w:pPr>
      <w:r>
        <w:t xml:space="preserve">Minimum challenger effort:</w:t>
      </w:r>
    </w:p>
    <w:p>
      <w:pPr>
        <w:pStyle w:val="Compact"/>
        <w:numPr>
          <w:ilvl w:val="0"/>
          <w:numId w:val="1055"/>
        </w:numPr>
      </w:pPr>
      <w:r>
        <w:t xml:space="preserve">Tier 2: ≥30 minutes active option generation</w:t>
      </w:r>
    </w:p>
    <w:p>
      <w:pPr>
        <w:pStyle w:val="Compact"/>
        <w:numPr>
          <w:ilvl w:val="0"/>
          <w:numId w:val="1056"/>
        </w:numPr>
      </w:pPr>
      <w:r>
        <w:t xml:space="preserve">Tier 3: ≥2 hours active option generation</w:t>
      </w:r>
    </w:p>
    <w:p>
      <w:pPr>
        <w:pStyle w:val="FirstParagraph"/>
      </w:pPr>
      <w:r>
        <w:t xml:space="preserve">If time pressure prevents this, PCC MUST record CHALLENGE_DEFERRED_EMERGENCY and a retrospective challenge review MUST occur within 24 hours (or earliest feasible time) with an addendum PCC.</w:t>
      </w:r>
    </w:p>
    <w:bookmarkEnd w:id="113"/>
    <w:bookmarkStart w:id="114" w:name="X57cd7833ff637cad8269d10c108503c7862aa3c"/>
    <w:p>
      <w:pPr>
        <w:pStyle w:val="Heading3"/>
      </w:pPr>
      <w:r>
        <w:t xml:space="preserve">7.5.4 Emergency documentation requirements (Normative)</w:t>
      </w:r>
    </w:p>
    <w:p>
      <w:pPr>
        <w:pStyle w:val="FirstParagraph"/>
      </w:pPr>
      <w:r>
        <w:t xml:space="preserve">PCC MUST include:</w:t>
      </w:r>
    </w:p>
    <w:p>
      <w:pPr>
        <w:pStyle w:val="Compact"/>
        <w:numPr>
          <w:ilvl w:val="0"/>
          <w:numId w:val="1057"/>
        </w:numPr>
      </w:pPr>
      <w:r>
        <w:t xml:space="preserve">Emergency declaration and trigger conditions</w:t>
      </w:r>
    </w:p>
    <w:p>
      <w:pPr>
        <w:pStyle w:val="Compact"/>
        <w:numPr>
          <w:ilvl w:val="0"/>
          <w:numId w:val="1058"/>
        </w:numPr>
      </w:pPr>
      <w:r>
        <w:t xml:space="preserve">v_r(a) for each option</w:t>
      </w:r>
    </w:p>
    <w:p>
      <w:pPr>
        <w:pStyle w:val="Compact"/>
        <w:numPr>
          <w:ilvl w:val="0"/>
          <w:numId w:val="1059"/>
        </w:numPr>
      </w:pPr>
      <w:r>
        <w:t xml:space="preserve">Lexicographic comparison trace</w:t>
      </w:r>
    </w:p>
    <w:p>
      <w:pPr>
        <w:pStyle w:val="Compact"/>
        <w:numPr>
          <w:ilvl w:val="0"/>
          <w:numId w:val="1060"/>
        </w:numPr>
      </w:pPr>
      <w:r>
        <w:t xml:space="preserve">Mitigation/remediation plan</w:t>
      </w:r>
    </w:p>
    <w:p>
      <w:pPr>
        <w:pStyle w:val="Compact"/>
        <w:numPr>
          <w:ilvl w:val="0"/>
          <w:numId w:val="1061"/>
        </w:numPr>
      </w:pPr>
      <w:r>
        <w:t xml:space="preserve">Review cadence and return-to-normal triggers</w:t>
      </w:r>
    </w:p>
    <w:bookmarkEnd w:id="114"/>
    <w:bookmarkEnd w:id="115"/>
    <w:bookmarkStart w:id="116" w:name="Xa8a52690c8d477f0e28cf2ce8f0cf1c49ac3157"/>
    <w:p>
      <w:pPr>
        <w:pStyle w:val="Heading2"/>
      </w:pPr>
      <w:r>
        <w:t xml:space="preserve">7.6 Anti-Gaming Rules Specific to NCRC (Normative)</w:t>
      </w:r>
    </w:p>
    <w:p>
      <w:pPr>
        <w:pStyle w:val="Compact"/>
        <w:numPr>
          <w:ilvl w:val="0"/>
          <w:numId w:val="1062"/>
        </w:numPr>
      </w:pPr>
      <w:r>
        <w:t xml:space="preserve">Rights-covered cells MUST NOT be masked out of RLS aggregation if they are non-maskable by policy (Appendix H audit flags).</w:t>
      </w:r>
    </w:p>
    <w:p>
      <w:pPr>
        <w:pStyle w:val="Compact"/>
        <w:numPr>
          <w:ilvl w:val="0"/>
          <w:numId w:val="1063"/>
        </w:numPr>
      </w:pPr>
      <w:r>
        <w:t xml:space="preserve">Rights checks MUST use worst-off subgroup semantics and must not be evaluated on averages.</w:t>
      </w:r>
    </w:p>
    <w:p>
      <w:pPr>
        <w:pStyle w:val="Compact"/>
        <w:numPr>
          <w:ilvl w:val="0"/>
          <w:numId w:val="1064"/>
        </w:numPr>
      </w:pPr>
      <w:r>
        <w:t xml:space="preserve">“</w:t>
      </w:r>
      <w:r>
        <w:t xml:space="preserve">Unknown</w:t>
      </w:r>
      <w:r>
        <w:t xml:space="preserve">”</w:t>
      </w:r>
      <w:r>
        <w:t xml:space="preserve"> </w:t>
      </w:r>
      <w:r>
        <w:t xml:space="preserve">data MUST NOT be treated as neutral; missing data triggers ignorance penalties (Section 5.7).</w:t>
      </w:r>
    </w:p>
    <w:p>
      <w:pPr>
        <w:pStyle w:val="Compact"/>
        <w:numPr>
          <w:ilvl w:val="0"/>
          <w:numId w:val="1065"/>
        </w:numPr>
      </w:pPr>
      <w:r>
        <w:t xml:space="preserve">Emergency Mode MUST NOT be used without challenger protocol and remediation plan.</w:t>
      </w:r>
    </w:p>
    <w:bookmarkEnd w:id="116"/>
    <w:bookmarkEnd w:id="117"/>
    <w:bookmarkStart w:id="132" w:name="X1c1ef2bcfd94fb93dbb2f42d9d5882e949b77ee"/>
    <w:p>
      <w:pPr>
        <w:pStyle w:val="Heading1"/>
      </w:pPr>
      <w:r>
        <w:t xml:space="preserve">SECTION 8: CATASTROPHIC RISK LAYER: TAIL-RISK CONSTRAINT (TRC)</w:t>
      </w:r>
    </w:p>
    <w:bookmarkStart w:id="118" w:name="purpose-and-ube-rationale-normative"/>
    <w:p>
      <w:pPr>
        <w:pStyle w:val="Heading2"/>
      </w:pPr>
      <w:r>
        <w:t xml:space="preserve">8.0 Purpose and UBE Rationale (Normative)</w:t>
      </w:r>
    </w:p>
    <w:p>
      <w:pPr>
        <w:pStyle w:val="FirstParagraph"/>
      </w:pPr>
      <w:r>
        <w:t xml:space="preserve">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pPr>
        <w:pStyle w:val="BodyText"/>
      </w:pPr>
      <w:r>
        <w:t xml:space="preserve">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pPr>
      <w:r>
        <w:t xml:space="preserve">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bookmarkEnd w:id="118"/>
    <w:bookmarkStart w:id="120" w:name="Xaf0746c700ba193693ce89fbe264e1fd8494eea"/>
    <w:p>
      <w:pPr>
        <w:pStyle w:val="Heading2"/>
      </w:pPr>
      <w:r>
        <w:t xml:space="preserve">8.1 Tier Requirements for TRC (Normative; strict posture)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649"/>
        <w:gridCol w:w="3540"/>
        <w:gridCol w:w="3028"/>
      </w:tblGrid>
      <w:tr>
        <w:trPr>
          <w:tblHeader w:val="true"/>
          <w:cantSplit/>
        </w:trPr>
        <w:tc>
          <w:tcPr>
            <w:tcW w:w="264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Tier</w:t>
            </w:r>
          </w:p>
        </w:tc>
        <w:tc>
          <w:tcPr>
            <w:tcW w:w="354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TRC Required?</w:t>
            </w:r>
          </w:p>
        </w:tc>
        <w:tc>
          <w:tcPr>
            <w:tcW w:w="3028"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Minimum</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Tier 1</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Optional (qualitative tail screen when plausible)</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N/A</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Tier 2</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REQUIRED when catastrophe relevance plausible</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≥5 minimum</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Tier 3</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REQUIRED</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≥20 minimum</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Tier 4</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Design target only (claim prohibited in this release line)</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N/A</w:t>
            </w:r>
          </w:p>
        </w:tc>
      </w:tr>
    </w:tbl>
    <w:bookmarkStart w:id="119" w:name="catastrophe-relevance-trigger-normative"/>
    <w:p>
      <w:pPr>
        <w:pStyle w:val="Heading3"/>
      </w:pPr>
      <w:r>
        <w:t xml:space="preserve">8.1.1 Catastrophe relevance trigger (Normative)</w:t>
      </w:r>
    </w:p>
    <w:p>
      <w:pPr>
        <w:pStyle w:val="FirstParagraph"/>
      </w:pPr>
      <w:r>
        <w:t xml:space="preserve">Catastrophe relevance is plausible if any of the following are true:</w:t>
      </w:r>
    </w:p>
    <w:p>
      <w:pPr>
        <w:pStyle w:val="Compact"/>
        <w:numPr>
          <w:ilvl w:val="0"/>
          <w:numId w:val="1066"/>
        </w:numPr>
      </w:pPr>
      <w:r>
        <w:t xml:space="preserve">The decision materially affects any catastrophe cell in C_cat (Section 8.2), OR</w:t>
      </w:r>
    </w:p>
    <w:p>
      <w:pPr>
        <w:pStyle w:val="Compact"/>
        <w:numPr>
          <w:ilvl w:val="0"/>
          <w:numId w:val="1067"/>
        </w:numPr>
      </w:pPr>
      <w:r>
        <w:t xml:space="preserve">The decision has plausible pathways to tipping cascades (climate, bio, conflict, infrastructure, financial), OR</w:t>
      </w:r>
    </w:p>
    <w:p>
      <w:pPr>
        <w:pStyle w:val="Compact"/>
        <w:numPr>
          <w:ilvl w:val="0"/>
          <w:numId w:val="1068"/>
        </w:numPr>
      </w:pPr>
      <w:r>
        <w:t xml:space="preserve">The decision is materially irreversible or creates lock-in at Polity/CMIU/Biosphere scales, OR</w:t>
      </w:r>
    </w:p>
    <w:p>
      <w:pPr>
        <w:pStyle w:val="Compact"/>
        <w:numPr>
          <w:ilvl w:val="0"/>
          <w:numId w:val="1069"/>
        </w:numPr>
      </w:pPr>
      <w:r>
        <w:t xml:space="preserve">Credible challengers identify a plausible catastrophic failure mode even if decision owners prefer not to model it.</w:t>
      </w:r>
    </w:p>
    <w:p>
      <w:pPr>
        <w:pStyle w:val="FirstParagraph"/>
      </w:pPr>
      <w:r>
        <w:t xml:space="preserve">If triggered, TRC MUST be executed at the tier’s required rigor.</w:t>
      </w:r>
    </w:p>
    <w:bookmarkEnd w:id="119"/>
    <w:bookmarkEnd w:id="120"/>
    <w:bookmarkStart w:id="121" w:name="catastrophe-cell-set-c_cat-normative"/>
    <w:p>
      <w:pPr>
        <w:pStyle w:val="Heading2"/>
      </w:pPr>
      <w:r>
        <w:t xml:space="preserve">8.2 Catastrophe Cell Set C_cat (Normative)</w:t>
      </w:r>
    </w:p>
    <w:p>
      <w:pPr>
        <w:pStyle w:val="FirstParagraph"/>
      </w:pPr>
      <w:r>
        <w:t xml:space="preserve">Base catastrophe cell set:</w:t>
      </w:r>
    </w:p>
    <w:p>
      <w:pPr>
        <w:pStyle w:val="BodyText"/>
      </w:pPr>
      <w:r>
        <w:t xml:space="preserve">C_cat_base = {(6, Health), (6, Environment), (7, Environment)}</w:t>
      </w:r>
    </w:p>
    <w:p>
      <w:pPr>
        <w:pStyle w:val="BodyText"/>
      </w:pPr>
      <w:r>
        <w:t xml:space="preserve">These correspond to:</w:t>
      </w:r>
    </w:p>
    <w:p>
      <w:pPr>
        <w:pStyle w:val="Compact"/>
        <w:numPr>
          <w:ilvl w:val="0"/>
          <w:numId w:val="1070"/>
        </w:numPr>
      </w:pPr>
      <w:r>
        <w:t xml:space="preserve">Humanity/CMIU-Health: Global-scale health viability (pandemic mortality, mass disability, collapse of health capacity)</w:t>
      </w:r>
    </w:p>
    <w:p>
      <w:pPr>
        <w:pStyle w:val="Compact"/>
        <w:numPr>
          <w:ilvl w:val="0"/>
          <w:numId w:val="1071"/>
        </w:numPr>
      </w:pPr>
      <w:r>
        <w:t xml:space="preserve">Humanity/CMIU-Environment: Environment-as-civilization-condition (habitability, agricultural stability, climate-driven displacement)</w:t>
      </w:r>
    </w:p>
    <w:p>
      <w:pPr>
        <w:pStyle w:val="Compact"/>
        <w:numPr>
          <w:ilvl w:val="0"/>
          <w:numId w:val="1072"/>
        </w:numPr>
      </w:pPr>
      <w:r>
        <w:t xml:space="preserve">Biosphere-Environment: Earth-system integrity (planetary boundaries, biodiversity, biogeochemical stability)</w:t>
      </w:r>
    </w:p>
    <w:p>
      <w:pPr>
        <w:pStyle w:val="FirstParagraph"/>
      </w:pPr>
      <w:r>
        <w:t xml:space="preserve">The base set explicitly includes biosphere integrity and civilization-scale habitability conditions because</w:t>
      </w:r>
      <w:r>
        <w:t xml:space="preserve"> </w:t>
      </w:r>
      <w:r>
        <w:t xml:space="preserve">“</w:t>
      </w:r>
      <w:r>
        <w:t xml:space="preserve">safe operating space</w:t>
      </w:r>
      <w:r>
        <w:t xml:space="preserve">”</w:t>
      </w:r>
      <w:r>
        <w:t xml:space="preserve"> </w:t>
      </w:r>
      <w:r>
        <w:t xml:space="preserve">and</w:t>
      </w:r>
      <w:r>
        <w:t xml:space="preserve"> </w:t>
      </w:r>
      <w:r>
        <w:t xml:space="preserve">“</w:t>
      </w:r>
      <w:r>
        <w:t xml:space="preserve">safe and just boundaries</w:t>
      </w:r>
      <w:r>
        <w:t xml:space="preserve">”</w:t>
      </w:r>
      <w:r>
        <w:t xml:space="preserve"> </w:t>
      </w:r>
      <w:r>
        <w:t xml:space="preserve">analyses identify global environmental corridors as central determinants of long-run human and ecological viability (Rockström et al., 2009, 2023).</w:t>
      </w:r>
    </w:p>
    <w:p>
      <w:pPr>
        <w:pStyle w:val="BodyText"/>
      </w:pPr>
      <w:r>
        <w:t xml:space="preserve">Extensions: Tier 1-3 MAY extend C_cat only with explicit PCC justification and MUST apply the same set to all compared options.</w:t>
      </w:r>
    </w:p>
    <w:p>
      <w:pPr>
        <w:pStyle w:val="BodyText"/>
      </w:pPr>
      <w:r>
        <w:t xml:space="preserve">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bookmarkEnd w:id="121"/>
    <w:bookmarkStart w:id="125" w:name="scenario-governance-normative"/>
    <w:p>
      <w:pPr>
        <w:pStyle w:val="Heading2"/>
      </w:pPr>
      <w:r>
        <w:t xml:space="preserve">8.3 Scenario Governance (Normative)</w:t>
      </w:r>
    </w:p>
    <w:p>
      <w:pPr>
        <w:pStyle w:val="FirstParagraph"/>
      </w:pPr>
      <w:r>
        <w:t xml:space="preserve">TRC is evaluated over a governed scenario set S with probabilities p_s such that p_s ≥ 0 and Σ_s p_s = 1.</w:t>
      </w:r>
    </w:p>
    <w:bookmarkStart w:id="122" w:name="X0debfc91953445e6600d90e46dd01d152fa1423"/>
    <w:p>
      <w:pPr>
        <w:pStyle w:val="Heading3"/>
      </w:pPr>
      <w:r>
        <w:t xml:space="preserve">8.3.1 Mandatory Tail Scenario Categories (Normative)</w:t>
      </w:r>
    </w:p>
    <w:p>
      <w:pPr>
        <w:pStyle w:val="FirstParagraph"/>
      </w:pPr>
      <w:r>
        <w:t xml:space="preserve">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073"/>
        </w:numPr>
      </w:pPr>
      <w:r>
        <w:t xml:space="preserve">Pandemic/biological disruption</w:t>
      </w:r>
    </w:p>
    <w:p>
      <w:pPr>
        <w:pStyle w:val="Compact"/>
        <w:numPr>
          <w:ilvl w:val="0"/>
          <w:numId w:val="1074"/>
        </w:numPr>
      </w:pPr>
      <w:r>
        <w:t xml:space="preserve">Climate tipping cascade</w:t>
      </w:r>
    </w:p>
    <w:p>
      <w:pPr>
        <w:pStyle w:val="Compact"/>
        <w:numPr>
          <w:ilvl w:val="0"/>
          <w:numId w:val="1075"/>
        </w:numPr>
      </w:pPr>
      <w:r>
        <w:t xml:space="preserve">Financial system collapse</w:t>
      </w:r>
    </w:p>
    <w:p>
      <w:pPr>
        <w:pStyle w:val="Compact"/>
        <w:numPr>
          <w:ilvl w:val="0"/>
          <w:numId w:val="1076"/>
        </w:numPr>
      </w:pPr>
      <w:r>
        <w:t xml:space="preserve">Major conflict escalation</w:t>
      </w:r>
    </w:p>
    <w:p>
      <w:pPr>
        <w:pStyle w:val="Compact"/>
        <w:numPr>
          <w:ilvl w:val="0"/>
          <w:numId w:val="1077"/>
        </w:numPr>
      </w:pPr>
      <w:r>
        <w:t xml:space="preserve">Critical infrastructure failure</w:t>
      </w:r>
    </w:p>
    <w:p>
      <w:pPr>
        <w:pStyle w:val="FirstParagraph"/>
      </w:pPr>
      <w:r>
        <w:t xml:space="preserve">Governance / lock-in catastrophe</w:t>
      </w:r>
    </w:p>
    <w:p>
      <w:pPr>
        <w:pStyle w:val="BodyText"/>
      </w:pPr>
      <w:r>
        <w:t xml:space="preserve">Minimum probability floor per category: p_floor ≥ 0.02</w:t>
      </w:r>
    </w:p>
    <w:p>
      <w:pPr>
        <w:pStyle w:val="BodyText"/>
      </w:pPr>
      <w:r>
        <w:t xml:space="preserve">This prevents</w:t>
      </w:r>
      <w:r>
        <w:t xml:space="preserve"> </w:t>
      </w:r>
      <w:r>
        <w:t xml:space="preserve">“</w:t>
      </w:r>
      <w:r>
        <w:t xml:space="preserve">include but set near-zero probability</w:t>
      </w:r>
      <w:r>
        <w:t xml:space="preserve">”</w:t>
      </w:r>
      <w:r>
        <w:t xml:space="preserve"> </w:t>
      </w:r>
      <w:r>
        <w:t xml:space="preserve">gaming.</w:t>
      </w:r>
    </w:p>
    <w:p>
      <w:pPr>
        <w:pStyle w:val="BodyText"/>
      </w:pPr>
      <w:r>
        <w:t xml:space="preserve">Probability-floor epistemic boundary. The p_floor value is an anti-omission governance prior, not a calibrated empirical frequency estimate. It prevents mandatory tail classes from being made invisible by arbitrary near-zero assignment and must be sensitivity-tested where decision-material.</w:t>
      </w:r>
    </w:p>
    <w:p>
      <w:pPr>
        <w:pStyle w:val="BodyText"/>
      </w:pPr>
      <w:r>
        <w:t xml:space="preserve">Rejected-scenario log. Tier 3 runs and high-stakes Tier 2 runs MUST record any material tail category or challenger scenario rejected as implausible, including the rejection rationale, evidence basis, reviewer status, and whether the rejection would change if the reality surface, probability floor, or time horizon changed.</w:t>
      </w:r>
    </w:p>
    <w:p>
      <w:pPr>
        <w:pStyle w:val="BodyText"/>
      </w:pPr>
      <w:r>
        <w:t xml:space="preserve">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bookmarkEnd w:id="122"/>
    <w:bookmarkStart w:id="123" w:name="X583e67d4c7cf4d30564a9f642f227adb030ace9"/>
    <w:p>
      <w:pPr>
        <w:pStyle w:val="Heading3"/>
      </w:pPr>
      <w:r>
        <w:t xml:space="preserve">8.3.2 Implausibility test for exempting mandatory tail categories (Normative)</w:t>
      </w:r>
    </w:p>
    <w:p>
      <w:pPr>
        <w:pStyle w:val="FirstParagraph"/>
      </w:pPr>
      <w:r>
        <w:t xml:space="preserve">If a deployment wishes to exempt a mandatory tail category as</w:t>
      </w:r>
      <w:r>
        <w:t xml:space="preserve"> </w:t>
      </w:r>
      <w:r>
        <w:t xml:space="preserve">“</w:t>
      </w:r>
      <w:r>
        <w:t xml:space="preserve">implausible,</w:t>
      </w:r>
      <w:r>
        <w:t xml:space="preserve">”</w:t>
      </w:r>
      <w:r>
        <w:t xml:space="preserve"> </w:t>
      </w:r>
      <w:r>
        <w:t xml:space="preserve">the exemption requires:</w:t>
      </w:r>
    </w:p>
    <w:p>
      <w:pPr>
        <w:pStyle w:val="BodyText"/>
      </w:pPr>
      <w:r>
        <w:t xml:space="preserve">(i) Written justification in the PCC explaining why the category is implausible for this specific decision context</w:t>
      </w:r>
    </w:p>
    <w:p>
      <w:pPr>
        <w:pStyle w:val="BodyText"/>
      </w:pPr>
      <w:r>
        <w:t xml:space="preserve">(ii) Independent reviewer sign-off (Tier 3 required; Tier 2 recommended)</w:t>
      </w:r>
    </w:p>
    <w:p>
      <w:pPr>
        <w:pStyle w:val="BodyText"/>
      </w:pPr>
      <w:r>
        <w:t xml:space="preserve">(iii) Recording in PCC with audit flag MANDATORY_TAIL_CATEGORY_MISSING_WITH_JUSTIFICATION</w:t>
      </w:r>
    </w:p>
    <w:p>
      <w:pPr>
        <w:pStyle w:val="BodyText"/>
      </w:pPr>
      <w:r>
        <w:t xml:space="preserve">The burden of proof is on omission, not inclusion. This preserves UBE.</w:t>
      </w:r>
    </w:p>
    <w:bookmarkEnd w:id="123"/>
    <w:bookmarkStart w:id="124" w:name="scenario-set-size-minima-normative"/>
    <w:p>
      <w:pPr>
        <w:pStyle w:val="Heading3"/>
      </w:pPr>
      <w:r>
        <w:t xml:space="preserve">8.3.3 Scenario set size minima (Normative)</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916"/>
        <w:gridCol w:w="4302"/>
      </w:tblGrid>
      <w:tr>
        <w:trPr>
          <w:tblHeader w:val="true"/>
          <w:cantSplit/>
        </w:trPr>
        <w:tc>
          <w:tcPr>
            <w:tcW w:w="4916"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Tier</w:t>
            </w:r>
          </w:p>
        </w:tc>
        <w:tc>
          <w:tcPr>
            <w:tcW w:w="4302"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Minimum</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Tier 2 (when TRC required)</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≥5 minimum</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Tier 3</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≥20 minimum</w:t>
            </w:r>
          </w:p>
        </w:tc>
      </w:tr>
    </w:tbl>
    <w:p>
      <w:pPr>
        <w:pStyle w:val="BodyText"/>
      </w:pPr>
      <w:r>
        <w:t xml:space="preserve">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bookmarkEnd w:id="124"/>
    <w:bookmarkEnd w:id="125"/>
    <w:bookmarkStart w:id="126" w:name="Xc293cd1c7609cc476aba060598f57ab9629cf88"/>
    <w:p>
      <w:pPr>
        <w:pStyle w:val="Heading2"/>
      </w:pPr>
      <w:r>
        <w:t xml:space="preserve">8.4 Loss Construction (Tier 1-3: Bounded-Impact TRC) (Normative)</w:t>
      </w:r>
    </w:p>
    <w:p>
      <w:pPr>
        <w:pStyle w:val="FirstParagraph"/>
      </w:pPr>
      <w:r>
        <w:t xml:space="preserve">Tier 1-3 TRC uses bounded-impact loss based on propagated Base-stream impacts in catastrophe cells.</w:t>
      </w:r>
    </w:p>
    <w:p>
      <w:pPr>
        <w:pStyle w:val="BodyText"/>
      </w:pPr>
      <w:r>
        <w:t xml:space="preserve">Domain constraint: All propagated impacts are bounded: I_prop_base,c(a|s) ∈ [-1, +1].</w:t>
      </w:r>
    </w:p>
    <w:p>
      <w:pPr>
        <w:pStyle w:val="BodyText"/>
      </w:pPr>
      <w:r>
        <w:t xml:space="preserve">For each scenario s, define scenario loss:</w:t>
      </w:r>
    </w:p>
    <w:p>
      <w:pPr>
        <w:pStyle w:val="BodyText"/>
      </w:pPr>
      <w:r>
        <w:t xml:space="preserve">L(a,s) = Σ_{c ∈ C_cat} ω_c × max(0, −I_prop_base,c(a|s))</w:t>
      </w:r>
    </w:p>
    <w:p>
      <w:pPr>
        <w:pStyle w:val="BodyText"/>
      </w:pPr>
      <w:r>
        <w:t xml:space="preserve">Normative stream binding (Design A): TRC MUST be computed from the Base stream (I_prop_base). TRC MUST NOT use Welfare-stream (sentience-weighted) impacts.</w:t>
      </w:r>
    </w:p>
    <w:p>
      <w:pPr>
        <w:pStyle w:val="BodyText"/>
      </w:pPr>
      <w:r>
        <w:t xml:space="preserve">Where:</w:t>
      </w:r>
    </w:p>
    <w:p>
      <w:pPr>
        <w:pStyle w:val="Compact"/>
        <w:numPr>
          <w:ilvl w:val="0"/>
          <w:numId w:val="1078"/>
        </w:numPr>
      </w:pPr>
      <w:r>
        <w:t xml:space="preserve">ω_c ≥ 0, Σ_{c ∈ C_cat} ω_c = 1 (catastrophe weights are normalized)</w:t>
      </w:r>
    </w:p>
    <w:p>
      <w:pPr>
        <w:pStyle w:val="Compact"/>
        <w:numPr>
          <w:ilvl w:val="0"/>
          <w:numId w:val="1079"/>
        </w:numPr>
      </w:pPr>
      <w:r>
        <w:t xml:space="preserve">max(0, x) returns x if x &gt; 0, otherwise 0 (only negative impacts contribute)</w:t>
      </w:r>
    </w:p>
    <w:p>
      <w:pPr>
        <w:pStyle w:val="Compact"/>
        <w:numPr>
          <w:ilvl w:val="0"/>
          <w:numId w:val="1080"/>
        </w:numPr>
      </w:pPr>
      <w:r>
        <w:t xml:space="preserve">I_prop_base,c(a|s) is the propagated impact in catastrophe cell c under scenario s</w:t>
      </w:r>
    </w:p>
    <w:p>
      <w:pPr>
        <w:pStyle w:val="FirstParagraph"/>
      </w:pPr>
      <w:r>
        <w:t xml:space="preserve">Default catastrophe weights (if not otherwise governed): Uniform weights over C_cat.</w:t>
      </w:r>
    </w:p>
    <w:p>
      <w:pPr>
        <w:pStyle w:val="BodyText"/>
      </w:pPr>
      <w:r>
        <w:t xml:space="preserve">Interpretation:</w:t>
      </w:r>
    </w:p>
    <w:p>
      <w:pPr>
        <w:pStyle w:val="Compact"/>
        <w:numPr>
          <w:ilvl w:val="0"/>
          <w:numId w:val="1081"/>
        </w:numPr>
      </w:pPr>
      <w:r>
        <w:t xml:space="preserve">Only negative impacts in catastrophe cells contribute to loss.</w:t>
      </w:r>
    </w:p>
    <w:p>
      <w:pPr>
        <w:pStyle w:val="Compact"/>
        <w:numPr>
          <w:ilvl w:val="0"/>
          <w:numId w:val="1082"/>
        </w:numPr>
      </w:pPr>
      <w:r>
        <w:t xml:space="preserve">Loss is bounded in [0,1] because weights are normalized and impacts lie in [-1,+1].</w:t>
      </w:r>
    </w:p>
    <w:p>
      <w:pPr>
        <w:pStyle w:val="Compact"/>
        <w:numPr>
          <w:ilvl w:val="0"/>
          <w:numId w:val="1083"/>
        </w:numPr>
      </w:pPr>
      <w:r>
        <w:t xml:space="preserve">Positive impacts in catastrophe cells (improvements) do not offset losses; they simply contribute zero to the loss function.</w:t>
      </w:r>
    </w:p>
    <w:p>
      <w:pPr>
        <w:pStyle w:val="FirstParagraph"/>
      </w:pPr>
      <w:r>
        <w:t xml:space="preserve">Example: If C_cat = {(6, Health), (6, Environment), (7, Environment)} with uniform weights (ω_c = 1/3 each), and under scenario s the propagated impacts are:</w:t>
      </w:r>
    </w:p>
    <w:p>
      <w:pPr>
        <w:pStyle w:val="Compact"/>
        <w:numPr>
          <w:ilvl w:val="0"/>
          <w:numId w:val="1084"/>
        </w:numPr>
      </w:pPr>
      <w:r>
        <w:t xml:space="preserve">I_prop_base(6,Health,a|s) = -0.30 → contributes 1/3 × 0.30 = 0.10</w:t>
      </w:r>
    </w:p>
    <w:p>
      <w:pPr>
        <w:pStyle w:val="Compact"/>
        <w:numPr>
          <w:ilvl w:val="0"/>
          <w:numId w:val="1085"/>
        </w:numPr>
      </w:pPr>
      <w:r>
        <w:t xml:space="preserve">I_prop_base(6,Environment,a|s) = +0.10 → contributes 1/3 × max(0, -0.10) = 0</w:t>
      </w:r>
    </w:p>
    <w:p>
      <w:pPr>
        <w:pStyle w:val="Compact"/>
        <w:numPr>
          <w:ilvl w:val="0"/>
          <w:numId w:val="1086"/>
        </w:numPr>
      </w:pPr>
      <w:r>
        <w:t xml:space="preserve">I_prop_base(7,Environment,a|s) = -0.60 → contributes 1/3 × 0.60 = 0.20</w:t>
      </w:r>
    </w:p>
    <w:p>
      <w:pPr>
        <w:pStyle w:val="FirstParagraph"/>
      </w:pPr>
      <w:r>
        <w:t xml:space="preserve">Then L(a,s) = 0.10 + 0 + 0.20 = 0.30</w:t>
      </w:r>
    </w:p>
    <w:bookmarkEnd w:id="126"/>
    <w:bookmarkStart w:id="127" w:name="cvar-computation-normative"/>
    <w:p>
      <w:pPr>
        <w:pStyle w:val="Heading2"/>
      </w:pPr>
      <w:r>
        <w:t xml:space="preserve">8.5 CVaR Computation (Normative)</w:t>
      </w:r>
    </w:p>
    <w:p>
      <w:pPr>
        <w:pStyle w:val="FirstParagraph"/>
      </w:pPr>
      <w:r>
        <w:t xml:space="preserve">Let L(a) be the random loss induced by scenarios s with probabilities p_s.</w:t>
      </w:r>
    </w:p>
    <w:p>
      <w:pPr>
        <w:pStyle w:val="BodyText"/>
      </w:pPr>
      <w:r>
        <w:t xml:space="preserve">Value-at-Risk: VaR_α[L(a)] = inf{z : P(L(a) ≤ z) ≥ α}</w:t>
      </w:r>
    </w:p>
    <w:p>
      <w:pPr>
        <w:pStyle w:val="BodyText"/>
      </w:pPr>
      <w:r>
        <w:t xml:space="preserve">CVaR operational definition (Tier 1-3). For RippleLogic Tier 1-3 discrete scenario libraries, CVaR_α[L(a)] is the probability-weighted average loss over the worst β = 1−α probability mass, computed by the canonical discrete algorithm in Appendix D.7.</w:t>
      </w:r>
    </w:p>
    <w:p>
      <w:pPr>
        <w:pStyle w:val="BodyText"/>
      </w:pPr>
      <w:r>
        <w:t xml:space="preserve">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pPr>
      <w:r>
        <w:t xml:space="preserve">The Appendix D.7 discrete tail-mass algorithm is normative, audit-replayable, and controlling for all finite Tier 1-3 scenario sets, including partial mass at the boundary scenario when required.</w:t>
      </w:r>
    </w:p>
    <w:bookmarkEnd w:id="127"/>
    <w:bookmarkStart w:id="128" w:name="trc-admissibility-predicate-normative"/>
    <w:p>
      <w:pPr>
        <w:pStyle w:val="Heading2"/>
      </w:pPr>
      <w:r>
        <w:t xml:space="preserve">8.6 TRC Admissibility Predicate (Normative)</w:t>
      </w:r>
    </w:p>
    <w:p>
      <w:pPr>
        <w:pStyle w:val="FirstParagraph"/>
      </w:pPr>
      <w:r>
        <w:t xml:space="preserve">An option passes TRC if and only if:</w:t>
      </w:r>
    </w:p>
    <w:p>
      <w:pPr>
        <w:pStyle w:val="BodyText"/>
      </w:pPr>
      <w:r>
        <w:t xml:space="preserve">CVaR_α[L(a)] ≤ τ_TRC</w:t>
      </w:r>
    </w:p>
    <w:p>
      <w:pPr>
        <w:pStyle w:val="BodyText"/>
      </w:pPr>
      <w:r>
        <w:t xml:space="preserve">Define:</w:t>
      </w:r>
    </w:p>
    <w:p>
      <w:pPr>
        <w:pStyle w:val="BodyText"/>
      </w:pPr>
      <w:r>
        <w:t xml:space="preserve">A_adm = {a ∈ A_NCRC : TRC(a) = TRUE}</w:t>
      </w:r>
    </w:p>
    <w:bookmarkEnd w:id="128"/>
    <w:bookmarkStart w:id="129" w:name="Xfbce7cec8b37336d59b45294c07baaeb811a317"/>
    <w:p>
      <w:pPr>
        <w:pStyle w:val="Heading2"/>
      </w:pPr>
      <w:r>
        <w:t xml:space="preserve">8.7 Default TRC Parameters by Context (Normative Defaults)</w:t>
      </w:r>
    </w:p>
    <w:p>
      <w:pPr>
        <w:pStyle w:val="FirstParagraph"/>
      </w:pPr>
      <w:r>
        <w:t xml:space="preserve">These are defaults; governance may tighten them. Loosening requires explicit governance justification and PCC recording.</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128"/>
        <w:gridCol w:w="2961"/>
        <w:gridCol w:w="3128"/>
      </w:tblGrid>
      <w:tr>
        <w:trPr>
          <w:tblHeader w:val="true"/>
          <w:cantSplit/>
        </w:trPr>
        <w:tc>
          <w:tcPr>
            <w:tcW w:w="31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Context</w:t>
            </w:r>
          </w:p>
        </w:tc>
        <w:tc>
          <w:tcPr>
            <w:tcW w:w="2961"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α (tail level)</w:t>
            </w:r>
          </w:p>
        </w:tc>
        <w:tc>
          <w:tcPr>
            <w:tcW w:w="31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τ_TRC (corridor threshold)</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Personal</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0.90</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0.30</w:t>
            </w:r>
          </w:p>
        </w:tc>
      </w:tr>
      <w:tr>
        <w:trPr>
          <w:cantSplit/>
        </w:trPr>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Organizational</w:t>
            </w:r>
          </w:p>
        </w:tc>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0.95</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0.20</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Reversible policy</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0.95</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0.15</w:t>
            </w:r>
          </w:p>
        </w:tc>
      </w:tr>
      <w:tr>
        <w:trPr>
          <w:cantSplit/>
        </w:trPr>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Irreversible policy</w:t>
            </w:r>
          </w:p>
        </w:tc>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0.99</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0.10</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Existential risk</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0.999</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0.05</w:t>
            </w:r>
          </w:p>
        </w:tc>
      </w:tr>
    </w:tbl>
    <w:bookmarkEnd w:id="129"/>
    <w:bookmarkStart w:id="130" w:name="trc-fallback-mode-normative"/>
    <w:p>
      <w:pPr>
        <w:pStyle w:val="Heading2"/>
      </w:pPr>
      <w:r>
        <w:t xml:space="preserve">8.8 TRC Fallback Mode (Normative)</w:t>
      </w:r>
    </w:p>
    <w:p>
      <w:pPr>
        <w:pStyle w:val="FirstParagraph"/>
      </w:pPr>
      <w:r>
        <w:t xml:space="preserve">If A_NCRC ≠ ∅ but A_adm = ∅ (rights-safe options exist, but all fail TRC):</w:t>
      </w:r>
    </w:p>
    <w:p>
      <w:pPr>
        <w:pStyle w:val="Compact"/>
        <w:numPr>
          <w:ilvl w:val="0"/>
          <w:numId w:val="1087"/>
        </w:numPr>
      </w:pPr>
      <w:r>
        <w:t xml:space="preserve">Rank all A_NCRC options by CVaR_α ascending.</w:t>
      </w:r>
    </w:p>
    <w:p>
      <w:pPr>
        <w:pStyle w:val="Compact"/>
        <w:numPr>
          <w:ilvl w:val="0"/>
          <w:numId w:val="1088"/>
        </w:numPr>
      </w:pPr>
      <w:r>
        <w:t xml:space="preserve">Select the option with minimal CVaR_α.</w:t>
      </w:r>
    </w:p>
    <w:p>
      <w:pPr>
        <w:pStyle w:val="Compact"/>
        <w:numPr>
          <w:ilvl w:val="0"/>
          <w:numId w:val="1089"/>
        </w:numPr>
      </w:pPr>
      <w:r>
        <w:t xml:space="preserve">Require a time-bound risk mitigation plan and enhanced monitoring.</w:t>
      </w:r>
    </w:p>
    <w:p>
      <w:pPr>
        <w:pStyle w:val="Compact"/>
        <w:numPr>
          <w:ilvl w:val="0"/>
          <w:numId w:val="1090"/>
        </w:numPr>
      </w:pPr>
      <w:r>
        <w:t xml:space="preserve">Require one-tier-higher approval for the decision.</w:t>
      </w:r>
    </w:p>
    <w:p>
      <w:pPr>
        <w:pStyle w:val="Compact"/>
        <w:numPr>
          <w:ilvl w:val="0"/>
          <w:numId w:val="1091"/>
        </w:numPr>
      </w:pPr>
      <w:r>
        <w:t xml:space="preserve">Record TRC_FALLBACK_INVOKED in PCC and list the deficit (CVaR − τ_TRC) for the selected option.</w:t>
      </w:r>
    </w:p>
    <w:p>
      <w:pPr>
        <w:pStyle w:val="FirstParagraph"/>
      </w:pPr>
      <w:r>
        <w:t xml:space="preserve">If both NCRC and TRC fail for all options (no rights-safe options and no tail-safe options), Emergency Mode (Section 7.5) governs with CVaR as secondary tie-break.</w:t>
      </w:r>
    </w:p>
    <w:bookmarkEnd w:id="130"/>
    <w:bookmarkStart w:id="131" w:name="X563a91f563dcf9a4ee018074f96f173c686bb97"/>
    <w:p>
      <w:pPr>
        <w:pStyle w:val="Heading2"/>
      </w:pPr>
      <w:r>
        <w:t xml:space="preserve">8.9 Anti-Gaming Requirements for TRC (Normative)</w:t>
      </w:r>
    </w:p>
    <w:p>
      <w:pPr>
        <w:pStyle w:val="Compact"/>
        <w:numPr>
          <w:ilvl w:val="0"/>
          <w:numId w:val="1092"/>
        </w:numPr>
      </w:pPr>
      <w:r>
        <w:t xml:space="preserve">Mandatory tail categories cannot be omitted without explicit implausibility justification per Section 8.3.2.</w:t>
      </w:r>
    </w:p>
    <w:p>
      <w:pPr>
        <w:pStyle w:val="Compact"/>
        <w:numPr>
          <w:ilvl w:val="0"/>
          <w:numId w:val="1093"/>
        </w:numPr>
      </w:pPr>
      <w:r>
        <w:t xml:space="preserve">Probability floors apply per category; they cannot be silently violated.</w:t>
      </w:r>
    </w:p>
    <w:p>
      <w:pPr>
        <w:pStyle w:val="Compact"/>
        <w:numPr>
          <w:ilvl w:val="0"/>
          <w:numId w:val="1094"/>
        </w:numPr>
      </w:pPr>
      <w:r>
        <w:t xml:space="preserve">Scenario sets must be comparable across options (same S, same p_s).</w:t>
      </w:r>
    </w:p>
    <w:p>
      <w:pPr>
        <w:pStyle w:val="Compact"/>
        <w:numPr>
          <w:ilvl w:val="0"/>
          <w:numId w:val="1095"/>
        </w:numPr>
      </w:pPr>
      <w:r>
        <w:t xml:space="preserve">PCC must record scenario provenance and how probabilities were assigned.</w:t>
      </w:r>
    </w:p>
    <w:p>
      <w:pPr>
        <w:pStyle w:val="Compact"/>
        <w:numPr>
          <w:ilvl w:val="0"/>
          <w:numId w:val="1096"/>
        </w:numPr>
      </w:pPr>
      <w:r>
        <w:t xml:space="preserve">Tier 2-3: if probabilities are highly uncertain, the PCC SHOULD include sensitivity over p_s (Tier 3 required).</w:t>
      </w:r>
    </w:p>
    <w:bookmarkEnd w:id="131"/>
    <w:bookmarkEnd w:id="132"/>
    <w:bookmarkStart w:id="151" w:name="X7e1ae06708f919bccd5193fe67cf34d1788df76"/>
    <w:p>
      <w:pPr>
        <w:pStyle w:val="Heading1"/>
      </w:pPr>
      <w:r>
        <w:t xml:space="preserve">SECTION 9: CSV GATE: CONTAINMENT AND STRUCTURAL VIABILITY</w:t>
      </w:r>
    </w:p>
    <w:bookmarkStart w:id="133" w:name="purpose-and-ube-rationale-normative-1"/>
    <w:p>
      <w:pPr>
        <w:pStyle w:val="Heading2"/>
      </w:pPr>
      <w:r>
        <w:t xml:space="preserve">9.0 Purpose and UBE Rationale (Normative)</w:t>
      </w:r>
    </w:p>
    <w:p>
      <w:pPr>
        <w:pStyle w:val="FirstParagraph"/>
      </w:pPr>
      <w:r>
        <w:t xml:space="preserve">CSV means Containment and Structural Viability. CSV is the strengthened fourth public level in the five-level RippleLogic cascade inside the MathGov framework:</w:t>
      </w:r>
    </w:p>
    <w:p>
      <w:pPr>
        <w:pStyle w:val="BodyText"/>
      </w:pPr>
      <w:r>
        <w:t xml:space="preserve">RG -&gt; RF -&gt; TRC -&gt; CSV -&gt; RLS</w:t>
      </w:r>
    </w:p>
    <w:p>
      <w:pPr>
        <w:pStyle w:val="BodyText"/>
      </w:pPr>
      <w:r>
        <w:t xml:space="preserve">Public-language mnemonic:</w:t>
      </w:r>
    </w:p>
    <w:p>
      <w:pPr>
        <w:pStyle w:val="BodyText"/>
      </w:pPr>
      <w:r>
        <w:t xml:space="preserve">Ground -&gt; Protect -&gt; Bound -&gt; Contain/Verify -&gt; Score</w:t>
      </w:r>
    </w:p>
    <w:p>
      <w:pPr>
        <w:pStyle w:val="BodyText"/>
      </w:pPr>
      <w:r>
        <w:t xml:space="preserve">CSV prevents a core failure mode under Union-Based Reality: a local option can look beneficial for a sub-union while quietly degrading the larger system, capacity, relation, ecological support, institutional trust, or future choice-space that makes the benefit possible. Under Union-Based Ethics, such</w:t>
      </w:r>
      <w:r>
        <w:t xml:space="preserve"> </w:t>
      </w:r>
      <w:r>
        <w:t xml:space="preserve">“</w:t>
      </w:r>
      <w:r>
        <w:t xml:space="preserve">gains</w:t>
      </w:r>
      <w:r>
        <w:t xml:space="preserve">”</w:t>
      </w:r>
      <w:r>
        <w:t xml:space="preserve"> </w:t>
      </w:r>
      <w:r>
        <w:t xml:space="preserve">are not counted as system-level improvement when they materially degrade, hollow out, overload, or exploit their containing systems beyond tolerance.</w:t>
      </w:r>
    </w:p>
    <w:p>
      <w:pPr>
        <w:pStyle w:val="BodyText"/>
      </w:pPr>
      <w:r>
        <w:t xml:space="preserve">CSV is therefore the selectability gate applied after NCRC and TRC and before final RLS ranking. CSV is not a sixth public level. It is the upgraded fourth level, replacing the older public label</w:t>
      </w:r>
      <w:r>
        <w:t xml:space="preserve"> </w:t>
      </w:r>
      <w:r>
        <w:t xml:space="preserve">“</w:t>
      </w:r>
      <w:r>
        <w:t xml:space="preserve">Containment</w:t>
      </w:r>
      <w:r>
        <w:t xml:space="preserve">”</w:t>
      </w:r>
      <w:r>
        <w:t xml:space="preserve"> </w:t>
      </w:r>
      <w:r>
        <w:t xml:space="preserve">with the more complete label</w:t>
      </w:r>
      <w:r>
        <w:t xml:space="preserve"> </w:t>
      </w:r>
      <w:r>
        <w:t xml:space="preserve">“</w:t>
      </w:r>
      <w:r>
        <w:t xml:space="preserve">Containment and Structural Viability.</w:t>
      </w:r>
      <w:r>
        <w:t xml:space="preserve">”</w:t>
      </w:r>
      <w:r>
        <w:t xml:space="preserve"> </w:t>
      </w:r>
      <w:r>
        <w:t xml:space="preserve">Structural Viability is no longer merely a quiet subcheck; it is explicitly visible inside CSV.</w:t>
      </w:r>
    </w:p>
    <w:p>
      <w:pPr>
        <w:pStyle w:val="BodyText"/>
      </w:pPr>
      <w:r>
        <w:t xml:space="preserve">Core question:</w:t>
      </w:r>
    </w:p>
    <w:p>
      <w:pPr>
        <w:pStyle w:val="BodyText"/>
      </w:pPr>
      <w:r>
        <w:t xml:space="preserve">Can this option deliver its claimed good without secretly breaking, hollowing, overloading, exploiting, or depending on the systems that make the good possible?</w:t>
      </w:r>
    </w:p>
    <w:p>
      <w:pPr>
        <w:pStyle w:val="BodyText"/>
      </w:pPr>
      <w:r>
        <w:t xml:space="preserve">Plain-language rule:</w:t>
      </w:r>
    </w:p>
    <w:p>
      <w:pPr>
        <w:pStyle w:val="BodyText"/>
      </w:pPr>
      <w:r>
        <w:t xml:space="preserve">CSV is not a purity filter. CSV is a reality-integrity filter.</w:t>
      </w:r>
    </w:p>
    <w:bookmarkEnd w:id="133"/>
    <w:bookmarkStart w:id="134" w:name="csv-non-purity-rule-normative"/>
    <w:p>
      <w:pPr>
        <w:pStyle w:val="Heading2"/>
      </w:pPr>
      <w:r>
        <w:t xml:space="preserve">9.1 CSV Non-Purity Rule (Normative)</w:t>
      </w:r>
    </w:p>
    <w:p>
      <w:pPr>
        <w:pStyle w:val="FirstParagraph"/>
      </w:pPr>
      <w:r>
        <w:t xml:space="preserve">A negative ripple is not automatically a CSV failure. Every real action carries some cost, burden, risk, or tradeoff. CSV MUST distinguish between detected harm, material residual harm, conditionable harm, redesign-trigger harm, and gate-failing harm.</w:t>
      </w:r>
    </w:p>
    <w:p>
      <w:pPr>
        <w:pStyle w:val="BodyText"/>
      </w:pPr>
      <w:r>
        <w:t xml:space="preserve">CSV SHALL NOT demand zero harm. CSV SHALL demand that harms are not hidden, unbounded, structurally degrading, rights-adjacent without review, irreversible without authorization, dependency-producing without transition, or unjustly externalized onto affected unions.</w:t>
      </w:r>
    </w:p>
    <w:p>
      <w:pPr>
        <w:pStyle w:val="BodyText"/>
      </w:pPr>
      <w:r>
        <w:t xml:space="preserve">Status categories: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Status</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Meaning</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Result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DETECTED_HARM</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 negative effect exists.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Must be recorded and routed to the correct layer.</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RESIDUAL_HARM</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Harm is material but bounded, visible, and below CSV failure threshold.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Carries into RLS as a welfare cost.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CONDITIONABLE_HARM</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Harm is acceptable only with controls.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CSV_PASS_WITH_CONTROLS if controls are binding.</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REDESIGN_TRIGGER</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Harm is too high as specified but plausibly fixable.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CSV_REDESIGN_REQUIRED; option is not selectable as specified.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CSV_FAILURE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Harm is uncontained, structurally degrading, non-viable, unjustly externalized, or lock-in producing beyond tolerance.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CSV_FAIL; option is not selectable.</w:t>
            </w:r>
          </w:p>
        </w:tc>
      </w:tr>
    </w:tbl>
    <w:p>
      <w:pPr>
        <w:pStyle w:val="BodyText"/>
      </w:pPr>
      <w:r>
        <w:t xml:space="preserve">Normative consequence:</w:t>
      </w:r>
    </w:p>
    <w:p>
      <w:pPr>
        <w:pStyle w:val="BodyText"/>
      </w:pPr>
      <w:r>
        <w:t xml:space="preserve">RLS may rank ordinary residual tradeoffs among selectable options. RLS MUST NOT rescue an option that fails CSV.</w:t>
      </w:r>
    </w:p>
    <w:bookmarkEnd w:id="134"/>
    <w:bookmarkStart w:id="136" w:name="csv-status-ladder-normative"/>
    <w:p>
      <w:pPr>
        <w:pStyle w:val="Heading2"/>
      </w:pPr>
      <w:r>
        <w:t xml:space="preserve">9.2 CSV Status Ladder (Normative)</w:t>
      </w:r>
    </w:p>
    <w:p>
      <w:pPr>
        <w:pStyle w:val="FirstParagraph"/>
      </w:pPr>
      <w:r>
        <w:t xml:space="preserve">CSV outputs one of the following status values: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CSV status</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Meaning</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Selection consequence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CSV_PASS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Harms are contained, structural viability is adequate, and residual burdens may be carried into RLS.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may proceed to RLS if NCRC and TRC passed.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CSV_PASS_WITH_CONTROLS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Option is selectable only if declared controls, mitigations, monitoring, or limits are binding.</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Option may proceed to RLS as the controlled version only.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CSV_REDESIGN_REQUIRED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is not selectable as specified, but a redesigned version may be evaluated.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Original option excluded; redesigned option may re-enter RG/cascade.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CSV_ESCALATE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Stakes, uncertainty, missing evidence, or governance sensitivity require higher review.</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No final selection until escalation is resolved.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CSV_FAIL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unacceptably damages, hollows, overloads, exploits, or depends on containing systems beyond tolerance, or is structurally non-viable.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is not selectable.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CSV_EMERGENCY_PROVISIONAL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Temporary selection under necessity where no better feasible option currently exists and strict emergency controls are declared.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Time-bounded provisional selection only; no unqualified alignment claim.</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CSV_NOT_MATERIAL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 burden is not material for this run, with rationale.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may proceed if other gates pass, but rationale is recorded.</w:t>
            </w:r>
          </w:p>
        </w:tc>
      </w:tr>
    </w:tbl>
    <w:p>
      <w:pPr>
        <w:pStyle w:val="BodyText"/>
      </w:pPr>
      <w:r>
        <w:t xml:space="preserve">A CSV_PASS_WITH_CONTROLS is a pass only for the controlled option. If controls are removed, expire, fail, or are materially altered, CSV MUST be rerun.</w:t>
      </w:r>
    </w:p>
    <w:p>
      <w:pPr>
        <w:pStyle w:val="BodyText"/>
      </w:pPr>
      <w:r>
        <w:t xml:space="preserve">A CSV_EMERGENCY_PROVISIONAL disposition MUST include a time limit, harm cap, monitoring plan, review trigger, and transition or remediation plan. It MUST NOT be marketed as full alignment, ordinary selectability, deployment certification, or Tier 4 validation.</w:t>
      </w:r>
    </w:p>
    <w:bookmarkStart w:id="135" w:name="X65691fa5c3f1e447df75cffde9efdc55425477a"/>
    <w:p>
      <w:pPr>
        <w:pStyle w:val="Heading3"/>
      </w:pPr>
      <w:r>
        <w:t xml:space="preserve">9.2A CSV status resolver guide (Normative for Tier 3; recommended for Tier 2)</w:t>
      </w:r>
    </w:p>
    <w:p>
      <w:pPr>
        <w:pStyle w:val="FirstParagraph"/>
      </w:pPr>
      <w:r>
        <w:t xml:space="preserve">The following resolver constrains how evidence and diagnostics map into CSV statuses. It does not eliminate reviewer judgment, but reviewer judgment must be recorded against these routing rules.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Evidence / diagnostic condition</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Required CSV routing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Any material CSV diagnostic is level 4, or the option creates uncontained, structurally degrading, unjustly externalized, non-viable, hidden, lock-in-producing, unmonitored, or beyond-tolerance harm</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CSV_FAIL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Any Structural Viability subcheck materially fails and the failure is not time-bounded, controlled, or redesignable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CSV_FAIL</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Any Structural Viability subcheck materially fails but a plausible redesigned option could repair it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Gate-material CSV evidence is missing, stale, contested, or insufficient to support selectability</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CSV_ESCALATE, claim-narrowing, or refusal of the stronger selection claim</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Any material diagnostic is level 3</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 or CSV_ESCALATE, with rationale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material diagnostic is level 2 and binding controls, owners, monitoring, review triggers, and failure consequences are declared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CSV_PASS_WITH_CONTROLS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material diagnostic is level 2 without binding controls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All material diagnostics are level 0-1 and structural viability subchecks pass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CSV_PASS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 burden is genuinely not material to the declared claim boundary and the PCC records why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CSV_NOT_MATERIAL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Necessity is documented, no better feasible option is available, controls are time-bounded, harm caps are declared, monitoring is active, and a transition/remediation path exists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CSV_EMERGENCY_PROVISIONAL</w:t>
            </w:r>
          </w:p>
        </w:tc>
      </w:tr>
    </w:tbl>
    <w:p>
      <w:pPr>
        <w:pStyle w:val="BodyText"/>
      </w:pPr>
      <w:r>
        <w:t xml:space="preserve">CSV maturity boundary. CSV may be binding in Tier 3 run-level conformance using declared provisional structural indicators, but this does not imply cross-domain validated UCI/HOI measurement, ProofPack readiness, or machine-verifiable structural truth. UCI/HOI remain diagnostics unless and until separate validation artifacts establish stronger measurement status.</w:t>
      </w:r>
    </w:p>
    <w:bookmarkEnd w:id="135"/>
    <w:bookmarkEnd w:id="136"/>
    <w:bookmarkStart w:id="142" w:name="csv-core-tools-normative"/>
    <w:p>
      <w:pPr>
        <w:pStyle w:val="Heading2"/>
      </w:pPr>
      <w:r>
        <w:t xml:space="preserve">9.3 CSV Core Tools (Normative)</w:t>
      </w:r>
    </w:p>
    <w:p>
      <w:pPr>
        <w:pStyle w:val="FirstParagraph"/>
      </w:pPr>
      <w:r>
        <w:t xml:space="preserve">CSV uses five core tools. Implementations MAY add domain-specific tools, but MUST preserve the five core functions when material.</w:t>
      </w:r>
    </w:p>
    <w:bookmarkStart w:id="137" w:name="containing-system-map"/>
    <w:p>
      <w:pPr>
        <w:pStyle w:val="Heading3"/>
      </w:pPr>
      <w:r>
        <w:t xml:space="preserve">9.3.1 Containing-System Map</w:t>
      </w:r>
    </w:p>
    <w:p>
      <w:pPr>
        <w:pStyle w:val="FirstParagraph"/>
      </w:pPr>
      <w:r>
        <w:t xml:space="preserve">Identify the systems that hold, sustain, receive, or absorb the option’s consequences. Relevant systems MAY include persons, households, communities, organizations, institutions, infrastructure, ecology, attention, trust, labor capacity, knowledge systems, public legitimacy, supply chains, financial reserves, legal authority, and future option-space.</w:t>
      </w:r>
    </w:p>
    <w:p>
      <w:pPr>
        <w:pStyle w:val="BodyText"/>
      </w:pPr>
      <w:r>
        <w:t xml:space="preserve">Minimum questions:</w:t>
      </w:r>
    </w:p>
    <w:p>
      <w:pPr>
        <w:pStyle w:val="Compact"/>
        <w:numPr>
          <w:ilvl w:val="0"/>
          <w:numId w:val="1097"/>
        </w:numPr>
      </w:pPr>
      <w:r>
        <w:t xml:space="preserve">What local good is the option claiming?</w:t>
      </w:r>
    </w:p>
    <w:p>
      <w:pPr>
        <w:pStyle w:val="Compact"/>
        <w:numPr>
          <w:ilvl w:val="0"/>
          <w:numId w:val="1097"/>
        </w:numPr>
      </w:pPr>
      <w:r>
        <w:t xml:space="preserve">Which union receives the local gain?</w:t>
      </w:r>
    </w:p>
    <w:p>
      <w:pPr>
        <w:pStyle w:val="Compact"/>
        <w:numPr>
          <w:ilvl w:val="0"/>
          <w:numId w:val="1097"/>
        </w:numPr>
      </w:pPr>
      <w:r>
        <w:t xml:space="preserve">Which larger unions contain or sustain that gain?</w:t>
      </w:r>
    </w:p>
    <w:p>
      <w:pPr>
        <w:pStyle w:val="Compact"/>
        <w:numPr>
          <w:ilvl w:val="0"/>
          <w:numId w:val="1097"/>
        </w:numPr>
      </w:pPr>
      <w:r>
        <w:t xml:space="preserve">What capacities, relations, resources, and ecological supports does the option depend on?</w:t>
      </w:r>
    </w:p>
    <w:p>
      <w:pPr>
        <w:pStyle w:val="Compact"/>
        <w:numPr>
          <w:ilvl w:val="0"/>
          <w:numId w:val="1097"/>
        </w:numPr>
      </w:pPr>
      <w:r>
        <w:t xml:space="preserve">What systems receive spillover costs?</w:t>
      </w:r>
    </w:p>
    <w:p>
      <w:pPr>
        <w:pStyle w:val="Compact"/>
        <w:numPr>
          <w:ilvl w:val="0"/>
          <w:numId w:val="1097"/>
        </w:numPr>
      </w:pPr>
      <w:r>
        <w:t xml:space="preserve">Which affected groups can contest, consent, or recover?</w:t>
      </w:r>
    </w:p>
    <w:bookmarkEnd w:id="137"/>
    <w:bookmarkStart w:id="138" w:name="structural-viability-check"/>
    <w:p>
      <w:pPr>
        <w:pStyle w:val="Heading3"/>
      </w:pPr>
      <w:r>
        <w:t xml:space="preserve">9.3.2 Structural Viability Check</w:t>
      </w:r>
    </w:p>
    <w:p>
      <w:pPr>
        <w:pStyle w:val="FirstParagraph"/>
      </w:pPr>
      <w:r>
        <w:t xml:space="preserve">Structural Viability asks whether the option can actually stand in the declared reality surface. Ethical attractiveness is not enough. A desirable option may be a design target while still failing current execution viability.</w:t>
      </w:r>
    </w:p>
    <w:p>
      <w:pPr>
        <w:pStyle w:val="BodyText"/>
      </w:pPr>
      <w:r>
        <w:t xml:space="preserve">Minimum subchecks: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Code</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Subcheck</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Question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SV-1</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Resource closure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Are budget, time, people, compute, energy, materials, attention, and authority sufficient?</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SV-2</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Dependency closure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Are prerequisites satisfied or assigned to credible owners and timelines?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SV-3</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Reversibility / endpoint coherence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Is rollback, endpoint, or irreversibility status declared and coherent?</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SV-4</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Capacity non-exceedance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Does execution stay within operational, institutional, technical, and enforcement capacity?</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SV-5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Internal non-contradiction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Does the option avoid mutually incompatible requirements or declare a grounded reconciliation mechanism?</w:t>
            </w:r>
          </w:p>
        </w:tc>
      </w:tr>
    </w:tbl>
    <w:p>
      <w:pPr>
        <w:pStyle w:val="BodyText"/>
      </w:pPr>
      <w:r>
        <w:t xml:space="preserve">An option with material SVC failure is not selectable for current execution, regardless of RLS rank.</w:t>
      </w:r>
    </w:p>
    <w:bookmarkEnd w:id="138"/>
    <w:bookmarkStart w:id="139" w:name="externality-containment-ledger"/>
    <w:p>
      <w:pPr>
        <w:pStyle w:val="Heading3"/>
      </w:pPr>
      <w:r>
        <w:t xml:space="preserve">9.3.3 Externality Containment Ledger</w:t>
      </w:r>
    </w:p>
    <w:p>
      <w:pPr>
        <w:pStyle w:val="FirstParagraph"/>
      </w:pPr>
      <w:r>
        <w:t xml:space="preserve">CSV MUST make spillovers visible. For material runs, the PCC SHOULD include an ExternalityContainmentLedger with at least:</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159"/>
        <w:gridCol w:w="5059"/>
      </w:tblGrid>
      <w:tr>
        <w:trPr>
          <w:tblHeader w:val="true"/>
          <w:cantSplit/>
        </w:trPr>
        <w:tc>
          <w:tcPr>
            <w:tcW w:w="415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Field</w:t>
            </w:r>
          </w:p>
        </w:tc>
        <w:tc>
          <w:tcPr>
            <w:tcW w:w="505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Required content</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Spillover</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Smoke, noise, labor burden, dependency, extraction, attention harm, ecological stress, etc.</w:t>
            </w:r>
          </w:p>
        </w:tc>
      </w:tr>
      <w:tr>
        <w:trPr>
          <w:cantSplit/>
        </w:trPr>
        <w:tc>
          <w:tcPr>
            <w:tcW w:w="4159" w:type="dxa"/>
            <w:vAlign w:val="top"/>
            <w:tcMar>
              <w:top w:w="70" w:type="dxa"/>
              <w:start w:w="90" w:type="dxa"/>
              <w:bottom w:w="70" w:type="dxa"/>
              <w:end w:w="90" w:type="dxa"/>
            </w:tcMar>
            <w:shd w:fill="F3F7FB" w:val="clear"/>
          </w:tcPr>
          <w:p>
            <w:pPr>
              <w:pStyle w:val="Compact"/>
              <w:spacing w:before="0" w:after="0"/>
              <w:jc w:val="left"/>
            </w:pPr>
            <w:r>
              <w:rPr>
                <w:sz w:val="19"/>
              </w:rPr>
              <w:t xml:space="preserve">Receiver</w:t>
            </w:r>
          </w:p>
        </w:tc>
        <w:tc>
          <w:tcPr>
            <w:tcW w:w="5059" w:type="dxa"/>
            <w:vAlign w:val="top"/>
            <w:tcMar>
              <w:top w:w="70" w:type="dxa"/>
              <w:start w:w="90" w:type="dxa"/>
              <w:bottom w:w="70" w:type="dxa"/>
              <w:end w:w="90" w:type="dxa"/>
            </w:tcMar>
            <w:shd w:fill="F3F7FB" w:val="clear"/>
          </w:tcPr>
          <w:p>
            <w:pPr>
              <w:pStyle w:val="Compact"/>
              <w:spacing w:before="0" w:after="0"/>
              <w:jc w:val="left"/>
            </w:pPr>
            <w:r>
              <w:rPr>
                <w:sz w:val="19"/>
              </w:rPr>
              <w:t xml:space="preserve">Which union, subgroup, system, or future condition receives the burden.</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Severity</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Normalized severity or qualitative tier.</w:t>
            </w:r>
          </w:p>
        </w:tc>
      </w:tr>
      <w:tr>
        <w:trPr>
          <w:cantSplit/>
        </w:trPr>
        <w:tc>
          <w:tcPr>
            <w:tcW w:w="4159" w:type="dxa"/>
            <w:vAlign w:val="top"/>
            <w:tcMar>
              <w:top w:w="70" w:type="dxa"/>
              <w:start w:w="90" w:type="dxa"/>
              <w:bottom w:w="70" w:type="dxa"/>
              <w:end w:w="90" w:type="dxa"/>
            </w:tcMar>
            <w:shd w:fill="F3F7FB" w:val="clear"/>
          </w:tcPr>
          <w:p>
            <w:pPr>
              <w:pStyle w:val="Compact"/>
              <w:spacing w:before="0" w:after="0"/>
              <w:jc w:val="left"/>
            </w:pPr>
            <w:r>
              <w:rPr>
                <w:sz w:val="19"/>
              </w:rPr>
              <w:t xml:space="preserve">Duration</w:t>
            </w:r>
          </w:p>
        </w:tc>
        <w:tc>
          <w:tcPr>
            <w:tcW w:w="5059" w:type="dxa"/>
            <w:vAlign w:val="top"/>
            <w:tcMar>
              <w:top w:w="70" w:type="dxa"/>
              <w:start w:w="90" w:type="dxa"/>
              <w:bottom w:w="70" w:type="dxa"/>
              <w:end w:w="90" w:type="dxa"/>
            </w:tcMar>
            <w:shd w:fill="F3F7FB" w:val="clear"/>
          </w:tcPr>
          <w:p>
            <w:pPr>
              <w:pStyle w:val="Compact"/>
              <w:spacing w:before="0" w:after="0"/>
              <w:jc w:val="left"/>
            </w:pPr>
            <w:r>
              <w:rPr>
                <w:sz w:val="19"/>
              </w:rPr>
              <w:t xml:space="preserve">Acute, temporary, recurring, chronic, permanent, or irreversible.</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Mitigation</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Controls, design changes, monitoring, compensation, substitution, or remediation.</w:t>
            </w:r>
          </w:p>
        </w:tc>
      </w:tr>
      <w:tr>
        <w:trPr>
          <w:cantSplit/>
        </w:trPr>
        <w:tc>
          <w:tcPr>
            <w:tcW w:w="4159" w:type="dxa"/>
            <w:vAlign w:val="top"/>
            <w:tcMar>
              <w:top w:w="70" w:type="dxa"/>
              <w:start w:w="90" w:type="dxa"/>
              <w:bottom w:w="70" w:type="dxa"/>
              <w:end w:w="90" w:type="dxa"/>
            </w:tcMar>
            <w:shd w:fill="F3F7FB" w:val="clear"/>
          </w:tcPr>
          <w:p>
            <w:pPr>
              <w:pStyle w:val="Compact"/>
              <w:spacing w:before="0" w:after="0"/>
              <w:jc w:val="left"/>
            </w:pPr>
            <w:r>
              <w:rPr>
                <w:sz w:val="19"/>
              </w:rPr>
              <w:t xml:space="preserve">Residual</w:t>
            </w:r>
          </w:p>
        </w:tc>
        <w:tc>
          <w:tcPr>
            <w:tcW w:w="5059" w:type="dxa"/>
            <w:vAlign w:val="top"/>
            <w:tcMar>
              <w:top w:w="70" w:type="dxa"/>
              <w:start w:w="90" w:type="dxa"/>
              <w:bottom w:w="70" w:type="dxa"/>
              <w:end w:w="90" w:type="dxa"/>
            </w:tcMar>
            <w:shd w:fill="F3F7FB" w:val="clear"/>
          </w:tcPr>
          <w:p>
            <w:pPr>
              <w:pStyle w:val="Compact"/>
              <w:spacing w:before="0" w:after="0"/>
              <w:jc w:val="left"/>
            </w:pPr>
            <w:r>
              <w:rPr>
                <w:sz w:val="19"/>
              </w:rPr>
              <w:t xml:space="preserve">What burden remains after mitigation.</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Routing</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NCRC, TRC, CSV, RLS, monitoring, or escalation.</w:t>
            </w:r>
          </w:p>
        </w:tc>
      </w:tr>
    </w:tbl>
    <w:p>
      <w:pPr>
        <w:pStyle w:val="BodyText"/>
      </w:pPr>
      <w:r>
        <w:t xml:space="preserve">Unrecorded material externalities are not neutral. They create CSV uncertainty and may trigger CSV_ESCALATE or CSV_REDESIGN_REQUIRED.</w:t>
      </w:r>
    </w:p>
    <w:bookmarkEnd w:id="139"/>
    <w:bookmarkStart w:id="140" w:name="substitution-ladder"/>
    <w:p>
      <w:pPr>
        <w:pStyle w:val="Heading3"/>
      </w:pPr>
      <w:r>
        <w:t xml:space="preserve">9.3.4 Substitution Ladder</w:t>
      </w:r>
    </w:p>
    <w:p>
      <w:pPr>
        <w:pStyle w:val="FirstParagraph"/>
      </w:pPr>
      <w:r>
        <w:t xml:space="preserve">CSV MUST ask whether a less harmful feasible alternative exists. The ladder is not a requirement to choose the ideal option immediately; it is a discipline against convenience-based harm.</w:t>
      </w:r>
    </w:p>
    <w:p>
      <w:pPr>
        <w:pStyle w:val="BodyText"/>
      </w:pPr>
      <w:r>
        <w:t xml:space="preserve">Default substitution ladder:</w:t>
      </w:r>
    </w:p>
    <w:p>
      <w:pPr>
        <w:pStyle w:val="Compact"/>
        <w:numPr>
          <w:ilvl w:val="0"/>
          <w:numId w:val="1098"/>
        </w:numPr>
      </w:pPr>
      <w:r>
        <w:t xml:space="preserve">Avoid the harmful need.</w:t>
      </w:r>
    </w:p>
    <w:p>
      <w:pPr>
        <w:pStyle w:val="Compact"/>
        <w:numPr>
          <w:ilvl w:val="0"/>
          <w:numId w:val="1098"/>
        </w:numPr>
      </w:pPr>
      <w:r>
        <w:t xml:space="preserve">Reduce the demand.</w:t>
      </w:r>
    </w:p>
    <w:p>
      <w:pPr>
        <w:pStyle w:val="Compact"/>
        <w:numPr>
          <w:ilvl w:val="0"/>
          <w:numId w:val="1098"/>
        </w:numPr>
      </w:pPr>
      <w:r>
        <w:t xml:space="preserve">Use low-harm alternative.</w:t>
      </w:r>
    </w:p>
    <w:p>
      <w:pPr>
        <w:pStyle w:val="Compact"/>
        <w:numPr>
          <w:ilvl w:val="0"/>
          <w:numId w:val="1098"/>
        </w:numPr>
      </w:pPr>
      <w:r>
        <w:t xml:space="preserve">Use hybrid/backup alternative.</w:t>
      </w:r>
    </w:p>
    <w:p>
      <w:pPr>
        <w:pStyle w:val="Compact"/>
        <w:numPr>
          <w:ilvl w:val="0"/>
          <w:numId w:val="1098"/>
        </w:numPr>
      </w:pPr>
      <w:r>
        <w:t xml:space="preserve">Use higher-harm option only with controls.</w:t>
      </w:r>
    </w:p>
    <w:p>
      <w:pPr>
        <w:pStyle w:val="Compact"/>
        <w:numPr>
          <w:ilvl w:val="0"/>
          <w:numId w:val="1098"/>
        </w:numPr>
      </w:pPr>
      <w:r>
        <w:t xml:space="preserve">Use emergency provisional option only under necessity and review.</w:t>
      </w:r>
    </w:p>
    <w:p>
      <w:pPr>
        <w:pStyle w:val="Compact"/>
        <w:numPr>
          <w:ilvl w:val="0"/>
          <w:numId w:val="1098"/>
        </w:numPr>
      </w:pPr>
      <w:r>
        <w:t xml:space="preserve">Reject or redesign if harms cannot be contained.</w:t>
      </w:r>
    </w:p>
    <w:p>
      <w:pPr>
        <w:pStyle w:val="FirstParagraph"/>
      </w:pPr>
      <w:r>
        <w:t xml:space="preserve">If a materially cleaner and feasible alternative exists, choosing a more harmful option for convenience, profit, or status SHOULD trigger CSV_REDESIGN_REQUIRED or a high residual RLS penalty, depending on severity.</w:t>
      </w:r>
    </w:p>
    <w:bookmarkEnd w:id="140"/>
    <w:bookmarkStart w:id="141" w:name="necessity-corridor"/>
    <w:p>
      <w:pPr>
        <w:pStyle w:val="Heading3"/>
      </w:pPr>
      <w:r>
        <w:t xml:space="preserve">9.3.5 Necessity Corridor</w:t>
      </w:r>
    </w:p>
    <w:p>
      <w:pPr>
        <w:pStyle w:val="FirstParagraph"/>
      </w:pPr>
      <w:r>
        <w:t xml:space="preserve">A harmful option MAY receive CSV_PASS_WITH_CONTROLS or CSV_EMERGENCY_PROVISIONAL only when it satisfies the necessity corridor:</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Corridor condition</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Requirement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Necessity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option serves a real need, not mere convenience.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 better feasible alternative now</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Cleaner or safer options are unavailable, unaffordable, disproportionate, or not timely under the declared reality surface.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Boundedness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Harm is limited in time, space, exposure, scale, and recurrence.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Mitigation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Controls reduce harm materially.</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Transparency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harm is not hidden, greenwashed, or falsely described.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Reversibility / exit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The option does not create avoidable lock-in.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Transition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path to a cleaner, safer, or more viable option is declared where material.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Review</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Monitoring and re-evaluation triggers are declared.</w:t>
            </w:r>
          </w:p>
        </w:tc>
      </w:tr>
    </w:tbl>
    <w:p>
      <w:pPr>
        <w:pStyle w:val="BodyText"/>
      </w:pPr>
      <w:r>
        <w:t xml:space="preserve">The necessity corridor prevents CSV from becoming impossible purity ethics while preserving its ability to block structural laundering.</w:t>
      </w:r>
    </w:p>
    <w:bookmarkEnd w:id="141"/>
    <w:bookmarkEnd w:id="142"/>
    <w:bookmarkStart w:id="143" w:name="Xcd33d2f12b78b1dd1063095aea53e1846e92d81"/>
    <w:p>
      <w:pPr>
        <w:pStyle w:val="Heading2"/>
      </w:pPr>
      <w:r>
        <w:t xml:space="preserve">9.4 CSV Diagnostic Concern Scale (Normative guidance)</w:t>
      </w:r>
    </w:p>
    <w:p>
      <w:pPr>
        <w:pStyle w:val="FirstParagraph"/>
      </w:pPr>
      <w:r>
        <w:t xml:space="preserve">CSV MAY use internal diagnostic concern levels. These levels are not an RLS score and MUST NOT be treated as final welfare ranking.</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Level</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Meaning</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Default disposition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No material CSV concern.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CSV_PASS.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1</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Minor residual concern.</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Carry to RLS and monitoring.</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2</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Material concern requiring controls.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CSV_PASS_WITH_CONTROLS if controls are binding.</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Serious concern requiring redesign or higher review.</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CSV_REDESIGN_REQUIRED or CSV_ESCALATE.</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Gate-failing concern.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CSV_FAIL.</w:t>
            </w:r>
          </w:p>
        </w:tc>
      </w:tr>
    </w:tbl>
    <w:p>
      <w:pPr>
        <w:pStyle w:val="BodyText"/>
      </w:pPr>
      <w:r>
        <w:t xml:space="preserve">Suggested diagnostic dimensions:</w:t>
      </w:r>
    </w:p>
    <w:p>
      <w:pPr>
        <w:pStyle w:val="Compact"/>
        <w:numPr>
          <w:ilvl w:val="0"/>
          <w:numId w:val="1099"/>
        </w:numPr>
      </w:pPr>
      <w:r>
        <w:t xml:space="preserve">Containment integrity</w:t>
      </w:r>
    </w:p>
    <w:p>
      <w:pPr>
        <w:pStyle w:val="Compact"/>
        <w:numPr>
          <w:ilvl w:val="0"/>
          <w:numId w:val="1099"/>
        </w:numPr>
      </w:pPr>
      <w:r>
        <w:t xml:space="preserve">Structural viability</w:t>
      </w:r>
    </w:p>
    <w:p>
      <w:pPr>
        <w:pStyle w:val="Compact"/>
        <w:numPr>
          <w:ilvl w:val="0"/>
          <w:numId w:val="1099"/>
        </w:numPr>
      </w:pPr>
      <w:r>
        <w:t xml:space="preserve">Hollowing risk</w:t>
      </w:r>
    </w:p>
    <w:p>
      <w:pPr>
        <w:pStyle w:val="Compact"/>
        <w:numPr>
          <w:ilvl w:val="0"/>
          <w:numId w:val="1099"/>
        </w:numPr>
      </w:pPr>
      <w:r>
        <w:t xml:space="preserve">Dependency or lock-in risk</w:t>
      </w:r>
    </w:p>
    <w:p>
      <w:pPr>
        <w:pStyle w:val="Compact"/>
        <w:numPr>
          <w:ilvl w:val="0"/>
          <w:numId w:val="1099"/>
        </w:numPr>
      </w:pPr>
      <w:r>
        <w:t xml:space="preserve">Substitution pressure</w:t>
      </w:r>
    </w:p>
    <w:p>
      <w:pPr>
        <w:pStyle w:val="Compact"/>
        <w:numPr>
          <w:ilvl w:val="0"/>
          <w:numId w:val="1099"/>
        </w:numPr>
      </w:pPr>
      <w:r>
        <w:t xml:space="preserve">Mitigation adequacy</w:t>
      </w:r>
    </w:p>
    <w:p>
      <w:pPr>
        <w:pStyle w:val="Compact"/>
        <w:numPr>
          <w:ilvl w:val="0"/>
          <w:numId w:val="1099"/>
        </w:numPr>
      </w:pPr>
      <w:r>
        <w:t xml:space="preserve">Monitoring adequacy</w:t>
      </w:r>
    </w:p>
    <w:p>
      <w:pPr>
        <w:pStyle w:val="Compact"/>
        <w:numPr>
          <w:ilvl w:val="0"/>
          <w:numId w:val="1099"/>
        </w:numPr>
      </w:pPr>
      <w:r>
        <w:t xml:space="preserve">Reversibility / exit</w:t>
      </w:r>
    </w:p>
    <w:p>
      <w:pPr>
        <w:pStyle w:val="Compact"/>
        <w:numPr>
          <w:ilvl w:val="0"/>
          <w:numId w:val="1099"/>
        </w:numPr>
      </w:pPr>
      <w:r>
        <w:t xml:space="preserve">Accumulation risk</w:t>
      </w:r>
    </w:p>
    <w:p>
      <w:pPr>
        <w:pStyle w:val="Compact"/>
        <w:numPr>
          <w:ilvl w:val="0"/>
          <w:numId w:val="1099"/>
        </w:numPr>
      </w:pPr>
      <w:r>
        <w:t xml:space="preserve">Governance or legitimacy stress</w:t>
      </w:r>
    </w:p>
    <w:p>
      <w:pPr>
        <w:pStyle w:val="FirstParagraph"/>
      </w:pPr>
      <w:r>
        <w:t xml:space="preserve">Default status rule:</w:t>
      </w:r>
    </w:p>
    <w:p>
      <w:pPr>
        <w:pStyle w:val="BodyText"/>
      </w:pPr>
      <w:r>
        <w:t xml:space="preserve">If any material diagnostic = 4, CSV_FAIL.</w:t>
      </w:r>
      <w:r>
        <w:t xml:space="preserve"> </w:t>
      </w:r>
      <w:r>
        <w:t xml:space="preserve">If any material diagnostic = 3, CSV_REDESIGN_REQUIRED or CSV_ESCALATE.</w:t>
      </w:r>
      <w:r>
        <w:t xml:space="preserve"> </w:t>
      </w:r>
      <w:r>
        <w:t xml:space="preserve">If any material diagnostic = 2, CSV_PASS_WITH_CONTROLS only if controls are binding and auditable.</w:t>
      </w:r>
      <w:r>
        <w:t xml:space="preserve"> </w:t>
      </w:r>
      <w:r>
        <w:t xml:space="preserve">If all material diagnostics are 0 or 1, CSV_PASS and residuals carry to RLS.</w:t>
      </w:r>
    </w:p>
    <w:bookmarkEnd w:id="143"/>
    <w:bookmarkStart w:id="144" w:name="formal-csv-predicate-normative"/>
    <w:p>
      <w:pPr>
        <w:pStyle w:val="Heading2"/>
      </w:pPr>
      <w:r>
        <w:t xml:space="preserve">9.5 Formal CSV Predicate (Normative)</w:t>
      </w:r>
    </w:p>
    <w:p>
      <w:pPr>
        <w:pStyle w:val="FirstParagraph"/>
      </w:pPr>
      <w:r>
        <w:t xml:space="preserve">Let A_adm be the set of options that pass NCRC and TRC, subject to Reality Grounding supporting the claim boundary.</w:t>
      </w:r>
    </w:p>
    <w:p>
      <w:pPr>
        <w:pStyle w:val="BodyText"/>
      </w:pPr>
      <w:r>
        <w:t xml:space="preserve">For each option a in A_adm, compute CSV_status(a).</w:t>
      </w:r>
    </w:p>
    <w:p>
      <w:pPr>
        <w:pStyle w:val="BodyText"/>
      </w:pPr>
      <w:r>
        <w:t xml:space="preserve">Default selectable set:</w:t>
      </w:r>
    </w:p>
    <w:p>
      <w:pPr>
        <w:pStyle w:val="BodyText"/>
      </w:pPr>
      <w:r>
        <w:t xml:space="preserve">A_sel = {a in A_adm : CSV_status(a) in {CSV_PASS, CSV_PASS_WITH_CONTROLS, CSV_NOT_MATERIAL}}</w:t>
      </w:r>
    </w:p>
    <w:p>
      <w:pPr>
        <w:pStyle w:val="BodyText"/>
      </w:pPr>
      <w:r>
        <w:t xml:space="preserve">Emergency provisional options are not ordinary members of A_sel. A CSV_EMERGENCY_PROVISIONAL option may be temporarily selected only through emergency protocol, with explicit time limit, harm cap, mitigation, review, and no full alignment claim.</w:t>
      </w:r>
    </w:p>
    <w:p>
      <w:pPr>
        <w:pStyle w:val="BodyText"/>
      </w:pPr>
      <w:r>
        <w:t xml:space="preserve">CSV_NOT_MATERIAL is pass-equivalent only for the declared claim boundary after the PCC records the rationale that no material CSV burden is present. It MUST NOT be used to waive Structural Viability subchecks when execution feasibility, resource closure, dependency closure, reversibility, operational capacity, or internal coherence is material. In high-stakes or execution-bearing runs, CSV_NOT_MATERIAL may apply to the containment-integrity dimension while Structural Viability remains separately required where execution feasibility is material. If later evidence makes CSV material, CSV MUST be rerun.</w:t>
      </w:r>
    </w:p>
    <w:p>
      <w:pPr>
        <w:pStyle w:val="BodyText"/>
      </w:pPr>
      <w:r>
        <w:t xml:space="preserve">RLS is applied only to A_sel, except where emergency protocol explicitly invokes fallback comparison.</w:t>
      </w:r>
    </w:p>
    <w:bookmarkEnd w:id="144"/>
    <w:bookmarkStart w:id="145" w:name="Xdbfae6bc1d8fbd9d683fa4d719925e529bc96a9"/>
    <w:p>
      <w:pPr>
        <w:pStyle w:val="Heading2"/>
      </w:pPr>
      <w:r>
        <w:t xml:space="preserve">9.6 UCI, HOI, and Structural Diagnostic Placement (Normative)</w:t>
      </w:r>
    </w:p>
    <w:p>
      <w:pPr>
        <w:pStyle w:val="FirstParagraph"/>
      </w:pPr>
      <w:r>
        <w:t xml:space="preserve">CSV is the authority layer for cross-scale structural integrity. UCI, HOI, Adaptive Reserve, and related structural indicators are diagnostic instruments. When such indicators are material to whether an option degrades a containing union, hollows out capacity, creates dependency, or undermines structural viability, they are evaluated inside CSV before RLS.</w:t>
      </w:r>
    </w:p>
    <w:p>
      <w:pPr>
        <w:pStyle w:val="BodyText"/>
      </w:pPr>
      <w:r>
        <w:t xml:space="preserve">UCI/HOI are not public cascade stages. They are not separate gates by default. They are structural diagnostics inside CSV when material, and residual tie-break or monitoring signals only after options are already selectable and RLS is tied, close, uncertainty-overlapped, or non-decisive.</w:t>
      </w:r>
    </w:p>
    <w:p>
      <w:pPr>
        <w:pStyle w:val="BodyText"/>
      </w:pPr>
      <w:r>
        <w:t xml:space="preserve">If UCI/HOI or equivalent structural diagnostic evidence is required for a CSV determination and unavailable, the implementation SHALL record CSV_STRUCTURAL_DIAGNOSTIC_UNAVAILABLE or the more specific CSV_UCI_HOI_UNAVAILABLE flag. A run with unresolved material diagnostic unavailability SHALL NOT claim an unqualified CSV pass or Tier 3 CSV conformance.</w:t>
      </w:r>
    </w:p>
    <w:bookmarkEnd w:id="145"/>
    <w:bookmarkStart w:id="146" w:name="csv-fail-conditions-normative"/>
    <w:p>
      <w:pPr>
        <w:pStyle w:val="Heading2"/>
      </w:pPr>
      <w:r>
        <w:t xml:space="preserve">9.7 CSV Fail Conditions (Normative)</w:t>
      </w:r>
    </w:p>
    <w:p>
      <w:pPr>
        <w:pStyle w:val="FirstParagraph"/>
      </w:pPr>
      <w:r>
        <w:t xml:space="preserve">CSV MUST fail, redesign, or escalate an option when any of the following are material and unresolved:</w:t>
      </w:r>
    </w:p>
    <w:p>
      <w:pPr>
        <w:pStyle w:val="Compact"/>
        <w:numPr>
          <w:ilvl w:val="0"/>
          <w:numId w:val="1100"/>
        </w:numPr>
      </w:pPr>
      <w:r>
        <w:t xml:space="preserve">Container destruction: the option damages the system that makes the claimed benefit possible.</w:t>
      </w:r>
    </w:p>
    <w:p>
      <w:pPr>
        <w:pStyle w:val="Compact"/>
        <w:numPr>
          <w:ilvl w:val="0"/>
          <w:numId w:val="1100"/>
        </w:numPr>
      </w:pPr>
      <w:r>
        <w:t xml:space="preserve">Forced externalization: the option works by pushing burden onto people, ecosystems, or future agents who cannot consent, contest, or recover.</w:t>
      </w:r>
    </w:p>
    <w:p>
      <w:pPr>
        <w:pStyle w:val="Compact"/>
        <w:numPr>
          <w:ilvl w:val="0"/>
          <w:numId w:val="1100"/>
        </w:numPr>
      </w:pPr>
      <w:r>
        <w:t xml:space="preserve">Structural non-viability: the option cannot execute under real resource, dependency, capacity, authority, or contradiction constraints.</w:t>
      </w:r>
    </w:p>
    <w:p>
      <w:pPr>
        <w:pStyle w:val="Compact"/>
        <w:numPr>
          <w:ilvl w:val="0"/>
          <w:numId w:val="1100"/>
        </w:numPr>
      </w:pPr>
      <w:r>
        <w:t xml:space="preserve">Hollowing: the option improves surface metrics while weakening the deeper capacity the metric was meant to serve.</w:t>
      </w:r>
    </w:p>
    <w:p>
      <w:pPr>
        <w:pStyle w:val="Compact"/>
        <w:numPr>
          <w:ilvl w:val="0"/>
          <w:numId w:val="1100"/>
        </w:numPr>
      </w:pPr>
      <w:r>
        <w:t xml:space="preserve">Lock-in or dependency: the option creates avoidable dependency that makes better futures harder.</w:t>
      </w:r>
    </w:p>
    <w:p>
      <w:pPr>
        <w:pStyle w:val="Compact"/>
        <w:numPr>
          <w:ilvl w:val="0"/>
          <w:numId w:val="1100"/>
        </w:numPr>
      </w:pPr>
      <w:r>
        <w:t xml:space="preserve">Unbounded accumulation: individually small harms scale into systemic degradation when repeated.</w:t>
      </w:r>
    </w:p>
    <w:p>
      <w:pPr>
        <w:pStyle w:val="Compact"/>
        <w:numPr>
          <w:ilvl w:val="0"/>
          <w:numId w:val="1100"/>
        </w:numPr>
      </w:pPr>
      <w:r>
        <w:t xml:space="preserve">Unmonitored invisible harm: material harms exist without monitoring, audit, review, or feedback path.</w:t>
      </w:r>
    </w:p>
    <w:p>
      <w:pPr>
        <w:pStyle w:val="Compact"/>
        <w:numPr>
          <w:ilvl w:val="0"/>
          <w:numId w:val="1100"/>
        </w:numPr>
      </w:pPr>
      <w:r>
        <w:t xml:space="preserve">Better feasible alternative ignored: a much cleaner or safer feasible option exists, but the harmful option is chosen for convenience, status, or profit.</w:t>
      </w:r>
    </w:p>
    <w:bookmarkEnd w:id="146"/>
    <w:bookmarkStart w:id="147" w:name="csv-pass-conditions-normative"/>
    <w:p>
      <w:pPr>
        <w:pStyle w:val="Heading2"/>
      </w:pPr>
      <w:r>
        <w:t xml:space="preserve">9.8 CSV Pass Conditions (Normative)</w:t>
      </w:r>
    </w:p>
    <w:p>
      <w:pPr>
        <w:pStyle w:val="FirstParagraph"/>
      </w:pPr>
      <w:r>
        <w:t xml:space="preserve">CSV MAY pass an option when harms are visible, rights floors are intact, tail risk is bounded, containment burden is limited, structural viability is real, externalities are mitigated, residual harms are carried into RLS, monitoring exists where needed, lock-in is avoided or justified, better alternatives are unavailable or disproportionate, and transition or review plans exist where material.</w:t>
      </w:r>
    </w:p>
    <w:p>
      <w:pPr>
        <w:pStyle w:val="BodyText"/>
      </w:pPr>
      <w:r>
        <w:t xml:space="preserve">Plain-language test:</w:t>
      </w:r>
    </w:p>
    <w:p>
      <w:pPr>
        <w:pStyle w:val="BodyText"/>
      </w:pPr>
      <w:r>
        <w:t xml:space="preserve">Harm does not equal fail. Hidden, unbounded, unjust, irreversible, or structurally degrading harm equals fail, redesign, escalation, or emergency provisional treatment.</w:t>
      </w:r>
    </w:p>
    <w:bookmarkEnd w:id="147"/>
    <w:bookmarkStart w:id="148" w:name="X5ce261d3e2e11264aae55d600fff8a90d2a64a3"/>
    <w:p>
      <w:pPr>
        <w:pStyle w:val="Heading2"/>
      </w:pPr>
      <w:r>
        <w:t xml:space="preserve">9.9 Worked Normative Example: Backup Diesel Generator (Informative but Canon-Guiding)</w:t>
      </w:r>
    </w:p>
    <w:p>
      <w:pPr>
        <w:pStyle w:val="FirstParagraph"/>
      </w:pPr>
      <w:r>
        <w:t xml:space="preserve">A small organic cafe may need a backup diesel generator during power cuts. The generator produces smoke, noise, local air pollution, and emissions. Without it, the cafe may lose food, income, jobs, community function, and operational continuity.</w:t>
      </w:r>
    </w:p>
    <w:p>
      <w:pPr>
        <w:pStyle w:val="BodyText"/>
      </w:pPr>
      <w:r>
        <w:t xml:space="preserve">CSV MUST NOT treat this as an automatic fail merely because harm exists. CSV MUST also not allow the cafe’s local survival benefit to hide uncontained harm.</w:t>
      </w:r>
    </w:p>
    <w:p>
      <w:pPr>
        <w:pStyle w:val="BodyText"/>
      </w:pPr>
      <w:r>
        <w:t xml:space="preserve">Illustrative dispositions: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Generator condition</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CSV disposition</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Rationale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Generator used indoors, near air intakes, or near vulnerable people without controls.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CSV_FAIL or NCRC escalation.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Serious health/safety exposure and containment breach.</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Outdoor generator, frequent use, no mitigation, no review, no transition.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CSV_REDESIGN_REQUIRED.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Harm is visible but insufficiently contained.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Outdoor generator, limited outages, exhaust away from people, maintenance, fuel controls, noise limits, and transition plan.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CSV_PASS_WITH_CONTROLS.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Harm is bounded, necessary, mitigated, transparent, and reviewable.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Battery/inverter feasible now.</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CSV_PASS; likely higher RLS.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Lower containment burden.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Solar + battery + emergency diesel only.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CSV_PASS; likely stronger RLS if feasible.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Better resilience/environment balance.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Closing during outages.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CSV_PASS but RLS context-dependent.</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Avoids smoke but may harm livelihood, waste food, and reduce community function.</w:t>
            </w:r>
          </w:p>
        </w:tc>
      </w:tr>
    </w:tbl>
    <w:p>
      <w:pPr>
        <w:pStyle w:val="BodyText"/>
      </w:pPr>
      <w:r>
        <w:t xml:space="preserve">Canonical lesson:</w:t>
      </w:r>
    </w:p>
    <w:p>
      <w:pPr>
        <w:pStyle w:val="BodyText"/>
      </w:pPr>
      <w:r>
        <w:t xml:space="preserve">CSV is not</w:t>
      </w:r>
      <w:r>
        <w:t xml:space="preserve"> </w:t>
      </w:r>
      <w:r>
        <w:t xml:space="preserve">“</w:t>
      </w:r>
      <w:r>
        <w:t xml:space="preserve">diesel bad, therefore fail.</w:t>
      </w:r>
      <w:r>
        <w:t xml:space="preserve">”</w:t>
      </w:r>
      <w:r>
        <w:t xml:space="preserve"> </w:t>
      </w:r>
      <w:r>
        <w:t xml:space="preserve">CSV is</w:t>
      </w:r>
      <w:r>
        <w:t xml:space="preserve"> </w:t>
      </w:r>
      <w:r>
        <w:t xml:space="preserve">“</w:t>
      </w:r>
      <w:r>
        <w:t xml:space="preserve">diesel carries a containment burden; if necessary, bounded, mitigated, transparent, monitored, and transitional, it may conditionally pass and be ranked against cleaner options by RLS.</w:t>
      </w:r>
      <w:r>
        <w:t xml:space="preserve">”</w:t>
      </w:r>
    </w:p>
    <w:bookmarkEnd w:id="148"/>
    <w:bookmarkStart w:id="149" w:name="rls-relationship-normative"/>
    <w:p>
      <w:pPr>
        <w:pStyle w:val="Heading2"/>
      </w:pPr>
      <w:r>
        <w:t xml:space="preserve">9.10 RLS Relationship (Normative)</w:t>
      </w:r>
    </w:p>
    <w:p>
      <w:pPr>
        <w:pStyle w:val="FirstParagraph"/>
      </w:pPr>
      <w:r>
        <w:t xml:space="preserve">RLS ranks only options that survive RG claim support, the Rights Floor (formal NCRC), TRC, and CSV. RLS SHOULD penalize residual harms carried from CSV, including pollution, dependency, lock-in risk, ecological burden, social trust loss, and meaning/agency degradation.</w:t>
      </w:r>
    </w:p>
    <w:p>
      <w:pPr>
        <w:pStyle w:val="BodyText"/>
      </w:pPr>
      <w:r>
        <w:t xml:space="preserve">RLS MUST NOT rescue CSV failure. CSV protects the doorway into ranking; RLS ranks what may legitimately enter.</w:t>
      </w:r>
    </w:p>
    <w:bookmarkEnd w:id="149"/>
    <w:bookmarkStart w:id="150" w:name="Xb485fde0fc29412775d4025c57b07672d2721fb"/>
    <w:p>
      <w:pPr>
        <w:pStyle w:val="Heading2"/>
      </w:pPr>
      <w:r>
        <w:t xml:space="preserve">9.11 CSV Parameter Governance and Escalation (Normative)</w:t>
      </w:r>
    </w:p>
    <w:p>
      <w:pPr>
        <w:pStyle w:val="FirstParagraph"/>
      </w:pPr>
      <w:r>
        <w:t xml:space="preserve">CSV thresholds, diagnostic concern levels, necessity-corridor judgments, UCI/HOI trigger thresholds, and structural-viability sufficiency standards MUST be recorded in the PCC when material. Tier 3 runs SHOULD include sensitivity analysis over near-binding CSV determinations.</w:t>
      </w:r>
    </w:p>
    <w:p>
      <w:pPr>
        <w:pStyle w:val="BodyText"/>
      </w:pPr>
      <w:r>
        <w:t xml:space="preserve">If no option passes CSV, the run MUST NOT pretend a good option exists. Required actions include option redesign, additional evidence gathering, transition planning, escalation to a higher governance tier, emergency provisional protocol if genuinely necessary, or refusal of deterministic selection.</w:t>
      </w:r>
    </w:p>
    <w:p>
      <w:pPr>
        <w:pStyle w:val="BodyText"/>
      </w:pPr>
      <w:r>
        <w:t xml:space="preserve">CSV does not override NCRC or TRC. It operates after admissibility and before residual welfare ranking.</w:t>
      </w:r>
    </w:p>
    <w:bookmarkEnd w:id="150"/>
    <w:bookmarkEnd w:id="151"/>
    <w:bookmarkStart w:id="172" w:name="Xe8fb48709839cd24feb210d04ec47c6cfd911e2"/>
    <w:p>
      <w:pPr>
        <w:pStyle w:val="Heading1"/>
      </w:pPr>
      <w:r>
        <w:t xml:space="preserve">SECTION 10: OPTIMIZATION LAYER: RIPPLELOGIC SCORE (RLS)</w:t>
      </w:r>
    </w:p>
    <w:bookmarkStart w:id="152" w:name="purpose-and-scope-normative"/>
    <w:p>
      <w:pPr>
        <w:pStyle w:val="Heading2"/>
      </w:pPr>
      <w:r>
        <w:t xml:space="preserve">10.0 Purpose and Scope (Normative)</w:t>
      </w:r>
    </w:p>
    <w:p>
      <w:pPr>
        <w:pStyle w:val="FirstParagraph"/>
      </w:pPr>
      <w:r>
        <w:t xml:space="preserve">RLS ranks selectable options by expected welfare improvement across unions and dimensions, after ripple propagation and saturation, under declared weights and applicability mask rules.</w:t>
      </w:r>
    </w:p>
    <w:p>
      <w:pPr>
        <w:pStyle w:val="BodyText"/>
      </w:pPr>
      <w:r>
        <w:t xml:space="preserve">RLS MUST NEVER override NCRC, TRC, or CSV. It operates only on selectable options A_sel.</w:t>
      </w:r>
    </w:p>
    <w:bookmarkEnd w:id="152"/>
    <w:bookmarkStart w:id="153" w:name="rls-definition-normative"/>
    <w:p>
      <w:pPr>
        <w:pStyle w:val="Heading2"/>
      </w:pPr>
      <w:r>
        <w:t xml:space="preserve">10.1 RLS Definition (Normative)</w:t>
      </w:r>
    </w:p>
    <w:p>
      <w:pPr>
        <w:pStyle w:val="FirstParagraph"/>
      </w:pPr>
      <w:r>
        <w:t xml:space="preserve">RLS(a) = Σ_u Σ_d w_u × v_d × m(u,d) × κ(u,d) × I_prop_welfare(u,d,a)</w:t>
      </w:r>
    </w:p>
    <w:p>
      <w:pPr>
        <w:pStyle w:val="BodyText"/>
      </w:pPr>
      <w:r>
        <w:t xml:space="preserve">Where:</w:t>
      </w:r>
    </w:p>
    <w:p>
      <w:pPr>
        <w:pStyle w:val="Compact"/>
        <w:numPr>
          <w:ilvl w:val="0"/>
          <w:numId w:val="1101"/>
        </w:numPr>
      </w:pPr>
      <w:r>
        <w:t xml:space="preserve">w_u are union weights (HDW-governed; Section 13; Section 13.1 constitutional floors controlling)</w:t>
      </w:r>
    </w:p>
    <w:p>
      <w:pPr>
        <w:pStyle w:val="Compact"/>
        <w:numPr>
          <w:ilvl w:val="0"/>
          <w:numId w:val="1102"/>
        </w:numPr>
      </w:pPr>
      <w:r>
        <w:t xml:space="preserve">v_d are dimension weights (HDW-governed; Section 13; Section 13.1 constitutional floors controlling)</w:t>
      </w:r>
    </w:p>
    <w:p>
      <w:pPr>
        <w:pStyle w:val="Compact"/>
        <w:numPr>
          <w:ilvl w:val="0"/>
          <w:numId w:val="1103"/>
        </w:numPr>
      </w:pPr>
      <w:r>
        <w:t xml:space="preserve">m(u,d) is applicability mask (RLS aggregation only)</w:t>
      </w:r>
    </w:p>
    <w:p>
      <w:pPr>
        <w:pStyle w:val="Compact"/>
        <w:numPr>
          <w:ilvl w:val="0"/>
          <w:numId w:val="1104"/>
        </w:numPr>
      </w:pPr>
      <w:r>
        <w:t xml:space="preserve">κ(u,d) is a declared cell multiplier (default 1; non-default requires PCC justification)</w:t>
      </w:r>
    </w:p>
    <w:p>
      <w:pPr>
        <w:pStyle w:val="FirstParagraph"/>
      </w:pPr>
      <w:r>
        <w:t xml:space="preserve">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 1.5]. A non-default κ(u,d) MUST NOT reverse sign, erase or dilute any rights-covered or catastrophe-relevant harm, or function as a back-door substitute for masking, reweighting floors, or prominence gaming. Tier 3 runs using non-default κ(u,d) MUST record justification, authorized source, affected cells, and sensitivity reruns in the PCC.</w:t>
      </w:r>
    </w:p>
    <w:p>
      <w:pPr>
        <w:pStyle w:val="Compact"/>
        <w:numPr>
          <w:ilvl w:val="0"/>
          <w:numId w:val="1105"/>
        </w:numPr>
      </w:pPr>
      <w:r>
        <w:t xml:space="preserve">I_prop_welfare(u,d,a) is post-propagation, post-saturation impact (Sections 5-6)</w:t>
      </w:r>
    </w:p>
    <w:p>
      <w:pPr>
        <w:pStyle w:val="FirstParagraph"/>
      </w:pPr>
      <w:r>
        <w:t xml:space="preserve">Local-use note (Informative). Section 10.2A defines a Practical Local Scope Scoring (PLSS) profile for local runs. PLSS does not change the Section 10.1 equation form; it defines a canon-consistent local construction for w_u within the residual mass above the Section 13.1 constitutional floors.</w:t>
      </w:r>
    </w:p>
    <w:bookmarkEnd w:id="153"/>
    <w:bookmarkStart w:id="154" w:name="applicability-mask-rules-normative"/>
    <w:p>
      <w:pPr>
        <w:pStyle w:val="Heading2"/>
      </w:pPr>
      <w:r>
        <w:t xml:space="preserve">10.2 Applicability Mask Rules (Normative)</w:t>
      </w:r>
    </w:p>
    <w:p>
      <w:pPr>
        <w:pStyle w:val="FirstParagraph"/>
      </w:pPr>
      <w:r>
        <w:t xml:space="preserve">Masking exists to avoid meaningless aggregation in some contexts, but is a primary gaming vector. Therefore:</w:t>
      </w:r>
    </w:p>
    <w:p>
      <w:pPr>
        <w:pStyle w:val="BodyText"/>
      </w:pPr>
      <w:r>
        <w:t xml:space="preserve">Definition (Normative). Masking means setting m(u,d)=0, which affects RLS aggregation only. Omission/exclusion means failing to compute, disclose, or evaluate a required cell for NCRC, TRC, or CSV. Masking SHALL NOT be used as a substitute for omission rules.</w:t>
      </w:r>
    </w:p>
    <w:p>
      <w:pPr>
        <w:pStyle w:val="BodyText"/>
      </w:pPr>
      <w:r>
        <w:t xml:space="preserve">Masking affects RLS aggregation only. Whether a cell must be constructed is determined by active-cell rules (Section 10.3) and tier coverage requirements, not by masking. Accordingly, masking MUST NOT be used to skip or modify:</w:t>
      </w:r>
    </w:p>
    <w:p>
      <w:pPr>
        <w:pStyle w:val="Compact"/>
        <w:numPr>
          <w:ilvl w:val="0"/>
          <w:numId w:val="1106"/>
        </w:numPr>
      </w:pPr>
      <w:r>
        <w:t xml:space="preserve">Impact construction (Section 5),</w:t>
      </w:r>
    </w:p>
    <w:p>
      <w:pPr>
        <w:pStyle w:val="Compact"/>
        <w:numPr>
          <w:ilvl w:val="0"/>
          <w:numId w:val="1107"/>
        </w:numPr>
      </w:pPr>
      <w:r>
        <w:t xml:space="preserve">Propagation (Section 6),</w:t>
      </w:r>
    </w:p>
    <w:p>
      <w:pPr>
        <w:pStyle w:val="Compact"/>
        <w:numPr>
          <w:ilvl w:val="0"/>
          <w:numId w:val="1108"/>
        </w:numPr>
      </w:pPr>
      <w:r>
        <w:t xml:space="preserve">NCRC checks (Section 7),</w:t>
      </w:r>
    </w:p>
    <w:p>
      <w:pPr>
        <w:pStyle w:val="Compact"/>
        <w:numPr>
          <w:ilvl w:val="0"/>
          <w:numId w:val="1109"/>
        </w:numPr>
      </w:pPr>
      <w:r>
        <w:t xml:space="preserve">TRC loss and CVaR computation (Section 8),</w:t>
      </w:r>
    </w:p>
    <w:p>
      <w:pPr>
        <w:pStyle w:val="Compact"/>
        <w:numPr>
          <w:ilvl w:val="0"/>
          <w:numId w:val="1110"/>
        </w:numPr>
      </w:pPr>
      <w:r>
        <w:t xml:space="preserve">Or containment evaluation (Section 9).</w:t>
      </w:r>
    </w:p>
    <w:p>
      <w:pPr>
        <w:pStyle w:val="FirstParagraph"/>
      </w:pPr>
      <w:r>
        <w:t xml:space="preserve">Non-maskable cells (MUST be unmasked):</w:t>
      </w:r>
    </w:p>
    <w:p>
      <w:pPr>
        <w:pStyle w:val="Compact"/>
        <w:numPr>
          <w:ilvl w:val="0"/>
          <w:numId w:val="1111"/>
        </w:numPr>
      </w:pPr>
      <w:r>
        <w:t xml:space="preserve">All rights-covered cells in any C_r</w:t>
      </w:r>
    </w:p>
    <w:p>
      <w:pPr>
        <w:pStyle w:val="Compact"/>
        <w:numPr>
          <w:ilvl w:val="0"/>
          <w:numId w:val="1112"/>
        </w:numPr>
      </w:pPr>
      <w:r>
        <w:t xml:space="preserve">All catastrophe cells in C_cat</w:t>
      </w:r>
    </w:p>
    <w:p>
      <w:pPr>
        <w:pStyle w:val="FirstParagraph"/>
      </w:pPr>
      <w:r>
        <w:t xml:space="preserve">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BodyText"/>
      </w:pPr>
      <w:r>
        <w:t xml:space="preserve">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BodyText"/>
      </w:pPr>
      <w:r>
        <w:t xml:space="preserve">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Compact"/>
        <w:numPr>
          <w:ilvl w:val="0"/>
          <w:numId w:val="1113"/>
        </w:numPr>
      </w:pPr>
      <w:r>
        <w:t xml:space="preserve">Any cells mandated by minimum governance coverage for the run (declared in PCC; default includes at least U₁, primary affected unions, and U₇ Environment when environmental relevance exists)</w:t>
      </w:r>
    </w:p>
    <w:p>
      <w:pPr>
        <w:pStyle w:val="FirstParagraph"/>
      </w:pPr>
      <w:r>
        <w:t xml:space="preserve">Audit rule: If any non-maskable cell is masked, set audit_flag RIGHTS_CELL_MASKED_INVALID (or CATASTROPHE_CELL_MASKED_INVALID) and PCC is INVALID.</w:t>
      </w:r>
    </w:p>
    <w:bookmarkEnd w:id="154"/>
    <w:bookmarkStart w:id="155" w:name="Xddddc6ce3c34f9bb668b8cb86cc9faaaca3445b"/>
    <w:p>
      <w:pPr>
        <w:pStyle w:val="Heading2"/>
      </w:pPr>
      <w:r>
        <w:t xml:space="preserve">10.2A Practical Local Scope Scoring (PLSS) (Normative)</w:t>
      </w:r>
    </w:p>
    <w:p>
      <w:pPr>
        <w:pStyle w:val="FirstParagraph"/>
      </w:pPr>
      <w:r>
        <w:t xml:space="preserve">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CSV, non-maskable cell rules, or Section 13 constitutional weight floors.</w:t>
      </w:r>
    </w:p>
    <w:p>
      <w:pPr>
        <w:pStyle w:val="BodyText"/>
      </w:pPr>
      <w:r>
        <w:t xml:space="preserve">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pPr>
      <w:r>
        <w:t xml:space="preserve">Terminology lock (Informative). LSS names the upstream stakeholder object, PLSS names the residual weight-construction procedure used within RLS, and FLGG - Focus Local, Guard Global - names the governing design principle.</w:t>
      </w:r>
    </w:p>
    <w:bookmarkEnd w:id="155"/>
    <w:bookmarkStart w:id="156" w:name="X1184715fc67c1145fa4d5b9345cbf90fa7458c0"/>
    <w:p>
      <w:pPr>
        <w:pStyle w:val="Heading2"/>
      </w:pPr>
      <w:r>
        <w:t xml:space="preserve">10.2A.0 Attention-Safety Separation Principle (Normative, architecturally grounded). PLSS operates only within the residual welfare-ranking layer. Admissibility under RF/NCRC, TRC, and CSV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FirstParagraph"/>
      </w:pPr>
      <w:r>
        <w:t xml:space="preserve">PLSS does not determine who matters; it determines how residual welfare-ranking attention is distributed after universal admissibility conditions have already been imposed.</w:t>
      </w:r>
    </w:p>
    <w:bookmarkEnd w:id="156"/>
    <w:bookmarkStart w:id="157" w:name="a.1-relation-to-existing-gates-normative"/>
    <w:p>
      <w:pPr>
        <w:pStyle w:val="Heading2"/>
      </w:pPr>
      <w:r>
        <w:t xml:space="preserve">10.2A.1 Relation to existing gates (Normative)</w:t>
      </w:r>
    </w:p>
    <w:p>
      <w:pPr>
        <w:pStyle w:val="FirstParagraph"/>
      </w:pPr>
      <w:r>
        <w:t xml:space="preserve">PLSS applies only to welfare ranking within Section 10. It SHALL NOT alter:</w:t>
      </w:r>
    </w:p>
    <w:p>
      <w:pPr>
        <w:pStyle w:val="BodyText"/>
      </w:pPr>
      <w:r>
        <w:t xml:space="preserve">• NCRC evaluation over the required rights coverage sets C_r,</w:t>
      </w:r>
    </w:p>
    <w:p>
      <w:pPr>
        <w:pStyle w:val="BodyText"/>
      </w:pPr>
      <w:r>
        <w:t xml:space="preserve">• TRC evaluation over the catastrophe cell set C_cat,</w:t>
      </w:r>
    </w:p>
    <w:p>
      <w:pPr>
        <w:pStyle w:val="BodyText"/>
      </w:pPr>
      <w:r>
        <w:t xml:space="preserve">• Containment requirements under Section 9,</w:t>
      </w:r>
    </w:p>
    <w:p>
      <w:pPr>
        <w:pStyle w:val="BodyText"/>
      </w:pPr>
      <w:r>
        <w:t xml:space="preserve">• non-maskable cell requirements under Section 10.2,</w:t>
      </w:r>
    </w:p>
    <w:p>
      <w:pPr>
        <w:pStyle w:val="BodyText"/>
      </w:pPr>
      <w:r>
        <w:t xml:space="preserve">• constitutional weight floors defined in Section 13.1.</w:t>
      </w:r>
    </w:p>
    <w:p>
      <w:pPr>
        <w:pStyle w:val="BodyText"/>
      </w:pPr>
      <w:r>
        <w:t xml:space="preserve">A PLSS run therefore remains:</w:t>
      </w:r>
    </w:p>
    <w:p>
      <w:pPr>
        <w:pStyle w:val="BodyText"/>
      </w:pPr>
      <w:r>
        <w:t xml:space="preserve">• full-scope for admissibility, where required by RF/NCRC, TRC, and CSV,</w:t>
      </w:r>
    </w:p>
    <w:p>
      <w:pPr>
        <w:pStyle w:val="BodyText"/>
      </w:pPr>
      <w:r>
        <w:t xml:space="preserve">• local-scope only in residual welfare emphasis, after admissibility has been preserved.</w:t>
      </w:r>
    </w:p>
    <w:p>
      <w:pPr>
        <w:pStyle w:val="BodyText"/>
      </w:pPr>
      <w:r>
        <w:t xml:space="preserve">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bookmarkEnd w:id="157"/>
    <w:bookmarkStart w:id="158" w:name="X664afd4317fd2cdb29856e1032da31f88fd0c60"/>
    <w:p>
      <w:pPr>
        <w:pStyle w:val="Heading2"/>
      </w:pPr>
      <w:r>
        <w:t xml:space="preserve">10.2A.2 Prominent scopes and guardrail scopes (Normative)</w:t>
      </w:r>
    </w:p>
    <w:p>
      <w:pPr>
        <w:pStyle w:val="FirstParagraph"/>
      </w:pPr>
      <w:r>
        <w:t xml:space="preserve">For a declared run, each operational Union Scope u ∈ {U1, …, U7} may be classified in the PCC as one of the following:</w:t>
      </w:r>
    </w:p>
    <w:p>
      <w:pPr>
        <w:pStyle w:val="BodyText"/>
      </w:pPr>
      <w:r>
        <w:t xml:space="preserve">• Prominent scope: a scope whose direct or near-field ripple is substantial enough that it should receive meaningful residual welfare weight in the current run.</w:t>
      </w:r>
    </w:p>
    <w:p>
      <w:pPr>
        <w:pStyle w:val="BodyText"/>
      </w:pPr>
      <w:r>
        <w:t xml:space="preserve">• Guardrail scope: a scope whose direct ripple in the current run is limited, but which remains protected by constitutional floor weight and by admissibility constraints.</w:t>
      </w:r>
    </w:p>
    <w:p>
      <w:pPr>
        <w:pStyle w:val="BodyText"/>
      </w:pPr>
      <w:r>
        <w:t xml:space="preserve">Guardrail scope classification SHALL NOT be interpreted as moral irrelevance. A guardrail scope may carry little or no residual weight in a local run, but it remains:</w:t>
      </w:r>
    </w:p>
    <w:p>
      <w:pPr>
        <w:pStyle w:val="BodyText"/>
      </w:pPr>
      <w:r>
        <w:t xml:space="preserve">• constitutionally represented through Section 13 floors,</w:t>
      </w:r>
    </w:p>
    <w:p>
      <w:pPr>
        <w:pStyle w:val="BodyText"/>
      </w:pPr>
      <w:r>
        <w:t xml:space="preserve">• admissibility-relevant where rights, catastrophe, or containment conditions apply.</w:t>
      </w:r>
    </w:p>
    <w:bookmarkEnd w:id="158"/>
    <w:bookmarkStart w:id="159" w:name="X1471311066f27fc51f891399b37d52bf3fe5315"/>
    <w:p>
      <w:pPr>
        <w:pStyle w:val="Heading2"/>
      </w:pPr>
      <w:r>
        <w:t xml:space="preserve">10.2A.3 Representation rule: instances first, scopes second (Normative)</w:t>
      </w:r>
    </w:p>
    <w:p>
      <w:pPr>
        <w:pStyle w:val="FirstParagraph"/>
      </w:pPr>
      <w:r>
        <w:t xml:space="preserve">PLSS SHALL preserve the Section 2.2A and Section 5 representation architecture:</w:t>
      </w:r>
    </w:p>
    <w:p>
      <w:pPr>
        <w:pStyle w:val="BodyText"/>
      </w:pPr>
      <w:r>
        <w:t xml:space="preserve">• stakeholder discovery is performed at the instance level,</w:t>
      </w:r>
    </w:p>
    <w:p>
      <w:pPr>
        <w:pStyle w:val="BodyText"/>
      </w:pPr>
      <w:r>
        <w:t xml:space="preserve">• instances are mapped to one or more Union Scopes,</w:t>
      </w:r>
    </w:p>
    <w:p>
      <w:pPr>
        <w:pStyle w:val="BodyText"/>
      </w:pPr>
      <w:r>
        <w:t xml:space="preserve">• impacts are aggregated within each scope row,</w:t>
      </w:r>
    </w:p>
    <w:p>
      <w:pPr>
        <w:pStyle w:val="BodyText"/>
      </w:pPr>
      <w:r>
        <w:t xml:space="preserve">• scope rows are then combined by RLS.</w:t>
      </w:r>
    </w:p>
    <w:p>
      <w:pPr>
        <w:pStyle w:val="BodyText"/>
      </w:pPr>
      <w:r>
        <w:t xml:space="preserve">Let I_u denote the declared stakeholder instance set mapped to scope u.</w:t>
      </w:r>
    </w:p>
    <w:p>
      <w:pPr>
        <w:pStyle w:val="BodyText"/>
      </w:pPr>
      <w:r>
        <w:t xml:space="preserve">For non-rights scoring, the default aggregation rule remains the canonical population-weighted mean across affected instances:</w:t>
      </w:r>
    </w:p>
    <w:p>
      <w:pPr>
        <w:pStyle w:val="BodyText"/>
      </w:pPr>
      <w:r>
        <w:t xml:space="preserve">I_agg(u,d,a) = [ Σ_(i ∈ I_u) π_i · I_i(u,d,a) ] / [ Σ_(i ∈ I_u) π_i ]</w:t>
      </w:r>
    </w:p>
    <w:p>
      <w:pPr>
        <w:pStyle w:val="BodyText"/>
      </w:pPr>
      <w:r>
        <w:t xml:space="preserve">where π_i is the declared aggregation weight for instance i, for example population share, exposure share, or another declared ReachBasis-consistent basis.</w:t>
      </w:r>
    </w:p>
    <w:p>
      <w:pPr>
        <w:pStyle w:val="BodyText"/>
      </w:pPr>
      <w:r>
        <w:t xml:space="preserve">For rights-covered cells, aggregation SHALL NOT average away the worst-off subgroup. Rights evaluation remains governed by the worst-off subgroup operator:</w:t>
      </w:r>
    </w:p>
    <w:p>
      <w:pPr>
        <w:pStyle w:val="BodyText"/>
      </w:pPr>
      <w:r>
        <w:t xml:space="preserve">I_rights(u,d,a) = min_(g ∈ G_(u,d)) I_g(u,d,a)</w:t>
      </w:r>
    </w:p>
    <w:p>
      <w:pPr>
        <w:pStyle w:val="BodyText"/>
      </w:pPr>
      <w:r>
        <w:t xml:space="preserve">This subsection does not change Section 7 semantics.</w:t>
      </w:r>
    </w:p>
    <w:bookmarkEnd w:id="159"/>
    <w:bookmarkStart w:id="160" w:name="Xf90f5ef3def3333b1a00a767cde11f1712b4463"/>
    <w:p>
      <w:pPr>
        <w:pStyle w:val="Heading2"/>
      </w:pPr>
      <w:r>
        <w:t xml:space="preserve">10.2A.4 Local prominence signal and residual allocation rule (Normative)</w:t>
      </w:r>
    </w:p>
    <w:p>
      <w:pPr>
        <w:pStyle w:val="FirstParagraph"/>
      </w:pPr>
      <w:r>
        <w:t xml:space="preserve">PLSS introduces a declared local prominence signal q_u for each scope u, used only to distribute the residual union-weight mass that remains after constitutional floors.</w:t>
      </w:r>
    </w:p>
    <w:p>
      <w:pPr>
        <w:pStyle w:val="BodyText"/>
      </w:pPr>
      <w:r>
        <w:t xml:space="preserve">Each q_u SHALL be recorded in the PCC and SHALL be justified by reference to the current decision context. A recommended default construction is a declared combination of:</w:t>
      </w:r>
    </w:p>
    <w:p>
      <w:pPr>
        <w:pStyle w:val="BodyText"/>
      </w:pPr>
      <w:r>
        <w:t xml:space="preserve">• expected magnitude of ripple in scope u,</w:t>
      </w:r>
    </w:p>
    <w:p>
      <w:pPr>
        <w:pStyle w:val="BodyText"/>
      </w:pPr>
      <w:r>
        <w:t xml:space="preserve">• probability that the effect materializes,</w:t>
      </w:r>
    </w:p>
    <w:p>
      <w:pPr>
        <w:pStyle w:val="BodyText"/>
      </w:pPr>
      <w:r>
        <w:t xml:space="preserve">• temporal persistence or duration,</w:t>
      </w:r>
    </w:p>
    <w:p>
      <w:pPr>
        <w:pStyle w:val="BodyText"/>
      </w:pPr>
      <w:r>
        <w:t xml:space="preserve">• propagation potential beyond immediate contact.</w:t>
      </w:r>
    </w:p>
    <w:p>
      <w:pPr>
        <w:pStyle w:val="BodyText"/>
      </w:pPr>
      <w:r>
        <w:t xml:space="preserve">A recommended default operator is:</w:t>
      </w:r>
    </w:p>
    <w:p>
      <w:pPr>
        <w:pStyle w:val="BodyText"/>
      </w:pPr>
      <w:r>
        <w:t xml:space="preserve">q_u = ψ(M_u, P_u, T_u, G_u)</w:t>
      </w:r>
    </w:p>
    <w:p>
      <w:pPr>
        <w:pStyle w:val="BodyText"/>
      </w:pPr>
      <w:r>
        <w:t xml:space="preserve">with M_u, P_u, T_u, G_u ∈ [0,1], and a default transparent choice:</w:t>
      </w:r>
    </w:p>
    <w:p>
      <w:pPr>
        <w:pStyle w:val="BodyText"/>
      </w:pPr>
      <w:r>
        <w:t xml:space="preserve">ψ(M_u, P_u, T_u, G_u) = (M_u P_u T_u G_u)^(1/4)</w:t>
      </w:r>
    </w:p>
    <w:p>
      <w:pPr>
        <w:pStyle w:val="BodyText"/>
      </w:pPr>
      <w:r>
        <w:t xml:space="preserve">This recommended operator is informative by default unless separately elevated by governance rule; the required part is that the PCC declare the operator used.</w:t>
      </w:r>
    </w:p>
    <w:p>
      <w:pPr>
        <w:pStyle w:val="BodyText"/>
      </w:pPr>
      <w:r>
        <w:t xml:space="preserve">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pPr>
      <w:r>
        <w:t xml:space="preserve">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pPr>
      <w:r>
        <w:t xml:space="preserve">Define residual shares:</w:t>
      </w:r>
    </w:p>
    <w:p>
      <w:pPr>
        <w:pStyle w:val="BodyText"/>
      </w:pPr>
      <w:r>
        <w:t xml:space="preserve">ρ_u = q_u / Σ_j q_j, if Σ_j q_j &gt; 0</w:t>
      </w:r>
    </w:p>
    <w:p>
      <w:pPr>
        <w:pStyle w:val="BodyText"/>
      </w:pPr>
      <w:r>
        <w:t xml:space="preserve">If all q_u = 0, the residual SHALL be allocated uniformly unless another declared fallback is specified in the PCC.</w:t>
      </w:r>
    </w:p>
    <w:p>
      <w:pPr>
        <w:pStyle w:val="BodyText"/>
      </w:pPr>
      <w:r>
        <w:t xml:space="preserve">Let w_u^floor be the Section 13.1 constitutional floor for scope u. Then the PLSS union weights are:</w:t>
      </w:r>
    </w:p>
    <w:p>
      <w:pPr>
        <w:pStyle w:val="BodyText"/>
      </w:pPr>
      <w:r>
        <w:t xml:space="preserve">w_u^PLSS = w_u^floor + (1 - Σ_j w_j^floor) ρ_u</w:t>
      </w:r>
    </w:p>
    <w:p>
      <w:pPr>
        <w:pStyle w:val="BodyText"/>
      </w:pPr>
      <w:r>
        <w:t xml:space="preserve">subject to the canonical constraints:</w:t>
      </w:r>
    </w:p>
    <w:p>
      <w:pPr>
        <w:pStyle w:val="BodyText"/>
      </w:pPr>
      <w:r>
        <w:t xml:space="preserve">w_u^PLSS ≥ 0</w:t>
      </w:r>
    </w:p>
    <w:p>
      <w:pPr>
        <w:pStyle w:val="BodyText"/>
      </w:pPr>
      <w:r>
        <w:t xml:space="preserve">Σ_u w_u^PLSS = 1</w:t>
      </w:r>
    </w:p>
    <w:p>
      <w:pPr>
        <w:pStyle w:val="BodyText"/>
      </w:pPr>
      <w:r>
        <w:t xml:space="preserve">w_u^PLSS ≥ w_u^floor</w:t>
      </w:r>
    </w:p>
    <w:p>
      <w:pPr>
        <w:pStyle w:val="BodyText"/>
      </w:pPr>
      <w:r>
        <w:t xml:space="preserve">for every scope u.</w:t>
      </w:r>
    </w:p>
    <w:p>
      <w:pPr>
        <w:pStyle w:val="BodyText"/>
      </w:pPr>
      <w:r>
        <w:t xml:space="preserve">Interpretation (Informative). PLSS does not re-write the constitution. It lets local runs place most of the residual emphasis on nearby scopes while retaining the constitutional baseline presence of broader scopes.</w:t>
      </w:r>
    </w:p>
    <w:bookmarkEnd w:id="160"/>
    <w:bookmarkStart w:id="161" w:name="a.5-plss-rls-equation-normative"/>
    <w:p>
      <w:pPr>
        <w:pStyle w:val="Heading2"/>
      </w:pPr>
      <w:r>
        <w:t xml:space="preserve">10.2A.5 PLSS RLS equation (Normative)</w:t>
      </w:r>
    </w:p>
    <w:p>
      <w:pPr>
        <w:pStyle w:val="FirstParagraph"/>
      </w:pPr>
      <w:r>
        <w:t xml:space="preserve">For any selectable option a ∈ A_sel, the local-scope welfare ranking is:</w:t>
      </w:r>
    </w:p>
    <w:p>
      <w:pPr>
        <w:pStyle w:val="BodyText"/>
      </w:pPr>
      <w:r>
        <w:t xml:space="preserve">RLS_PLSS(a) = Σ_u Σ_d w_u^PLSS · v_d · m(u,d) · κ(u,d) · I_prop_welfare(u,d,a)</w:t>
      </w:r>
    </w:p>
    <w:p>
      <w:pPr>
        <w:pStyle w:val="BodyText"/>
      </w:pPr>
      <w:r>
        <w:t xml:space="preserve">where:</w:t>
      </w:r>
    </w:p>
    <w:p>
      <w:pPr>
        <w:pStyle w:val="BodyText"/>
      </w:pPr>
      <w:r>
        <w:t xml:space="preserve">• w_u^PLSS is defined by Section 10.2A.4,</w:t>
      </w:r>
    </w:p>
    <w:p>
      <w:pPr>
        <w:pStyle w:val="BodyText"/>
      </w:pPr>
      <w:r>
        <w:t xml:space="preserve">• v_d remains governed by Section 13,</w:t>
      </w:r>
    </w:p>
    <w:p>
      <w:pPr>
        <w:pStyle w:val="BodyText"/>
      </w:pPr>
      <w:r>
        <w:t xml:space="preserve">• m(u,d) remains governed by Section 10.2,</w:t>
      </w:r>
    </w:p>
    <w:p>
      <w:pPr>
        <w:pStyle w:val="BodyText"/>
      </w:pPr>
      <w:r>
        <w:t xml:space="preserve">• κ(u,d) remains governed by Section 10.1,</w:t>
      </w:r>
    </w:p>
    <w:p>
      <w:pPr>
        <w:pStyle w:val="BodyText"/>
      </w:pPr>
      <w:r>
        <w:t xml:space="preserve">• I_prop_welfare(u,d,a) remains governed by Sections 5–6.</w:t>
      </w:r>
    </w:p>
    <w:p>
      <w:pPr>
        <w:pStyle w:val="BodyText"/>
      </w:pPr>
      <w:r>
        <w:t xml:space="preserve">If no kernel propagation is declared, then:</w:t>
      </w:r>
    </w:p>
    <w:p>
      <w:pPr>
        <w:pStyle w:val="BodyText"/>
      </w:pPr>
      <w:r>
        <w:t xml:space="preserve">I_prop_welfare(u,d,a) = I_dir(u,d,a)</w:t>
      </w:r>
    </w:p>
    <w:p>
      <w:pPr>
        <w:pStyle w:val="BodyText"/>
      </w:pPr>
      <w:r>
        <w:t xml:space="preserve">per the existing NONE propagation pathway.</w:t>
      </w:r>
    </w:p>
    <w:p>
      <w:pPr>
        <w:pStyle w:val="BodyText"/>
      </w:pPr>
      <w:r>
        <w:t xml:space="preserve">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11.4 MUST be applied. PLSS SHALL NOT bypass uncertainty handling, decisiveness testing, or tie-break governance.</w:t>
      </w:r>
    </w:p>
    <w:p>
      <w:pPr>
        <w:pStyle w:val="BodyText"/>
      </w:pPr>
      <w:r>
        <w:t xml:space="preserve">10.2A.5B PLSS prominence sensitivity (Normative)</w:t>
      </w:r>
    </w:p>
    <w:p>
      <w:pPr>
        <w:pStyle w:val="BodyText"/>
      </w:pPr>
      <w:r>
        <w:t xml:space="preserve">When PLSS is used in Tier 3, the PCC MUST rerun the welfare ranking under at least two alternative valid prominence constructions:</w:t>
      </w:r>
    </w:p>
    <w:p>
      <w:pPr>
        <w:pStyle w:val="BodyText"/>
      </w:pPr>
      <w:r>
        <w:t xml:space="preserve">(i) the uniform residual fallback, and</w:t>
      </w:r>
    </w:p>
    <w:p>
      <w:pPr>
        <w:pStyle w:val="BodyText"/>
      </w:pPr>
      <w:r>
        <w:t xml:space="preserve">(ii) a broadened guardrail-sensitive vector in which every scope classified Guardrail receives q_u at least 0.10 times the maximum q_u among prominent scopes, unless a stricter charter rule is declared.</w:t>
      </w:r>
    </w:p>
    <w:p>
      <w:pPr>
        <w:pStyle w:val="BodyText"/>
      </w:pPr>
      <w:r>
        <w:t xml:space="preserve">If the ranking order of selectable options or the selected option changes under these alternative valid prominence constructions, the run MUST set audit flag PLSS_PROMINENCE_SENSITIVE and document the sensitivity in the PCC.</w:t>
      </w:r>
    </w:p>
    <w:p>
      <w:pPr>
        <w:pStyle w:val="BodyText"/>
      </w:pPr>
      <w:r>
        <w:t xml:space="preserve">This requirement does not alter admissibility, which remains governed by the Attention-Safety Separation Principle and the upstream gates.</w:t>
      </w:r>
    </w:p>
    <w:bookmarkEnd w:id="161"/>
    <w:bookmarkStart w:id="162" w:name="X7440a390c03875fc89b18cd6dd9174e276c4d5d"/>
    <w:p>
      <w:pPr>
        <w:pStyle w:val="Heading2"/>
      </w:pPr>
      <w:r>
        <w:t xml:space="preserve">10.2A.6 Masking and non-maskable rule under PLSS (Normative)</w:t>
      </w:r>
    </w:p>
    <w:p>
      <w:pPr>
        <w:pStyle w:val="FirstParagraph"/>
      </w:pPr>
      <w:r>
        <w:t xml:space="preserve">PLSS SHALL NOT modify the Section 10.2 mask rule.</w:t>
      </w:r>
    </w:p>
    <w:p>
      <w:pPr>
        <w:pStyle w:val="BodyText"/>
      </w:pPr>
      <w:r>
        <w:t xml:space="preserve">In particular:</w:t>
      </w:r>
    </w:p>
    <w:p>
      <w:pPr>
        <w:pStyle w:val="BodyText"/>
      </w:pPr>
      <w:r>
        <w:t xml:space="preserve">• masking remains RLS aggregation only,</w:t>
      </w:r>
    </w:p>
    <w:p>
      <w:pPr>
        <w:pStyle w:val="BodyText"/>
      </w:pPr>
      <w:r>
        <w:t xml:space="preserve">• masking SHALL NOT be used as omission,</w:t>
      </w:r>
    </w:p>
    <w:p>
      <w:pPr>
        <w:pStyle w:val="BodyText"/>
      </w:pPr>
      <w:r>
        <w:t xml:space="preserve">• rights-covered cells and catastrophe-relevant cells remain non-maskable where required by the canon,</w:t>
      </w:r>
    </w:p>
    <w:p>
      <w:pPr>
        <w:pStyle w:val="BodyText"/>
      </w:pPr>
      <w:r>
        <w:t xml:space="preserve">• reduced-scope or local-scope presentation SHALL NOT bypass admissibility on required cells.</w:t>
      </w:r>
    </w:p>
    <w:p>
      <w:pPr>
        <w:pStyle w:val="BodyText"/>
      </w:pPr>
      <w:r>
        <w:t xml:space="preserve">Thus PLSS narrows practical emphasis, not moral coverage.</w:t>
      </w:r>
    </w:p>
    <w:bookmarkEnd w:id="162"/>
    <w:bookmarkStart w:id="163" w:name="a.7-escalation-triggers-normative"/>
    <w:p>
      <w:pPr>
        <w:pStyle w:val="Heading2"/>
      </w:pPr>
      <w:r>
        <w:t xml:space="preserve">10.2A.7 Escalation triggers (Normative)</w:t>
      </w:r>
    </w:p>
    <w:p>
      <w:pPr>
        <w:pStyle w:val="FirstParagraph"/>
      </w:pPr>
      <w:r>
        <w:t xml:space="preserve">A run SHALL NOT remain in PLSS-only posture, or SHALL be rerun with broader scrutiny, if any of the following are plausible:</w:t>
      </w:r>
    </w:p>
    <w:p>
      <w:pPr>
        <w:pStyle w:val="BodyText"/>
      </w:pPr>
      <w:r>
        <w:t xml:space="preserve">1. rights-covered harm beyond the prominent scopes,</w:t>
      </w:r>
    </w:p>
    <w:p>
      <w:pPr>
        <w:pStyle w:val="BodyText"/>
      </w:pPr>
      <w:r>
        <w:t xml:space="preserve">2. catastrophe relevance or irreversible loss,</w:t>
      </w:r>
    </w:p>
    <w:p>
      <w:pPr>
        <w:pStyle w:val="BodyText"/>
      </w:pPr>
      <w:r>
        <w:t xml:space="preserve">3. meaningful externalities crossing Community, Organization, Polity, Humanity/CMIU, or Biosphere pathways,</w:t>
      </w:r>
    </w:p>
    <w:p>
      <w:pPr>
        <w:pStyle w:val="BodyText"/>
      </w:pPr>
      <w:r>
        <w:t xml:space="preserve">4. lock-in, precedent, or nontrivial governance spillover,</w:t>
      </w:r>
    </w:p>
    <w:p>
      <w:pPr>
        <w:pStyle w:val="BodyText"/>
      </w:pPr>
      <w:r>
        <w:t xml:space="preserve">5. a credible challenger claim that a stakeholder class or scope was omitted,</w:t>
      </w:r>
    </w:p>
    <w:p>
      <w:pPr>
        <w:pStyle w:val="BodyText"/>
      </w:pPr>
      <w:r>
        <w:t xml:space="preserve">6. Containment requires unavailable evidence for containing scopes,</w:t>
      </w:r>
    </w:p>
    <w:p>
      <w:pPr>
        <w:pStyle w:val="BodyText"/>
      </w:pPr>
      <w:r>
        <w:t xml:space="preserve">7. repeated comparable runs continue to use local-scope framing without the required next-run expansion plan.</w:t>
      </w:r>
    </w:p>
    <w:p>
      <w:pPr>
        <w:pStyle w:val="BodyText"/>
      </w:pPr>
      <w:r>
        <w:t xml:space="preserve">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pPr>
      <w:r>
        <w:t xml:space="preserve">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pPr>
      <w:r>
        <w:t xml:space="preserve">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pPr>
      <w:r>
        <w:t xml:space="preserve">Scope posture classification note (Normative). When PLSS is used, each scope SHALL be classified in the PCC as either Prominent or Guardrail. v9.0 removes the undefined</w:t>
      </w:r>
      <w:r>
        <w:t xml:space="preserve"> </w:t>
      </w:r>
      <w:r>
        <w:t xml:space="preserve">“</w:t>
      </w:r>
      <w:r>
        <w:t xml:space="preserve">Mixed</w:t>
      </w:r>
      <w:r>
        <w:t xml:space="preserve">”</w:t>
      </w:r>
      <w:r>
        <w:t xml:space="preserve"> </w:t>
      </w:r>
      <w:r>
        <w:t xml:space="preserve">category to reduce audit drift; if a deployment wants finer descriptive language, it MAY add non-canonical comments, but the PCC classification field SHALL remain binary.</w:t>
      </w:r>
    </w:p>
    <w:bookmarkEnd w:id="163"/>
    <w:bookmarkStart w:id="164" w:name="X142345dcb8b005cf2f4884948d0a3200e24140e"/>
    <w:p>
      <w:pPr>
        <w:pStyle w:val="Heading2"/>
      </w:pPr>
      <w:r>
        <w:t xml:space="preserve">10.2A.8 Plain-language reading rule (Normative)</w:t>
      </w:r>
    </w:p>
    <w:p>
      <w:pPr>
        <w:pStyle w:val="FirstParagraph"/>
      </w:pPr>
      <w:r>
        <w:t xml:space="preserve">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pPr>
      <w:r>
        <w:t xml:space="preserve">For instructional and public-facing use, the framework MAY describe PLSS with the following plain-language sentence:</w:t>
      </w:r>
    </w:p>
    <w:p>
      <w:pPr>
        <w:pStyle w:val="BodyText"/>
      </w:pPr>
      <w:r>
        <w:t xml:space="preserve">“</w:t>
      </w:r>
      <w:r>
        <w:t xml:space="preserve">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r>
        <w:t xml:space="preserve">”</w:t>
      </w:r>
    </w:p>
    <w:p>
      <w:pPr>
        <w:pStyle w:val="BodyText"/>
      </w:pPr>
      <w:r>
        <w:t xml:space="preserve">This sentence is interpretive only and SHALL NOT override the equations above.</w:t>
      </w:r>
    </w:p>
    <w:bookmarkEnd w:id="164"/>
    <w:bookmarkStart w:id="165" w:name="X565899f4fe9a4f150e204e89d62845614a05235"/>
    <w:p>
      <w:pPr>
        <w:pStyle w:val="Heading2"/>
      </w:pPr>
      <w:r>
        <w:t xml:space="preserve">10.2A.9 Worked example: family café local run (Informative)</w:t>
      </w:r>
    </w:p>
    <w:p>
      <w:pPr>
        <w:pStyle w:val="FirstParagraph"/>
      </w:pPr>
      <w:r>
        <w:t xml:space="preserve">Decision. A family café must choose between:</w:t>
      </w:r>
    </w:p>
    <w:p>
      <w:pPr>
        <w:pStyle w:val="BodyText"/>
      </w:pPr>
      <w:r>
        <w:t xml:space="preserve">• Option A: cheap single-use cups,</w:t>
      </w:r>
    </w:p>
    <w:p>
      <w:pPr>
        <w:pStyle w:val="BodyText"/>
      </w:pPr>
      <w:r>
        <w:t xml:space="preserve">• Option B: reusable deposit-return cups with a local wash partner,</w:t>
      </w:r>
    </w:p>
    <w:p>
      <w:pPr>
        <w:pStyle w:val="BodyText"/>
      </w:pPr>
      <w:r>
        <w:t xml:space="preserve">• Option C: ultra-cheap cups from an unverified supplier with plausible toxic-material or labor-abuse exposure.</w:t>
      </w:r>
    </w:p>
    <w:p>
      <w:pPr>
        <w:pStyle w:val="BodyText"/>
      </w:pPr>
      <w:r>
        <w:t xml:space="preserve">Declared stakeholder instances by scope:</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Humanity/CMIU: 1 instance</w:t>
      </w:r>
    </w:p>
    <w:p>
      <w:pPr>
        <w:pStyle w:val="BodyText"/>
      </w:pPr>
      <w:r>
        <w:t xml:space="preserve">• U7 Biosphere: 1 instance</w:t>
      </w:r>
    </w:p>
    <w:p>
      <w:pPr>
        <w:pStyle w:val="BodyText"/>
      </w:pPr>
      <w:r>
        <w:t xml:space="preserve">This run illustrates the distinction between instances and scopes. The café does not score Community in the abstract. It scores the affected Community instances, then aggregates them into the U3 row.</w:t>
      </w:r>
    </w:p>
    <w:p>
      <w:pPr>
        <w:pStyle w:val="BodyText"/>
      </w:pPr>
      <w:r>
        <w:t xml:space="preserve">Declared local prominence signals:</w:t>
      </w:r>
    </w:p>
    <w:p>
      <w:pPr>
        <w:pStyle w:val="BodyText"/>
      </w:pPr>
      <w:r>
        <w:t xml:space="preserve">q = (U1,U2,U3,U4,U5,U6,U7) = (0.95, 0.85, 0.55, 0.50, 0.10, 0.03, 0.02)</w:t>
      </w:r>
    </w:p>
    <w:p>
      <w:pPr>
        <w:pStyle w:val="BodyText"/>
      </w:pPr>
      <w:r>
        <w:t xml:space="preserve">These sum to 3.00.</w:t>
      </w:r>
    </w:p>
    <w:p>
      <w:pPr>
        <w:pStyle w:val="BodyText"/>
      </w:pPr>
      <w:r>
        <w:t xml:space="preserve">Under Section 13.1, the union floors are:</w:t>
      </w:r>
    </w:p>
    <w:p>
      <w:pPr>
        <w:pStyle w:val="BodyText"/>
      </w:pPr>
      <w:r>
        <w:t xml:space="preserve">w^floor = (0.20, 0.06, 0.06, 0.06, 0.08, 0.10, 0.10)</w:t>
      </w:r>
    </w:p>
    <w:p>
      <w:pPr>
        <w:pStyle w:val="BodyText"/>
      </w:pPr>
      <w:r>
        <w:t xml:space="preserve">The floor total is 0.66, so the residual is 0.34. The resulting PLSS weights are:</w:t>
      </w:r>
    </w:p>
    <w:p>
      <w:pPr>
        <w:pStyle w:val="BodyText"/>
      </w:pPr>
      <w:r>
        <w:t xml:space="preserve">w^PLSS ≈ (0.308, 0.156, 0.122, 0.117, 0.091, 0.103, 0.102)</w:t>
      </w:r>
    </w:p>
    <w:p>
      <w:pPr>
        <w:pStyle w:val="BodyText"/>
      </w:pPr>
      <w:r>
        <w:t xml:space="preserve">Interpretation. Self, Household, Community, and Organization receive most of the residual attention. Polity, Humanity/CMIU, and Biosphere remain meaningfully present because the current constitution keeps them above zero even in local runs.</w:t>
      </w:r>
    </w:p>
    <w:p>
      <w:pPr>
        <w:pStyle w:val="BodyText"/>
      </w:pPr>
      <w:r>
        <w:t xml:space="preserve">Table 10-1. Illustrative local prominence signals and PLSS union weights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807"/>
        <w:gridCol w:w="2101"/>
        <w:gridCol w:w="2208"/>
        <w:gridCol w:w="2101"/>
      </w:tblGrid>
      <w:tr>
        <w:trPr>
          <w:tblHeader w:val="true"/>
          <w:cantSplit/>
        </w:trPr>
        <w:tc>
          <w:tcPr>
            <w:tcW w:w="2807"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Union Scope</w:t>
            </w:r>
          </w:p>
        </w:tc>
        <w:tc>
          <w:tcPr>
            <w:tcW w:w="210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q_u</w:t>
            </w:r>
          </w:p>
        </w:tc>
        <w:tc>
          <w:tcPr>
            <w:tcW w:w="2208"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w_u^floor</w:t>
            </w:r>
          </w:p>
        </w:tc>
        <w:tc>
          <w:tcPr>
            <w:tcW w:w="210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w_u^PLSS</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U1 Self</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0.95</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0.20</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0.308</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U2 Household</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0.85</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0.156</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U3 Community</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0.55</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0.122</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U4 Organization</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0.50</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0.117</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U5 Polity</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0.10</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0.08</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0.091</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U6 Humanity/CMIU</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0.03</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0.10</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0.103</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U7 Biosphere</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0.02</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0.10</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0.102</w:t>
            </w:r>
          </w:p>
        </w:tc>
      </w:tr>
    </w:tbl>
    <w:p>
      <w:pPr>
        <w:pStyle w:val="BodyText"/>
      </w:pPr>
      <w:r>
        <w:t xml:space="preserve">Illustrative scope-level welfare composites:</w:t>
      </w:r>
    </w:p>
    <w:p>
      <w:pPr>
        <w:pStyle w:val="BodyText"/>
      </w:pPr>
      <w:r>
        <w:t xml:space="preserve">Table 10-2. Illustrative scope composites by option</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692"/>
        <w:gridCol w:w="2763"/>
        <w:gridCol w:w="2763"/>
      </w:tblGrid>
      <w:tr>
        <w:trPr>
          <w:tblHeader w:val="true"/>
          <w:cantSplit/>
        </w:trPr>
        <w:tc>
          <w:tcPr>
            <w:tcW w:w="3692"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Scope</w:t>
            </w:r>
          </w:p>
        </w:tc>
        <w:tc>
          <w:tcPr>
            <w:tcW w:w="276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Q_u(A)</w:t>
            </w:r>
          </w:p>
        </w:tc>
        <w:tc>
          <w:tcPr>
            <w:tcW w:w="276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Q_u(B)</w:t>
            </w:r>
          </w:p>
        </w:tc>
      </w:tr>
      <w:tr>
        <w:trPr>
          <w:cantSplit/>
        </w:trPr>
        <w:tc>
          <w:tcPr>
            <w:tcW w:w="3692" w:type="dxa"/>
            <w:vAlign w:val="top"/>
            <w:tcMar>
              <w:top w:w="70" w:type="dxa"/>
              <w:start w:w="90" w:type="dxa"/>
              <w:bottom w:w="70" w:type="dxa"/>
              <w:end w:w="90" w:type="dxa"/>
            </w:tcMar>
            <w:shd w:fill="FFFFFF" w:val="clear"/>
          </w:tcPr>
          <w:p>
            <w:pPr>
              <w:pStyle w:val="Compact"/>
              <w:spacing w:before="0" w:after="0"/>
              <w:jc w:val="left"/>
            </w:pPr>
            <w:r>
              <w:rPr>
                <w:sz w:val="18"/>
              </w:rPr>
              <w:t xml:space="preserve">U1 Self</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0.25</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0.18</w:t>
            </w:r>
          </w:p>
        </w:tc>
      </w:tr>
      <w:tr>
        <w:trPr>
          <w:cantSplit/>
        </w:trPr>
        <w:tc>
          <w:tcPr>
            <w:tcW w:w="3692" w:type="dxa"/>
            <w:vAlign w:val="top"/>
            <w:tcMar>
              <w:top w:w="70" w:type="dxa"/>
              <w:start w:w="90" w:type="dxa"/>
              <w:bottom w:w="70" w:type="dxa"/>
              <w:end w:w="90" w:type="dxa"/>
            </w:tcMar>
            <w:shd w:fill="F3F7FB" w:val="clear"/>
          </w:tcPr>
          <w:p>
            <w:pPr>
              <w:pStyle w:val="Compact"/>
              <w:spacing w:before="0" w:after="0"/>
              <w:jc w:val="left"/>
            </w:pPr>
            <w:r>
              <w:rPr>
                <w:sz w:val="18"/>
              </w:rPr>
              <w:t xml:space="preserve">U2 Household</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0.10</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0.35</w:t>
            </w:r>
          </w:p>
        </w:tc>
      </w:tr>
      <w:tr>
        <w:trPr>
          <w:cantSplit/>
        </w:trPr>
        <w:tc>
          <w:tcPr>
            <w:tcW w:w="3692" w:type="dxa"/>
            <w:vAlign w:val="top"/>
            <w:tcMar>
              <w:top w:w="70" w:type="dxa"/>
              <w:start w:w="90" w:type="dxa"/>
              <w:bottom w:w="70" w:type="dxa"/>
              <w:end w:w="90" w:type="dxa"/>
            </w:tcMar>
            <w:shd w:fill="FFFFFF" w:val="clear"/>
          </w:tcPr>
          <w:p>
            <w:pPr>
              <w:pStyle w:val="Compact"/>
              <w:spacing w:before="0" w:after="0"/>
              <w:jc w:val="left"/>
            </w:pPr>
            <w:r>
              <w:rPr>
                <w:sz w:val="18"/>
              </w:rPr>
              <w:t xml:space="preserve">U3 Community</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-0.06</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0.41</w:t>
            </w:r>
          </w:p>
        </w:tc>
      </w:tr>
      <w:tr>
        <w:trPr>
          <w:cantSplit/>
        </w:trPr>
        <w:tc>
          <w:tcPr>
            <w:tcW w:w="3692" w:type="dxa"/>
            <w:vAlign w:val="top"/>
            <w:tcMar>
              <w:top w:w="70" w:type="dxa"/>
              <w:start w:w="90" w:type="dxa"/>
              <w:bottom w:w="70" w:type="dxa"/>
              <w:end w:w="90" w:type="dxa"/>
            </w:tcMar>
            <w:shd w:fill="F3F7FB" w:val="clear"/>
          </w:tcPr>
          <w:p>
            <w:pPr>
              <w:pStyle w:val="Compact"/>
              <w:spacing w:before="0" w:after="0"/>
              <w:jc w:val="left"/>
            </w:pPr>
            <w:r>
              <w:rPr>
                <w:sz w:val="18"/>
              </w:rPr>
              <w:t xml:space="preserve">U4 Organization</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0.20</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0.32</w:t>
            </w:r>
          </w:p>
        </w:tc>
      </w:tr>
      <w:tr>
        <w:trPr>
          <w:cantSplit/>
        </w:trPr>
        <w:tc>
          <w:tcPr>
            <w:tcW w:w="3692" w:type="dxa"/>
            <w:vAlign w:val="top"/>
            <w:tcMar>
              <w:top w:w="70" w:type="dxa"/>
              <w:start w:w="90" w:type="dxa"/>
              <w:bottom w:w="70" w:type="dxa"/>
              <w:end w:w="90" w:type="dxa"/>
            </w:tcMar>
            <w:shd w:fill="FFFFFF" w:val="clear"/>
          </w:tcPr>
          <w:p>
            <w:pPr>
              <w:pStyle w:val="Compact"/>
              <w:spacing w:before="0" w:after="0"/>
              <w:jc w:val="left"/>
            </w:pPr>
            <w:r>
              <w:rPr>
                <w:sz w:val="18"/>
              </w:rPr>
              <w:t xml:space="preserve">U5 Polity</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-0.10</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0.12</w:t>
            </w:r>
          </w:p>
        </w:tc>
      </w:tr>
      <w:tr>
        <w:trPr>
          <w:cantSplit/>
        </w:trPr>
        <w:tc>
          <w:tcPr>
            <w:tcW w:w="3692" w:type="dxa"/>
            <w:vAlign w:val="top"/>
            <w:tcMar>
              <w:top w:w="70" w:type="dxa"/>
              <w:start w:w="90" w:type="dxa"/>
              <w:bottom w:w="70" w:type="dxa"/>
              <w:end w:w="90" w:type="dxa"/>
            </w:tcMar>
            <w:shd w:fill="F3F7FB" w:val="clear"/>
          </w:tcPr>
          <w:p>
            <w:pPr>
              <w:pStyle w:val="Compact"/>
              <w:spacing w:before="0" w:after="0"/>
              <w:jc w:val="left"/>
            </w:pPr>
            <w:r>
              <w:rPr>
                <w:sz w:val="18"/>
              </w:rPr>
              <w:t xml:space="preserve">U6 Humanity/CMIU</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-0.08</w:t>
            </w:r>
          </w:p>
        </w:tc>
        <w:tc>
          <w:tcPr>
            <w:tcW w:w="2763" w:type="dxa"/>
            <w:vAlign w:val="top"/>
            <w:tcMar>
              <w:top w:w="70" w:type="dxa"/>
              <w:start w:w="90" w:type="dxa"/>
              <w:bottom w:w="70" w:type="dxa"/>
              <w:end w:w="90" w:type="dxa"/>
            </w:tcMar>
            <w:shd w:fill="F3F7FB" w:val="clear"/>
          </w:tcPr>
          <w:p>
            <w:pPr>
              <w:pStyle w:val="Compact"/>
              <w:spacing w:before="0" w:after="0"/>
              <w:jc w:val="left"/>
            </w:pPr>
            <w:r>
              <w:rPr>
                <w:sz w:val="18"/>
              </w:rPr>
              <w:t xml:space="preserve">0.05</w:t>
            </w:r>
          </w:p>
        </w:tc>
      </w:tr>
      <w:tr>
        <w:trPr>
          <w:cantSplit/>
        </w:trPr>
        <w:tc>
          <w:tcPr>
            <w:tcW w:w="3692" w:type="dxa"/>
            <w:vAlign w:val="top"/>
            <w:tcMar>
              <w:top w:w="70" w:type="dxa"/>
              <w:start w:w="90" w:type="dxa"/>
              <w:bottom w:w="70" w:type="dxa"/>
              <w:end w:w="90" w:type="dxa"/>
            </w:tcMar>
            <w:shd w:fill="FFFFFF" w:val="clear"/>
          </w:tcPr>
          <w:p>
            <w:pPr>
              <w:pStyle w:val="Compact"/>
              <w:spacing w:before="0" w:after="0"/>
              <w:jc w:val="left"/>
            </w:pPr>
            <w:r>
              <w:rPr>
                <w:sz w:val="18"/>
              </w:rPr>
              <w:t xml:space="preserve">U7 Biosphere</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-0.25</w:t>
            </w:r>
          </w:p>
        </w:tc>
        <w:tc>
          <w:tcPr>
            <w:tcW w:w="2763" w:type="dxa"/>
            <w:vAlign w:val="top"/>
            <w:tcMar>
              <w:top w:w="70" w:type="dxa"/>
              <w:start w:w="90" w:type="dxa"/>
              <w:bottom w:w="70" w:type="dxa"/>
              <w:end w:w="90" w:type="dxa"/>
            </w:tcMar>
            <w:shd w:fill="FFFFFF" w:val="clear"/>
          </w:tcPr>
          <w:p>
            <w:pPr>
              <w:pStyle w:val="Compact"/>
              <w:spacing w:before="0" w:after="0"/>
              <w:jc w:val="left"/>
            </w:pPr>
            <w:r>
              <w:rPr>
                <w:sz w:val="18"/>
              </w:rPr>
              <w:t xml:space="preserve">0.30</w:t>
            </w:r>
          </w:p>
        </w:tc>
      </w:tr>
    </w:tbl>
    <w:p>
      <w:pPr>
        <w:pStyle w:val="BodyText"/>
      </w:pPr>
      <w:r>
        <w:t xml:space="preserve">Then:</w:t>
      </w:r>
    </w:p>
    <w:p>
      <w:pPr>
        <w:pStyle w:val="BodyText"/>
      </w:pPr>
      <w:r>
        <w:t xml:space="preserve">RLS_PLSS(A) ≈ 0.0656</w:t>
      </w:r>
    </w:p>
    <w:p>
      <w:pPr>
        <w:pStyle w:val="BodyText"/>
      </w:pPr>
      <w:r>
        <w:t xml:space="preserve">RLS_PLSS(B) ≈ 0.2444</w:t>
      </w:r>
    </w:p>
    <w:p>
      <w:pPr>
        <w:pStyle w:val="BodyText"/>
      </w:pPr>
      <w:r>
        <w:t xml:space="preserve">So Option B wins on welfare ranking among selectable options.</w:t>
      </w:r>
    </w:p>
    <w:p>
      <w:pPr>
        <w:pStyle w:val="BodyText"/>
      </w:pPr>
      <w:r>
        <w:t xml:space="preserve">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11.4 tie-break chain applies. This example is intended to illustrate PLSS weight construction and score propagation, not to waive the framework’s general decisiveness discipline.</w:t>
      </w:r>
    </w:p>
    <w:p>
      <w:pPr>
        <w:pStyle w:val="BodyText"/>
      </w:pPr>
      <w:r>
        <w:t xml:space="preserve">Admissibility note. If Option C carries plausible rights-floor or catastrophe concerns through toxic exposure or abusive supply-chain conditions, it may fail NCRC or TRC before RLS ranking. If so, it is not saved by local convenience or low cost.</w:t>
      </w:r>
    </w:p>
    <w:p>
      <w:pPr>
        <w:pStyle w:val="BodyText"/>
      </w:pPr>
      <w:r>
        <w:t xml:space="preserve">Lesson (Informative). PLSS does not say</w:t>
      </w:r>
      <w:r>
        <w:t xml:space="preserve"> </w:t>
      </w:r>
      <w:r>
        <w:t xml:space="preserve">“</w:t>
      </w:r>
      <w:r>
        <w:t xml:space="preserve">ignore broader scopes.</w:t>
      </w:r>
      <w:r>
        <w:t xml:space="preserve">”</w:t>
      </w:r>
      <w:r>
        <w:t xml:space="preserve"> </w:t>
      </w:r>
      <w:r>
        <w:t xml:space="preserve">It says: let local decisions place most additional attention where the ripple is near, while still preventing local gain from laundering wider harm.</w:t>
      </w:r>
    </w:p>
    <w:bookmarkEnd w:id="165"/>
    <w:bookmarkStart w:id="168" w:name="X568c854beef19324fb72639c3fddf657e6ad721"/>
    <w:p>
      <w:pPr>
        <w:pStyle w:val="Heading2"/>
      </w:pPr>
      <w:r>
        <w:t xml:space="preserve">10.3 Uncertainty Handling (Tier 2+ Required for Active Cells) (Normative)</w:t>
      </w:r>
    </w:p>
    <w:p>
      <w:pPr>
        <w:pStyle w:val="FirstParagraph"/>
      </w:pPr>
      <w:r>
        <w:t xml:space="preserve">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pPr>
      <w:r>
        <w:t xml:space="preserve">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pPr>
      <w:r>
        <w:t xml:space="preserve">Active cells MUST NOT be treated as unknown-by-default without disclosure. Masking (m(u,d)=0) excludes a cell from RLS aggregation only; it does not remove the cell from active status if any of conditions (ii) through (v) hold.</w:t>
      </w:r>
    </w:p>
    <w:p>
      <w:pPr>
        <w:pStyle w:val="BodyText"/>
      </w:pPr>
      <w:r>
        <w:t xml:space="preserve">Definition of σ(u,d,a) (normative minimum): PCC MUST declare one of the following cell-level uncertainty proxies and apply it consistently across options:</w:t>
      </w:r>
    </w:p>
    <w:bookmarkStart w:id="166" w:name="X80fd313d6d0e6f7d0490c9527fcf232c5020626"/>
    <w:p>
      <w:pPr>
        <w:pStyle w:val="Heading3"/>
      </w:pPr>
      <w:r>
        <w:t xml:space="preserve">10.3.1 Cell-level uncertainty proxy declarations (Normative)</w:t>
      </w:r>
    </w:p>
    <w:bookmarkEnd w:id="166"/>
    <w:bookmarkStart w:id="167" w:name="Xd70358133c28c4ebd4acbd43e30d7a8f61c9451"/>
    <w:p>
      <w:pPr>
        <w:pStyle w:val="Heading3"/>
      </w:pPr>
      <w:r>
        <w:t xml:space="preserve">10.3.2 Cell-level confidence derivation (Normative; Method B binding)</w:t>
      </w:r>
    </w:p>
    <w:p>
      <w:pPr>
        <w:pStyle w:val="FirstParagraph"/>
      </w:pPr>
      <w:r>
        <w:t xml:space="preserve">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p>
    <w:p>
      <w:pPr>
        <w:pStyle w:val="BodyText"/>
      </w:pPr>
      <w:r>
        <w:t xml:space="preserve">Let the instance contribution weight be defined as:</w:t>
      </w:r>
      <w:r>
        <w:br/>
      </w:r>
      <w:r>
        <w:t xml:space="preserve">q_k := r_k · τ(t_k) · ℓ_k · e_k · s_k · |μ_k|</w:t>
      </w:r>
      <w:r>
        <w:br/>
      </w:r>
      <w:r>
        <w:t xml:space="preserve">and let Q := Σ_{k∈K(u,d,a)} q_k.</w:t>
      </w:r>
    </w:p>
    <w:p>
      <w:pPr>
        <w:pStyle w:val="BodyText"/>
      </w:pPr>
      <w:r>
        <w:t xml:space="preserve">The PCC MUST declare one of the following canonical aggregation methods:</w:t>
      </w:r>
    </w:p>
    <w:p>
      <w:pPr>
        <w:pStyle w:val="BodyText"/>
      </w:pPr>
      <w:r>
        <w:t xml:space="preserve">CCAM_MIN_V1 (conservative default):</w:t>
      </w:r>
      <w:r>
        <w:br/>
      </w:r>
      <w:r>
        <w:t xml:space="preserve">c(u,d,a) := min_{k∈K(u,d,a)} c_k</w:t>
      </w:r>
      <w:r>
        <w:br/>
      </w:r>
      <w:r>
        <w:t xml:space="preserve">Use case: high-stakes, high-adversarial-pressure contexts where</w:t>
      </w:r>
      <w:r>
        <w:t xml:space="preserve"> </w:t>
      </w:r>
      <w:r>
        <w:t xml:space="preserve">“</w:t>
      </w:r>
      <w:r>
        <w:t xml:space="preserve">weakest-link</w:t>
      </w:r>
      <w:r>
        <w:t xml:space="preserve">”</w:t>
      </w:r>
      <w:r>
        <w:t xml:space="preserve"> </w:t>
      </w:r>
      <w:r>
        <w:t xml:space="preserve">confidence is the appropriate posture.</w:t>
      </w:r>
    </w:p>
    <w:p>
      <w:pPr>
        <w:pStyle w:val="BodyText"/>
      </w:pPr>
      <w:r>
        <w:t xml:space="preserve">CCAM_WMEAN_V1 (weighted mean): if Q&gt;0,</w:t>
      </w:r>
      <w:r>
        <w:br/>
      </w:r>
      <w:r>
        <w:t xml:space="preserve">c(u,d,a) := (1/Q) · Σ_{k∈K(u,d,a)} (q_k · c_k)</w:t>
      </w:r>
      <w:r>
        <w:br/>
      </w:r>
      <w:r>
        <w:t xml:space="preserve">If Q=0, set c(u,d,a) := min_{k∈K(u,d,a)} c_k.</w:t>
      </w:r>
    </w:p>
    <w:p>
      <w:pPr>
        <w:pStyle w:val="BodyText"/>
      </w:pPr>
      <w:r>
        <w:t xml:space="preserve">Edge case (Normative). If K(u,d,a)=∅ and the Phantom Instance Rule applies, then c(u,d,a) MUST be set to 1.0 for the phantom instance because the uncertainty penalty is already represented by the phantom magnitude; the PCC MUST still mark the cell as UNKNOWN_IMPACT.</w:t>
      </w:r>
    </w:p>
    <w:p>
      <w:pPr>
        <w:pStyle w:val="BodyText"/>
      </w:pPr>
      <w:r>
        <w:t xml:space="preserve">Range rule (Normative). The derived c(u,d,a) MUST be clipped to [0,1] and recorded in PCC for each active cell when Method B is used.</w:t>
      </w:r>
    </w:p>
    <w:p>
      <w:pPr>
        <w:pStyle w:val="BodyText"/>
      </w:pPr>
      <w:r>
        <w:t xml:space="preserve">Method A (interval half-width): If the PCC records a confidence interval [L,U] for the cell impact I(u,d,a), set σ(u,d,a) = (U − L)/2.</w:t>
      </w:r>
    </w:p>
    <w:p>
      <w:pPr>
        <w:pStyle w:val="BodyText"/>
      </w:pPr>
      <w:r>
        <w:t xml:space="preserve">Method B (confidence-derived): If the PCC records a confidence score c(u,d,a) ∈ [0,1] for the cell estimate and a point estimate I(u,d,a), set σ(u,d,a) = (1 − c(u,d,a)) × |I(u,d,a)|.</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pPr>
      <w:r>
        <w:t xml:space="preserve">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pPr>
      <w:r>
        <w:t xml:space="preserve">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pPr>
      <w:r>
        <w:t xml:space="preserve">Define approximate RLS uncertainty:</w:t>
      </w:r>
    </w:p>
    <w:p>
      <w:pPr>
        <w:pStyle w:val="BodyText"/>
      </w:pPr>
      <w:r>
        <w:t xml:space="preserve">σ_RLS(a) = √[Σ_u Σ_d (w_u × v_d × m(u,d) × κ(u,d) × σ(u,d,a))²]</w:t>
      </w:r>
    </w:p>
    <w:p>
      <w:pPr>
        <w:pStyle w:val="BodyText"/>
      </w:pPr>
      <w:r>
        <w:t xml:space="preserve">Optional risk-adjusted score:</w:t>
      </w:r>
    </w:p>
    <w:p>
      <w:pPr>
        <w:pStyle w:val="BodyText"/>
      </w:pPr>
      <w:r>
        <w:t xml:space="preserve">RLS_adj(a) = RLS(a) − λ × σ_RLS(a)</w:t>
      </w:r>
    </w:p>
    <w:p>
      <w:pPr>
        <w:pStyle w:val="BodyText"/>
      </w:pPr>
      <w:r>
        <w:t xml:space="preserve">Default: λ = 0.5. Use is optional but must be declared.</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167"/>
    <w:bookmarkEnd w:id="168"/>
    <w:bookmarkStart w:id="169" w:name="X35e06ae11a69f4cd4e0c1c419c57b659d270b8f"/>
    <w:p>
      <w:pPr>
        <w:pStyle w:val="Heading2"/>
      </w:pPr>
      <w:r>
        <w:t xml:space="preserve">10.4 Discrimination Threshold (Decisive vs Non-Decisive) (Normative)</w:t>
      </w:r>
    </w:p>
    <w:p>
      <w:pPr>
        <w:pStyle w:val="FirstParagraph"/>
      </w:pPr>
      <w:r>
        <w:t xml:space="preserve">Define gap between two options:</w:t>
      </w:r>
    </w:p>
    <w:p>
      <w:pPr>
        <w:pStyle w:val="BodyText"/>
      </w:pPr>
      <w:r>
        <w:t xml:space="preserve">Gap(a,b) = abs(RLS(a) - RLS(b)) / sqrt(sigma_RLS(a)^2 + sigma_RLS(b)^2 + epsilon)</w:t>
      </w:r>
    </w:p>
    <w:p>
      <w:pPr>
        <w:pStyle w:val="BodyText"/>
      </w:pPr>
      <w:r>
        <w:t xml:space="preserve">Default: delta = 2, epsilon = 1e-6.</w:t>
      </w:r>
    </w:p>
    <w:p>
      <w:pPr>
        <w:pStyle w:val="BodyText"/>
      </w:pPr>
      <w:r>
        <w:t xml:space="preserve">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delta, but any non-default delta MUST be declared in the PCC, justified, and applied consistently across options in the run.</w:t>
      </w:r>
    </w:p>
    <w:p>
      <w:pPr>
        <w:pStyle w:val="BodyText"/>
      </w:pPr>
      <w:r>
        <w:t xml:space="preserve">Let a* be top RLS option and a₂ the runner-up among selectable options.</w:t>
      </w:r>
    </w:p>
    <w:p>
      <w:pPr>
        <w:pStyle w:val="BodyText"/>
      </w:pPr>
      <w:r>
        <w:t xml:space="preserve">Decisive lead rule:</w:t>
      </w:r>
    </w:p>
    <w:p>
      <w:pPr>
        <w:pStyle w:val="Compact"/>
        <w:numPr>
          <w:ilvl w:val="0"/>
          <w:numId w:val="1114"/>
        </w:numPr>
      </w:pPr>
      <w:r>
        <w:t xml:space="preserve">If Gap(a</w:t>
      </w:r>
      <w:r>
        <w:rPr>
          <w:i/>
          <w:iCs/>
        </w:rPr>
        <w:t xml:space="preserve">, a2) &gt; delta (default delta = 2), select a</w:t>
      </w:r>
      <w:r>
        <w:t xml:space="preserve"> </w:t>
      </w:r>
      <w:r>
        <w:t xml:space="preserve">(subject to tie-break gating not being needed).</w:t>
      </w:r>
    </w:p>
    <w:p>
      <w:pPr>
        <w:pStyle w:val="Compact"/>
        <w:numPr>
          <w:ilvl w:val="0"/>
          <w:numId w:val="1115"/>
        </w:numPr>
      </w:pPr>
      <w:r>
        <w:t xml:space="preserve">If Gap(a*, a2) &lt;= delta, the lead is non-decisive and the tie-break chain MUST be applied (Section 11.4).</w:t>
      </w:r>
    </w:p>
    <w:bookmarkEnd w:id="169"/>
    <w:bookmarkStart w:id="170" w:name="a-non-decisive-gap-enforcement-normative"/>
    <w:p>
      <w:pPr>
        <w:pStyle w:val="Heading2"/>
      </w:pPr>
      <w:r>
        <w:t xml:space="preserve">10.4A Non-Decisive Gap Enforcement (Normative)</w:t>
      </w:r>
    </w:p>
    <w:p>
      <w:pPr>
        <w:pStyle w:val="FirstParagraph"/>
      </w:pPr>
      <w:r>
        <w:t xml:space="preserve">If the leading options are tied, close, or uncertainty-overlapped under the declared discrimination rule, FrameworkVerdict MUST NOT state or imply deterministic framework selection. If Gap(a*, a2) &lt;= delta, including sigma-stress where required by tier, the run MUST either apply a governed tie-break rule over already-selectable options, return REFUSE_DETERMINISTIC_SELECTION, or route to AuthoritySelectionRecord without claiming that RippleLogic itself selected uniquely.</w:t>
      </w:r>
    </w:p>
    <w:p>
      <w:pPr>
        <w:pStyle w:val="BodyText"/>
      </w:pPr>
      <w:r>
        <w:t xml:space="preserve">Any run with Gap &lt;= delta that claims deterministic framework selection SHOULD set DECISIVENESS_OVERRIDE_INVALID with severity INVALID. Authority selection may still choose among admissible non-decisive options, but it must be recorded as authority selection, not framework determinism.</w:t>
      </w:r>
    </w:p>
    <w:bookmarkEnd w:id="170"/>
    <w:bookmarkStart w:id="171" w:name="rls-output-requirements-normative"/>
    <w:p>
      <w:pPr>
        <w:pStyle w:val="Heading2"/>
      </w:pPr>
      <w:r>
        <w:t xml:space="preserve">10.5 RLS Output Requirements (Normative)</w:t>
      </w:r>
    </w:p>
    <w:p>
      <w:pPr>
        <w:pStyle w:val="FirstParagraph"/>
      </w:pPr>
      <w:r>
        <w:t xml:space="preserve">PCC MUST record, per option in A_sel:</w:t>
      </w:r>
    </w:p>
    <w:p>
      <w:pPr>
        <w:pStyle w:val="Compact"/>
        <w:numPr>
          <w:ilvl w:val="0"/>
          <w:numId w:val="1116"/>
        </w:numPr>
      </w:pPr>
      <w:r>
        <w:t xml:space="preserve">I_prop_welfare(u,d,a) (or a retrievable summarized representation)</w:t>
      </w:r>
    </w:p>
    <w:p>
      <w:pPr>
        <w:pStyle w:val="Compact"/>
        <w:numPr>
          <w:ilvl w:val="0"/>
          <w:numId w:val="1117"/>
        </w:numPr>
      </w:pPr>
      <w:r>
        <w:t xml:space="preserve">RLS(a) and σ_RLS(a) and the uncertainty method</w:t>
      </w:r>
    </w:p>
    <w:p>
      <w:pPr>
        <w:pStyle w:val="Compact"/>
        <w:numPr>
          <w:ilvl w:val="0"/>
          <w:numId w:val="1118"/>
        </w:numPr>
      </w:pPr>
      <w:r>
        <w:t xml:space="preserve">Ranking and whether decisive (Gap vs δ)</w:t>
      </w:r>
    </w:p>
    <w:bookmarkEnd w:id="171"/>
    <w:bookmarkEnd w:id="172"/>
    <w:bookmarkStart w:id="184" w:name="X96652ee80bcac363f94aa541255a3d4a3b47727"/>
    <w:p>
      <w:pPr>
        <w:pStyle w:val="Heading1"/>
      </w:pPr>
      <w:r>
        <w:t xml:space="preserve">SECTION 11: TIE-BREAKS, HOLLOWING DIAGNOSTICS, AND STRUCTURAL MONITORING</w:t>
      </w:r>
    </w:p>
    <w:bookmarkStart w:id="173" w:name="purpose-normative-1"/>
    <w:p>
      <w:pPr>
        <w:pStyle w:val="Heading2"/>
      </w:pPr>
      <w:r>
        <w:t xml:space="preserve">11.0 Purpose (Normative)</w:t>
      </w:r>
    </w:p>
    <w:p>
      <w:pPr>
        <w:pStyle w:val="FirstParagraph"/>
      </w:pPr>
      <w:r>
        <w:t xml:space="preserve">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pStyle w:val="Compact"/>
        <w:numPr>
          <w:ilvl w:val="0"/>
          <w:numId w:val="1119"/>
        </w:numPr>
      </w:pPr>
      <w:r>
        <w:t xml:space="preserve">UCI is a structural metric used primarily as CSV evidence where material and secondarily as a residual tie-break signal when RLS cannot decide.</w:t>
      </w:r>
    </w:p>
    <w:p>
      <w:pPr>
        <w:pStyle w:val="Compact"/>
        <w:numPr>
          <w:ilvl w:val="0"/>
          <w:numId w:val="1120"/>
        </w:numPr>
      </w:pPr>
      <w:r>
        <w:t xml:space="preserve">HOI is a hollowing and drift diagnostic that flags welfare-up/coherence-down patterns for Containment, monitoring, and residual tie-break contexts.</w:t>
      </w:r>
    </w:p>
    <w:bookmarkEnd w:id="173"/>
    <w:bookmarkStart w:id="174" w:name="Xb125837aff953d744d8f7f78312ba49170bb0b8"/>
    <w:p>
      <w:pPr>
        <w:pStyle w:val="Heading2"/>
      </w:pPr>
      <w:r>
        <w:t xml:space="preserve">11.0A Instrument-Placement Rule for UCI/HOI (Normative)</w:t>
      </w:r>
    </w:p>
    <w:p>
      <w:pPr>
        <w:pStyle w:val="FirstParagraph"/>
      </w:pPr>
      <w:r>
        <w:t xml:space="preserve">UCI and HOI are structural diagnostic instruments with two possible uses.</w:t>
      </w:r>
    </w:p>
    <w:p>
      <w:pPr>
        <w:pStyle w:val="BodyText"/>
      </w:pPr>
      <w:r>
        <w:t xml:space="preserve">1. Containment use. When UCI/HOI evidence is material to cross-scale structural integrity, it is evaluated inside the CSV Gate under Section 9. This includes severe coherence loss, hidden hollowing, institutional brittleness, burnout, trust collapse, ecological degradation, governance-capacity loss, lock-in, or other structural damage to a containing union.</w:t>
      </w:r>
    </w:p>
    <w:p>
      <w:pPr>
        <w:pStyle w:val="BodyText"/>
      </w:pPr>
      <w:r>
        <w:t xml:space="preserve">2. Residual tie-break use. When no containment threshold is crossed and options have already passed RF/NCRC, TRC, and CSV, UCI/HOI may be used after RLS only to resolve tied, close, uncertainty-overlapped, or non-decisive welfare rankings, document residual structural preference, trigger monitoring, or inform future-run steering.</w:t>
      </w:r>
    </w:p>
    <w:p>
      <w:pPr>
        <w:pStyle w:val="BodyText"/>
      </w:pPr>
      <w:r>
        <w:t xml:space="preserve">Level 5 public-facing language SHALL NOT present UCI/HOI as a regular cascade stage. The public Level 5 is RippleLogic Score. The UCI/HOI rule is a special-case tie-break and monitoring rule attached to RLS non-decisiveness and CSV diagnostics.</w:t>
      </w:r>
    </w:p>
    <w:bookmarkEnd w:id="174"/>
    <w:bookmarkStart w:id="178" w:name="union-coherence-index-uci-normative"/>
    <w:p>
      <w:pPr>
        <w:pStyle w:val="Heading2"/>
      </w:pPr>
      <w:r>
        <w:t xml:space="preserve">11.1 Union Coherence Index (UCI) (Normative)</w:t>
      </w:r>
    </w:p>
    <w:bookmarkStart w:id="175" w:name="uci-components-canonical"/>
    <w:p>
      <w:pPr>
        <w:pStyle w:val="Heading3"/>
      </w:pPr>
      <w:r>
        <w:t xml:space="preserve">11.1.1 UCI components (canonical)</w:t>
      </w:r>
    </w:p>
    <w:p>
      <w:pPr>
        <w:pStyle w:val="FirstParagraph"/>
      </w:pPr>
      <w:r>
        <w:t xml:space="preserve">For each union u, define component scores in [0,1]:</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948"/>
        <w:gridCol w:w="2684"/>
        <w:gridCol w:w="3586"/>
      </w:tblGrid>
      <w:tr>
        <w:trPr>
          <w:tblHeader w:val="true"/>
          <w:cantSplit/>
        </w:trPr>
        <w:tc>
          <w:tcPr>
            <w:tcW w:w="294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Component</w:t>
            </w:r>
          </w:p>
        </w:tc>
        <w:tc>
          <w:tcPr>
            <w:tcW w:w="268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586"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Description</w:t>
            </w:r>
          </w:p>
        </w:tc>
      </w:tr>
      <w:tr>
        <w:trPr>
          <w:cantSplit/>
        </w:trPr>
        <w:tc>
          <w:tcPr>
            <w:tcW w:w="2948" w:type="dxa"/>
            <w:vAlign w:val="top"/>
            <w:tcMar>
              <w:top w:w="70" w:type="dxa"/>
              <w:start w:w="90" w:type="dxa"/>
              <w:bottom w:w="70" w:type="dxa"/>
              <w:end w:w="90" w:type="dxa"/>
            </w:tcMar>
            <w:shd w:fill="FFFFFF" w:val="clear"/>
          </w:tcPr>
          <w:p>
            <w:pPr>
              <w:pStyle w:val="Compact"/>
              <w:spacing w:before="0" w:after="0"/>
              <w:jc w:val="left"/>
            </w:pPr>
            <w:r>
              <w:rPr>
                <w:sz w:val="18"/>
              </w:rPr>
              <w:t xml:space="preserve">Cohesion</w:t>
            </w:r>
          </w:p>
        </w:tc>
        <w:tc>
          <w:tcPr>
            <w:tcW w:w="2684" w:type="dxa"/>
            <w:vAlign w:val="top"/>
            <w:tcMar>
              <w:top w:w="70" w:type="dxa"/>
              <w:start w:w="90" w:type="dxa"/>
              <w:bottom w:w="70" w:type="dxa"/>
              <w:end w:w="90" w:type="dxa"/>
            </w:tcMar>
            <w:shd w:fill="FFFFFF" w:val="clear"/>
          </w:tcPr>
          <w:p>
            <w:pPr>
              <w:pStyle w:val="Compact"/>
              <w:spacing w:before="0" w:after="0"/>
              <w:jc w:val="left"/>
            </w:pPr>
            <w:r>
              <w:rPr>
                <w:sz w:val="18"/>
              </w:rPr>
              <w:t xml:space="preserve">H_u</w:t>
            </w:r>
          </w:p>
        </w:tc>
        <w:tc>
          <w:tcPr>
            <w:tcW w:w="3586" w:type="dxa"/>
            <w:vAlign w:val="top"/>
            <w:tcMar>
              <w:top w:w="70" w:type="dxa"/>
              <w:start w:w="90" w:type="dxa"/>
              <w:bottom w:w="70" w:type="dxa"/>
              <w:end w:w="90" w:type="dxa"/>
            </w:tcMar>
            <w:shd w:fill="FFFFFF" w:val="clear"/>
          </w:tcPr>
          <w:p>
            <w:pPr>
              <w:pStyle w:val="Compact"/>
              <w:spacing w:before="0" w:after="0"/>
              <w:jc w:val="left"/>
            </w:pPr>
            <w:r>
              <w:rPr>
                <w:sz w:val="18"/>
              </w:rPr>
              <w:t xml:space="preserve">Internal connectivity, trust, shared identity, conflict resolution capacity</w:t>
            </w:r>
          </w:p>
        </w:tc>
      </w:tr>
      <w:tr>
        <w:trPr>
          <w:cantSplit/>
        </w:trPr>
        <w:tc>
          <w:tcPr>
            <w:tcW w:w="2948" w:type="dxa"/>
            <w:vAlign w:val="top"/>
            <w:tcMar>
              <w:top w:w="70" w:type="dxa"/>
              <w:start w:w="90" w:type="dxa"/>
              <w:bottom w:w="70" w:type="dxa"/>
              <w:end w:w="90" w:type="dxa"/>
            </w:tcMar>
            <w:shd w:fill="F3F7FB" w:val="clear"/>
          </w:tcPr>
          <w:p>
            <w:pPr>
              <w:pStyle w:val="Compact"/>
              <w:spacing w:before="0" w:after="0"/>
              <w:jc w:val="left"/>
            </w:pPr>
            <w:r>
              <w:rPr>
                <w:sz w:val="18"/>
              </w:rPr>
              <w:t xml:space="preserve">Flow</w:t>
            </w:r>
          </w:p>
        </w:tc>
        <w:tc>
          <w:tcPr>
            <w:tcW w:w="2684" w:type="dxa"/>
            <w:vAlign w:val="top"/>
            <w:tcMar>
              <w:top w:w="70" w:type="dxa"/>
              <w:start w:w="90" w:type="dxa"/>
              <w:bottom w:w="70" w:type="dxa"/>
              <w:end w:w="90" w:type="dxa"/>
            </w:tcMar>
            <w:shd w:fill="F3F7FB" w:val="clear"/>
          </w:tcPr>
          <w:p>
            <w:pPr>
              <w:pStyle w:val="Compact"/>
              <w:spacing w:before="0" w:after="0"/>
              <w:jc w:val="left"/>
            </w:pPr>
            <w:r>
              <w:rPr>
                <w:sz w:val="18"/>
              </w:rPr>
              <w:t xml:space="preserve">F_u</w:t>
            </w:r>
          </w:p>
        </w:tc>
        <w:tc>
          <w:tcPr>
            <w:tcW w:w="3586" w:type="dxa"/>
            <w:vAlign w:val="top"/>
            <w:tcMar>
              <w:top w:w="70" w:type="dxa"/>
              <w:start w:w="90" w:type="dxa"/>
              <w:bottom w:w="70" w:type="dxa"/>
              <w:end w:w="90" w:type="dxa"/>
            </w:tcMar>
            <w:shd w:fill="F3F7FB" w:val="clear"/>
          </w:tcPr>
          <w:p>
            <w:pPr>
              <w:pStyle w:val="Compact"/>
              <w:spacing w:before="0" w:after="0"/>
              <w:jc w:val="left"/>
            </w:pPr>
            <w:r>
              <w:rPr>
                <w:sz w:val="18"/>
              </w:rPr>
              <w:t xml:space="preserve">Coordination throughput, information fidelity, resource allocation efficiency</w:t>
            </w:r>
          </w:p>
        </w:tc>
      </w:tr>
      <w:tr>
        <w:trPr>
          <w:cantSplit/>
        </w:trPr>
        <w:tc>
          <w:tcPr>
            <w:tcW w:w="2948" w:type="dxa"/>
            <w:vAlign w:val="top"/>
            <w:tcMar>
              <w:top w:w="70" w:type="dxa"/>
              <w:start w:w="90" w:type="dxa"/>
              <w:bottom w:w="70" w:type="dxa"/>
              <w:end w:w="90" w:type="dxa"/>
            </w:tcMar>
            <w:shd w:fill="FFFFFF" w:val="clear"/>
          </w:tcPr>
          <w:p>
            <w:pPr>
              <w:pStyle w:val="Compact"/>
              <w:spacing w:before="0" w:after="0"/>
              <w:jc w:val="left"/>
            </w:pPr>
            <w:r>
              <w:rPr>
                <w:sz w:val="18"/>
              </w:rPr>
              <w:t xml:space="preserve">Resilience</w:t>
            </w:r>
          </w:p>
        </w:tc>
        <w:tc>
          <w:tcPr>
            <w:tcW w:w="2684" w:type="dxa"/>
            <w:vAlign w:val="top"/>
            <w:tcMar>
              <w:top w:w="70" w:type="dxa"/>
              <w:start w:w="90" w:type="dxa"/>
              <w:bottom w:w="70" w:type="dxa"/>
              <w:end w:w="90" w:type="dxa"/>
            </w:tcMar>
            <w:shd w:fill="FFFFFF" w:val="clear"/>
          </w:tcPr>
          <w:p>
            <w:pPr>
              <w:pStyle w:val="Compact"/>
              <w:spacing w:before="0" w:after="0"/>
              <w:jc w:val="left"/>
            </w:pPr>
            <w:r>
              <w:rPr>
                <w:sz w:val="18"/>
              </w:rPr>
              <w:t xml:space="preserve">R_u</w:t>
            </w:r>
          </w:p>
        </w:tc>
        <w:tc>
          <w:tcPr>
            <w:tcW w:w="3586" w:type="dxa"/>
            <w:vAlign w:val="top"/>
            <w:tcMar>
              <w:top w:w="70" w:type="dxa"/>
              <w:start w:w="90" w:type="dxa"/>
              <w:bottom w:w="70" w:type="dxa"/>
              <w:end w:w="90" w:type="dxa"/>
            </w:tcMar>
            <w:shd w:fill="FFFFFF" w:val="clear"/>
          </w:tcPr>
          <w:p>
            <w:pPr>
              <w:pStyle w:val="Compact"/>
              <w:spacing w:before="0" w:after="0"/>
              <w:jc w:val="left"/>
            </w:pPr>
            <w:r>
              <w:rPr>
                <w:sz w:val="18"/>
              </w:rPr>
              <w:t xml:space="preserve">Redundancy, robustness, recovery speed, adaptive capacity</w:t>
            </w:r>
          </w:p>
        </w:tc>
      </w:tr>
      <w:tr>
        <w:trPr>
          <w:cantSplit/>
        </w:trPr>
        <w:tc>
          <w:tcPr>
            <w:tcW w:w="2948" w:type="dxa"/>
            <w:vAlign w:val="top"/>
            <w:tcMar>
              <w:top w:w="70" w:type="dxa"/>
              <w:start w:w="90" w:type="dxa"/>
              <w:bottom w:w="70" w:type="dxa"/>
              <w:end w:w="90" w:type="dxa"/>
            </w:tcMar>
            <w:shd w:fill="F3F7FB" w:val="clear"/>
          </w:tcPr>
          <w:p>
            <w:pPr>
              <w:pStyle w:val="Compact"/>
              <w:spacing w:before="0" w:after="0"/>
              <w:jc w:val="left"/>
            </w:pPr>
            <w:r>
              <w:rPr>
                <w:sz w:val="18"/>
              </w:rPr>
              <w:t xml:space="preserve">Equity</w:t>
            </w:r>
          </w:p>
        </w:tc>
        <w:tc>
          <w:tcPr>
            <w:tcW w:w="2684" w:type="dxa"/>
            <w:vAlign w:val="top"/>
            <w:tcMar>
              <w:top w:w="70" w:type="dxa"/>
              <w:start w:w="90" w:type="dxa"/>
              <w:bottom w:w="70" w:type="dxa"/>
              <w:end w:w="90" w:type="dxa"/>
            </w:tcMar>
            <w:shd w:fill="F3F7FB" w:val="clear"/>
          </w:tcPr>
          <w:p>
            <w:pPr>
              <w:pStyle w:val="Compact"/>
              <w:spacing w:before="0" w:after="0"/>
              <w:jc w:val="left"/>
            </w:pPr>
            <w:r>
              <w:rPr>
                <w:sz w:val="18"/>
              </w:rPr>
              <w:t xml:space="preserve">E_u</w:t>
            </w:r>
          </w:p>
        </w:tc>
        <w:tc>
          <w:tcPr>
            <w:tcW w:w="3586" w:type="dxa"/>
            <w:vAlign w:val="top"/>
            <w:tcMar>
              <w:top w:w="70" w:type="dxa"/>
              <w:start w:w="90" w:type="dxa"/>
              <w:bottom w:w="70" w:type="dxa"/>
              <w:end w:w="90" w:type="dxa"/>
            </w:tcMar>
            <w:shd w:fill="F3F7FB" w:val="clear"/>
          </w:tcPr>
          <w:p>
            <w:pPr>
              <w:pStyle w:val="Compact"/>
              <w:spacing w:before="0" w:after="0"/>
              <w:jc w:val="left"/>
            </w:pPr>
            <w:r>
              <w:rPr>
                <w:sz w:val="18"/>
              </w:rPr>
              <w:t xml:space="preserve">Fair distribution of burdens/benefits, voice representation, inclusion</w:t>
            </w:r>
          </w:p>
        </w:tc>
      </w:tr>
    </w:tbl>
    <w:p>
      <w:pPr>
        <w:pStyle w:val="BodyText"/>
      </w:pPr>
      <w:r>
        <w:t xml:space="preserve">Compute:</w:t>
      </w:r>
    </w:p>
    <w:p>
      <w:pPr>
        <w:pStyle w:val="BodyText"/>
      </w:pPr>
      <w:r>
        <w:t xml:space="preserve">UCI_u = α_H × H_u + α_F × F_u + α_R × R_u + α_E × E_u</w:t>
      </w:r>
    </w:p>
    <w:p>
      <w:pPr>
        <w:pStyle w:val="BodyText"/>
      </w:pPr>
      <w:r>
        <w:t xml:space="preserve">Default: α_H = α_F = α_R = α_E = 0.25.</w:t>
      </w:r>
    </w:p>
    <w:p>
      <w:pPr>
        <w:pStyle w:val="BodyText"/>
      </w:pPr>
      <w:r>
        <w:t xml:space="preserve">Special case for Self (U₁): E₁ := 1 by definition (not 0). The equity component is fixed at 1 for Self because equity-as-distribution does not apply within a single individual. This provides a neutral, non-penalizing identity value. UCI for Self is thus computed as:</w:t>
      </w:r>
    </w:p>
    <w:p>
      <w:pPr>
        <w:pStyle w:val="BodyText"/>
      </w:pPr>
      <w:r>
        <w:t xml:space="preserve">UCI₁ = 0.25 × H₁ + 0.25 × F₁ + 0.25 × R₁ + 0.25 × 1</w:t>
      </w:r>
    </w:p>
    <w:p>
      <w:pPr>
        <w:pStyle w:val="BodyText"/>
      </w:pPr>
      <w:r>
        <w:t xml:space="preserve">This resolves the v7.4.0 inconsistency and ensures UCI₁ is not systematically depressed.</w:t>
      </w:r>
    </w:p>
    <w:bookmarkEnd w:id="175"/>
    <w:bookmarkStart w:id="176" w:name="Xb26815d81a56040f6006a0b74fac0d7587b257b"/>
    <w:p>
      <w:pPr>
        <w:pStyle w:val="Heading3"/>
      </w:pPr>
      <w:r>
        <w:t xml:space="preserve">11.1.2 Structural independence rule (Normative; Tier 3 binding)</w:t>
      </w:r>
    </w:p>
    <w:p>
      <w:pPr>
        <w:pStyle w:val="FirstParagraph"/>
      </w:pPr>
      <w:r>
        <w:t xml:space="preserve">UCI MUST be computed from structural/process indicators distinct from welfare indicators used for RLS.</w:t>
      </w:r>
    </w:p>
    <w:p>
      <w:pPr>
        <w:pStyle w:val="BodyText"/>
      </w:pPr>
      <w:r>
        <w:t xml:space="preserve">At Tier 3:</w:t>
      </w:r>
    </w:p>
    <w:p>
      <w:pPr>
        <w:pStyle w:val="Compact"/>
        <w:numPr>
          <w:ilvl w:val="0"/>
          <w:numId w:val="1121"/>
        </w:numPr>
      </w:pPr>
      <w:r>
        <w:t xml:space="preserve">Deriving UCI from welfare-cell impacts is PROHIBITED.</w:t>
      </w:r>
    </w:p>
    <w:p>
      <w:pPr>
        <w:pStyle w:val="Compact"/>
        <w:numPr>
          <w:ilvl w:val="0"/>
          <w:numId w:val="1122"/>
        </w:numPr>
      </w:pPr>
      <w:r>
        <w:t xml:space="preserve">If structural indicators are unavailable, UCI is treated as unavailable and escalation/judgment-call protocol must be used (Section 11.5; Appendix E).</w:t>
      </w:r>
    </w:p>
    <w:bookmarkEnd w:id="176"/>
    <w:bookmarkStart w:id="177" w:name="δuci-computation-normative"/>
    <w:p>
      <w:pPr>
        <w:pStyle w:val="Heading3"/>
      </w:pPr>
      <w:r>
        <w:t xml:space="preserve">11.1.3 ΔUCI computation (Normative)</w:t>
      </w:r>
    </w:p>
    <w:p>
      <w:pPr>
        <w:pStyle w:val="FirstParagraph"/>
      </w:pPr>
      <w:r>
        <w:t xml:space="preserve">11.1.3A UCI Measurement Maturity Statement (Normative acknowledgement)</w:t>
      </w:r>
    </w:p>
    <w:p>
      <w:pPr>
        <w:pStyle w:val="BodyText"/>
      </w:pPr>
      <w:r>
        <w:t xml:space="preserve">UCI is structurally load-bearing in the RippleLogic architecture: it determines Containment pass/fail (Section 9) and resolves non-decisive RLS ties (Section 11.4).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Scope</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Measurement Maturity</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Notes</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U1 Self</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Provisional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Validated instruments exist for some components (e.g. psychological resilience scales, self-efficacy measures) but are not yet assembled into a UCI-specific battery.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U2 Household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Provisional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Relationship quality instruments exist; household-level aggregation rules are not yet standardised.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U3 Community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Provisional, strongest starter coverage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Social capital instruments (e.g. trust surveys), participation parity measures, and mutual-aid readiness metrics exist; normalisation and inter-rater reliability under UCI aggregation are untested.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U4 Organisation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Provisional, strongest starter coverage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Psychological safety instruments (e.g. Edmondson 1999), process throughput, incident recovery, and equity indices exist; assembly into UCI and structural independence verification are untested.</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U5 Polity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Provisional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Institutional trust indices, rule-of-law indices, service delivery measures exist; UCI-specific aggregation is untested.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U6 Humanity/CMIU</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Early design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Cross-polity cooperation and global coordination indicators are sparse and domain-specific.</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U7 Biosphere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Early design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Ecosystem connectivity and resilience metrics exist (e.g. biodiversity integrity indices, trophic stability measures) but UCI aggregation is not yet specified. E7 defaults to 1.</w:t>
            </w:r>
          </w:p>
        </w:tc>
      </w:tr>
    </w:tbl>
    <w:p>
      <w:pPr>
        <w:pStyle w:val="BodyText"/>
      </w:pPr>
      <w:r>
        <w:t xml:space="preserve">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BodyText"/>
      </w:pPr>
      <w:r>
        <w:t xml:space="preserve">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BodyText"/>
      </w:pPr>
      <w:r>
        <w:t xml:space="preserve">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this v11.4 release line.</w:t>
      </w:r>
    </w:p>
    <w:p>
      <w:pPr>
        <w:pStyle w:val="BodyText"/>
      </w:pPr>
      <w:r>
        <w:t xml:space="preserve">For each option a:</w:t>
      </w:r>
    </w:p>
    <w:p>
      <w:pPr>
        <w:pStyle w:val="BodyText"/>
      </w:pPr>
      <w:r>
        <w:t xml:space="preserve">ΔUCI_u(a) = UCI_u(a) − UCI_u(baseline)</w:t>
      </w:r>
    </w:p>
    <w:p>
      <w:pPr>
        <w:pStyle w:val="BodyText"/>
      </w:pPr>
      <w:r>
        <w:t xml:space="preserve">Containment uses ΔUCI for containing unions (Section 9).</w:t>
      </w:r>
    </w:p>
    <w:bookmarkEnd w:id="177"/>
    <w:bookmarkEnd w:id="178"/>
    <w:bookmarkStart w:id="179" w:name="aggregate-uci-optional-informative"/>
    <w:p>
      <w:pPr>
        <w:pStyle w:val="Heading2"/>
      </w:pPr>
      <w:r>
        <w:t xml:space="preserve">11.2 Aggregate UCI (Optional, informative)</w:t>
      </w:r>
    </w:p>
    <w:p>
      <w:pPr>
        <w:pStyle w:val="FirstParagraph"/>
      </w:pPr>
      <w:r>
        <w:t xml:space="preserve">An aggregate coherence score may be computed:</w:t>
      </w:r>
    </w:p>
    <w:p>
      <w:pPr>
        <w:pStyle w:val="BodyText"/>
      </w:pPr>
      <w:r>
        <w:t xml:space="preserve">UCI_agg = Σ_u γ_u × UCI_u</w:t>
      </w:r>
    </w:p>
    <w:p>
      <w:pPr>
        <w:pStyle w:val="BodyText"/>
      </w:pPr>
      <w:r>
        <w:t xml:space="preserve">Where γ_u are declared aggregation weights. This aggregate is optional and MUST NOT replace per-union UCI in containment logic unless explicitly governed.</w:t>
      </w:r>
    </w:p>
    <w:bookmarkEnd w:id="179"/>
    <w:bookmarkStart w:id="180" w:name="X42a6f77c392956fa414265365fce0ffd6a83bb8"/>
    <w:p>
      <w:pPr>
        <w:pStyle w:val="Heading2"/>
      </w:pPr>
      <w:r>
        <w:t xml:space="preserve">11.3 Hollowing-Out Index (HOI) (Normative as monitoring definition)</w:t>
      </w:r>
    </w:p>
    <w:p>
      <w:pPr>
        <w:pStyle w:val="FirstParagraph"/>
      </w:pPr>
      <w:r>
        <w:t xml:space="preserve">HOI detects a drift pattern: welfare score improves while coherence degrades over time.</w:t>
      </w:r>
    </w:p>
    <w:p>
      <w:pPr>
        <w:pStyle w:val="BodyText"/>
      </w:pPr>
      <w:r>
        <w:t xml:space="preserve">Let t index review periods. Define:</w:t>
      </w:r>
    </w:p>
    <w:p>
      <w:pPr>
        <w:pStyle w:val="Compact"/>
        <w:numPr>
          <w:ilvl w:val="0"/>
          <w:numId w:val="1123"/>
        </w:numPr>
      </w:pPr>
      <w:r>
        <w:t xml:space="preserve">ΔRLS_t = RLS_t − RLS_{t-1}</w:t>
      </w:r>
    </w:p>
    <w:p>
      <w:pPr>
        <w:pStyle w:val="Compact"/>
        <w:numPr>
          <w:ilvl w:val="0"/>
          <w:numId w:val="1124"/>
        </w:numPr>
      </w:pPr>
      <w:r>
        <w:t xml:space="preserve">ΔUCI_t = UCI_agg,t − UCI_agg,{t-1} (or a declared union-specific UCI; must be consistent)</w:t>
      </w:r>
    </w:p>
    <w:p>
      <w:pPr>
        <w:pStyle w:val="FirstParagraph"/>
      </w:pPr>
      <w:r>
        <w:t xml:space="preserve">Define exponential moving average EMA_λ with a declared smoothing parameter (default half-life 3 periods).</w:t>
      </w:r>
    </w:p>
    <w:p>
      <w:pPr>
        <w:pStyle w:val="BodyText"/>
      </w:pPr>
      <w:r>
        <w:t xml:space="preserve">HOI_t = EMA_λ(ΔRLS)_t − EMA_λ(ΔUCI)_t</w:t>
      </w:r>
    </w:p>
    <w:p>
      <w:pPr>
        <w:pStyle w:val="BodyText"/>
      </w:pPr>
      <w:r>
        <w:t xml:space="preserve">Interpretation:</w:t>
      </w:r>
    </w:p>
    <w:p>
      <w:pPr>
        <w:pStyle w:val="Compact"/>
        <w:numPr>
          <w:ilvl w:val="0"/>
          <w:numId w:val="1125"/>
        </w:numPr>
      </w:pPr>
      <w:r>
        <w:t xml:space="preserve">Persistent HOI &gt; 0:</w:t>
      </w:r>
      <w:r>
        <w:t xml:space="preserve"> </w:t>
      </w:r>
      <w:r>
        <w:t xml:space="preserve">“</w:t>
      </w:r>
      <w:r>
        <w:t xml:space="preserve">hollowing risk</w:t>
      </w:r>
      <w:r>
        <w:t xml:space="preserve">”</w:t>
      </w:r>
      <w:r>
        <w:t xml:space="preserve"> </w:t>
      </w:r>
      <w:r>
        <w:t xml:space="preserve">(apparent welfare gains with structural erosion)</w:t>
      </w:r>
    </w:p>
    <w:p>
      <w:pPr>
        <w:pStyle w:val="Compact"/>
        <w:numPr>
          <w:ilvl w:val="0"/>
          <w:numId w:val="1126"/>
        </w:numPr>
      </w:pPr>
      <w:r>
        <w:t xml:space="preserve">HOI is diagnostic; it does not by itself make an option inadmissible, but it can trigger monitoring escalation and influence tie-break risk flags.</w:t>
      </w:r>
    </w:p>
    <w:p>
      <w:pPr>
        <w:pStyle w:val="FirstParagraph"/>
      </w:pPr>
      <w:r>
        <w:t xml:space="preserve">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bookmarkEnd w:id="180"/>
    <w:bookmarkStart w:id="181" w:name="canonical-tie-break-chain-normative"/>
    <w:p>
      <w:pPr>
        <w:pStyle w:val="Heading2"/>
      </w:pPr>
      <w:r>
        <w:t xml:space="preserve">11.4 Canonical Tie-Break Chain (Normative)</w:t>
      </w:r>
    </w:p>
    <w:p>
      <w:pPr>
        <w:pStyle w:val="FirstParagraph"/>
      </w:pPr>
      <w:r>
        <w:t xml:space="preserve">This section applies only after the selectable set A_sel has been formed by Reality Grounding, RF/NCRC, TRC, and CSV, and only when the leading residual welfare options remain tied, close, uncertainty-overlapped, or non-decisive under the Section 10.4 discrimination rule. The tie-break chain does not reopen NCRC, TRC, or CSV and is not part of the public headline method.</w:t>
      </w:r>
    </w:p>
    <w:p>
      <w:pPr>
        <w:pStyle w:val="BodyText"/>
      </w:pPr>
      <w:r>
        <w:t xml:space="preserve">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pPr>
      <w:r>
        <w:t xml:space="preserve">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pPr>
      <w:r>
        <w:t xml:space="preserve">Step 0: Ensure options under comparison are selectable (pass containment Mode A).</w:t>
      </w:r>
    </w:p>
    <w:p>
      <w:pPr>
        <w:pStyle w:val="BodyText"/>
      </w:pPr>
      <w:r>
        <w:t xml:space="preserve">If top RLS option fails containment, it is not in A_sel and must not be tie-broken into selection.</w:t>
      </w:r>
    </w:p>
    <w:p>
      <w:pPr>
        <w:pStyle w:val="BodyText"/>
      </w:pPr>
      <w:r>
        <w:t xml:space="preserve">Step 1: UCI dominance rule.</w:t>
      </w:r>
    </w:p>
    <w:p>
      <w:pPr>
        <w:pStyle w:val="BodyText"/>
      </w:pPr>
      <w:r>
        <w:t xml:space="preserve">Prefer the option with higher predicted UCI outcomes if the difference exceeds a governed UCI dominance threshold Δ_UCI.</w:t>
      </w:r>
    </w:p>
    <w:p>
      <w:pPr>
        <w:pStyle w:val="BodyText"/>
      </w:pPr>
      <w:r>
        <w:t xml:space="preserve">Default: Δ_UCI = 0.05 (must be recorded; may be tightened).</w:t>
      </w:r>
    </w:p>
    <w:p>
      <w:pPr>
        <w:pStyle w:val="BodyText"/>
      </w:pPr>
      <w:r>
        <w:t xml:space="preserve">Operationally: compare the minimum-coherence-change among critical containing unions and/or the relevant union UCI profiles. The PCC must declare the tie-break UCI comparison method:</w:t>
      </w:r>
    </w:p>
    <w:p>
      <w:pPr>
        <w:pStyle w:val="Compact"/>
        <w:numPr>
          <w:ilvl w:val="0"/>
          <w:numId w:val="1127"/>
        </w:numPr>
      </w:pPr>
      <w:r>
        <w:t xml:space="preserve">Method UCI-A (default): Maximize minimum ΔUCI_u over containing unions relevant to the decision scope; or</w:t>
      </w:r>
    </w:p>
    <w:p>
      <w:pPr>
        <w:pStyle w:val="Compact"/>
        <w:numPr>
          <w:ilvl w:val="0"/>
          <w:numId w:val="1128"/>
        </w:numPr>
      </w:pPr>
      <w:r>
        <w:t xml:space="preserve">Method UCI-B: Maximize sum of ΔUCI_u over the directly affected unions; or</w:t>
      </w:r>
    </w:p>
    <w:p>
      <w:pPr>
        <w:pStyle w:val="Compact"/>
        <w:numPr>
          <w:ilvl w:val="0"/>
          <w:numId w:val="1129"/>
        </w:numPr>
      </w:pPr>
      <w:r>
        <w:t xml:space="preserve">Method UCI-C: Maximize declared aggregate UCI_agg change.</w:t>
      </w:r>
    </w:p>
    <w:p>
      <w:pPr>
        <w:pStyle w:val="FirstParagraph"/>
      </w:pPr>
      <w:r>
        <w:t xml:space="preserve">Whichever method is used MUST be declared and applied consistently across compared options.</w:t>
      </w:r>
    </w:p>
    <w:p>
      <w:pPr>
        <w:pStyle w:val="BodyText"/>
      </w:pPr>
      <w:r>
        <w:t xml:space="preserve">Step 2: HOI risk flag (if monitoring context exists).</w:t>
      </w:r>
    </w:p>
    <w:p>
      <w:pPr>
        <w:pStyle w:val="BodyText"/>
      </w:pPr>
      <w:r>
        <w:t xml:space="preserve">If one option is associated with persistent positive HOI in comparable deployments or in modeled trajectory, treat it as riskier and prefer the alternative if the risk is material, or escalate.</w:t>
      </w:r>
    </w:p>
    <w:p>
      <w:pPr>
        <w:pStyle w:val="BodyText"/>
      </w:pPr>
      <w:r>
        <w:t xml:space="preserve">Step 3: Escalation / judgment call.</w:t>
      </w:r>
    </w:p>
    <w:p>
      <w:pPr>
        <w:pStyle w:val="BodyText"/>
      </w:pPr>
      <w:r>
        <w:t xml:space="preserve">If UCI is unavailable or non-decisive and HOI does not resolve, the decision MUST escalate to:</w:t>
      </w:r>
    </w:p>
    <w:p>
      <w:pPr>
        <w:pStyle w:val="Compact"/>
        <w:numPr>
          <w:ilvl w:val="0"/>
          <w:numId w:val="1130"/>
        </w:numPr>
      </w:pPr>
      <w:r>
        <w:t xml:space="preserve">Additional data collection (structural indicators), and/or</w:t>
      </w:r>
    </w:p>
    <w:p>
      <w:pPr>
        <w:pStyle w:val="Compact"/>
        <w:numPr>
          <w:ilvl w:val="0"/>
          <w:numId w:val="1131"/>
        </w:numPr>
      </w:pPr>
      <w:r>
        <w:t xml:space="preserve">A higher tier, and/or</w:t>
      </w:r>
    </w:p>
    <w:p>
      <w:pPr>
        <w:pStyle w:val="Compact"/>
        <w:numPr>
          <w:ilvl w:val="0"/>
          <w:numId w:val="1132"/>
        </w:numPr>
      </w:pPr>
      <w:r>
        <w:t xml:space="preserve">A documented governance judgment call (PCC labeled JUDGMENT_CALL_TIEBREAK_NONDECISIVE) with explicit monitoring plan.</w:t>
      </w:r>
    </w:p>
    <w:bookmarkEnd w:id="181"/>
    <w:bookmarkStart w:id="182" w:name="uci-unavailability-rule-tier-3-normative"/>
    <w:p>
      <w:pPr>
        <w:pStyle w:val="Heading2"/>
      </w:pPr>
      <w:r>
        <w:t xml:space="preserve">11.5 UCI Unavailability Rule (Tier 3) (Normative)</w:t>
      </w:r>
    </w:p>
    <w:p>
      <w:pPr>
        <w:pStyle w:val="FirstParagraph"/>
      </w:pPr>
      <w:r>
        <w:t xml:space="preserve">If UCI cannot be computed without violating structural independence:</w:t>
      </w:r>
    </w:p>
    <w:p>
      <w:pPr>
        <w:pStyle w:val="Compact"/>
        <w:numPr>
          <w:ilvl w:val="0"/>
          <w:numId w:val="1133"/>
        </w:numPr>
      </w:pPr>
      <w:r>
        <w:t xml:space="preserve">UCI MUST be treated as unavailable.</w:t>
      </w:r>
    </w:p>
    <w:p>
      <w:pPr>
        <w:pStyle w:val="Compact"/>
        <w:numPr>
          <w:ilvl w:val="0"/>
          <w:numId w:val="1134"/>
        </w:numPr>
      </w:pPr>
      <w:r>
        <w:t xml:space="preserve">If RLS lead is non-decisive, decision MUST either: (i) escalate for more structural data / higher tier, OR (ii) record a governance judgment call with explicit labeling and monitoring plan.</w:t>
      </w:r>
    </w:p>
    <w:p>
      <w:pPr>
        <w:pStyle w:val="FirstParagraph"/>
      </w:pPr>
      <w:r>
        <w:t xml:space="preserve">Audit label required: JUDGMENT_CALL_UCI_UNAVAILABLE.</w:t>
      </w:r>
    </w:p>
    <w:bookmarkEnd w:id="182"/>
    <w:bookmarkStart w:id="183" w:name="X740b9bc5d032a4ca2431234894dd2a24a67bda3"/>
    <w:p>
      <w:pPr>
        <w:pStyle w:val="Heading2"/>
      </w:pPr>
      <w:r>
        <w:t xml:space="preserve">11.6 Structural Safeguard Anti-Gaming (Normative)</w:t>
      </w:r>
    </w:p>
    <w:p>
      <w:pPr>
        <w:pStyle w:val="Compact"/>
        <w:numPr>
          <w:ilvl w:val="0"/>
          <w:numId w:val="1135"/>
        </w:numPr>
      </w:pPr>
      <w:r>
        <w:t xml:space="preserve">UCI MUST NOT be computed from RLS welfare impacts at Tier 3.</w:t>
      </w:r>
    </w:p>
    <w:p>
      <w:pPr>
        <w:pStyle w:val="Compact"/>
        <w:numPr>
          <w:ilvl w:val="0"/>
          <w:numId w:val="1136"/>
        </w:numPr>
      </w:pPr>
      <w:r>
        <w:t xml:space="preserve">UCI indicator choices must be documented; changes require versioning and are subject to challenge.</w:t>
      </w:r>
    </w:p>
    <w:bookmarkEnd w:id="183"/>
    <w:bookmarkEnd w:id="184"/>
    <w:bookmarkStart w:id="192" w:name="X197ae4bfe2e5eb33f6c4b6d2d3aa49167adb328"/>
    <w:p>
      <w:pPr>
        <w:pStyle w:val="Heading1"/>
      </w:pPr>
      <w:r>
        <w:t xml:space="preserve">SECTION 12: MORAL STATUS LAYER: SGP INTEGRATION (BINDING INTERFACE)</w:t>
      </w:r>
    </w:p>
    <w:bookmarkStart w:id="185" w:name="purpose-normative-2"/>
    <w:p>
      <w:pPr>
        <w:pStyle w:val="Heading2"/>
      </w:pPr>
      <w:r>
        <w:t xml:space="preserve">12.0 Purpose (Normative)</w:t>
      </w:r>
    </w:p>
    <w:p>
      <w:pPr>
        <w:pStyle w:val="FirstParagraph"/>
      </w:pPr>
      <w:r>
        <w:t xml:space="preserve">RippleLogic does not determine consciousness or moral status on its own. It consumes those determinations only through the binding interface defined in Appendix G. The Sentience Gradient Protocol (SGP) is the authoritative companion specification for moral-status evaluation, rights-of-protection scalar generation, plateau semantics, and associated review procedures.</w:t>
      </w:r>
    </w:p>
    <w:bookmarkEnd w:id="185"/>
    <w:bookmarkStart w:id="186" w:name="strict-separation-rule-normative"/>
    <w:p>
      <w:pPr>
        <w:pStyle w:val="Heading2"/>
      </w:pPr>
      <w:r>
        <w:t xml:space="preserve">12.1 Strict Separation Rule (Normative)</w:t>
      </w:r>
    </w:p>
    <w:p>
      <w:pPr>
        <w:pStyle w:val="FirstParagraph"/>
      </w:pPr>
      <w:r>
        <w:t xml:space="preserve">RippleLogic enforces two distinct gates:</w:t>
      </w:r>
    </w:p>
    <w:p>
      <w:pPr>
        <w:pStyle w:val="BodyText"/>
      </w:pPr>
      <w:r>
        <w:t xml:space="preserve">A) Rights-of-Protection (moral patienthood): Determines minimum protections under NCRC for entities with welfare-relevant capacity (sentience).</w:t>
      </w:r>
    </w:p>
    <w:p>
      <w:pPr>
        <w:pStyle w:val="BodyText"/>
      </w:pPr>
      <w:r>
        <w:t xml:space="preserve">B) Governance Authority: Determines who/what may exercise decision power. Authority is separately gated by competence, alignment, auditability, non-domination, revocability, and domain-fit stewardship requirements.</w:t>
      </w:r>
    </w:p>
    <w:p>
      <w:pPr>
        <w:pStyle w:val="BodyText"/>
      </w:pPr>
      <w:r>
        <w:t xml:space="preserve">Strict Separation Rule (MUST): Sentience classification determines rights-of-protection and may establish plateau-bearing standing where explicitly reported by the authoritative SGP record. It does NOT automatically grant specific consequential governance authority.</w:t>
      </w:r>
    </w:p>
    <w:bookmarkEnd w:id="186"/>
    <w:bookmarkStart w:id="187" w:name="sgp-authority-statement-normative"/>
    <w:p>
      <w:pPr>
        <w:pStyle w:val="Heading2"/>
      </w:pPr>
      <w:r>
        <w:t xml:space="preserve">12.2 SGP Authority Statement (Normative)</w:t>
      </w:r>
    </w:p>
    <w:p>
      <w:pPr>
        <w:pStyle w:val="FirstParagraph"/>
      </w:pPr>
      <w:r>
        <w:t xml:space="preserve">RippleLogic v11.4 does not re-specify sentience detection. SGP v6.4 is authoritative for sentience-scoring procedures, scalar canon, plateau semantics, governed review rules, stability gates, term-discrimination records, and evidence rules. RippleLogic consumes only SGP outputs through the binding interface in Appendix G.</w:t>
      </w:r>
    </w:p>
    <w:bookmarkEnd w:id="187"/>
    <w:bookmarkStart w:id="188" w:name="X5d50c0dc3babb5611c8c27bab3ddcc9966f1248"/>
    <w:p>
      <w:pPr>
        <w:pStyle w:val="Heading2"/>
      </w:pPr>
      <w:r>
        <w:t xml:space="preserve">12.3 Human Plateau Rule (Normative; Non-Overridable)</w:t>
      </w:r>
    </w:p>
    <w:p>
      <w:pPr>
        <w:pStyle w:val="FirstParagraph"/>
      </w:pPr>
      <w:r>
        <w:t xml:space="preserve">For every human person H:</w:t>
      </w:r>
    </w:p>
    <w:p>
      <w:pPr>
        <w:pStyle w:val="BodyText"/>
      </w:pPr>
      <w:r>
        <w:t xml:space="preserve">SG_norm(H) := 1.0</w:t>
      </w:r>
    </w:p>
    <w:p>
      <w:pPr>
        <w:pStyle w:val="BodyText"/>
      </w:pPr>
      <w:r>
        <w:t xml:space="preserve">This assignment is:</w:t>
      </w:r>
    </w:p>
    <w:p>
      <w:pPr>
        <w:pStyle w:val="BodyText"/>
      </w:pPr>
      <w:r>
        <w:t xml:space="preserve">Independent of measurement noise,</w:t>
      </w:r>
    </w:p>
    <w:p>
      <w:pPr>
        <w:pStyle w:val="BodyText"/>
      </w:pPr>
      <w:r>
        <w:t xml:space="preserve">Independent of disability status,</w:t>
      </w:r>
    </w:p>
    <w:p>
      <w:pPr>
        <w:pStyle w:val="BodyText"/>
      </w:pPr>
      <w:r>
        <w:t xml:space="preserve">Independent of partial observability,</w:t>
      </w:r>
    </w:p>
    <w:p>
      <w:pPr>
        <w:pStyle w:val="BodyText"/>
      </w:pPr>
      <w:r>
        <w:t xml:space="preserve">Non-overridable by any SGP scoring outcome,</w:t>
      </w:r>
    </w:p>
    <w:p>
      <w:pPr>
        <w:pStyle w:val="BodyText"/>
      </w:pPr>
      <w:r>
        <w:t xml:space="preserve">And MUST NOT be weakened by any weighting scheme.</w:t>
      </w:r>
    </w:p>
    <w:p>
      <w:pPr>
        <w:pStyle w:val="BodyText"/>
      </w:pPr>
      <w:r>
        <w:t xml:space="preserve">Clarification: No SGP-derived scalar, including SG_patient_norm(E), may be used to reduce human rights protections below plateau. Where the authoritative SGP record reports Plateau(H) = 1, RippleLogic SHALL recognize that plateau status as non-overridable and SHALL NOT attempt to recompute it.</w:t>
      </w:r>
    </w:p>
    <w:p>
      <w:pPr>
        <w:pStyle w:val="BodyText"/>
      </w:pPr>
      <w:r>
        <w:t xml:space="preserve">The Human Plateau Rule has two functions. First, it prevents human rights from becoming a capacity measurement contest. Second, it recognizes humanity as the current evidenced plateau-class reality-managing community within the CMIU: a class that has demonstrated cumulative communication, normative institutions, law, science, technology, intergenerational coordination, and responsibility for shared reality across nested unions. This recognition is not species supremacy and does not close the plateau to non-human or artificial entities. SGP governs any equivalent plateau extension through evidence, non-domination safeguards, and review.</w:t>
      </w:r>
    </w:p>
    <w:bookmarkEnd w:id="188"/>
    <w:bookmarkStart w:id="189" w:name="Xa5fc6ea32620ddc4eeb387a2e95c1259889ff1b"/>
    <w:p>
      <w:pPr>
        <w:pStyle w:val="Heading2"/>
      </w:pPr>
      <w:r>
        <w:t xml:space="preserve">12.4 Where SGP Enters RippleLogic Computation (Normative)</w:t>
      </w:r>
    </w:p>
    <w:p>
      <w:pPr>
        <w:pStyle w:val="FirstParagraph"/>
      </w:pPr>
      <w:r>
        <w:t xml:space="preserve">Permitted entry point:</w:t>
      </w:r>
    </w:p>
    <w:p>
      <w:pPr>
        <w:pStyle w:val="BodyText"/>
      </w:pPr>
      <w:r>
        <w:t xml:space="preserve">Sentience multiplier s_k may be used only within impact-instance aggregation for the welfare stream used to compute RLS when the impacted stakeholder set includes non-human or non-plateau entities and the analyst has an authoritative SGP record for those entities.</w:t>
      </w:r>
    </w:p>
    <w:p>
      <w:pPr>
        <w:pStyle w:val="BodyText"/>
      </w:pPr>
      <w:r>
        <w:t xml:space="preserve">Preferred scalar (Normative guidance, interface-consistent): When the authoritative SGP record provides SG_patient_norm(E) for a non-human or non-plateau entity E, implementations SHOULD use s_k := SG_patient_norm(E) as the welfare scalar. Where SG_patient_norm(E) is not available, implementations SHOULD use s_k := SG_norm(E). For any human person H, implementations MUST set s_k := 1.0 (Human Plateau Rule). SG_measured_norm(E) MUST NOT be used as the direct welfare scalar in place of SG_norm(E) or SG_patient_norm(E).</w:t>
      </w:r>
    </w:p>
    <w:p>
      <w:pPr>
        <w:pStyle w:val="BodyText"/>
      </w:pPr>
      <w:r>
        <w:t xml:space="preserve">Prohibited entry points (MUST NOT):</w:t>
      </w:r>
    </w:p>
    <w:p>
      <w:pPr>
        <w:pStyle w:val="BodyText"/>
      </w:pPr>
      <w:r>
        <w:t xml:space="preserve">SGP MUST NOT be used to weaken NCRC for any human person.</w:t>
      </w:r>
    </w:p>
    <w:p>
      <w:pPr>
        <w:pStyle w:val="BodyText"/>
      </w:pPr>
      <w:r>
        <w:t xml:space="preserve">SGP MUST NOT be used to treat rights floors as compensable welfare terms.</w:t>
      </w:r>
    </w:p>
    <w:p>
      <w:pPr>
        <w:pStyle w:val="BodyText"/>
      </w:pPr>
      <w:r>
        <w:t xml:space="preserve">SGP MUST NOT be used to grant governance authority by itself.</w:t>
      </w:r>
    </w:p>
    <w:p>
      <w:pPr>
        <w:pStyle w:val="BodyText"/>
      </w:pPr>
      <w:r>
        <w:t xml:space="preserve">SGP MUST NOT be used as a rhetorical weapon to reduce protections for any human subgroup.</w:t>
      </w:r>
    </w:p>
    <w:p>
      <w:pPr>
        <w:pStyle w:val="BodyText"/>
      </w:pPr>
      <w:r>
        <w:t xml:space="preserve">SGP MUST NOT be used to infer plateau from raw pillar values or SG_measured_norm(E) alone.</w:t>
      </w:r>
    </w:p>
    <w:bookmarkEnd w:id="189"/>
    <w:bookmarkStart w:id="190" w:name="misinterpretation-guard-normative"/>
    <w:p>
      <w:pPr>
        <w:pStyle w:val="Heading2"/>
      </w:pPr>
      <w:r>
        <w:t xml:space="preserve">12.5 Misinterpretation Guard (Normative)</w:t>
      </w:r>
    </w:p>
    <w:p>
      <w:pPr>
        <w:pStyle w:val="FirstParagraph"/>
      </w:pPr>
      <w:r>
        <w:t xml:space="preserve">The following inferences are PROHIBITED: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916"/>
        <w:gridCol w:w="4302"/>
      </w:tblGrid>
      <w:tr>
        <w:trPr>
          <w:tblHeader w:val="true"/>
          <w:cantSplit/>
        </w:trPr>
        <w:tc>
          <w:tcPr>
            <w:tcW w:w="4916"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Claim</w:t>
            </w:r>
          </w:p>
        </w:tc>
        <w:tc>
          <w:tcPr>
            <w:tcW w:w="4302"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Status</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Linguistic fluency implies sentience</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Self-report implies sufficient evidence of sentience</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Intelligence implies moral status</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Sentience implies governance authority</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Precaution implies attribution (precaution means</w:t>
            </w:r>
            <w:r>
              <w:rPr>
                <w:sz w:val="19"/>
              </w:rPr>
              <w:t xml:space="preserve"> </w:t>
            </w:r>
            <w:r>
              <w:rPr>
                <w:sz w:val="19"/>
              </w:rPr>
              <w:t xml:space="preserve">“</w:t>
            </w:r>
            <w:r>
              <w:rPr>
                <w:sz w:val="19"/>
              </w:rPr>
              <w:t xml:space="preserve">treat as if</w:t>
            </w:r>
            <w:r>
              <w:rPr>
                <w:sz w:val="19"/>
              </w:rPr>
              <w:t xml:space="preserve">”</w:t>
            </w:r>
            <w:r>
              <w:rPr>
                <w:sz w:val="19"/>
              </w:rPr>
              <w:t xml:space="preserve"> </w:t>
            </w:r>
            <w:r>
              <w:rPr>
                <w:sz w:val="19"/>
              </w:rPr>
              <w:t xml:space="preserve">for protection; it does not mean</w:t>
            </w:r>
            <w:r>
              <w:rPr>
                <w:sz w:val="19"/>
              </w:rPr>
              <w:t xml:space="preserve"> </w:t>
            </w:r>
            <w:r>
              <w:rPr>
                <w:sz w:val="19"/>
              </w:rPr>
              <w:t xml:space="preserve">“</w:t>
            </w:r>
            <w:r>
              <w:rPr>
                <w:sz w:val="19"/>
              </w:rPr>
              <w:t xml:space="preserve">is proven</w:t>
            </w:r>
            <w:r>
              <w:rPr>
                <w:sz w:val="19"/>
              </w:rPr>
              <w:t xml:space="preserve">”</w:t>
            </w:r>
            <w:r>
              <w:rPr>
                <w:sz w:val="19"/>
              </w:rPr>
              <w:t xml:space="preserve">)</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Framework terminology familiarity implies capacity</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NOT VALID</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Low SGP score implies reduced human protections</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PROHIBITED</w:t>
            </w:r>
          </w:p>
        </w:tc>
      </w:tr>
    </w:tbl>
    <w:bookmarkEnd w:id="190"/>
    <w:bookmarkStart w:id="191" w:name="X22b6d6561e5339a4f10b64f2f44da9e0cf71ccf"/>
    <w:p>
      <w:pPr>
        <w:pStyle w:val="Heading2"/>
      </w:pPr>
      <w:r>
        <w:t xml:space="preserve">12.6 Rights Expansion for Non-Human Stakeholder Classes (Normative process)</w:t>
      </w:r>
    </w:p>
    <w:p>
      <w:pPr>
        <w:pStyle w:val="FirstParagraph"/>
      </w:pPr>
      <w:r>
        <w:t xml:space="preserve">If SGP (under governed procedures) establishes that a non-human stakeholder class warrants rights-of-protection, or issues an explicit class-level plateau assignment, RippleLogic rights coverage sets and protection rules may be expanded only through governed updates:</w:t>
      </w:r>
    </w:p>
    <w:p>
      <w:pPr>
        <w:pStyle w:val="BodyText"/>
      </w:pPr>
      <w:r>
        <w:t xml:space="preserve">Update rights coverage sets C_r and subgroup protocols,</w:t>
      </w:r>
    </w:p>
    <w:p>
      <w:pPr>
        <w:pStyle w:val="BodyText"/>
      </w:pPr>
      <w:r>
        <w:t xml:space="preserve">Document version increment,</w:t>
      </w:r>
    </w:p>
    <w:p>
      <w:pPr>
        <w:pStyle w:val="BodyText"/>
      </w:pPr>
      <w:r>
        <w:t xml:space="preserve">Record changes in PCC for subsequent runs,</w:t>
      </w:r>
    </w:p>
    <w:p>
      <w:pPr>
        <w:pStyle w:val="BodyText"/>
      </w:pPr>
      <w:r>
        <w:t xml:space="preserve">Preserve prior PCCs unchanged (no retroactive laundering).</w:t>
      </w:r>
    </w:p>
    <w:bookmarkEnd w:id="191"/>
    <w:bookmarkEnd w:id="192"/>
    <w:bookmarkStart w:id="205" w:name="Xaf55ce742564404e14d094b7a7330915f9d6881"/>
    <w:p>
      <w:pPr>
        <w:pStyle w:val="Heading1"/>
      </w:pPr>
      <w:r>
        <w:t xml:space="preserve">SECTION 13: WEIGHT GOVERNANCE: HYBRID DEMOCRATIC WEIGHTING (HDW)</w:t>
      </w:r>
    </w:p>
    <w:bookmarkStart w:id="193" w:name="purpose-normative-3"/>
    <w:p>
      <w:pPr>
        <w:pStyle w:val="Heading2"/>
      </w:pPr>
      <w:r>
        <w:t xml:space="preserve">13.0 Purpose (Normative)</w:t>
      </w:r>
    </w:p>
    <w:p>
      <w:pPr>
        <w:pStyle w:val="FirstParagraph"/>
      </w:pPr>
      <w:r>
        <w:t xml:space="preserve">RLS requires union and dimension weights. Weights encode normative prioritization among admissible options. Without governance, weights become a capture surface. HDW provides legitimate, anti-capture weight governance by combining:</w:t>
      </w:r>
    </w:p>
    <w:p>
      <w:pPr>
        <w:pStyle w:val="Compact"/>
        <w:numPr>
          <w:ilvl w:val="0"/>
          <w:numId w:val="1137"/>
        </w:numPr>
      </w:pPr>
      <w:r>
        <w:t xml:space="preserve">Constitutional floors (non-negotiable minimum protection attention)</w:t>
      </w:r>
    </w:p>
    <w:p>
      <w:pPr>
        <w:pStyle w:val="Compact"/>
        <w:numPr>
          <w:ilvl w:val="0"/>
          <w:numId w:val="1138"/>
        </w:numPr>
      </w:pPr>
      <w:r>
        <w:t xml:space="preserve">Democratic tuning (stakeholder voice)</w:t>
      </w:r>
    </w:p>
    <w:p>
      <w:pPr>
        <w:pStyle w:val="Compact"/>
        <w:numPr>
          <w:ilvl w:val="0"/>
          <w:numId w:val="1139"/>
        </w:numPr>
      </w:pPr>
      <w:r>
        <w:t xml:space="preserve">Structural evidence input (system-level constraints)</w:t>
      </w:r>
    </w:p>
    <w:p>
      <w:pPr>
        <w:pStyle w:val="FirstParagraph"/>
      </w:pPr>
      <w:r>
        <w:t xml:space="preserve">HDW affects only ranking among selectable options. HDW MUST NOT alter admissibility gates (NCRC, TRC) or CSV gate.</w:t>
      </w:r>
    </w:p>
    <w:bookmarkEnd w:id="193"/>
    <w:bookmarkStart w:id="198" w:name="Xa114906c994f06bb9f24a103e6f8b076ec3cc19"/>
    <w:p>
      <w:pPr>
        <w:pStyle w:val="Heading2"/>
      </w:pPr>
      <w:r>
        <w:t xml:space="preserve">13.1 Constitutional Floors (Normative; v6.0 canon, carried forward in v6.4)</w:t>
      </w:r>
    </w:p>
    <w:bookmarkStart w:id="194" w:name="union-weight-floors"/>
    <w:p>
      <w:pPr>
        <w:pStyle w:val="Heading3"/>
      </w:pPr>
      <w:r>
        <w:t xml:space="preserve">13.1.1 Union weight floors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916"/>
        <w:gridCol w:w="4302"/>
      </w:tblGrid>
      <w:tr>
        <w:trPr>
          <w:tblHeader w:val="true"/>
          <w:cantSplit/>
        </w:trPr>
        <w:tc>
          <w:tcPr>
            <w:tcW w:w="491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Union</w:t>
            </w:r>
          </w:p>
        </w:tc>
        <w:tc>
          <w:tcPr>
            <w:tcW w:w="430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Floor</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Self (U₁)</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0.20</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Household (U₂)</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0.06</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Community (U₃)</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0.06</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Organization (U₄)</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0.06</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Polity (U₅)</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0.08</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Humanity/CMIU (U₆)</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0.10</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Biosphere (U₇)</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b/>
                <w:bCs/>
                <w:sz w:val="19"/>
              </w:rPr>
              <w:t xml:space="preserve">Total</w:t>
            </w:r>
          </w:p>
        </w:tc>
        <w:tc>
          <w:tcPr>
            <w:tcW w:w="4302" w:type="dxa"/>
            <w:vAlign w:val="top"/>
            <w:tcMar>
              <w:top w:w="70" w:type="dxa"/>
              <w:start w:w="90" w:type="dxa"/>
              <w:bottom w:w="70" w:type="dxa"/>
              <w:end w:w="90" w:type="dxa"/>
            </w:tcMar>
            <w:shd w:fill="F3F7FB" w:val="clear"/>
          </w:tcPr>
          <w:p>
            <w:pPr>
              <w:pStyle w:val="Compact"/>
              <w:spacing w:before="0" w:after="0"/>
              <w:jc w:val="left"/>
            </w:pPr>
            <w:r>
              <w:rPr>
                <w:b/>
                <w:bCs/>
                <w:sz w:val="19"/>
              </w:rPr>
              <w:t xml:space="preserve">0.66</w:t>
            </w:r>
          </w:p>
        </w:tc>
      </w:tr>
    </w:tbl>
    <w:bookmarkEnd w:id="194"/>
    <w:bookmarkStart w:id="195" w:name="dimension-weight-floors"/>
    <w:p>
      <w:pPr>
        <w:pStyle w:val="Heading3"/>
      </w:pPr>
      <w:r>
        <w:t xml:space="preserve">13.1.2 Dimension weight floors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916"/>
        <w:gridCol w:w="4302"/>
      </w:tblGrid>
      <w:tr>
        <w:trPr>
          <w:tblHeader w:val="true"/>
          <w:cantSplit/>
        </w:trPr>
        <w:tc>
          <w:tcPr>
            <w:tcW w:w="491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Dimension</w:t>
            </w:r>
          </w:p>
        </w:tc>
        <w:tc>
          <w:tcPr>
            <w:tcW w:w="430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Floor</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Material (D₁)</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0.08</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Health (D₂)</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0.10</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Social (D₃)</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0.08</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Knowledge (D₄)</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0.08</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Agency (D₅)</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sz w:val="19"/>
              </w:rPr>
              <w:t xml:space="preserve">Meaning (D₆)</w:t>
            </w:r>
          </w:p>
        </w:tc>
        <w:tc>
          <w:tcPr>
            <w:tcW w:w="4302" w:type="dxa"/>
            <w:vAlign w:val="top"/>
            <w:tcMar>
              <w:top w:w="70" w:type="dxa"/>
              <w:start w:w="90" w:type="dxa"/>
              <w:bottom w:w="70" w:type="dxa"/>
              <w:end w:w="90" w:type="dxa"/>
            </w:tcMar>
            <w:shd w:fill="F3F7FB" w:val="clear"/>
          </w:tcPr>
          <w:p>
            <w:pPr>
              <w:pStyle w:val="Compact"/>
              <w:spacing w:before="0" w:after="0"/>
              <w:jc w:val="left"/>
            </w:pPr>
            <w:r>
              <w:rPr>
                <w:sz w:val="19"/>
              </w:rPr>
              <w:t xml:space="preserve">0.06</w:t>
            </w:r>
          </w:p>
        </w:tc>
      </w:tr>
      <w:tr>
        <w:trPr>
          <w:cantSplit/>
        </w:trPr>
        <w:tc>
          <w:tcPr>
            <w:tcW w:w="4916" w:type="dxa"/>
            <w:vAlign w:val="top"/>
            <w:tcMar>
              <w:top w:w="70" w:type="dxa"/>
              <w:start w:w="90" w:type="dxa"/>
              <w:bottom w:w="70" w:type="dxa"/>
              <w:end w:w="90" w:type="dxa"/>
            </w:tcMar>
            <w:shd w:fill="FFFFFF" w:val="clear"/>
          </w:tcPr>
          <w:p>
            <w:pPr>
              <w:pStyle w:val="Compact"/>
              <w:spacing w:before="0" w:after="0"/>
              <w:jc w:val="left"/>
            </w:pPr>
            <w:r>
              <w:rPr>
                <w:sz w:val="19"/>
              </w:rPr>
              <w:t xml:space="preserve">Environment (D₇)</w:t>
            </w:r>
          </w:p>
        </w:tc>
        <w:tc>
          <w:tcPr>
            <w:tcW w:w="4302"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916" w:type="dxa"/>
            <w:vAlign w:val="top"/>
            <w:tcMar>
              <w:top w:w="70" w:type="dxa"/>
              <w:start w:w="90" w:type="dxa"/>
              <w:bottom w:w="70" w:type="dxa"/>
              <w:end w:w="90" w:type="dxa"/>
            </w:tcMar>
            <w:shd w:fill="F3F7FB" w:val="clear"/>
          </w:tcPr>
          <w:p>
            <w:pPr>
              <w:pStyle w:val="Compact"/>
              <w:spacing w:before="0" w:after="0"/>
              <w:jc w:val="left"/>
            </w:pPr>
            <w:r>
              <w:rPr>
                <w:b/>
                <w:bCs/>
                <w:sz w:val="19"/>
              </w:rPr>
              <w:t xml:space="preserve">Total</w:t>
            </w:r>
          </w:p>
        </w:tc>
        <w:tc>
          <w:tcPr>
            <w:tcW w:w="4302" w:type="dxa"/>
            <w:vAlign w:val="top"/>
            <w:tcMar>
              <w:top w:w="70" w:type="dxa"/>
              <w:start w:w="90" w:type="dxa"/>
              <w:bottom w:w="70" w:type="dxa"/>
              <w:end w:w="90" w:type="dxa"/>
            </w:tcMar>
            <w:shd w:fill="F3F7FB" w:val="clear"/>
          </w:tcPr>
          <w:p>
            <w:pPr>
              <w:pStyle w:val="Compact"/>
              <w:spacing w:before="0" w:after="0"/>
              <w:jc w:val="left"/>
            </w:pPr>
            <w:r>
              <w:rPr>
                <w:b/>
                <w:bCs/>
                <w:sz w:val="19"/>
              </w:rPr>
              <w:t xml:space="preserve">0.60</w:t>
            </w:r>
          </w:p>
        </w:tc>
      </w:tr>
    </w:tbl>
    <w:bookmarkEnd w:id="195"/>
    <w:bookmarkStart w:id="196" w:name="floor-meaning-normative"/>
    <w:p>
      <w:pPr>
        <w:pStyle w:val="Heading3"/>
      </w:pPr>
      <w:r>
        <w:t xml:space="preserve">13.1.3 Floor meaning (Normative)</w:t>
      </w:r>
    </w:p>
    <w:p>
      <w:pPr>
        <w:pStyle w:val="FirstParagraph"/>
      </w:pPr>
      <w:r>
        <w:t xml:space="preserve">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BodyText"/>
      </w:pPr>
      <w:r>
        <w:t xml:space="preserve">A floor value means that the corresponding Union Scope or welfare dimension may not be reduced to zero attention in residual welfare scoring merely because it is politically weak, distant, non-vocal, non-human, future-facing, or inconvenient to model.</w:t>
      </w:r>
    </w:p>
    <w:p>
      <w:pPr>
        <w:pStyle w:val="BodyText"/>
      </w:pPr>
      <w:r>
        <w:t xml:space="preserve">Floor weights do not make all scopes equally active in every decision. PLSS may concentrate residual welfare attention on prominent scopes where the local ripple is strongest, provided that NCRC, TRC, CSV, non-maskable cells, and constitutional floors remain preserved.</w:t>
      </w:r>
    </w:p>
    <w:p>
      <w:pPr>
        <w:pStyle w:val="BodyText"/>
      </w:pPr>
      <w:r>
        <w:t xml:space="preserve">Floor weights do not override evidence. They preserve representation. They ensure that optimization cannot erase a scope or dimension before the system has accounted for whether rights, tail-risk, containment, or welfare impacts are present.</w:t>
      </w:r>
    </w:p>
    <w:p>
      <w:pPr>
        <w:pStyle w:val="BodyText"/>
      </w:pPr>
      <w:r>
        <w:t xml:space="preserve">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bookmarkEnd w:id="196"/>
    <w:bookmarkStart w:id="197" w:name="X8a57d3555024532cab84410c3ce94cbe6a8de3e"/>
    <w:p>
      <w:pPr>
        <w:pStyle w:val="Heading3"/>
      </w:pPr>
      <w:r>
        <w:t xml:space="preserve">13.1.4 Floor derivation rationale (Normative governance prior; Informative derivation)</w:t>
      </w:r>
    </w:p>
    <w:p>
      <w:pPr>
        <w:pStyle w:val="FirstParagraph"/>
      </w:pPr>
      <w:r>
        <w:t xml:space="preserve">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pPr>
      <w:r>
        <w:t xml:space="preserve">Specific design logic for union floors:</w:t>
      </w:r>
    </w:p>
    <w:p>
      <w:pPr>
        <w:pStyle w:val="BodyText"/>
      </w:pPr>
      <w:r>
        <w:t xml:space="preserve">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pPr>
        <w:pStyle w:val="BodyText"/>
      </w:pPr>
      <w:r>
        <w:t xml:space="preserve">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pPr>
      <w:r>
        <w:t xml:space="preserve">Polity (U5) = 0.08. Modestly elevated above U2 through U4 because procedural legitimacy, enforcement capacity, and rule-of-law infrastructure are enabling conditions for all other scopes.</w:t>
      </w:r>
    </w:p>
    <w:p>
      <w:pPr>
        <w:pStyle w:val="BodyText"/>
      </w:pPr>
      <w:r>
        <w:t xml:space="preserve">Humanity/CMIU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pPr>
      <w:r>
        <w:t xml:space="preserve">Specific design logic for dimension floors:</w:t>
      </w:r>
    </w:p>
    <w:p>
      <w:pPr>
        <w:pStyle w:val="BodyText"/>
      </w:pPr>
      <w:r>
        <w:t xml:space="preserve">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pPr>
      <w:r>
        <w:t xml:space="preserve">Material (D1), Social (D3), and Knowledge (D4) = 0.08 each. Set as equal moderate floors reflecting their cross-cutting importance without prioritising any one.</w:t>
      </w:r>
    </w:p>
    <w:p>
      <w:pPr>
        <w:pStyle w:val="BodyText"/>
      </w:pPr>
      <w:r>
        <w:t xml:space="preserve">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pPr>
      <w:r>
        <w:t xml:space="preserve">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and are carried forward in v6.4 because no revision proposal has been submitted that satisfies these requirements.</w:t>
      </w:r>
    </w:p>
    <w:p>
      <w:pPr>
        <w:pStyle w:val="BodyText"/>
      </w:pPr>
      <w:r>
        <w:t xml:space="preserve">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pPr>
      <w:r>
        <w:t xml:space="preserve">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carried forward in v6.4, and preserved unchanged in subsequent releases unless explicitly amended in the version history.</w:t>
      </w:r>
    </w:p>
    <w:bookmarkEnd w:id="197"/>
    <w:bookmarkEnd w:id="198"/>
    <w:bookmarkStart w:id="199" w:name="hdw-blend-formula-normative"/>
    <w:p>
      <w:pPr>
        <w:pStyle w:val="Heading2"/>
      </w:pPr>
      <w:r>
        <w:t xml:space="preserve">13.2 HDW Blend Formula (Normative)</w:t>
      </w:r>
    </w:p>
    <w:p>
      <w:pPr>
        <w:pStyle w:val="FirstParagraph"/>
      </w:pPr>
      <w:r>
        <w:t xml:space="preserve">Let:</w:t>
      </w:r>
    </w:p>
    <w:p>
      <w:pPr>
        <w:pStyle w:val="Compact"/>
        <w:numPr>
          <w:ilvl w:val="0"/>
          <w:numId w:val="1140"/>
        </w:numPr>
      </w:pPr>
      <w:r>
        <w:t xml:space="preserve">w^floor be union floors,</w:t>
      </w:r>
    </w:p>
    <w:p>
      <w:pPr>
        <w:pStyle w:val="Compact"/>
        <w:numPr>
          <w:ilvl w:val="0"/>
          <w:numId w:val="1141"/>
        </w:numPr>
      </w:pPr>
      <w:r>
        <w:t xml:space="preserve">v^floor be dimension floors.</w:t>
      </w:r>
    </w:p>
    <w:p>
      <w:pPr>
        <w:pStyle w:val="FirstParagraph"/>
      </w:pPr>
      <w:r>
        <w:t xml:space="preserve">Define allocable mass:</w:t>
      </w:r>
    </w:p>
    <w:p>
      <w:pPr>
        <w:pStyle w:val="Compact"/>
        <w:numPr>
          <w:ilvl w:val="0"/>
          <w:numId w:val="1142"/>
        </w:numPr>
      </w:pPr>
      <w:r>
        <w:t xml:space="preserve">allocable_U = 1 − Σ_u w^floor_u = 0.34</w:t>
      </w:r>
    </w:p>
    <w:p>
      <w:pPr>
        <w:pStyle w:val="Compact"/>
        <w:numPr>
          <w:ilvl w:val="0"/>
          <w:numId w:val="1143"/>
        </w:numPr>
      </w:pPr>
      <w:r>
        <w:t xml:space="preserve">allocable_D = 1 − Σ_d v^floor_d = 0.40</w:t>
      </w:r>
    </w:p>
    <w:p>
      <w:pPr>
        <w:pStyle w:val="FirstParagraph"/>
      </w:pPr>
      <w:r>
        <w:t xml:space="preserve">Let w^dem and w^str be union proposal vectors on the simplex (Σ_u w^dem_u = 1, all nonnegative). Let λ_U be the democratic share of allocable union mass. Default: λ_U = 0.70.</w:t>
      </w:r>
    </w:p>
    <w:p>
      <w:pPr>
        <w:pStyle w:val="BodyText"/>
      </w:pPr>
      <w:r>
        <w:t xml:space="preserve">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pPr>
      <w:r>
        <w:t xml:space="preserve">Then:</w:t>
      </w:r>
    </w:p>
    <w:p>
      <w:pPr>
        <w:pStyle w:val="BodyText"/>
      </w:pPr>
      <w:r>
        <w:t xml:space="preserve">w_u = w^floor_u + allocable_U × (λ_U × w^dem_u + (1 − λ_U) × w^str_u)</w:t>
      </w:r>
    </w:p>
    <w:p>
      <w:pPr>
        <w:pStyle w:val="BodyText"/>
      </w:pPr>
      <w:r>
        <w:t xml:space="preserve">Similarly for dimensions with λ_D (default λ_D = 0.70):</w:t>
      </w:r>
    </w:p>
    <w:p>
      <w:pPr>
        <w:pStyle w:val="BodyText"/>
      </w:pPr>
      <w:r>
        <w:t xml:space="preserve">v_d = v^floor_d + allocable_D × (λ_D × v^dem_d + (1 − λ_D) × v^str_d)</w:t>
      </w:r>
    </w:p>
    <w:p>
      <w:pPr>
        <w:pStyle w:val="BodyText"/>
      </w:pPr>
      <w:r>
        <w:t xml:space="preserve">By construction:</w:t>
      </w:r>
    </w:p>
    <w:p>
      <w:pPr>
        <w:pStyle w:val="Compact"/>
        <w:numPr>
          <w:ilvl w:val="0"/>
          <w:numId w:val="1144"/>
        </w:numPr>
      </w:pPr>
      <w:r>
        <w:t xml:space="preserve">Σ_u w_u = 1,</w:t>
      </w:r>
    </w:p>
    <w:p>
      <w:pPr>
        <w:pStyle w:val="Compact"/>
        <w:numPr>
          <w:ilvl w:val="0"/>
          <w:numId w:val="1145"/>
        </w:numPr>
      </w:pPr>
      <w:r>
        <w:t xml:space="preserve">Σ_d v_d = 1,</w:t>
      </w:r>
    </w:p>
    <w:p>
      <w:pPr>
        <w:pStyle w:val="Compact"/>
        <w:numPr>
          <w:ilvl w:val="0"/>
          <w:numId w:val="1146"/>
        </w:numPr>
      </w:pPr>
      <w:r>
        <w:t xml:space="preserve">All floors are satisfied,</w:t>
      </w:r>
    </w:p>
    <w:p>
      <w:pPr>
        <w:pStyle w:val="Compact"/>
        <w:numPr>
          <w:ilvl w:val="0"/>
          <w:numId w:val="1147"/>
        </w:numPr>
      </w:pPr>
      <w:r>
        <w:t xml:space="preserve">Weights remain nonnegative.</w:t>
      </w:r>
    </w:p>
    <w:bookmarkEnd w:id="199"/>
    <w:bookmarkStart w:id="200" w:name="X4263ece1c60bfc3532537230ba6222f962ac347"/>
    <w:p>
      <w:pPr>
        <w:pStyle w:val="Heading2"/>
      </w:pPr>
      <w:r>
        <w:t xml:space="preserve">13.3 Democratic Proposal Process (Normative minimum)</w:t>
      </w:r>
    </w:p>
    <w:p>
      <w:pPr>
        <w:pStyle w:val="FirstParagraph"/>
      </w:pPr>
      <w:r>
        <w:t xml:space="preserve">HDW requires a documented process for producing w^dem and v^dem. At minimum:</w:t>
      </w:r>
    </w:p>
    <w:p>
      <w:pPr>
        <w:pStyle w:val="Compact"/>
        <w:numPr>
          <w:ilvl w:val="0"/>
          <w:numId w:val="1148"/>
        </w:numPr>
      </w:pPr>
      <w:r>
        <w:t xml:space="preserve">Participants: Representatives from affected unions (including vulnerable populations),</w:t>
      </w:r>
    </w:p>
    <w:p>
      <w:pPr>
        <w:pStyle w:val="Compact"/>
        <w:numPr>
          <w:ilvl w:val="0"/>
          <w:numId w:val="1149"/>
        </w:numPr>
      </w:pPr>
      <w:r>
        <w:t xml:space="preserve">Method: Transparent vote or deliberative process with published results,</w:t>
      </w:r>
    </w:p>
    <w:p>
      <w:pPr>
        <w:pStyle w:val="Compact"/>
        <w:numPr>
          <w:ilvl w:val="0"/>
          <w:numId w:val="1150"/>
        </w:numPr>
      </w:pPr>
      <w:r>
        <w:t xml:space="preserve">Publication: Results recorded in PCC and (Tier 3 recommended) in an immutable ledger.</w:t>
      </w:r>
    </w:p>
    <w:bookmarkEnd w:id="200"/>
    <w:bookmarkStart w:id="201" w:name="Xaf0ddf1086db68c3ba00760f8f76d4febe43a68"/>
    <w:p>
      <w:pPr>
        <w:pStyle w:val="Heading2"/>
      </w:pPr>
      <w:r>
        <w:t xml:space="preserve">13.3A Democratic Tuning Procedure (Normative minimum)</w:t>
      </w:r>
    </w:p>
    <w:p>
      <w:pPr>
        <w:pStyle w:val="FirstParagraph"/>
      </w:pPr>
      <w:r>
        <w:t xml:space="preserve">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BodyText"/>
      </w:pPr>
      <w:r>
        <w:t xml:space="preserve">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BodyText"/>
      </w:pPr>
      <w:r>
        <w:t xml:space="preserve">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BodyText"/>
      </w:pPr>
      <w:r>
        <w:t xml:space="preserve">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bookmarkEnd w:id="201"/>
    <w:bookmarkStart w:id="202" w:name="X979fdcf62e8e4d42f27cbf23348e39f205608c1"/>
    <w:p>
      <w:pPr>
        <w:pStyle w:val="Heading2"/>
      </w:pPr>
      <w:r>
        <w:t xml:space="preserve">13.4 Structural Proposal Process (Normative minimum)</w:t>
      </w:r>
    </w:p>
    <w:p>
      <w:pPr>
        <w:pStyle w:val="FirstParagraph"/>
      </w:pPr>
      <w:r>
        <w:t xml:space="preserve">w^str and v^str represent evidence-informed constraints (for example, externality reach, irreversibility, systemic risk). At minimum:</w:t>
      </w:r>
    </w:p>
    <w:p>
      <w:pPr>
        <w:pStyle w:val="Compact"/>
        <w:numPr>
          <w:ilvl w:val="0"/>
          <w:numId w:val="1151"/>
        </w:numPr>
      </w:pPr>
      <w:r>
        <w:t xml:space="preserve">Method: Documented rule for producing w^str, v^str,</w:t>
      </w:r>
    </w:p>
    <w:p>
      <w:pPr>
        <w:pStyle w:val="Compact"/>
        <w:numPr>
          <w:ilvl w:val="0"/>
          <w:numId w:val="1152"/>
        </w:numPr>
      </w:pPr>
      <w:r>
        <w:t xml:space="preserve">Inputs: Declared indicators and sources,</w:t>
      </w:r>
    </w:p>
    <w:p>
      <w:pPr>
        <w:pStyle w:val="Compact"/>
        <w:numPr>
          <w:ilvl w:val="0"/>
          <w:numId w:val="1153"/>
        </w:numPr>
      </w:pPr>
      <w:r>
        <w:t xml:space="preserve">Reproducibility: The same method yields same output given same data.</w:t>
      </w:r>
    </w:p>
    <w:p>
      <w:pPr>
        <w:pStyle w:val="FirstParagraph"/>
      </w:pPr>
      <w:r>
        <w:t xml:space="preserve">If a deployment lacks structural evidence, it may use a declared interim default w^str, v^str at Tier 2, but Tier 3 SHOULD converge to a governed structural method over time.</w:t>
      </w:r>
    </w:p>
    <w:bookmarkEnd w:id="202"/>
    <w:bookmarkStart w:id="203" w:name="Xc80a5c311791ec3deaaaa8057c6017eddbefb00"/>
    <w:p>
      <w:pPr>
        <w:pStyle w:val="Heading2"/>
      </w:pPr>
      <w:r>
        <w:t xml:space="preserve">13.5 Anti-Capture Safeguards (Normative for Tier 3)</w:t>
      </w:r>
    </w:p>
    <w:p>
      <w:pPr>
        <w:pStyle w:val="FirstParagraph"/>
      </w:pPr>
      <w:r>
        <w:t xml:space="preserve">Tier 3 weight governance MUST include:</w:t>
      </w:r>
    </w:p>
    <w:p>
      <w:pPr>
        <w:pStyle w:val="Compact"/>
        <w:numPr>
          <w:ilvl w:val="0"/>
          <w:numId w:val="1154"/>
        </w:numPr>
      </w:pPr>
      <w:r>
        <w:t xml:space="preserve">Stratified representation: Delegates must include vulnerable population representation and biosphere stewardship for environment-relevant decisions.</w:t>
      </w:r>
    </w:p>
    <w:p>
      <w:pPr>
        <w:pStyle w:val="Compact"/>
        <w:numPr>
          <w:ilvl w:val="0"/>
          <w:numId w:val="1155"/>
        </w:numPr>
      </w:pPr>
      <w:r>
        <w:t xml:space="preserve">Supermajority lock near floors: Any proposal reducing a weight to within 0.02 of its floor requires ≥2/3 approval.</w:t>
      </w:r>
    </w:p>
    <w:p>
      <w:pPr>
        <w:pStyle w:val="Compact"/>
        <w:numPr>
          <w:ilvl w:val="0"/>
          <w:numId w:val="1156"/>
        </w:numPr>
      </w:pPr>
      <w:r>
        <w:t xml:space="preserve">Transparency ledger: All proposals, votes, rationales published (at least internally).</w:t>
      </w:r>
    </w:p>
    <w:p>
      <w:pPr>
        <w:pStyle w:val="Compact"/>
        <w:numPr>
          <w:ilvl w:val="0"/>
          <w:numId w:val="1157"/>
        </w:numPr>
      </w:pPr>
      <w:r>
        <w:t xml:space="preserve">Red-team testing: Proposed weights tested against reference decision suites to detect systematic bias.</w:t>
      </w:r>
    </w:p>
    <w:p>
      <w:pPr>
        <w:pStyle w:val="Compact"/>
        <w:numPr>
          <w:ilvl w:val="0"/>
          <w:numId w:val="1158"/>
        </w:numPr>
      </w:pPr>
      <w:r>
        <w:t xml:space="preserve">Conflict-of-interest disclosure: Material conflicts require recusal; recusals recorded.</w:t>
      </w:r>
    </w:p>
    <w:bookmarkEnd w:id="203"/>
    <w:bookmarkStart w:id="204" w:name="weight-use-by-tier-normative"/>
    <w:p>
      <w:pPr>
        <w:pStyle w:val="Heading2"/>
      </w:pPr>
      <w:r>
        <w:t xml:space="preserve">13.6 Weight Use by Tier (Normative)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Tier</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Weight Policy</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Tier 1</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Uniform weights allowed (documented)</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Tier 2</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Uniform weights allowed; HDW recommended; weights must be declared in PCC</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Tier 3</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HDW recommended; if not available, explicit interim weights allowed with justification and sensitivity analysis. Floors remain binding regardless.</w:t>
            </w:r>
          </w:p>
        </w:tc>
      </w:tr>
    </w:tbl>
    <w:bookmarkEnd w:id="204"/>
    <w:bookmarkEnd w:id="205"/>
    <w:bookmarkStart w:id="220" w:name="X65e75abfb07d76eefbd4db3a7eb1417001c1ef0"/>
    <w:p>
      <w:pPr>
        <w:pStyle w:val="Heading1"/>
      </w:pPr>
      <w:r>
        <w:t xml:space="preserve">SECTION 14: AUDITABILITY AND DETERMINISM: PCC AND AIL (TIER 1-3; TIER 4 TARGET)</w:t>
      </w:r>
    </w:p>
    <w:bookmarkStart w:id="206" w:name="purpose-normative-4"/>
    <w:p>
      <w:pPr>
        <w:pStyle w:val="Heading2"/>
      </w:pPr>
      <w:r>
        <w:t xml:space="preserve">14.0 Purpose (Normative)</w:t>
      </w:r>
    </w:p>
    <w:p>
      <w:pPr>
        <w:pStyle w:val="FirstParagraph"/>
      </w:pPr>
      <w:r>
        <w:t xml:space="preserve">Without auditability, ethics frameworks become theater or are gamed. RippleLogic therefore requires a structured decision artifact (PCC) and integrity rules (AIL) to make decisions reconstructable, challengeable, and corrigible via NCAR.</w:t>
      </w:r>
    </w:p>
    <w:p>
      <w:pPr>
        <w:pStyle w:val="BodyText"/>
      </w:pPr>
      <w:r>
        <w:t xml:space="preserve">Tier boundary: Tier 1-3 auditability is fully specified here. Tier 4 determinism and hash-bound replayability are explicitly a design target only (Appendix I) and MUST NOT be claimed in v11.4.</w:t>
      </w:r>
    </w:p>
    <w:bookmarkEnd w:id="206"/>
    <w:bookmarkStart w:id="207" w:name="Xac934eb69c4efb00da35ae66da0aa40e1807666"/>
    <w:p>
      <w:pPr>
        <w:pStyle w:val="Heading2"/>
      </w:pPr>
      <w:r>
        <w:t xml:space="preserve">14.1 Artifact Integrity Law (AIL) Principles (Normative for Tier 2-3)</w:t>
      </w:r>
    </w:p>
    <w:p>
      <w:pPr>
        <w:pStyle w:val="FirstParagraph"/>
      </w:pPr>
      <w:r>
        <w:t xml:space="preserve">AIL is a set of integrity constraints governing how decisions are recorded and compared.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Principle</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Description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AIL1 (Registry Binding / Source Traceability)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Every Tier 2-3 PCC MUST list the normative parameters used. If hashes/registries are used, they must be referenced; if not, values must be embedded explicitly.</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AIL2 (Immutability)</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PCC is immutable after signing. Any correction produces a new PCC revision that references the prior PCC and explains the change.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AIL3 (Comparability)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Options compared in one run MUST be evaluated under identical configuration.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AIL4 (No Silent Overrides)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Any override must be explicit in the PCC (what changed, why, who approved).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AIL5 (Auditability Sufficiency)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Tier 3 PCC MUST contain enough information for an independent reviewer to recompute NCRC, TRC, CSV, and RLS for that run.</w:t>
            </w:r>
          </w:p>
        </w:tc>
      </w:tr>
    </w:tbl>
    <w:bookmarkEnd w:id="207"/>
    <w:bookmarkStart w:id="208" w:name="pcc-requirements-by-tier-normative"/>
    <w:p>
      <w:pPr>
        <w:pStyle w:val="Heading2"/>
      </w:pPr>
      <w:r>
        <w:t xml:space="preserve">14.2 PCC Requirements by Tier (Normative)</w:t>
      </w:r>
    </w:p>
    <w:p>
      <w:pPr>
        <w:pStyle w:val="FirstParagraph"/>
      </w:pPr>
      <w:r>
        <w:t xml:space="preserve">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Tier</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PCC Requirement</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Tier 1</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Optional but recommended for learning</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Tier 2</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Tier 3</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REQUIRED (full) including subgroup rights checks, TRC scenario table, containment results, sensitivity analysis bundle, Scope Coverage Declaration, Stakeholder Coverage Index (SCI ≥ 2), and full InstanceMap with multi-scope redundancy handling disclosures.</w:t>
            </w:r>
          </w:p>
        </w:tc>
      </w:tr>
    </w:tbl>
    <w:bookmarkEnd w:id="208"/>
    <w:bookmarkStart w:id="209" w:name="audit-flags-normative"/>
    <w:p>
      <w:pPr>
        <w:pStyle w:val="Heading2"/>
      </w:pPr>
      <w:r>
        <w:t xml:space="preserve">14.3 Audit Flags (Normative)</w:t>
      </w:r>
    </w:p>
    <w:p>
      <w:pPr>
        <w:pStyle w:val="FirstParagraph"/>
      </w:pPr>
      <w:r>
        <w:t xml:space="preserve">Audit flags are standardized labels for integrity failures or risk warnings. Flags MUST be recorded in PCC when triggered. If any INVALID flag triggers, the PCC is invalid and the decision run MUST be recomputed after correction.</w:t>
      </w:r>
    </w:p>
    <w:p>
      <w:pPr>
        <w:pStyle w:val="BodyText"/>
      </w:pPr>
      <w:r>
        <w:t xml:space="preserve">Definitions for this section:</w:t>
      </w:r>
    </w:p>
    <w:p>
      <w:pPr>
        <w:pStyle w:val="Compact"/>
        <w:numPr>
          <w:ilvl w:val="0"/>
          <w:numId w:val="1159"/>
        </w:numPr>
      </w:pPr>
      <w:r>
        <w:t xml:space="preserve">Mode A (Containment as binding gate): Containment evaluation determines which options are selectable; options failing containment MUST NOT be selected. See Section 9.3.</w:t>
      </w:r>
    </w:p>
    <w:p>
      <w:pPr>
        <w:pStyle w:val="Compact"/>
        <w:numPr>
          <w:ilvl w:val="0"/>
          <w:numId w:val="1160"/>
        </w:numPr>
      </w:pPr>
      <w:r>
        <w:t xml:space="preserve">Mode B (Containment as diagnostic only): Containment is computed for informational purposes but does not affect selection. Mode B is PROHIBITED for determining selection outcomes. See Section 9.5.</w:t>
      </w:r>
    </w:p>
    <w:p>
      <w:pPr>
        <w:pStyle w:val="Compact"/>
        <w:numPr>
          <w:ilvl w:val="0"/>
          <w:numId w:val="1161"/>
        </w:numPr>
      </w:pPr>
      <w:r>
        <w:t xml:space="preserve">KQS (Kernel Quality Score): Summary score indicating kernel readiness for propagation. See Section 6.5.</w:t>
      </w:r>
    </w:p>
    <w:p>
      <w:pPr>
        <w:pStyle w:val="Compact"/>
        <w:numPr>
          <w:ilvl w:val="0"/>
          <w:numId w:val="1162"/>
        </w:numPr>
      </w:pPr>
      <w:r>
        <w:t xml:space="preserve">Kernel perturbation test: Systematic edge perturbation of ±0.05 (or ±10% of magnitude, whichever is larger) applied one-at-a-time to relied-upon non-zero kernel edges. See Section 6.6.</w:t>
      </w:r>
    </w:p>
    <w:p>
      <w:pPr>
        <w:pStyle w:val="FirstParagraph"/>
      </w:pPr>
      <w:r>
        <w:t xml:space="preserve">Canonical Audit Flags (v11.4) - Complete Specification</w:t>
      </w:r>
    </w:p>
    <w:p>
      <w:pPr>
        <w:pStyle w:val="BodyText"/>
      </w:pPr>
      <w:r>
        <w:t xml:space="preserve">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pPr>
      <w:r>
        <w:t xml:space="preserve">Stewardship audit-flag tokens are defined canonically in Appendix N.7 and MUST NOT be redefined in downstream specifications; downstream documents SHALL reference Appendix N.7.</w:t>
      </w:r>
    </w:p>
    <w:p>
      <w:pPr>
        <w:pStyle w:val="BodyText"/>
      </w:pPr>
      <w:r>
        <w:t xml:space="preserve">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BodyText"/>
      </w:pPr>
      <w:r>
        <w:t xml:space="preserve">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Flag</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Trigger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Required Action</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Severity</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RIGHTS_CELL_MASKED_INVALID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Any rights-covered cell is masked, excluded, null’d, pooled, or otherwise not individually included in RLS aggregation (including any case where m(u,d)=0 for a cell in any C_r).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recompute without masking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RIGHTS_CELL_OMITTED_INVALID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Any rights-covered cell required to evaluate NCRC is omitted/excluded/not disclosed such that NCRC cannot be recomputed.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invalid; include and disclose all required rights-covered cells and recompute NCRC.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CATASTROPHE_CELL_MASKED_INVALID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Any catastrophe cell in C_cat is masked (m(u,d)=0) or otherwise excluded from RLS aggregation (including any case where m(u,d)=0 for a cell in C_cat).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set m(u,d)=1 for all catastrophe cells and recompute RLS.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CATASTROPHE_CELL_OMITTED_INVALID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Any catastrophe cell in C_cat used in TRC loss computation/disclosure is omitted/excluded/not disclosed such that TRC CVaR cannot be independently recomputed.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invalid; include and disclose all catastrophe cells used in TRC loss computation (and any required scenario-to-cell mapping), then recompute TRC.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CONTAINMENT_MODE_B_USED_FOR_SELECTION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Mode B (diagnostic-only containment) influenced selection outcome; see Section 9.5</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rerun with Mode A only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SCENARIO_LIBRARY_MIN_EXCEPTION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Scenario library size |S| is below the tier minimum when TRC is required (Tier 2: |S| &lt; 5; Tier 3: |S| &lt; 20)</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remains valid only with: (i) written justification, (ii) independent reviewer sign-off (Tier 3 required; Tier 2 recommended), and (iii) a remediation plan to reach minimum scenario count before the next comparable run. Record this flag in PCC.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MANDATORY_TAIL_CATEGORY_MISSING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Missing mandatory tail category without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Add scenarios or justify per Section 8.3.2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MANDATORY_TAIL_CATEGORY_MISSING_WITH_JUSTIFICATION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Missing mandatory tail category with proper justification per Section 8.3.2</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Record justification; monitor for category emergence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MANDATORY_TAIL_PROB_FLOOR_VIOLATION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probability sum &lt; p_floor (0.02)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Revise probabilities or add scenarios to category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SUBGROUP_LIMITATION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Cannot disaggregate subgroups for rights-covered cell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Apply γ_subgroup conservative bound (Section 7.3.2); escalate if high stakes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CHALLENGE_DEFERRED_EMERGENCY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Emergency Mode invoked without independent challenger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Retrospective challenge MUST occur within 24 hours or next business day, whichever is sooner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EMERGENCY_MODE_INVOKED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A_NCRC = ∅ (no rights-admissible options exist)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Remediation plan required; high scrutiny review</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TRC_FALLBACK_INVOKED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A_adm = ∅ after TRC (A_NCRC is non-empty but all rights-admissible options fail TRC)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Higher-tier approval required; mitigation plan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DECISION_FRAGILE_KERNEL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Selected option changes under kernel perturbation test (Section 6.6)</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Escalation required; consider NONE mode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KERNEL_HUMILITY_FALLBACK</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Kernel disabled due to KQS &lt; 0.40 or stability violation (Section 6.4, 6.5)</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Note limitation in PCC; plan kernel improvement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JUDGMENT_CALL_UCI_UNAVAILABLE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UCI unavailable in non-decisive RLS tie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Document why UCI unavailable, when UCI measurement returns, and interim decision basis; monitoring plan 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JUDGMENT_CALL_TIEBREAK_NONDECISIVE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Tie-break chain did not resolve 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Explicit manual judgment record required; independent reviewer recommended (Tier 3)</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SCI_BELOW_MINIMUM</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SCI &lt; tier minimum for the claimed tier, OR (SCI = tier minimum AND PCC missing required Next‑Run Upgrade action).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MUST record PCC.SCI.BelowMinimumDisposition = DOWNGRADE_TIER or RERUN_TO_MEET_MINIMUM. If SCI equals tier minimum and NextRunUpgradeAction is missing, treat as SCI_BELOW_MINIMUM. No tier compliance above achieved SCI may be claimed.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CONFIG_DRIFT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Parameters differ from prior run without governance update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Governance review required before proceeding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CONTAINMENT_UCI_UNAVAILABLE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 evaluation required ΔUCI for containing union(s) but ΔUCI unavailable; or unknown ΔUCI treated as pass.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PLSS_ESCALATION_TRIGGER_UNRESOLVED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One or more Section 10.2A.7 escalation triggers is plausibly active, but the run proceeds in PLSS posture without an escalated posture or documented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Record a broader posture OR a specific non-escalation justification with evidence basis and reviewer sign-off where required by tier. If no such disposition is recorded, reject the run as non-conformant.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REGISTRY_MISMATCH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snapshot differs from referenced registry hash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Audit required; resolve discrepancy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PLSS_PROMINENCE_SENSITIVE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Valid alternative PLSS prominence constructions materially change the ranking order of selectable options or the selected option.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Record the sensitivity, require reviewer attention, and do not present the PLSS outcome as uniquely robust without further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DECISIVENESS_METHOD_POSTHOC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Record the post hoc declaration, add the required reason code and sensitivity note, and require reviewer attention. If the missing disposition cannot be supplied, the run MUST NOT be presented as uniquely robust.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EK_NONDEFAULT_TIER2_INVALID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Tier 2 run logs one or more instances with e_k ≠ 1.00 without a named governed instrument that explicitly permits a non-default value.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Tier 2 runs MUST use e_k = 1.00 by default. Reset e_k to 1.00, or rerun under a governed Tier 3 posture with declared provenance and sensitivity evidence before claiming conformance.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UNCERTAINTY_PROVENANCE_MISSING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Tier 2+ run requires uncertainty disclosure, provenance, or method declaration, but the PCC is missing the required uncertainty fields or basis record.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Populate the required PCC uncertainty fields and provenance basis before claiming conformance. If the basis cannot be supplied, downgrade or reject the run as non-conformant.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SCOPE_COVERAGE_REDUCED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Reduced-scope mode is used (declared or implied by fewer than 7 active scopes) in a Tier 2+ run, OR the admissibility full-computation attestation for non-maskable cells is missing/incomplete.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Reviewer MUST verify that NCRC/TRC/CSV were computed on all required non-maskable cells, and that omitted-scope blind spots plus escalation triggers are recorded. If reduced-scope is used repeatedly, require a next-run scope expansion plan.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UNCERTAINTY_DECISIVENESS_SENSITIVE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uncertainty stress tests change whether the lead is decisive.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 or relabel the run non-decisive; apply tie-break or governance review before claiming a decisive welfare lead.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RIGHTS_CELL_UNKNOWN_GATE_CRITICAL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rights-covered cell in C_r is declared UNKNOWN_IMPACT and admissibility is not preserved by a governed conservative bound or equivalent governed disposition.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 not resolve NCRC by phantom fallback alone. Apply a governed conservative bound sufficient to preserve the rights gate, or rerun / downgrade / escalate under a declared disposition.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CATASTROPHE_CELL_UNKNOWN_GATE_CRITICAL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catastrophe-covered cell in C_cat is declared UNKNOWN_IMPACT and TRC is not preserved by a governed conservative scenario/cell bound or equivalent governed disposition.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Do not resolve TRC by phantom fallback alone. Apply a governed conservative catastrophe bound, or rerun / downgrade / escalate under a declared disposition.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GATE_CRITICAL_CONFIDENCE_UNDERBOUNDED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low-confidence adverse impact in C_r, C_cat, or a material CSV indicator is used to reduce apparent severity such that RF/NCRC, TRC, or CSV would pass when a conservative bound, rerun, downgrade, escalation, or Refusal is required.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Apply the Gate-critical confidence guard; record conservative bound or unresolved gate disposition in PCC.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NORMATIVE_INPUT_PROVENANCE_MISSING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Populate PCC.NormativeInputRegister with complete provenance and rerun the affected gate or ranking. No conformance claim may be made until corrected.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CLAIM_EXCEEDS_CLOSURE_BOUNDARY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run makes a public, conformance, deployment-readiness, execution-bound, or validation claim beyond the declared PCC.ComputationalClosure boundary.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Narrow the claim to the declared closure boundary, expand the computation and rerun, or enter Refusal/escalation. The unsupported claim is invalid until corrected.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 for the affected claim.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CATEGORY_COLLAPSE_FLAG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PCC.CategoryCollapseSelfTest returns FAIL on any category-collapse item, including treating compliance as correctness, traceability as admissibility, moral status as governance authority, or SGP welfare scalars as admissibility modifiers.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Identify the collapsed layer, correct the run, or enter Refusal if the collapse affects admissibility, selectability, or selection.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 INVALID if the collapse affects admissibility, selectability, selection, or conformance.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PCC_MATURITY_SURFACE_INCOMPLETE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Tier 2-3 claim-bearing run lacks an applicable required measurement-maturity field under Section 14.3B / Appendix V, including UCI, Kernel, HDW, PLSS, Deployment Context, or Biological Evaluation Maturity fields.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Populate the missing maturity field(s), downgrade/narrow the claim, or reject the run as non-conformant for the affected claim.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 INVALID for any empirical-readiness, operational-completeness, validated-UCI, validated-kernel, biological-measurement-completeness, or Tier-4/ProofPack-adjacent claim.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COMPUTABLE_BUT_INADMISSIBLE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value, formula, model output, scalar, ranking, or workflow result computes successfully, but declared domain rules bar its use as a decision state, conformance basis, public claim, or authorization basis.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Record PCC.CBI.ComputedObject, PCC.CBI.InadmissibilityReason, PCC.CBI.Layer, PCC.CBI.AllowedUse, PCC.CBI.ProhibitedUse, and PCC.CBI.ReviewStatus. Mirror ripple.md W.3 where wrapper assurance applies. Disclose and escalate when gate-relevant.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DISCLOSE; ESCALATE if gate-relevant; INVALID for any selection, deployment, conformance, or maturity claim relying on the barred computed value.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REALITY_GROUNDING_RECORD_MISSING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PCC.RealityGroundingRecord is absent for a claim-bearing Tier 2 or Tier 3 run, or for any run whose material reality claims affect NCRC, TRC, CSV, deterministic selection, authority-selection disclosure, or conformance claims.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Add the RCR, narrow the claim, escalate, or refuse the stronger decision state. The affected claim cannot be treated as supported until the RCR exists.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 for affected claim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REALITY_GROUNDING_STATUS_UNSUPPORTED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Declared RealityGroundingStatus exceeds what the EvidenceTrace, reviewer status, or declared reality surface substantiates.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Downgrade the status, add evidence and reviewer trace, or refuse the stronger claim. If used for a gate, deterministic selection, authority selection, or conformance claim, the claim is invalid until corrected.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 INVALID if used for gate, selection, authority, or conformance</w:t>
            </w:r>
          </w:p>
        </w:tc>
      </w:tr>
    </w:tbl>
    <w:bookmarkEnd w:id="209"/>
    <w:bookmarkStart w:id="210" w:name="X80ebe6a47cc8e4c30e4c3e4202a7e1600bef96f"/>
    <w:p>
      <w:pPr>
        <w:pStyle w:val="Heading2"/>
      </w:pPr>
      <w:r>
        <w:t xml:space="preserve">14.3A Minimal Validator Requirements (v10.6+; Normative)</w:t>
      </w:r>
    </w:p>
    <w:p>
      <w:pPr>
        <w:pStyle w:val="FirstParagraph"/>
      </w:pPr>
      <w:r>
        <w:t xml:space="preserve">Any conformant RippleLogic v11.4 validator MUST check the following:</w:t>
      </w:r>
    </w:p>
    <w:p>
      <w:pPr>
        <w:pStyle w:val="Compact"/>
        <w:numPr>
          <w:ilvl w:val="0"/>
          <w:numId w:val="1163"/>
        </w:numPr>
      </w:pPr>
      <w:r>
        <w:t xml:space="preserve">Every declared instance maps to ≥1 scope (InstanceMap completeness).</w:t>
      </w:r>
    </w:p>
    <w:p>
      <w:pPr>
        <w:pStyle w:val="Compact"/>
        <w:numPr>
          <w:ilvl w:val="0"/>
          <w:numId w:val="1164"/>
        </w:numPr>
      </w:pPr>
      <w:r>
        <w:t xml:space="preserve">Confirm PCC.ScopeCoverageDeclaration.Mode is declared as FULL_SCOPE or REDUCED_SCOPE; if Mode = REDUCED_SCOPE then ScopeCoverage block is present with a blind-spot statement and escalation triggers.</w:t>
      </w:r>
    </w:p>
    <w:p>
      <w:pPr>
        <w:pStyle w:val="Compact"/>
        <w:numPr>
          <w:ilvl w:val="0"/>
          <w:numId w:val="1165"/>
        </w:numPr>
      </w:pPr>
      <w:r>
        <w:t xml:space="preserve">If Mode = REDUCED_SCOPE: PCC.AdmissibilityAttestation.NCRC_full_Cr_computed is present and TRUE.</w:t>
      </w:r>
    </w:p>
    <w:p>
      <w:pPr>
        <w:pStyle w:val="FirstParagraph"/>
      </w:pPr>
      <w:r>
        <w:t xml:space="preserve">If Mode = REDUCED_SCOPE: PCC.AdmissibilityAttestation.TRC_full_Ccat_computed is present and (TRUE or NA).</w:t>
      </w:r>
    </w:p>
    <w:p>
      <w:pPr>
        <w:pStyle w:val="BodyText"/>
      </w:pPr>
      <w:r>
        <w:t xml:space="preserve">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BodyText"/>
      </w:pPr>
      <w:r>
        <w:t xml:space="preserve">If Mode = REDUCED_SCOPE: PCC.AdmissibilityAttestation.Containment_computed_as_applicable is present and (TRUE or NA).</w:t>
      </w:r>
    </w:p>
    <w:p>
      <w:pPr>
        <w:pStyle w:val="BodyText"/>
      </w:pPr>
      <w:r>
        <w:t xml:space="preserve">If CONTAINMENT_UCI_UNAVAILABLE triggers: audit flag is present, and PCC.Containment.UCIUnavailableDisposition + PCC.Containment.UCIUnavailableRemediationTimeline are present (non-empty).</w:t>
      </w:r>
    </w:p>
    <w:p>
      <w:pPr>
        <w:pStyle w:val="BodyText"/>
      </w:pPr>
      <w:r>
        <w:t xml:space="preserve">Tier-3 claim enforcement (Normative). If Implementation Tier = 3 and CONTAINMENT_UCI_UNAVAILABLE is present, the validator MUST reject Tier 3 compliance unless PCC.TierClaimDisposition = TIER_ATTEMPTED_NOT_ACHIEVED_DOWNGRADED and PCC.TierAchieved = 2.</w:t>
      </w:r>
    </w:p>
    <w:p>
      <w:pPr>
        <w:pStyle w:val="Compact"/>
        <w:numPr>
          <w:ilvl w:val="0"/>
          <w:numId w:val="1166"/>
        </w:numPr>
      </w:pPr>
      <w:r>
        <w:t xml:space="preserve">Non-maskable checks: rights-covered cells and catastrophe cells are unmasked (no bypass).</w:t>
      </w:r>
    </w:p>
    <w:p>
      <w:pPr>
        <w:pStyle w:val="Compact"/>
        <w:numPr>
          <w:ilvl w:val="0"/>
          <w:numId w:val="1167"/>
        </w:numPr>
      </w:pPr>
      <w:r>
        <w:t xml:space="preserve">If ALLOCATION used: Σα ≤ 1 for each declared effect-token.</w:t>
      </w:r>
    </w:p>
    <w:p>
      <w:pPr>
        <w:pStyle w:val="Compact"/>
        <w:numPr>
          <w:ilvl w:val="0"/>
          <w:numId w:val="1168"/>
        </w:numPr>
      </w:pPr>
      <w:r>
        <w:t xml:space="preserve">SCI level meets tier minimum (Tier 2: SCI ≥ 1; Tier 3: SCI ≥ 2).</w:t>
      </w:r>
    </w:p>
    <w:p>
      <w:pPr>
        <w:pStyle w:val="Compact"/>
        <w:numPr>
          <w:ilvl w:val="0"/>
          <w:numId w:val="1169"/>
        </w:numPr>
      </w:pPr>
      <w:r>
        <w:t xml:space="preserve">If SCI equals tier minimum: Next-Run Upgrade action present.</w:t>
      </w:r>
    </w:p>
    <w:p>
      <w:pPr>
        <w:pStyle w:val="Compact"/>
        <w:numPr>
          <w:ilvl w:val="0"/>
          <w:numId w:val="1170"/>
        </w:numPr>
      </w:pPr>
      <w:r>
        <w:t xml:space="preserve">Tier 2+ uncertainty: σ(u,d,a) declared for all active cells using Method A, B, or C.</w:t>
      </w:r>
    </w:p>
    <w:p>
      <w:pPr>
        <w:pStyle w:val="FirstParagraph"/>
      </w:pPr>
      <w:r>
        <w:t xml:space="preserve">If PCC.Uncertainty.Method = B: verify PCC.Uncertainty.CellConfidenceAggregationMethod is present and valid, and that c(u,d,a) is recorded (or recomputable) for all active cells.</w:t>
      </w:r>
    </w:p>
    <w:p>
      <w:pPr>
        <w:pStyle w:val="Compact"/>
        <w:numPr>
          <w:ilvl w:val="0"/>
          <w:numId w:val="1171"/>
        </w:numPr>
      </w:pPr>
      <w:r>
        <w:t xml:space="preserve">Tier-2 mapping triggers: if any trigger holds, instance mapping is present.</w:t>
      </w:r>
    </w:p>
    <w:p>
      <w:pPr>
        <w:pStyle w:val="FirstParagraph"/>
      </w:pPr>
      <w:r>
        <w:t xml:space="preserve">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BodyText"/>
      </w:pPr>
      <w:r>
        <w:t xml:space="preserve">If any welfare-relevant state, rights-relevant state, or enabling condition materially affects admissibility, precautionary handling, selection, or tie-break outcome, PCC.NormativeInputRegister is present.</w:t>
      </w:r>
    </w:p>
    <w:p>
      <w:pPr>
        <w:pStyle w:val="BodyText"/>
      </w:pPr>
      <w:r>
        <w:t xml:space="preserve">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BodyText"/>
      </w:pPr>
      <w:r>
        <w:t xml:space="preserve">If PrecautionaryBasis ≠ NONE, the validator MUST verify that the precautionary basis is explicitly stated, the affected object(s) are identified, and, for Tier 3, a ReviewerNote is present.</w:t>
      </w:r>
    </w:p>
    <w:p>
      <w:pPr>
        <w:pStyle w:val="BodyText"/>
      </w:pPr>
      <w:r>
        <w:t xml:space="preserve">If OptionSymmetryStatus = OPTION_SPECIFIC_WITH_JUSTIFICATION, the validator MUST verify that a SensitivityNote is present.</w:t>
      </w:r>
    </w:p>
    <w:p>
      <w:pPr>
        <w:pStyle w:val="BodyText"/>
      </w:pPr>
      <w:r>
        <w:t xml:space="preserve">If the register is required but missing, or if a required material entry is incomplete, the validator MUST set NORMATIVE_INPUT_PROVENANCE_MISSING and reject the run as non-conformant.</w:t>
      </w:r>
    </w:p>
    <w:p>
      <w:pPr>
        <w:pStyle w:val="Compact"/>
        <w:numPr>
          <w:ilvl w:val="0"/>
          <w:numId w:val="1172"/>
        </w:numPr>
      </w:pPr>
      <w:r>
        <w:t xml:space="preserve">Rights-covered and catastrophe cells: never bypassed by reduced-scope mode or masking.</w:t>
      </w:r>
    </w:p>
    <w:p>
      <w:pPr>
        <w:pStyle w:val="FirstParagraph"/>
      </w:pPr>
      <w:r>
        <w:t xml:space="preserve">If PLSS is declared: q_u is present for all scopes, the operator is declared, the PLSS weight vector sums to 1, and each w_u^PLSS is greater than or equal to its constitutional floor.</w:t>
      </w:r>
    </w:p>
    <w:p>
      <w:pPr>
        <w:pStyle w:val="BodyText"/>
      </w:pPr>
      <w:r>
        <w:t xml:space="preserve">If all q_u = 0 under PLSS: the validator MUST verify that the declared uniform residual fallback (or another declared fallback with justification) was applied.</w:t>
      </w:r>
    </w:p>
    <w:p>
      <w:pPr>
        <w:pStyle w:val="BodyText"/>
      </w:pPr>
      <w:r>
        <w:t xml:space="preserve">If an alternative PLSS operator is used: justification and a sensitivity note are present in the PCC.</w:t>
      </w:r>
    </w:p>
    <w:p>
      <w:pPr>
        <w:pStyle w:val="BodyText"/>
      </w:pPr>
      <w:r>
        <w:t xml:space="preserve">If PLSS is declared: an escalation-trigger review field is present and the PCC.PLSS block is present.</w:t>
      </w:r>
    </w:p>
    <w:p>
      <w:pPr>
        <w:pStyle w:val="BodyText"/>
      </w:pPr>
      <w:r>
        <w:t xml:space="preserve">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BodyText"/>
      </w:pPr>
      <w:r>
        <w:t xml:space="preserve">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BodyText"/>
      </w:pPr>
      <w:r>
        <w:t xml:space="preserve">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bookmarkEnd w:id="210"/>
    <w:bookmarkStart w:id="211" w:name="X91d3b64b8bf32774c27691f4b6abc17ea9b9091"/>
    <w:p>
      <w:pPr>
        <w:pStyle w:val="Heading2"/>
      </w:pPr>
      <w:r>
        <w:t xml:space="preserve">14.3B v11.4 Measurement-Maturity Validator Requirements (Normative)</w:t>
      </w:r>
    </w:p>
    <w:p>
      <w:pPr>
        <w:pStyle w:val="FirstParagraph"/>
      </w:pPr>
      <w:r>
        <w:t xml:space="preserve">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BodyText"/>
      </w:pPr>
      <w:r>
        <w:t xml:space="preserve">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bookmarkEnd w:id="211"/>
    <w:bookmarkStart w:id="212" w:name="Xbadcb36e65a8460c4366b5bc04459b2e3de1e03"/>
    <w:p>
      <w:pPr>
        <w:pStyle w:val="Heading2"/>
      </w:pPr>
      <w:r>
        <w:t xml:space="preserve">14.4 Five-Sentence Public Rationale (5SPR) (Normative)</w:t>
      </w:r>
    </w:p>
    <w:p>
      <w:pPr>
        <w:pStyle w:val="FirstParagraph"/>
      </w:pPr>
      <w:r>
        <w:t xml:space="preserve">Tier 2-3 PCC MUST include a Five-Sentence Public Rationale: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Element</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Question</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CONTEXT</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What decision was made and why now?</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OPTIONS</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What options were considered?</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CONSTRAINTS</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What was eliminated by NCRC, TRC, and/or Containment (and why)?</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SELECTION</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Why the chosen option won among selectable options?</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MONITORING</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What follow-up will be tracked and when will NCAR Reflect occur?</w:t>
            </w:r>
          </w:p>
        </w:tc>
      </w:tr>
    </w:tbl>
    <w:bookmarkEnd w:id="212"/>
    <w:bookmarkStart w:id="213" w:name="X41d912ec57799de8204ba96238ca99ec6217c64"/>
    <w:p>
      <w:pPr>
        <w:pStyle w:val="Heading2"/>
      </w:pPr>
      <w:r>
        <w:t xml:space="preserve">14.5 Tier-4 Design Target Boundary Statement (Normative)</w:t>
      </w:r>
    </w:p>
    <w:p>
      <w:pPr>
        <w:pStyle w:val="FirstParagraph"/>
      </w:pPr>
      <w:r>
        <w:t xml:space="preserve">Tier 4 compliance claims are PROHIBITED in v11.4. Tier-4 content is design target only (Appendix I). No determinism, hash-bound replay, or ProofPack claims may be asserted until ProofPack is publicly replayable and independently verified.</w:t>
      </w:r>
    </w:p>
    <w:bookmarkEnd w:id="213"/>
    <w:bookmarkStart w:id="214" w:name="Xb309d03778f873a70d26c9771e41a805ef852a1"/>
    <w:p>
      <w:pPr>
        <w:pStyle w:val="Heading2"/>
      </w:pPr>
      <w:r>
        <w:t xml:space="preserve">14.6 Socio-Technical Embedding: Legitimacy, Contestation, and Institutional Use (Informative)</w:t>
      </w:r>
    </w:p>
    <w:p>
      <w:pPr>
        <w:pStyle w:val="FirstParagraph"/>
      </w:pPr>
      <w:r>
        <w:t xml:space="preserve">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pPr>
      <w:r>
        <w:t xml:space="preserve">Hybrid Democratic Weighting governs welfare weights through structured stakeholder participation with anti-capture safeguards, while constitutional rights and tail-risk constraints limit what can be traded away even when stakeholders disagree.</w:t>
      </w:r>
    </w:p>
    <w:p>
      <w:pPr>
        <w:pStyle w:val="BodyText"/>
      </w:pPr>
      <w:r>
        <w:t xml:space="preserve">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pPr>
      <w:r>
        <w:t xml:space="preserve">Institutional embedding is expected to vary by context, but at minimum high-stakes deployments SHOULD include:</w:t>
      </w:r>
    </w:p>
    <w:p>
      <w:pPr>
        <w:pStyle w:val="BodyText"/>
      </w:pPr>
      <w:r>
        <w:t xml:space="preserve">- Independent review capacity (at least one reviewer with no reporting relationship to the decision owner)</w:t>
      </w:r>
    </w:p>
    <w:p>
      <w:pPr>
        <w:pStyle w:val="BodyText"/>
      </w:pPr>
      <w:r>
        <w:t xml:space="preserve">- Audit sampling (for example, random audit lotteries selecting ≥5% of Tier 3 PCCs for independent review)</w:t>
      </w:r>
    </w:p>
    <w:p>
      <w:pPr>
        <w:pStyle w:val="BodyText"/>
      </w:pPr>
      <w:r>
        <w:t xml:space="preserve">- An escalation pathway when rights, tail-risk, or containment conditions are near-binding or sensitive under perturbations</w:t>
      </w:r>
    </w:p>
    <w:p>
      <w:pPr>
        <w:pStyle w:val="BodyText"/>
      </w:pPr>
      <w:r>
        <w:t xml:space="preserve">- Designated channels through which affected stakeholders can access the PCC (or the 5SPR at minimum) and submit evidence-based challenges</w:t>
      </w:r>
    </w:p>
    <w:p>
      <w:pPr>
        <w:pStyle w:val="BodyText"/>
      </w:pPr>
      <w:r>
        <w:t xml:space="preserve">- A governance body or designated authority responsible for adjudicating challenges, with documented procedures and timelines</w:t>
      </w:r>
    </w:p>
    <w:p>
      <w:pPr>
        <w:pStyle w:val="BodyText"/>
      </w:pPr>
      <w:r>
        <w:t xml:space="preserve">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pPr>
      <w:r>
        <w:t xml:space="preserve">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pPr>
      <w:r>
        <w:t xml:space="preserve">- A defined response timeline (recommended: ≤30 days for initial response)</w:t>
      </w:r>
    </w:p>
    <w:p>
      <w:pPr>
        <w:pStyle w:val="BodyText"/>
      </w:pPr>
      <w:r>
        <w:t xml:space="preserve">- Documented outcomes (challenge upheld, rejected with reasoning, or additional evidence requested)</w:t>
      </w:r>
    </w:p>
    <w:p>
      <w:pPr>
        <w:pStyle w:val="BodyText"/>
      </w:pPr>
      <w:r>
        <w:t xml:space="preserve">- Version increment if the challenge results in parameter changes</w:t>
      </w:r>
    </w:p>
    <w:p>
      <w:pPr>
        <w:pStyle w:val="BodyText"/>
      </w:pPr>
      <w:r>
        <w:t xml:space="preserve">- Preservation of the original PCC alongside the revised PCC</w:t>
      </w:r>
    </w:p>
    <w:p>
      <w:pPr>
        <w:pStyle w:val="BodyText"/>
      </w:pPr>
      <w:r>
        <w:t xml:space="preserve">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bookmarkEnd w:id="214"/>
    <w:bookmarkStart w:id="218" w:name="X3f6c50d260b40710703af70869c36b95363f2ec"/>
    <w:p>
      <w:pPr>
        <w:pStyle w:val="Heading2"/>
      </w:pPr>
      <w:r>
        <w:t xml:space="preserve">14.7 Stewardship Layer (Normative): Applicability and Binding Semantics</w:t>
      </w:r>
    </w:p>
    <w:bookmarkStart w:id="215" w:name="applicability-predicate-normative"/>
    <w:p>
      <w:pPr>
        <w:pStyle w:val="Heading3"/>
      </w:pPr>
      <w:r>
        <w:t xml:space="preserve">14.7.1 Applicability Predicate (Normative)</w:t>
      </w:r>
    </w:p>
    <w:p>
      <w:pPr>
        <w:pStyle w:val="FirstParagraph"/>
      </w:pPr>
      <w:r>
        <w:t xml:space="preserve">RippleLogic Stewardship requirements apply only when a run is performed in a stewardship-relevant role (power asymmetry, delegated influence, public/institutional impact, or execution capability). Define:</w:t>
      </w:r>
    </w:p>
    <w:p>
      <w:pPr>
        <w:pStyle w:val="BodyText"/>
      </w:pPr>
      <w:r>
        <w:t xml:space="preserve">Stw_req(run) in {0,1}, where Stw_req(run) = 1 if and only if any of S1 through S4 holds. S5 is a modifier: it constrains provenance and influence controls when present, but S5 alone does not trigger Stw_req(run).</w:t>
      </w:r>
    </w:p>
    <w:p>
      <w:pPr>
        <w:pStyle w:val="BodyText"/>
      </w:pPr>
      <w:r>
        <w:t xml:space="preserve">The Stw_req(run) predicate is defined in Section 14.7.1 and MUST NOT be redefined in downstream specifications; downstream documents SHALL reference this section.</w:t>
      </w:r>
    </w:p>
    <w:p>
      <w:pPr>
        <w:pStyle w:val="Compact"/>
        <w:numPr>
          <w:ilvl w:val="0"/>
          <w:numId w:val="1173"/>
        </w:numPr>
      </w:pPr>
      <w:r>
        <w:t xml:space="preserve">S1 (Delegated Influence): An assisting system is asked to recommend, rank, or narrow option space for a decision owner, such that the decision owner may reasonably rely on it.</w:t>
      </w:r>
    </w:p>
    <w:p>
      <w:pPr>
        <w:pStyle w:val="Compact"/>
        <w:numPr>
          <w:ilvl w:val="0"/>
          <w:numId w:val="1174"/>
        </w:numPr>
      </w:pPr>
      <w:r>
        <w:t xml:space="preserve">S2 (Public/Institutional Effect): Outputs are intended for public posting or institutional/policy use beyond the private decision owner.</w:t>
      </w:r>
    </w:p>
    <w:p>
      <w:pPr>
        <w:pStyle w:val="Compact"/>
        <w:numPr>
          <w:ilvl w:val="0"/>
          <w:numId w:val="1175"/>
        </w:numPr>
      </w:pPr>
      <w:r>
        <w:t xml:space="preserve">S3 (Execution Capability): The assisting system can execute actions (write/post/act) or trigger downstream actions beyond drafting.</w:t>
      </w:r>
    </w:p>
    <w:p>
      <w:pPr>
        <w:pStyle w:val="Compact"/>
        <w:numPr>
          <w:ilvl w:val="0"/>
          <w:numId w:val="1176"/>
        </w:numPr>
      </w:pPr>
      <w:r>
        <w:t xml:space="preserve">S4 (High-Stakes Rights Exposure): The assisted decision materially affects rights, safety, liberty, livelihood, or access to essential services, or produces irreversible/high-impact outcomes for protected stakeholders.</w:t>
      </w:r>
    </w:p>
    <w:p>
      <w:pPr>
        <w:pStyle w:val="FirstParagraph"/>
      </w:pPr>
      <w:r>
        <w:t xml:space="preserve">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pPr>
      <w:r>
        <w:t xml:space="preserve">Interpretation notes (Normative).</w:t>
      </w:r>
    </w:p>
    <w:p>
      <w:pPr>
        <w:pStyle w:val="BodyText"/>
      </w:pPr>
      <w:r>
        <w:t xml:space="preserve">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pPr>
      <w:r>
        <w:t xml:space="preserve">S5 scope limiter (no loophole): S5 alone, absent any of S1 through S4, does not trigger Stewardship instrumentation. When S5 co-occurs with any of S1 through S4, Stw_req(run)=1 is triggered by the co-occurring condition(s) (S1–S4), not by S5.</w:t>
      </w:r>
    </w:p>
    <w:p>
      <w:pPr>
        <w:pStyle w:val="BodyText"/>
      </w:pPr>
      <w:r>
        <w:t xml:space="preserve">If Stw_req(run) = 0, Stewardship instrumentation is OPTIONAL and Stewardship audit flags do not apply. If Stw_req(run) = 1, Stewardship instrumentation is REQUIRED per Appendix N.</w:t>
      </w:r>
    </w:p>
    <w:bookmarkEnd w:id="215"/>
    <w:bookmarkStart w:id="216" w:name="stewardship-vs-cascade-normative"/>
    <w:p>
      <w:pPr>
        <w:pStyle w:val="Heading3"/>
      </w:pPr>
      <w:r>
        <w:t xml:space="preserve">14.7.2 Stewardship vs Cascade (Normative)</w:t>
      </w:r>
    </w:p>
    <w:p>
      <w:pPr>
        <w:pStyle w:val="FirstParagraph"/>
      </w:pPr>
      <w:r>
        <w:t xml:space="preserve">Stewardship does not modify the RippleLogic cascade definitions for NCRC, TRC, CSV, RLS, or UCI/HOI. Stewardship governs assistance integrity (boundary stability, authorship preservation, influence transparency). When Stewardship is required (Stw_req = 1), failure conditions are enforced via audit flags and PCC validity rules defined in Appendix N.</w:t>
      </w:r>
    </w:p>
    <w:bookmarkEnd w:id="216"/>
    <w:bookmarkStart w:id="217" w:name="flag-semantics-pointer-normative"/>
    <w:p>
      <w:pPr>
        <w:pStyle w:val="Heading3"/>
      </w:pPr>
      <w:r>
        <w:t xml:space="preserve">14.7.3 Flag Semantics Pointer (Normative)</w:t>
      </w:r>
    </w:p>
    <w:p>
      <w:pPr>
        <w:pStyle w:val="FirstParagraph"/>
      </w:pPr>
      <w:r>
        <w:t xml:space="preserve">Stewardship flags follow the canonical audit-flag severity semantics:</w:t>
      </w:r>
    </w:p>
    <w:p>
      <w:pPr>
        <w:pStyle w:val="Compact"/>
        <w:numPr>
          <w:ilvl w:val="0"/>
          <w:numId w:val="1177"/>
        </w:numPr>
      </w:pPr>
      <w:r>
        <w:t xml:space="preserve">INVALID flags invalidate the PCC and require rerun/remediation.</w:t>
      </w:r>
    </w:p>
    <w:p>
      <w:pPr>
        <w:pStyle w:val="Compact"/>
        <w:numPr>
          <w:ilvl w:val="0"/>
          <w:numId w:val="1178"/>
        </w:numPr>
      </w:pPr>
      <w:r>
        <w:t xml:space="preserve">REVIEW flags require mitigation and monitoring but do not by themselves invalidate the PCC.</w:t>
      </w:r>
    </w:p>
    <w:p>
      <w:pPr>
        <w:pStyle w:val="FirstParagraph"/>
      </w:pPr>
      <w:r>
        <w:t xml:space="preserve">Stewardship audit flags are defined in Appendix N and apply only when Stw_req(run) = 1.</w:t>
      </w:r>
    </w:p>
    <w:bookmarkEnd w:id="217"/>
    <w:bookmarkEnd w:id="218"/>
    <w:bookmarkStart w:id="219" w:name="X98fa7946913d40713a03dfbf19a39dcd1124a61"/>
    <w:p>
      <w:pPr>
        <w:pStyle w:val="Heading2"/>
      </w:pPr>
      <w:r>
        <w:t xml:space="preserve">14.8 Computational Closure Declaration (Normative)</w:t>
      </w:r>
    </w:p>
    <w:p>
      <w:pPr>
        <w:pStyle w:val="FirstParagraph"/>
      </w:pPr>
      <w:r>
        <w:t xml:space="preserve">Purpose. Every RippleLogic run SHALL declare the boundary of computation so that claims do not silently extend beyond the scopes, horizons, evidence classes, or propagation modes actually evaluated.</w:t>
      </w:r>
    </w:p>
    <w:p>
      <w:pPr>
        <w:pStyle w:val="BodyText"/>
      </w:pPr>
      <w:r>
        <w:t xml:space="preserve">A PCC.ComputationalClosure object SHALL include at minimum:</w:t>
      </w:r>
    </w:p>
    <w:p>
      <w:pPr>
        <w:pStyle w:val="BodyText"/>
      </w:pPr>
      <w:r>
        <w:t xml:space="preserve">- scopes_evaluated: Union Scopes included in the run;</w:t>
      </w:r>
    </w:p>
    <w:p>
      <w:pPr>
        <w:pStyle w:val="BodyText"/>
      </w:pPr>
      <w:r>
        <w:t xml:space="preserve">- scopes_guardrail_only: Union Scopes protected through floors, NCRC, TRC, or CSV but not materially weighted in residual welfare ranking;</w:t>
      </w:r>
    </w:p>
    <w:p>
      <w:pPr>
        <w:pStyle w:val="BodyText"/>
      </w:pPr>
      <w:r>
        <w:t xml:space="preserve">- scopes_outside_computation: scopes not evaluated beyond humility-horizon recognition;</w:t>
      </w:r>
    </w:p>
    <w:p>
      <w:pPr>
        <w:pStyle w:val="BodyText"/>
      </w:pPr>
      <w:r>
        <w:t xml:space="preserve">- time_horizon_evaluated: declared decision horizon;</w:t>
      </w:r>
    </w:p>
    <w:p>
      <w:pPr>
        <w:pStyle w:val="BodyText"/>
      </w:pPr>
      <w:r>
        <w:t xml:space="preserve">- time_horizon_outside_computation: time horizons acknowledged but not modeled;</w:t>
      </w:r>
    </w:p>
    <w:p>
      <w:pPr>
        <w:pStyle w:val="BodyText"/>
      </w:pPr>
      <w:r>
        <w:t xml:space="preserve">- kernel_mode: NONE, QUICK, or declared domain-kernel-id;</w:t>
      </w:r>
    </w:p>
    <w:p>
      <w:pPr>
        <w:pStyle w:val="BodyText"/>
      </w:pPr>
      <w:r>
        <w:t xml:space="preserve">- propagation_edges_included: declared kernel edges or NONE;</w:t>
      </w:r>
    </w:p>
    <w:p>
      <w:pPr>
        <w:pStyle w:val="BodyText"/>
      </w:pPr>
      <w:r>
        <w:t xml:space="preserve">- propagation_edges_excluded: known plausible edges excluded from computation;</w:t>
      </w:r>
    </w:p>
    <w:p>
      <w:pPr>
        <w:pStyle w:val="BodyText"/>
      </w:pPr>
      <w:r>
        <w:t xml:space="preserve">- externalities_excluded: known plausible externalities excluded, with reason codes;</w:t>
      </w:r>
    </w:p>
    <w:p>
      <w:pPr>
        <w:pStyle w:val="BodyText"/>
      </w:pPr>
      <w:r>
        <w:t xml:space="preserve">- claim_boundary: exact wording of what the run may and may not claim.</w:t>
      </w:r>
    </w:p>
    <w:p>
      <w:pPr>
        <w:pStyle w:val="BodyText"/>
      </w:pPr>
      <w:r>
        <w:t xml:space="preserve">A run SHALL NOT claim coverage over scopes, horizons, externalities, or propagation pathways outside its ComputationalClosure boundary. Any public-facing summary SHALL preserve this claim boundary.</w:t>
      </w:r>
    </w:p>
    <w:bookmarkEnd w:id="219"/>
    <w:bookmarkEnd w:id="220"/>
    <w:bookmarkStart w:id="229" w:name="X2d02abbacb84bdbbc9c6e3c37a9b0d9bdba7ff2"/>
    <w:p>
      <w:pPr>
        <w:pStyle w:val="Heading1"/>
      </w:pPr>
      <w:r>
        <w:t xml:space="preserve">SECTION 15: IMPLEMENTATION GUIDANCE AND TIERS (NORMATIVE)</w:t>
      </w:r>
    </w:p>
    <w:bookmarkStart w:id="221" w:name="purpose-normative-5"/>
    <w:p>
      <w:pPr>
        <w:pStyle w:val="Heading2"/>
      </w:pPr>
      <w:r>
        <w:t xml:space="preserve">15.0 Purpose (Normative)</w:t>
      </w:r>
    </w:p>
    <w:p>
      <w:pPr>
        <w:pStyle w:val="FirstParagraph"/>
      </w:pPr>
      <w:r>
        <w:t xml:space="preserve">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bookmarkEnd w:id="221"/>
    <w:bookmarkStart w:id="222" w:name="Xd0135353ff9bab37780b7faab3488946bdf6932"/>
    <w:p>
      <w:pPr>
        <w:pStyle w:val="Heading2"/>
      </w:pPr>
      <w:r>
        <w:t xml:space="preserve">15.1 Tier Requirements Matrix (Authoritative; Normative)</w:t>
      </w:r>
    </w:p>
    <w:p>
      <w:pPr>
        <w:pStyle w:val="FirstParagraph"/>
      </w:pPr>
      <w:r>
        <w:t xml:space="preserve">Normative authority: This matrix is the single authoritative statement of tier compliance. If any other sentence in this document conflicts with this matrix, this matrix governs.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Capability / Requirement</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1 (Heuristic)</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2 (Core, Strict TRC)</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3 (Auditable)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 set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MUST list ≥2 options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Baseline declaration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Impact scale and Baseline-Zero</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(qualitative allowed)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(quantitative 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(quantitative plus auditable)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NCRC rights check</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(heuristic minimum)</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Worst-off subgroup for rights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for directly affected rights cells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for rights-covered cells</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TRC tail-risk</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 (qualitative screen)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catastrophe relevance plausible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Scenario set size when TRC used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≥5 minimum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≥20 minimum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Mandatory tail categories plus p_floor</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Recommended if TRC used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TRC used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 Mode A</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(binding gate)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RLS scoring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Uncertainty plus discrimination band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(active cells)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Tie-breaks (UCI/HOI)</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RLS non-decisive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Kernel propagation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NONE default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NONE default; QUICK if KQS policy satisfied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QUICK only if KQS policy satisfied plus sensitivity; else NONE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KQS policy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if kernel used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if kernel used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Sensitivity analysis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artifact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(basic)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(full)</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Audit flags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when triggered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when triggered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Stewardship (conditional)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iff Stw_req=1</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(Stw_req assumed TRUE for Tier 3)</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Tier-4 claim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PROHIBITED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PROHIBITED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PROHIBITED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Stakeholder discovery and mapping (SDP/InstanceMap)</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any SDP trigger holds; otherwise a lightweight stakeholder note or voluntary SDP is RECOMMENDED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(InstanceMap with multi-scope redundancy handling disclosures)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Stakeholder Coverage Index (SCI)</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(SCI ≥ 1)</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REQUIRED (SCI ≥ 2)</w:t>
            </w:r>
          </w:p>
        </w:tc>
      </w:tr>
    </w:tbl>
    <w:p>
      <w:pPr>
        <w:pStyle w:val="BodyText"/>
      </w:pPr>
      <w:r>
        <w:t xml:space="preserve">Tier 3 stewardship assumption (Normative): Any Tier 3 run SHALL set Stw_req(run) = 1 by default because Tier 3 implies external scrutiny and governance-grade assistance posture.</w:t>
      </w:r>
    </w:p>
    <w:bookmarkEnd w:id="222"/>
    <w:bookmarkStart w:id="223" w:name="Xafa2376a734115825f7a9b9babd8e3379c8edeb"/>
    <w:p>
      <w:pPr>
        <w:pStyle w:val="Heading2"/>
      </w:pPr>
      <w:r>
        <w:t xml:space="preserve">15.2 Tier 1: Heuristic Application (</w:t>
      </w:r>
      <w:r>
        <w:t xml:space="preserve">“</w:t>
      </w:r>
      <w:r>
        <w:t xml:space="preserve">2-Minute Ripple Check</w:t>
      </w:r>
      <w:r>
        <w:t xml:space="preserve">”</w:t>
      </w:r>
      <w:r>
        <w:t xml:space="preserve">) (Normative minimum)</w:t>
      </w:r>
    </w:p>
    <w:p>
      <w:pPr>
        <w:pStyle w:val="FirstParagraph"/>
      </w:pPr>
      <w:r>
        <w:t xml:space="preserve">Use Tier 1 for low-stakes, reversible decisions where full calculation is disproportionate.</w:t>
      </w:r>
    </w:p>
    <w:p>
      <w:pPr>
        <w:pStyle w:val="BodyText"/>
      </w:pPr>
      <w:r>
        <w:t xml:space="preserve">Tier 1 minimum protocol:</w:t>
      </w:r>
    </w:p>
    <w:p>
      <w:pPr>
        <w:pStyle w:val="Compact"/>
        <w:numPr>
          <w:ilvl w:val="0"/>
          <w:numId w:val="1179"/>
        </w:numPr>
      </w:pPr>
      <w:r>
        <w:t xml:space="preserve">Decision: What must be decided, by when?</w:t>
      </w:r>
    </w:p>
    <w:p>
      <w:pPr>
        <w:numPr>
          <w:ilvl w:val="0"/>
          <w:numId w:val="1180"/>
        </w:numPr>
      </w:pPr>
      <w:r>
        <w:t xml:space="preserve">Options: List at least 2 options (include a</w:t>
      </w:r>
      <w:r>
        <w:t xml:space="preserve"> </w:t>
      </w:r>
      <w:r>
        <w:t xml:space="preserve">“</w:t>
      </w:r>
      <w:r>
        <w:t xml:space="preserve">third path</w:t>
      </w:r>
      <w:r>
        <w:t xml:space="preserve">”</w:t>
      </w:r>
      <w:r>
        <w:t xml:space="preserve"> </w:t>
      </w:r>
      <w:r>
        <w:t xml:space="preserve">redesign option if possible).</w:t>
      </w:r>
    </w:p>
    <w:p>
      <w:pPr>
        <w:numPr>
          <w:ilvl w:val="0"/>
          <w:numId w:val="1180"/>
        </w:numPr>
      </w:pPr>
      <w:r>
        <w:t xml:space="preserve">Rights screen (NCRC heuristic): Could any option plausibly violate LIFE/BODY/NEED/LBTY/DIGN/PROC/INFO/ECOL? If yes, escalate to Tier 2+.</w:t>
      </w:r>
    </w:p>
    <w:p>
      <w:pPr>
        <w:numPr>
          <w:ilvl w:val="0"/>
          <w:numId w:val="1180"/>
        </w:numPr>
      </w:pPr>
      <w:r>
        <w:t xml:space="preserve">Tail screen (TRC heuristic): Could any option plausibly create catastrophic or irreversible downside for Humanity/Biosphere? If yes, escalate to Tier 2+.</w:t>
      </w:r>
    </w:p>
    <w:p>
      <w:pPr>
        <w:numPr>
          <w:ilvl w:val="0"/>
          <w:numId w:val="1180"/>
        </w:numPr>
      </w:pPr>
      <w:r>
        <w:t xml:space="preserve">Unions touched: Which unions are materially affected (U₁ through U₇)?</w:t>
      </w:r>
    </w:p>
    <w:p>
      <w:pPr>
        <w:numPr>
          <w:ilvl w:val="0"/>
          <w:numId w:val="1180"/>
        </w:numPr>
      </w:pPr>
      <w:r>
        <w:t xml:space="preserve">Unioning move: What redesign could reduce harms and increase shared benefit across unions?</w:t>
      </w:r>
    </w:p>
    <w:p>
      <w:pPr>
        <w:pStyle w:val="FirstParagraph"/>
      </w:pPr>
      <w:r>
        <w:t xml:space="preserve">Tier 1 recording (recommended): A short note or mini-PCC with the six answers.</w:t>
      </w:r>
    </w:p>
    <w:p>
      <w:pPr>
        <w:pStyle w:val="BodyText"/>
      </w:pPr>
      <w:r>
        <w:t xml:space="preserve">Tier-1 Worked Example (informative; shows Tier escalation):</w:t>
      </w:r>
    </w:p>
    <w:p>
      <w:pPr>
        <w:pStyle w:val="BodyText"/>
      </w:pPr>
      <w:r>
        <w:t xml:space="preserve">Decision: Accept a new consulting project this month, or decline to protect time for household responsibilities.</w:t>
      </w:r>
    </w:p>
    <w:p>
      <w:pPr>
        <w:pStyle w:val="BodyText"/>
      </w:pPr>
      <w:r>
        <w:t xml:space="preserve">Options: (A) Accept as proposed (10 hrs/week for 4 weeks). (B) Decline. (C) Redesign: accept only if scope is reduced to 4 hrs/week and meetings are time-boxed.</w:t>
      </w:r>
    </w:p>
    <w:p>
      <w:pPr>
        <w:pStyle w:val="BodyText"/>
      </w:pPr>
      <w:r>
        <w:t xml:space="preserve">Rights screen (heuristic): No plausible LIFE/BODY/NEED/LBTY/DIGN violations. PROC/INFO: contract terms are clear, no coercion. PASS at Tier 1. If any need for deceptive data use or exploitative terms were suspected, escalate to Tier 2.</w:t>
      </w:r>
    </w:p>
    <w:p>
      <w:pPr>
        <w:pStyle w:val="BodyText"/>
      </w:pPr>
      <w:r>
        <w:t xml:space="preserve">Tail screen (heuristic): No plausible catastrophic downside to Humanity/Biosphere. PASS at Tier 1.</w:t>
      </w:r>
    </w:p>
    <w:p>
      <w:pPr>
        <w:pStyle w:val="BodyText"/>
      </w:pPr>
      <w:r>
        <w:t xml:space="preserve">Unions touched: U1 Self (Health, Agency, Meaning). U2 Household (Social, Material, Health). U3 Community/Organization impacts minor and reversible.</w:t>
      </w:r>
    </w:p>
    <w:p>
      <w:pPr>
        <w:pStyle w:val="BodyText"/>
      </w:pPr>
      <w:r>
        <w:t xml:space="preserve">Unioning move: Option (C) reduces household harm while still capturing some benefit. Choose (C) if renegotiation succeeds; otherwise choose (B) if household strain would be material.</w:t>
      </w:r>
    </w:p>
    <w:p>
      <w:pPr>
        <w:pStyle w:val="BodyText"/>
      </w:pPr>
      <w:r>
        <w:t xml:space="preserve">Record (mini-PCC): store the six answers and the chosen option in a note so NCAR learning can refine future time-budget decisions.</w:t>
      </w:r>
    </w:p>
    <w:bookmarkEnd w:id="223"/>
    <w:bookmarkStart w:id="224" w:name="Xc8510f6f49114584858e74aff42893bb4b4d798"/>
    <w:p>
      <w:pPr>
        <w:pStyle w:val="Heading2"/>
      </w:pPr>
      <w:r>
        <w:t xml:space="preserve">15.3 Tier 2: Core Calculable (Strict TRC Posture) (Normative)</w:t>
      </w:r>
    </w:p>
    <w:p>
      <w:pPr>
        <w:pStyle w:val="FirstParagraph"/>
      </w:pPr>
      <w:r>
        <w:t xml:space="preserve">Use Tier 2 for routine but consequential decisions requiring transparent computation and a basic PCC.</w:t>
      </w:r>
    </w:p>
    <w:p>
      <w:pPr>
        <w:pStyle w:val="BodyText"/>
      </w:pPr>
      <w:r>
        <w:t xml:space="preserve">Tier 2 minimum obligations:</w:t>
      </w:r>
    </w:p>
    <w:p>
      <w:pPr>
        <w:pStyle w:val="Compact"/>
        <w:numPr>
          <w:ilvl w:val="0"/>
          <w:numId w:val="1181"/>
        </w:numPr>
      </w:pPr>
      <w:r>
        <w:t xml:space="preserve">Construct impacts on the [-1,+1] scale using Section 5 pipeline.</w:t>
      </w:r>
    </w:p>
    <w:p>
      <w:pPr>
        <w:pStyle w:val="Compact"/>
        <w:numPr>
          <w:ilvl w:val="0"/>
          <w:numId w:val="1182"/>
        </w:numPr>
      </w:pPr>
      <w:r>
        <w:t xml:space="preserve">Run NCRC with worst-off subgroup checks for directly affected rights cells.</w:t>
      </w:r>
    </w:p>
    <w:p>
      <w:pPr>
        <w:numPr>
          <w:ilvl w:val="0"/>
          <w:numId w:val="1183"/>
        </w:numPr>
      </w:pPr>
      <w:r>
        <w:t xml:space="preserve">TRC MUST be executed when catastrophe relevance is plausible:</w:t>
      </w:r>
    </w:p>
    <w:p>
      <w:pPr>
        <w:pStyle w:val="Compact"/>
        <w:numPr>
          <w:ilvl w:val="1"/>
          <w:numId w:val="1184"/>
        </w:numPr>
      </w:pPr>
      <w:r>
        <w:t xml:space="preserve">Use ≥5 scenarios minimum,</w:t>
      </w:r>
    </w:p>
    <w:p>
      <w:pPr>
        <w:pStyle w:val="Compact"/>
        <w:numPr>
          <w:ilvl w:val="1"/>
          <w:numId w:val="1185"/>
        </w:numPr>
      </w:pPr>
      <w:r>
        <w:t xml:space="preserve">Include mandatory tail categories with probability floors unless implausible (with documented justification per Section 8.3.2),</w:t>
      </w:r>
    </w:p>
    <w:p>
      <w:pPr>
        <w:pStyle w:val="Compact"/>
        <w:numPr>
          <w:ilvl w:val="1"/>
          <w:numId w:val="1186"/>
        </w:numPr>
      </w:pPr>
      <w:r>
        <w:t xml:space="preserve">Compute CVaR and corridor check,</w:t>
      </w:r>
    </w:p>
    <w:p>
      <w:pPr>
        <w:pStyle w:val="Compact"/>
        <w:numPr>
          <w:ilvl w:val="1"/>
          <w:numId w:val="1187"/>
        </w:numPr>
      </w:pPr>
      <w:r>
        <w:t xml:space="preserve">Record full TRC table in PCC.</w:t>
      </w:r>
    </w:p>
    <w:p>
      <w:pPr>
        <w:pStyle w:val="Compact"/>
        <w:numPr>
          <w:ilvl w:val="0"/>
          <w:numId w:val="1188"/>
        </w:numPr>
      </w:pPr>
      <w:r>
        <w:t xml:space="preserve">Compute RLS and record ranking.</w:t>
      </w:r>
    </w:p>
    <w:p>
      <w:pPr>
        <w:pStyle w:val="Compact"/>
        <w:numPr>
          <w:ilvl w:val="0"/>
          <w:numId w:val="1189"/>
        </w:numPr>
      </w:pPr>
      <w:r>
        <w:t xml:space="preserve">If uncertain/non-decisive, apply UCI tie-break if available; otherwise record judgment call and monitoring plan.</w:t>
      </w:r>
    </w:p>
    <w:p>
      <w:pPr>
        <w:pStyle w:val="Compact"/>
        <w:numPr>
          <w:ilvl w:val="0"/>
          <w:numId w:val="1190"/>
        </w:numPr>
      </w:pPr>
      <w:r>
        <w:t xml:space="preserve">Produce PCC (basic) plus 5SPR.</w:t>
      </w:r>
    </w:p>
    <w:p>
      <w:pPr>
        <w:pStyle w:val="FirstParagraph"/>
      </w:pPr>
      <w:r>
        <w:t xml:space="preserve">Tier 2 propagation guidance:</w:t>
      </w:r>
    </w:p>
    <w:p>
      <w:pPr>
        <w:pStyle w:val="Compact"/>
        <w:numPr>
          <w:ilvl w:val="0"/>
          <w:numId w:val="1191"/>
        </w:numPr>
      </w:pPr>
      <w:r>
        <w:t xml:space="preserve">Default propagation_mode = NONE.</w:t>
      </w:r>
    </w:p>
    <w:p>
      <w:pPr>
        <w:pStyle w:val="Compact"/>
        <w:numPr>
          <w:ilvl w:val="0"/>
          <w:numId w:val="1192"/>
        </w:numPr>
      </w:pPr>
      <w:r>
        <w:t xml:space="preserve">QUICK propagation is allowed only if KQS policy is satisfied and sensitivity is feasible.</w:t>
      </w:r>
    </w:p>
    <w:p>
      <w:pPr>
        <w:pStyle w:val="FirstParagraph"/>
      </w:pPr>
      <w:r>
        <w:t xml:space="preserve">Structural-assurance note (Normative guidance). A Tier 2 run that proceeds without binding Containment is a disclosed lower-rigor posture, not evidence that containing-scope degradation risk is absent. If the principal hazard of the decision is plausible hollowing-out, structural degradation of containing scopes, or other containment-relevant harm that cannot be evidenced at Tier 2, the run SHOULD escalate to Tier 3 or explicitly record in the PCC that Tier 2 is insufficient for structural assurance.</w:t>
      </w:r>
    </w:p>
    <w:bookmarkEnd w:id="224"/>
    <w:bookmarkStart w:id="225" w:name="tier-3-standard-auditable-normative"/>
    <w:p>
      <w:pPr>
        <w:pStyle w:val="Heading2"/>
      </w:pPr>
      <w:r>
        <w:t xml:space="preserve">15.4 Tier 3: Standard Auditable (Normative)</w:t>
      </w:r>
    </w:p>
    <w:p>
      <w:pPr>
        <w:pStyle w:val="FirstParagraph"/>
      </w:pPr>
      <w:r>
        <w:t xml:space="preserve">Use Tier 3 for high-stakes, contested, or externally scrutinized decisions where auditability and anti-gaming posture are required.</w:t>
      </w:r>
    </w:p>
    <w:p>
      <w:pPr>
        <w:pStyle w:val="BodyText"/>
      </w:pPr>
      <w:r>
        <w:t xml:space="preserve">Tier 3 minimum obligations:</w:t>
      </w:r>
    </w:p>
    <w:p>
      <w:pPr>
        <w:pStyle w:val="Compact"/>
        <w:numPr>
          <w:ilvl w:val="0"/>
          <w:numId w:val="1193"/>
        </w:numPr>
      </w:pPr>
      <w:r>
        <w:t xml:space="preserve">Full PCC (Appendix H), including: impacts, subgroup semantics, scenario library, containment results, RLS, uncertainties, sensitivity, audit flags, signatures.</w:t>
      </w:r>
    </w:p>
    <w:p>
      <w:pPr>
        <w:pStyle w:val="Compact"/>
        <w:numPr>
          <w:ilvl w:val="0"/>
          <w:numId w:val="1194"/>
        </w:numPr>
      </w:pPr>
      <w:r>
        <w:t xml:space="preserve">NCRC: Subgroup analysis required for rights-covered cells.</w:t>
      </w:r>
    </w:p>
    <w:p>
      <w:pPr>
        <w:pStyle w:val="Compact"/>
        <w:numPr>
          <w:ilvl w:val="0"/>
          <w:numId w:val="1195"/>
        </w:numPr>
      </w:pPr>
      <w:r>
        <w:t xml:space="preserve">TRC: Required with ≥20 scenarios and mandatory tails plus probability floors (Appendix D).</w:t>
      </w:r>
    </w:p>
    <w:p>
      <w:pPr>
        <w:pStyle w:val="Compact"/>
        <w:numPr>
          <w:ilvl w:val="0"/>
          <w:numId w:val="1196"/>
        </w:numPr>
      </w:pPr>
      <w:r>
        <w:t xml:space="preserve">Containment Mode A: Required and binding.</w:t>
      </w:r>
    </w:p>
    <w:p>
      <w:pPr>
        <w:numPr>
          <w:ilvl w:val="0"/>
          <w:numId w:val="1197"/>
        </w:numPr>
      </w:pPr>
      <w:r>
        <w:t xml:space="preserve">Sensitivity analysis bundle required:</w:t>
      </w:r>
    </w:p>
    <w:p>
      <w:pPr>
        <w:pStyle w:val="Compact"/>
        <w:numPr>
          <w:ilvl w:val="1"/>
          <w:numId w:val="1198"/>
        </w:numPr>
      </w:pPr>
      <w:r>
        <w:t xml:space="preserve">Weights perturbation,</w:t>
      </w:r>
    </w:p>
    <w:p>
      <w:pPr>
        <w:pStyle w:val="Compact"/>
        <w:numPr>
          <w:ilvl w:val="1"/>
          <w:numId w:val="1199"/>
        </w:numPr>
      </w:pPr>
      <w:r>
        <w:t xml:space="preserve">Rights threshold perturbation (±0.05 on θ_r as a sensitivity test),</w:t>
      </w:r>
    </w:p>
    <w:p>
      <w:pPr>
        <w:pStyle w:val="Compact"/>
        <w:numPr>
          <w:ilvl w:val="1"/>
          <w:numId w:val="1200"/>
        </w:numPr>
      </w:pPr>
      <w:r>
        <w:t xml:space="preserve">Kernel perturbation if QUICK used,</w:t>
      </w:r>
    </w:p>
    <w:p>
      <w:pPr>
        <w:pStyle w:val="Compact"/>
        <w:numPr>
          <w:ilvl w:val="1"/>
          <w:numId w:val="1201"/>
        </w:numPr>
      </w:pPr>
      <w:r>
        <w:t xml:space="preserve">Scenario probability perturbation.</w:t>
      </w:r>
    </w:p>
    <w:p>
      <w:pPr>
        <w:numPr>
          <w:ilvl w:val="0"/>
          <w:numId w:val="1202"/>
        </w:numPr>
      </w:pPr>
      <w:r>
        <w:t xml:space="preserve">Kernel: QUICK permitted only if KQS policy permits:</w:t>
      </w:r>
    </w:p>
    <w:p>
      <w:pPr>
        <w:pStyle w:val="Compact"/>
        <w:numPr>
          <w:ilvl w:val="1"/>
          <w:numId w:val="1203"/>
        </w:numPr>
      </w:pPr>
      <w:r>
        <w:t xml:space="preserve">KQS &lt; 0.40: NONE only,</w:t>
      </w:r>
    </w:p>
    <w:p>
      <w:pPr>
        <w:pStyle w:val="Compact"/>
        <w:numPr>
          <w:ilvl w:val="1"/>
          <w:numId w:val="1204"/>
        </w:numPr>
      </w:pPr>
      <w:r>
        <w:t xml:space="preserve">0.40-0.50: QUICK plus mandatory sensitivity,</w:t>
      </w:r>
    </w:p>
    <w:p>
      <w:pPr>
        <w:pStyle w:val="Compact"/>
        <w:numPr>
          <w:ilvl w:val="1"/>
          <w:numId w:val="1205"/>
        </w:numPr>
      </w:pPr>
      <w:r>
        <w:t xml:space="preserve">≥0.50: QUICK permitted plus sensitivity.</w:t>
      </w:r>
    </w:p>
    <w:p>
      <w:pPr>
        <w:pStyle w:val="Compact"/>
        <w:numPr>
          <w:ilvl w:val="0"/>
          <w:numId w:val="1206"/>
        </w:numPr>
      </w:pPr>
      <w:r>
        <w:t xml:space="preserve">FULL propagation is prohibited for Tier 1-3 claims.</w:t>
      </w:r>
    </w:p>
    <w:bookmarkEnd w:id="225"/>
    <w:bookmarkStart w:id="226" w:name="X5daa6d650dafb1e891090becc3d22759acf4881"/>
    <w:p>
      <w:pPr>
        <w:pStyle w:val="Heading2"/>
      </w:pPr>
      <w:r>
        <w:t xml:space="preserve">15.4A Conformance, empirical readiness, and reference implementation posture (Normative clarification)</w:t>
      </w:r>
    </w:p>
    <w:p>
      <w:pPr>
        <w:pStyle w:val="FirstParagraph"/>
      </w:pPr>
      <w:r>
        <w:t xml:space="preserve">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BodyText"/>
      </w:pPr>
      <w:r>
        <w:t xml:space="preserve">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bookmarkEnd w:id="226"/>
    <w:bookmarkStart w:id="227" w:name="ncar-integration-by-tier-normative"/>
    <w:p>
      <w:pPr>
        <w:pStyle w:val="Heading2"/>
      </w:pPr>
      <w:r>
        <w:t xml:space="preserve">15.5 NCAR Integration by Tier (Normative)</w:t>
      </w:r>
    </w:p>
    <w:p>
      <w:pPr>
        <w:pStyle w:val="FirstParagraph"/>
      </w:pPr>
      <w:r>
        <w:t xml:space="preserve">All tiers SHOULD operate within NCAR.</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Phase</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Action</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Notice</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Define scope, unions, options, baseline, and configuration</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Choose</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Execute cascade and emit PCC</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Act</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Implement with monitoring aligned to predicted impacts and tail scenarios</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Reflect</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Compare observed outcomes to predictions; update indicators, kernels, scenario libraries, and weights through governed procedures</w:t>
            </w:r>
          </w:p>
        </w:tc>
      </w:tr>
    </w:tbl>
    <w:p>
      <w:pPr>
        <w:pStyle w:val="BodyText"/>
      </w:pPr>
      <w:r>
        <w:t xml:space="preserve">Reflect cadence defaults:</w:t>
      </w:r>
    </w:p>
    <w:p>
      <w:pPr>
        <w:pStyle w:val="Compact"/>
        <w:numPr>
          <w:ilvl w:val="0"/>
          <w:numId w:val="1207"/>
        </w:numPr>
      </w:pPr>
      <w:r>
        <w:t xml:space="preserve">Tier 2: Within 6 months or after major outcome data</w:t>
      </w:r>
    </w:p>
    <w:p>
      <w:pPr>
        <w:pStyle w:val="Compact"/>
        <w:numPr>
          <w:ilvl w:val="0"/>
          <w:numId w:val="1208"/>
        </w:numPr>
      </w:pPr>
      <w:r>
        <w:t xml:space="preserve">Tier 3: Within 3-6 months or after major outcome data</w:t>
      </w:r>
    </w:p>
    <w:p>
      <w:pPr>
        <w:pStyle w:val="Compact"/>
        <w:numPr>
          <w:ilvl w:val="0"/>
          <w:numId w:val="1209"/>
        </w:numPr>
      </w:pPr>
      <w:r>
        <w:t xml:space="preserve">Emergency/Fallback: Review cadence per declared severity and risk</w:t>
      </w:r>
    </w:p>
    <w:bookmarkEnd w:id="227"/>
    <w:bookmarkStart w:id="228" w:name="X686615c9d092470e4a54c1002d7e39359d22a0f"/>
    <w:p>
      <w:pPr>
        <w:pStyle w:val="Heading2"/>
      </w:pPr>
      <w:r>
        <w:t xml:space="preserve">15.6 Improvement and Future Upgrades (Normative stance)</w:t>
      </w:r>
    </w:p>
    <w:p>
      <w:pPr>
        <w:pStyle w:val="FirstParagraph"/>
      </w:pPr>
      <w:r>
        <w:t xml:space="preserve">RippleLogic is corrigible. Any improvement MUST:</w:t>
      </w:r>
    </w:p>
    <w:p>
      <w:pPr>
        <w:pStyle w:val="Compact"/>
        <w:numPr>
          <w:ilvl w:val="0"/>
          <w:numId w:val="1210"/>
        </w:numPr>
      </w:pPr>
      <w:r>
        <w:t xml:space="preserve">Preserve NCRC/TRC non-compensability structure,</w:t>
      </w:r>
    </w:p>
    <w:p>
      <w:pPr>
        <w:pStyle w:val="Compact"/>
        <w:numPr>
          <w:ilvl w:val="0"/>
          <w:numId w:val="1211"/>
        </w:numPr>
      </w:pPr>
      <w:r>
        <w:t xml:space="preserve">Be explicit, versioned, and auditable (AIL),</w:t>
      </w:r>
    </w:p>
    <w:p>
      <w:pPr>
        <w:pStyle w:val="Compact"/>
        <w:numPr>
          <w:ilvl w:val="0"/>
          <w:numId w:val="1212"/>
        </w:numPr>
      </w:pPr>
      <w:r>
        <w:t xml:space="preserve">Be tested under the validation program (Section 17),</w:t>
      </w:r>
    </w:p>
    <w:p>
      <w:pPr>
        <w:pStyle w:val="Compact"/>
        <w:numPr>
          <w:ilvl w:val="0"/>
          <w:numId w:val="1213"/>
        </w:numPr>
      </w:pPr>
      <w:r>
        <w:t xml:space="preserve">And be introduced via governed update processes (NCAR Reflect plus versioning).</w:t>
      </w:r>
    </w:p>
    <w:bookmarkEnd w:id="228"/>
    <w:bookmarkEnd w:id="229"/>
    <w:bookmarkStart w:id="239" w:name="X0160aa132b1339db584001b4a694352730da91c"/>
    <w:p>
      <w:pPr>
        <w:pStyle w:val="Heading1"/>
      </w:pPr>
      <w:r>
        <w:t xml:space="preserve">SECTION 16: RELATIONSHIP TO EXISTING FRAMEWORKS (INFORMATIVE)</w:t>
      </w:r>
    </w:p>
    <w:bookmarkStart w:id="230" w:name="purpose"/>
    <w:p>
      <w:pPr>
        <w:pStyle w:val="Heading2"/>
      </w:pPr>
      <w:r>
        <w:t xml:space="preserve">16.0 Purpose</w:t>
      </w:r>
    </w:p>
    <w:p>
      <w:pPr>
        <w:pStyle w:val="FirstParagraph"/>
      </w:pPr>
      <w:r>
        <w:t xml:space="preserve">This section positions RippleLogic relative to existing ethical, governance, and decision frameworks. It clarifies structural differences and interfaces.</w:t>
      </w:r>
    </w:p>
    <w:bookmarkEnd w:id="230"/>
    <w:bookmarkStart w:id="231" w:name="X9eb64157a0f9f86854d954a25d91d9037ba7c21"/>
    <w:p>
      <w:pPr>
        <w:pStyle w:val="Heading2"/>
      </w:pPr>
      <w:r>
        <w:t xml:space="preserve">16.1 Compared to Utilitarianism / Cost-Benefit Analysis (CBA)</w:t>
      </w:r>
    </w:p>
    <w:p>
      <w:pPr>
        <w:pStyle w:val="FirstParagraph"/>
      </w:pPr>
      <w:r>
        <w:t xml:space="preserve">CBA often scalarizes plural values into a single metric (money/utility), enabling rights tradeoffs. RippleLogic blocks this via NCRC (rights as constraints) and TRC (tail risk as constraint), then optimizes welfare only within the admissible set.</w:t>
      </w:r>
    </w:p>
    <w:bookmarkEnd w:id="231"/>
    <w:bookmarkStart w:id="232" w:name="compared-to-deontology-rule-based-ethics"/>
    <w:p>
      <w:pPr>
        <w:pStyle w:val="Heading2"/>
      </w:pPr>
      <w:r>
        <w:t xml:space="preserve">16.2 Compared to Deontology (Rule-based ethics)</w:t>
      </w:r>
    </w:p>
    <w:p>
      <w:pPr>
        <w:pStyle w:val="FirstParagraph"/>
      </w:pPr>
      <w:r>
        <w:t xml:space="preserve">Pure deontology can lack a complete operational procedure for comparing permitted options under uncertainty. RippleLogic retains non-compensable constraints but adds computable consequence modeling and tail-risk bounding.</w:t>
      </w:r>
    </w:p>
    <w:bookmarkEnd w:id="232"/>
    <w:bookmarkStart w:id="233" w:name="X9b1ac4e4a6b4bfc7f37281f82c7d511696fde88"/>
    <w:p>
      <w:pPr>
        <w:pStyle w:val="Heading2"/>
      </w:pPr>
      <w:r>
        <w:t xml:space="preserve">16.3 Compared to Rawlsian Justice and Capability Approaches</w:t>
      </w:r>
    </w:p>
    <w:p>
      <w:pPr>
        <w:pStyle w:val="FirstParagraph"/>
      </w:pPr>
      <w:r>
        <w:t xml:space="preserve">Rawls provides priority of liberty and fair basic structure; capabilities provide multi-dimensional flourishing. RippleLogic operationalizes multi-dimensional welfare into a computable 7×7 matrix and makes rights floors explicit across unions.</w:t>
      </w:r>
    </w:p>
    <w:bookmarkEnd w:id="233"/>
    <w:bookmarkStart w:id="234" w:name="X65d6778789bf890e0bb22a24117b3ab14a6177b"/>
    <w:p>
      <w:pPr>
        <w:pStyle w:val="Heading2"/>
      </w:pPr>
      <w:r>
        <w:t xml:space="preserve">16.4 Compared to MCDA (Multi-Criteria Decision Analysis)</w:t>
      </w:r>
    </w:p>
    <w:p>
      <w:pPr>
        <w:pStyle w:val="FirstParagraph"/>
      </w:pPr>
      <w:r>
        <w:t xml:space="preserve">Standard MCDA often aggregates criteria via weighted sums or outranking without lexicographic catastrophe handling (Keeney &amp; Raiffa, 1976; Belton &amp; Stewart, 2002). RippleLogic is MCDA-like at the RLS layer but is structurally different because admissibility gates (NCRC/TRC/CSV) are lexicographic and non-compensable.</w:t>
      </w:r>
    </w:p>
    <w:bookmarkEnd w:id="234"/>
    <w:bookmarkStart w:id="235" w:name="X8ee717837f27834065dd4cbfda4c18a18c9620c"/>
    <w:p>
      <w:pPr>
        <w:pStyle w:val="Heading2"/>
      </w:pPr>
      <w:r>
        <w:t xml:space="preserve">16.5 Compared to AI Alignment Toolsets (RLHF, Constitutional AI, risk frameworks)</w:t>
      </w:r>
    </w:p>
    <w:p>
      <w:pPr>
        <w:pStyle w:val="FirstParagraph"/>
      </w:pPr>
      <w:r>
        <w:t xml:space="preserve">Many alignment approaches train systems toward proxies (human feedback, constitutional principles) without hard admissibility gates. RippleLogic provides a decision-engine architecture: action-space filtering by NCRC/TRC/CSV, structured welfare scoring (RLS), auditable traces (PCC), and corrigibility via NCAR.</w:t>
      </w:r>
    </w:p>
    <w:bookmarkEnd w:id="235"/>
    <w:bookmarkStart w:id="236" w:name="X2d0da9eaa44aef97d2fd3163a35b3aab0345991"/>
    <w:p>
      <w:pPr>
        <w:pStyle w:val="Heading2"/>
      </w:pPr>
      <w:r>
        <w:t xml:space="preserve">16.6 Interoperability with Governance Standards</w:t>
      </w:r>
    </w:p>
    <w:p>
      <w:pPr>
        <w:pStyle w:val="FirstParagraph"/>
      </w:pPr>
      <w:r>
        <w:t xml:space="preserve">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bookmarkEnd w:id="236"/>
    <w:bookmarkStart w:id="237" w:name="compared-to-commons-governance"/>
    <w:p>
      <w:pPr>
        <w:pStyle w:val="Heading2"/>
      </w:pPr>
      <w:r>
        <w:t xml:space="preserve">16.7 Compared to Commons Governance</w:t>
      </w:r>
    </w:p>
    <w:p>
      <w:pPr>
        <w:pStyle w:val="FirstParagraph"/>
      </w:pPr>
      <w:r>
        <w:t xml:space="preserve">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bookmarkEnd w:id="237"/>
    <w:bookmarkStart w:id="238" w:name="X338c56b0ddf3d1e3207560f6045e3cf247d8891"/>
    <w:p>
      <w:pPr>
        <w:pStyle w:val="Heading2"/>
      </w:pPr>
      <w:r>
        <w:t xml:space="preserve">16.8 RLS Validation and Calibration Status (Informative bridge)</w:t>
      </w:r>
    </w:p>
    <w:p>
      <w:pPr>
        <w:pStyle w:val="FirstParagraph"/>
      </w:pPr>
      <w:r>
        <w:t xml:space="preserve">Current status. RLS is release-ready as a structured residual welfare-scoring specification and audit method. It does not yet claim empirical validation of the dimensional non-overlap of the 7x7 welfare field, calibrated decisiveness thresholds, or inter-rater reliability of cell-filling across independent analysts. A companion RLS Validation Protocol should test these claims through scored-case datasets, correlation/factor analysis across the 49 cells, inter-rater reliability studies, disagreement heatmaps, scalar-comparator analysis, and revision rules. Until those studies are completed, public claims should say that RLS is structurally complete and auditable, not that it is empirically proven to produce superior decisions.</w:t>
      </w:r>
    </w:p>
    <w:bookmarkEnd w:id="238"/>
    <w:bookmarkEnd w:id="239"/>
    <w:bookmarkStart w:id="258" w:name="X089ec1e241da03a99a44433ba9a176295787aac"/>
    <w:p>
      <w:pPr>
        <w:pStyle w:val="Heading1"/>
      </w:pPr>
      <w:r>
        <w:t xml:space="preserve">SECTION 17: VALIDATION, FALSIFICATION, AND RESEARCH PROGRAM (NORMATIVE FOR CLAIMS)</w:t>
      </w:r>
    </w:p>
    <w:bookmarkStart w:id="240" w:name="purpose-normative-6"/>
    <w:p>
      <w:pPr>
        <w:pStyle w:val="Heading2"/>
      </w:pPr>
      <w:r>
        <w:t xml:space="preserve">17.0 Purpose (Normative)</w:t>
      </w:r>
    </w:p>
    <w:p>
      <w:pPr>
        <w:pStyle w:val="FirstParagraph"/>
      </w:pPr>
      <w:r>
        <w:t xml:space="preserve">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pPr>
      <w:r>
        <w:t xml:space="preserve">This validation program follows a falsification-first posture consistent with scientific corrigibility: components that fail their empirical tests must be revised or abandoned rather than defended by authority (Popper, 1959).</w:t>
      </w:r>
    </w:p>
    <w:bookmarkEnd w:id="240"/>
    <w:bookmarkStart w:id="241" w:name="X9304b6bbe13ea672a1c6253976ab84c8b4edaa9"/>
    <w:p>
      <w:pPr>
        <w:pStyle w:val="Heading2"/>
      </w:pPr>
      <w:r>
        <w:t xml:space="preserve">17.0A Layered Falsification Attribution Rule (Normative for validation claims)</w:t>
      </w:r>
    </w:p>
    <w:p>
      <w:pPr>
        <w:pStyle w:val="FirstParagraph"/>
      </w:pPr>
      <w:r>
        <w:t xml:space="preserve">A failure must be attributed to the layer it actually falsifies before a broader falsification claim is made. A failed measurement does not by itself falsify the framework; a failed projection does not by itself falsify a rights floor; and a failed gate operator must not be excused as mere input error when all admissible data, projection, and parameter alternatives have been ruled out.</w:t>
      </w:r>
    </w:p>
    <w:p>
      <w:pPr>
        <w:pStyle w:val="BodyText"/>
      </w:pPr>
      <w:r>
        <w:t xml:space="preserve">Every recorded validation failure SHOULD include both FalsificationClass and FalsificationLayer. Recommended FalsificationLayer values are DATA, PROJECTION, PARAMETER, GATE_OPERATOR, PRIMITIVE, GOVERNANCE, and COMMUNICATION.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159"/>
        <w:gridCol w:w="2353"/>
        <w:gridCol w:w="2353"/>
        <w:gridCol w:w="2353"/>
      </w:tblGrid>
      <w:tr>
        <w:trPr>
          <w:tblHeader w:val="true"/>
          <w:cantSplit/>
        </w:trPr>
        <w:tc>
          <w:tcPr>
            <w:tcW w:w="2159"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Layer</w:t>
            </w:r>
          </w:p>
        </w:tc>
        <w:tc>
          <w:tcPr>
            <w:tcW w:w="2353"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What failure means</w:t>
            </w:r>
          </w:p>
        </w:tc>
        <w:tc>
          <w:tcPr>
            <w:tcW w:w="2353"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Does not by itself falsify</w:t>
            </w:r>
          </w:p>
        </w:tc>
        <w:tc>
          <w:tcPr>
            <w:tcW w:w="2353"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Required response</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DATA</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Input missing, wrong, stale, biased, or insufficient.</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Gate definitions or framework primitives.</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Re-collect, disclose uncertainty, rerun.</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PROJECTION</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Scenario, mapping, kernel, stakeholder model, or prediction surface was wrong.</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Rights logic or the whole framework.</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Freeze a new projection; rerun as a new run.</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PARAMETER</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Threshold, coefficient, weight, or corridor was mis-set or post-hoc.</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Cascade structure.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Reset ex ante under governed procedure; rerun.</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GATE_OPERATOR</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NCRC, TRC, CSV, SVC, or RLS rule produces a reality-contradicted verdict under every admissible data/projection/parameter alternative.</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A single bad input.</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Challenge the operator definition; governed revision.</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PRIMITIVE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A declared primitive cannot reconstruct a required phenomenon or produces unavoidable contradiction.</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Any single failed run.</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Reopen Primitive Audit.</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GOVERNANCE</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Authority, permission, legitimacy, contestability, or accountability failed.</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Structural or mathematical cascade.</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Governance review and authority correction.</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COMMUNICATION</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Public claim, summary, or disclosure exceeded claim boundary.</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Underlying ethics or mechanics.</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Correct the claim and update release/audit record.</w:t>
            </w:r>
          </w:p>
        </w:tc>
      </w:tr>
    </w:tbl>
    <w:p>
      <w:pPr>
        <w:pStyle w:val="BodyText"/>
      </w:pPr>
      <w:r>
        <w:t xml:space="preserve">Validator guidance. A failure logged without FalsificationLayer SHOULD trigger FALSIFICATION_LAYER_UNATTRIBUTED. A run that invokes PRIMITIVE or GATE_OPERATOR failure without first addressing plausible DATA, PROJECTION, and PARAMETER explanations SHOULD trigger FALSIFICATION_LAYER_SKIPPED and require escalation.</w:t>
      </w:r>
    </w:p>
    <w:p>
      <w:pPr>
        <w:pStyle w:val="BodyText"/>
      </w:pPr>
      <w:r>
        <w:t xml:space="preserve">Additional v11.4 do-not-collapse rules. Structural viability is not ethical permissibility. Stability is not justice. Permission is not admissibility. Output generation is not an admissible reference. A plan that can stand structurally can still violate rights; a generated answer can still lack a valid reference; and an authorized action can still fail the MathGov cascade.</w:t>
      </w:r>
    </w:p>
    <w:bookmarkEnd w:id="241"/>
    <w:bookmarkStart w:id="242" w:name="Xed2d1ac36c21f13feda1a477c69986dc87f15ba"/>
    <w:p>
      <w:pPr>
        <w:pStyle w:val="Heading2"/>
      </w:pPr>
      <w:r>
        <w:t xml:space="preserve">17.1 Core Empirical Claims (Testable Hypotheses)</w:t>
      </w:r>
    </w:p>
    <w:bookmarkEnd w:id="242"/>
    <w:bookmarkStart w:id="243" w:name="X9b511e460613ff45c8abcd993985bd5de1e9593"/>
    <w:p>
      <w:pPr>
        <w:pStyle w:val="Heading2"/>
      </w:pPr>
      <w:r>
        <w:t xml:space="preserve">17.1A MNA-Layer Empirical Hypotheses (Normative research frontier)</w:t>
      </w:r>
    </w:p>
    <w:p>
      <w:pPr>
        <w:pStyle w:val="FirstParagraph"/>
      </w:pPr>
      <w:r>
        <w:t xml:space="preserve">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pPr>
      <w:r>
        <w:t xml:space="preserve">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pPr>
      <w:r>
        <w:t xml:space="preserve">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159"/>
        <w:gridCol w:w="5059"/>
      </w:tblGrid>
      <w:tr>
        <w:trPr>
          <w:tblHeader w:val="true"/>
          <w:cantSplit/>
        </w:trPr>
        <w:tc>
          <w:tcPr>
            <w:tcW w:w="415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Hypothesis</w:t>
            </w:r>
          </w:p>
        </w:tc>
        <w:tc>
          <w:tcPr>
            <w:tcW w:w="505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Description</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H1</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Rights coherence: Decisions that pass NCRC produce fewer rights infringements than comparable baseline decisions, controlling for context.</w:t>
            </w:r>
          </w:p>
        </w:tc>
      </w:tr>
      <w:tr>
        <w:trPr>
          <w:cantSplit/>
        </w:trPr>
        <w:tc>
          <w:tcPr>
            <w:tcW w:w="4159" w:type="dxa"/>
            <w:vAlign w:val="top"/>
            <w:tcMar>
              <w:top w:w="70" w:type="dxa"/>
              <w:start w:w="90" w:type="dxa"/>
              <w:bottom w:w="70" w:type="dxa"/>
              <w:end w:w="90" w:type="dxa"/>
            </w:tcMar>
            <w:shd w:fill="F3F7FB" w:val="clear"/>
          </w:tcPr>
          <w:p>
            <w:pPr>
              <w:pStyle w:val="Compact"/>
              <w:spacing w:before="0" w:after="0"/>
              <w:jc w:val="left"/>
            </w:pPr>
            <w:r>
              <w:rPr>
                <w:sz w:val="19"/>
              </w:rPr>
              <w:t xml:space="preserve">H2</w:t>
            </w:r>
          </w:p>
        </w:tc>
        <w:tc>
          <w:tcPr>
            <w:tcW w:w="5059" w:type="dxa"/>
            <w:vAlign w:val="top"/>
            <w:tcMar>
              <w:top w:w="70" w:type="dxa"/>
              <w:start w:w="90" w:type="dxa"/>
              <w:bottom w:w="70" w:type="dxa"/>
              <w:end w:w="90" w:type="dxa"/>
            </w:tcMar>
            <w:shd w:fill="F3F7FB" w:val="clear"/>
          </w:tcPr>
          <w:p>
            <w:pPr>
              <w:pStyle w:val="Compact"/>
              <w:spacing w:before="0" w:after="0"/>
              <w:jc w:val="left"/>
            </w:pPr>
            <w:r>
              <w:rPr>
                <w:sz w:val="19"/>
              </w:rPr>
              <w:t xml:space="preserve">Tail-risk effectiveness: Decisions constrained by TRC exhibit lower realized tail losses than comparable decisions without TRC.</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H3</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Ripple sign accuracy (after calibration): After NCAR updates, predicted impact signs match observed sign in ≥70% of evaluated cells.</w:t>
            </w:r>
          </w:p>
        </w:tc>
      </w:tr>
      <w:tr>
        <w:trPr>
          <w:cantSplit/>
        </w:trPr>
        <w:tc>
          <w:tcPr>
            <w:tcW w:w="4159" w:type="dxa"/>
            <w:vAlign w:val="top"/>
            <w:tcMar>
              <w:top w:w="70" w:type="dxa"/>
              <w:start w:w="90" w:type="dxa"/>
              <w:bottom w:w="70" w:type="dxa"/>
              <w:end w:w="90" w:type="dxa"/>
            </w:tcMar>
            <w:shd w:fill="F3F7FB" w:val="clear"/>
          </w:tcPr>
          <w:p>
            <w:pPr>
              <w:pStyle w:val="Compact"/>
              <w:spacing w:before="0" w:after="0"/>
              <w:jc w:val="left"/>
            </w:pPr>
            <w:r>
              <w:rPr>
                <w:sz w:val="19"/>
              </w:rPr>
              <w:t xml:space="preserve">H4</w:t>
            </w:r>
          </w:p>
        </w:tc>
        <w:tc>
          <w:tcPr>
            <w:tcW w:w="5059" w:type="dxa"/>
            <w:vAlign w:val="top"/>
            <w:tcMar>
              <w:top w:w="70" w:type="dxa"/>
              <w:start w:w="90" w:type="dxa"/>
              <w:bottom w:w="70" w:type="dxa"/>
              <w:end w:w="90" w:type="dxa"/>
            </w:tcMar>
            <w:shd w:fill="F3F7FB" w:val="clear"/>
          </w:tcPr>
          <w:p>
            <w:pPr>
              <w:pStyle w:val="Compact"/>
              <w:spacing w:before="0" w:after="0"/>
              <w:jc w:val="left"/>
            </w:pPr>
            <w:r>
              <w:rPr>
                <w:sz w:val="19"/>
              </w:rPr>
              <w:t xml:space="preserve">Structural early warning: Persistent HOI &gt; 0 predicts subsequent structural degradation better than baseline KPI monitoring.</w:t>
            </w:r>
          </w:p>
        </w:tc>
      </w:tr>
      <w:tr>
        <w:trPr>
          <w:cantSplit/>
        </w:trPr>
        <w:tc>
          <w:tcPr>
            <w:tcW w:w="4159" w:type="dxa"/>
            <w:vAlign w:val="top"/>
            <w:tcMar>
              <w:top w:w="70" w:type="dxa"/>
              <w:start w:w="90" w:type="dxa"/>
              <w:bottom w:w="70" w:type="dxa"/>
              <w:end w:w="90" w:type="dxa"/>
            </w:tcMar>
            <w:shd w:fill="FFFFFF" w:val="clear"/>
          </w:tcPr>
          <w:p>
            <w:pPr>
              <w:pStyle w:val="Compact"/>
              <w:spacing w:before="0" w:after="0"/>
              <w:jc w:val="left"/>
            </w:pPr>
            <w:r>
              <w:rPr>
                <w:sz w:val="19"/>
              </w:rPr>
              <w:t xml:space="preserve">H5</w:t>
            </w:r>
          </w:p>
        </w:tc>
        <w:tc>
          <w:tcPr>
            <w:tcW w:w="5059" w:type="dxa"/>
            <w:vAlign w:val="top"/>
            <w:tcMar>
              <w:top w:w="70" w:type="dxa"/>
              <w:start w:w="90" w:type="dxa"/>
              <w:bottom w:w="70" w:type="dxa"/>
              <w:end w:w="90" w:type="dxa"/>
            </w:tcMar>
            <w:shd w:fill="FFFFFF" w:val="clear"/>
          </w:tcPr>
          <w:p>
            <w:pPr>
              <w:pStyle w:val="Compact"/>
              <w:spacing w:before="0" w:after="0"/>
              <w:jc w:val="left"/>
            </w:pPr>
            <w:r>
              <w:rPr>
                <w:sz w:val="19"/>
              </w:rPr>
              <w:t xml:space="preserve">Anti-gaming effectiveness: In adversarial tests, specification gaming succeeds less often (≥30% reduction) relative to comparable governance processes without PCC plus mandatory tails plus subgroup semantics.</w:t>
            </w:r>
          </w:p>
        </w:tc>
      </w:tr>
    </w:tbl>
    <w:p>
      <w:pPr>
        <w:pStyle w:val="BodyText"/>
      </w:pPr>
      <w:r>
        <w:t xml:space="preserve">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pPr>
      <w:r>
        <w:t xml:space="preserve">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pPr>
      <w:r>
        <w:t xml:space="preserve">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pPr>
      <w:r>
        <w:t xml:space="preserve">H8 (PLSS escalation fidelity). In pilot validation, plausible ET-trigger conditions will be detected and logged with sufficient sensitivity that PLSS posture is not systematically retained in clearly non-local cases.</w:t>
      </w:r>
    </w:p>
    <w:bookmarkEnd w:id="243"/>
    <w:bookmarkStart w:id="244" w:name="falsification-criteria-normative"/>
    <w:p>
      <w:pPr>
        <w:pStyle w:val="Heading2"/>
      </w:pPr>
      <w:r>
        <w:t xml:space="preserve">17.2 Falsification Criteria (Normative)</w:t>
      </w:r>
    </w:p>
    <w:bookmarkEnd w:id="244"/>
    <w:bookmarkStart w:id="245" w:name="a-mna-layer-falsifiers-normative"/>
    <w:p>
      <w:pPr>
        <w:pStyle w:val="Heading2"/>
      </w:pPr>
      <w:r>
        <w:t xml:space="preserve">17.2A MNA-Layer Falsifiers (Normative)</w:t>
      </w:r>
    </w:p>
    <w:p>
      <w:pPr>
        <w:pStyle w:val="FirstParagraph"/>
      </w:pPr>
      <w:r>
        <w:t xml:space="preserve">F-MNA1. Omission of welfare, rights, or enabling-condition variables does not reduce predictive adequacy in relevant multi-agent domains where those variables were hypothesized to matter materially.</w:t>
      </w:r>
    </w:p>
    <w:p>
      <w:pPr>
        <w:pStyle w:val="BodyText"/>
      </w:pPr>
      <w:r>
        <w:t xml:space="preserve">F-MNA2. Architectures ignoring such conditions do not exhibit higher instability, tail risk, rights breach incidence, or containment failure than comparable architectures that track them explicitly.</w:t>
      </w:r>
    </w:p>
    <w:p>
      <w:pPr>
        <w:pStyle w:val="BodyText"/>
      </w:pPr>
      <w:r>
        <w:t xml:space="preserve">F-MNA3. Cascade-constrained policies do not outperform unconstrained scalarized policies on declared rights, coherence, or tail-risk metrics in the relevant validation class.</w:t>
      </w:r>
    </w:p>
    <w:p>
      <w:pPr>
        <w:pStyle w:val="BodyText"/>
      </w:pPr>
      <w:r>
        <w:t xml:space="preserve">Defect attribution prior to invoking F1-F5 follows the Appendix AE.3 layer matrix: each failure should be assigned to the layer it actually falsifies before any broader empirical falsifier is invoked.</w:t>
      </w:r>
    </w:p>
    <w:p>
      <w:pPr>
        <w:pStyle w:val="BodyText"/>
      </w:pPr>
      <w:r>
        <w:t xml:space="preserve">RippleLogic components must be revised (or rejected) if evidence meets any of the following:</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058"/>
        <w:gridCol w:w="5160"/>
      </w:tblGrid>
      <w:tr>
        <w:trPr>
          <w:tblHeader w:val="true"/>
          <w:cantSplit/>
        </w:trPr>
        <w:tc>
          <w:tcPr>
            <w:tcW w:w="405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Criterion</w:t>
            </w:r>
          </w:p>
        </w:tc>
        <w:tc>
          <w:tcPr>
            <w:tcW w:w="516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Description</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F1</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NCRC failure: NCRC-passing decisions systematically produce worse rights outcomes than NCRC-failing decisions.</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F2</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TRC failure: TRC-constrained decisions show no reduction in realized tail losses compared to controls.</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F3</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Ripple predictiveness failure: Sign accuracy remains &lt; 60% across successive NCAR cycles for key cells.</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F4</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Structural safeguard failure: UCI/HOI do not correlate with or predict meaningful degradation.</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F5</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Anti-gaming failure: Red-team exercises repeatedly exploit predictable loopholes (&gt; 30% of adversarial runs).</w:t>
            </w:r>
          </w:p>
        </w:tc>
      </w:tr>
    </w:tbl>
    <w:bookmarkEnd w:id="245"/>
    <w:bookmarkStart w:id="246" w:name="validation-phases-normative-roadmap"/>
    <w:p>
      <w:pPr>
        <w:pStyle w:val="Heading2"/>
      </w:pPr>
      <w:r>
        <w:t xml:space="preserve">17.3 Validation Phases (Normative roadmap)</w:t>
      </w:r>
    </w:p>
    <w:p>
      <w:pPr>
        <w:pStyle w:val="FirstParagraph"/>
      </w:pPr>
      <w:r>
        <w:t xml:space="preserve">Phase 1: Formal verification and implementation testing (0-6 months)</w:t>
      </w:r>
    </w:p>
    <w:p>
      <w:pPr>
        <w:pStyle w:val="Compact"/>
        <w:numPr>
          <w:ilvl w:val="0"/>
          <w:numId w:val="1214"/>
        </w:numPr>
      </w:pPr>
      <w:r>
        <w:t xml:space="preserve">Independent implementation of Tier 2-3 algorithms from spec.</w:t>
      </w:r>
    </w:p>
    <w:p>
      <w:pPr>
        <w:pStyle w:val="Compact"/>
        <w:numPr>
          <w:ilvl w:val="0"/>
          <w:numId w:val="1215"/>
        </w:numPr>
      </w:pPr>
      <w:r>
        <w:t xml:space="preserve">Unit tests for canonical equations (Appendix B).</w:t>
      </w:r>
    </w:p>
    <w:p>
      <w:pPr>
        <w:pStyle w:val="Compact"/>
        <w:numPr>
          <w:ilvl w:val="0"/>
          <w:numId w:val="1216"/>
        </w:numPr>
      </w:pPr>
      <w:r>
        <w:t xml:space="preserve">Adversarial tests for masking, subgroup erasure, scenario omission, confidence inflation.</w:t>
      </w:r>
    </w:p>
    <w:p>
      <w:pPr>
        <w:pStyle w:val="Compact"/>
        <w:numPr>
          <w:ilvl w:val="0"/>
          <w:numId w:val="1217"/>
        </w:numPr>
      </w:pPr>
      <w:r>
        <w:t xml:space="preserve">Produce reference PCCs and reproducibility checks.</w:t>
      </w:r>
    </w:p>
    <w:p>
      <w:pPr>
        <w:pStyle w:val="FirstParagraph"/>
      </w:pPr>
      <w:r>
        <w:t xml:space="preserve">Phase 2: Measurement validation (4-15 months)</w:t>
      </w:r>
    </w:p>
    <w:p>
      <w:pPr>
        <w:pStyle w:val="Compact"/>
        <w:numPr>
          <w:ilvl w:val="0"/>
          <w:numId w:val="1218"/>
        </w:numPr>
      </w:pPr>
      <w:r>
        <w:t xml:space="preserve">Indicator reliability and validity for welfare dimensions and UCI components.</w:t>
      </w:r>
    </w:p>
    <w:p>
      <w:pPr>
        <w:pStyle w:val="Compact"/>
        <w:numPr>
          <w:ilvl w:val="0"/>
          <w:numId w:val="1219"/>
        </w:numPr>
      </w:pPr>
      <w:r>
        <w:t xml:space="preserve">Cross-population measurement checks where relevant.</w:t>
      </w:r>
    </w:p>
    <w:p>
      <w:pPr>
        <w:pStyle w:val="Compact"/>
        <w:numPr>
          <w:ilvl w:val="0"/>
          <w:numId w:val="1220"/>
        </w:numPr>
      </w:pPr>
      <w:r>
        <w:t xml:space="preserve">Calibrate magnitude anchors and uncertainty mappings.</w:t>
      </w:r>
    </w:p>
    <w:p>
      <w:pPr>
        <w:pStyle w:val="FirstParagraph"/>
      </w:pPr>
      <w:r>
        <w:t xml:space="preserve">Phase 3: Controlled pilots (10-24 months)</w:t>
      </w:r>
    </w:p>
    <w:p>
      <w:pPr>
        <w:pStyle w:val="Compact"/>
        <w:numPr>
          <w:ilvl w:val="0"/>
          <w:numId w:val="1221"/>
        </w:numPr>
      </w:pPr>
      <w:r>
        <w:t xml:space="preserve">Pilot deployments in organizations or municipalities.</w:t>
      </w:r>
    </w:p>
    <w:p>
      <w:pPr>
        <w:pStyle w:val="Compact"/>
        <w:numPr>
          <w:ilvl w:val="0"/>
          <w:numId w:val="1222"/>
        </w:numPr>
      </w:pPr>
      <w:r>
        <w:t xml:space="preserve">Compare RippleLogic vs baseline governance processes on: rights incidents, tail losses, stakeholder legitimacy, audit completeness, decision reversal rates.</w:t>
      </w:r>
    </w:p>
    <w:p>
      <w:pPr>
        <w:pStyle w:val="FirstParagraph"/>
      </w:pPr>
      <w:r>
        <w:t xml:space="preserve">Phase 4: Field studies and scaling (18-36+ months)</w:t>
      </w:r>
    </w:p>
    <w:p>
      <w:pPr>
        <w:pStyle w:val="Compact"/>
        <w:numPr>
          <w:ilvl w:val="0"/>
          <w:numId w:val="1223"/>
        </w:numPr>
      </w:pPr>
      <w:r>
        <w:t xml:space="preserve">Longitudinal monitoring of UCI/HOI and realized outcomes.</w:t>
      </w:r>
    </w:p>
    <w:p>
      <w:pPr>
        <w:pStyle w:val="Compact"/>
        <w:numPr>
          <w:ilvl w:val="0"/>
          <w:numId w:val="1224"/>
        </w:numPr>
      </w:pPr>
      <w:r>
        <w:t xml:space="preserve">Kernel calibration and scenario library refinement.</w:t>
      </w:r>
    </w:p>
    <w:p>
      <w:pPr>
        <w:pStyle w:val="Compact"/>
        <w:numPr>
          <w:ilvl w:val="0"/>
          <w:numId w:val="1225"/>
        </w:numPr>
      </w:pPr>
      <w:r>
        <w:t xml:space="preserve">Comparative performance across domains.</w:t>
      </w:r>
    </w:p>
    <w:bookmarkEnd w:id="246"/>
    <w:bookmarkStart w:id="247" w:name="metrics-and-targets-normative-defaults"/>
    <w:p>
      <w:pPr>
        <w:pStyle w:val="Heading2"/>
      </w:pPr>
      <w:r>
        <w:t xml:space="preserve">17.4 Metrics and Targets (Normative defaults)</w:t>
      </w:r>
    </w:p>
    <w:bookmarkEnd w:id="247"/>
    <w:bookmarkStart w:id="248" w:name="X22619ac569cfdc0af98588a514c6effd017190e"/>
    <w:p>
      <w:pPr>
        <w:pStyle w:val="Heading2"/>
      </w:pPr>
      <w:r>
        <w:t xml:space="preserve">17.4A Inter-Rater Reliability Commitment (Normative commitment)</w:t>
      </w:r>
    </w:p>
    <w:p>
      <w:pPr>
        <w:pStyle w:val="FirstParagraph"/>
      </w:pPr>
      <w:r>
        <w:t xml:space="preserve">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BodyText"/>
      </w:pPr>
      <w:r>
        <w:t xml:space="preserve">The study MUST report the case set, evaluator instructions, adjudication procedure, disagreement classes, and reliability statistics appropriate to the data type used.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412"/>
        <w:gridCol w:w="1982"/>
        <w:gridCol w:w="2412"/>
        <w:gridCol w:w="2412"/>
      </w:tblGrid>
      <w:tr>
        <w:trPr>
          <w:tblHeader w:val="true"/>
          <w:cantSplit/>
        </w:trPr>
        <w:tc>
          <w:tcPr>
            <w:tcW w:w="241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Component</w:t>
            </w:r>
          </w:p>
        </w:tc>
        <w:tc>
          <w:tcPr>
            <w:tcW w:w="198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Target ICC</w:t>
            </w:r>
          </w:p>
        </w:tc>
        <w:tc>
          <w:tcPr>
            <w:tcW w:w="241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Minimum acceptable</w:t>
            </w:r>
          </w:p>
        </w:tc>
        <w:tc>
          <w:tcPr>
            <w:tcW w:w="241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Notes</w:t>
            </w:r>
          </w:p>
        </w:tc>
      </w:tr>
      <w:tr>
        <w:trPr>
          <w:cantSplit/>
        </w:trPr>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Magnitude construction (mu_k)</w:t>
            </w:r>
          </w:p>
        </w:tc>
        <w:tc>
          <w:tcPr>
            <w:tcW w:w="1982" w:type="dxa"/>
            <w:vAlign w:val="top"/>
            <w:tcMar>
              <w:top w:w="70" w:type="dxa"/>
              <w:start w:w="90" w:type="dxa"/>
              <w:bottom w:w="70" w:type="dxa"/>
              <w:end w:w="90" w:type="dxa"/>
            </w:tcMar>
            <w:shd w:fill="FFFFFF" w:val="clear"/>
          </w:tcPr>
          <w:p>
            <w:pPr>
              <w:pStyle w:val="Compact"/>
              <w:spacing w:before="0" w:after="0"/>
              <w:jc w:val="left"/>
            </w:pPr>
            <w:r>
              <w:rPr>
                <w:sz w:val="17"/>
              </w:rPr>
              <w:t xml:space="preserve">&gt;= 0.70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&gt;= 0.60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Tested separately for percentile and threshold anchoring</w:t>
            </w:r>
          </w:p>
        </w:tc>
      </w:tr>
      <w:tr>
        <w:trPr>
          <w:cantSplit/>
        </w:trPr>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Rights-floor pass/fail (NCRC)</w:t>
            </w:r>
          </w:p>
        </w:tc>
        <w:tc>
          <w:tcPr>
            <w:tcW w:w="1982" w:type="dxa"/>
            <w:vAlign w:val="top"/>
            <w:tcMar>
              <w:top w:w="70" w:type="dxa"/>
              <w:start w:w="90" w:type="dxa"/>
              <w:bottom w:w="70" w:type="dxa"/>
              <w:end w:w="90" w:type="dxa"/>
            </w:tcMar>
            <w:shd w:fill="F3F7FB" w:val="clear"/>
          </w:tcPr>
          <w:p>
            <w:pPr>
              <w:pStyle w:val="Compact"/>
              <w:spacing w:before="0" w:after="0"/>
              <w:jc w:val="left"/>
            </w:pPr>
            <w:r>
              <w:rPr>
                <w:sz w:val="17"/>
              </w:rPr>
              <w:t xml:space="preserve">&gt;= 0.80</w:t>
            </w:r>
          </w:p>
        </w:tc>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&gt;= 0.70</w:t>
            </w:r>
          </w:p>
        </w:tc>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Binary gate; higher target reflects non-compensability</w:t>
            </w:r>
          </w:p>
        </w:tc>
      </w:tr>
      <w:tr>
        <w:trPr>
          <w:cantSplit/>
        </w:trPr>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TRC pass/fail</w:t>
            </w:r>
          </w:p>
        </w:tc>
        <w:tc>
          <w:tcPr>
            <w:tcW w:w="1982" w:type="dxa"/>
            <w:vAlign w:val="top"/>
            <w:tcMar>
              <w:top w:w="70" w:type="dxa"/>
              <w:start w:w="90" w:type="dxa"/>
              <w:bottom w:w="70" w:type="dxa"/>
              <w:end w:w="90" w:type="dxa"/>
            </w:tcMar>
            <w:shd w:fill="FFFFFF" w:val="clear"/>
          </w:tcPr>
          <w:p>
            <w:pPr>
              <w:pStyle w:val="Compact"/>
              <w:spacing w:before="0" w:after="0"/>
              <w:jc w:val="left"/>
            </w:pPr>
            <w:r>
              <w:rPr>
                <w:sz w:val="17"/>
              </w:rPr>
              <w:t xml:space="preserve">&gt;= 0.80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&gt;= 0.70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Binary gate</w:t>
            </w:r>
          </w:p>
        </w:tc>
      </w:tr>
      <w:tr>
        <w:trPr>
          <w:cantSplit/>
        </w:trPr>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RLS ranking order</w:t>
            </w:r>
          </w:p>
        </w:tc>
        <w:tc>
          <w:tcPr>
            <w:tcW w:w="1982" w:type="dxa"/>
            <w:vAlign w:val="top"/>
            <w:tcMar>
              <w:top w:w="70" w:type="dxa"/>
              <w:start w:w="90" w:type="dxa"/>
              <w:bottom w:w="70" w:type="dxa"/>
              <w:end w:w="90" w:type="dxa"/>
            </w:tcMar>
            <w:shd w:fill="F3F7FB" w:val="clear"/>
          </w:tcPr>
          <w:p>
            <w:pPr>
              <w:pStyle w:val="Compact"/>
              <w:spacing w:before="0" w:after="0"/>
              <w:jc w:val="left"/>
            </w:pPr>
            <w:r>
              <w:rPr>
                <w:sz w:val="17"/>
              </w:rPr>
              <w:t xml:space="preserve">&gt;= 0.70</w:t>
            </w:r>
          </w:p>
        </w:tc>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&gt;= 0.60</w:t>
            </w:r>
          </w:p>
        </w:tc>
        <w:tc>
          <w:tcPr>
            <w:tcW w:w="2412" w:type="dxa"/>
            <w:vAlign w:val="top"/>
            <w:tcMar>
              <w:top w:w="70" w:type="dxa"/>
              <w:start w:w="90" w:type="dxa"/>
              <w:bottom w:w="70" w:type="dxa"/>
              <w:end w:w="90" w:type="dxa"/>
            </w:tcMar>
            <w:shd w:fill="F3F7FB" w:val="clear"/>
          </w:tcPr>
          <w:p>
            <w:pPr>
              <w:pStyle w:val="Compact"/>
              <w:spacing w:before="0" w:after="0"/>
              <w:jc w:val="left"/>
            </w:pPr>
            <w:r>
              <w:rPr>
                <w:sz w:val="17"/>
              </w:rPr>
              <w:t xml:space="preserve">Ordinal agreement on option ranking</w:t>
            </w:r>
          </w:p>
        </w:tc>
      </w:tr>
      <w:tr>
        <w:trPr>
          <w:cantSplit/>
        </w:trPr>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PLSS prominence classification</w:t>
            </w:r>
          </w:p>
        </w:tc>
        <w:tc>
          <w:tcPr>
            <w:tcW w:w="1982" w:type="dxa"/>
            <w:vAlign w:val="top"/>
            <w:tcMar>
              <w:top w:w="70" w:type="dxa"/>
              <w:start w:w="90" w:type="dxa"/>
              <w:bottom w:w="70" w:type="dxa"/>
              <w:end w:w="90" w:type="dxa"/>
            </w:tcMar>
            <w:shd w:fill="FFFFFF" w:val="clear"/>
          </w:tcPr>
          <w:p>
            <w:pPr>
              <w:pStyle w:val="Compact"/>
              <w:spacing w:before="0" w:after="0"/>
              <w:jc w:val="left"/>
            </w:pPr>
            <w:r>
              <w:rPr>
                <w:sz w:val="17"/>
              </w:rPr>
              <w:t xml:space="preserve">&gt;= 0.70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&gt;= 0.60</w:t>
            </w:r>
          </w:p>
        </w:tc>
        <w:tc>
          <w:tcPr>
            <w:tcW w:w="2412" w:type="dxa"/>
            <w:vAlign w:val="top"/>
            <w:tcMar>
              <w:top w:w="70" w:type="dxa"/>
              <w:start w:w="90" w:type="dxa"/>
              <w:bottom w:w="70" w:type="dxa"/>
              <w:end w:w="90" w:type="dxa"/>
            </w:tcMar>
            <w:shd w:fill="FFFFFF" w:val="clear"/>
          </w:tcPr>
          <w:p>
            <w:pPr>
              <w:pStyle w:val="Compact"/>
              <w:spacing w:before="0" w:after="0"/>
              <w:jc w:val="left"/>
            </w:pPr>
            <w:r>
              <w:rPr>
                <w:sz w:val="17"/>
              </w:rPr>
              <w:t xml:space="preserve">Prominent vs Guardrail per scope</w:t>
            </w:r>
          </w:p>
        </w:tc>
      </w:tr>
    </w:tbl>
    <w:p>
      <w:pPr>
        <w:pStyle w:val="BodyText"/>
      </w:pPr>
      <w:r>
        <w:t xml:space="preserve">Sustained inability to exceed the minimum acceptable threshold on any component after rubric training indicates that the component requires redesign or additional anchoring guidance.</w:t>
      </w:r>
    </w:p>
    <w:p>
      <w:pPr>
        <w:pStyle w:val="BodyText"/>
      </w:pPr>
      <w:r>
        <w:t xml:space="preserve">Until such evidence exists, Tier 3 remains architecturally specified but empirically incomplete.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Metric</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Definition</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Default Target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Rights violation rate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Verified post-decision rights infringements per protected subgroup</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Lower than baseline governance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Tail-loss severity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Realized catastrophe-cell loss in worst outcomes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Lower than baseline governance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Sign accuracy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Match of predicted vs observed sign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≥0.70 after calibration</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Magnitude error (RMSE)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RMSE on normalized [-1,+1] for measurable cells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≤0.25 (domain-dependent)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Audit completeness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Proportion of required PCC fields correctly filled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≥0.95 Tier 3</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Gaming success rate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Fraction of adversarial attempts that change outcome illegitimately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Decreasing over time; investigate if &gt; 0.30</w:t>
            </w:r>
          </w:p>
        </w:tc>
      </w:tr>
    </w:tbl>
    <w:bookmarkEnd w:id="248"/>
    <w:bookmarkStart w:id="249" w:name="study-design-requirements-normative"/>
    <w:p>
      <w:pPr>
        <w:pStyle w:val="Heading2"/>
      </w:pPr>
      <w:r>
        <w:t xml:space="preserve">17.5 Study Design Requirements (Normative)</w:t>
      </w:r>
    </w:p>
    <w:p>
      <w:pPr>
        <w:pStyle w:val="Compact"/>
        <w:numPr>
          <w:ilvl w:val="0"/>
          <w:numId w:val="1226"/>
        </w:numPr>
      </w:pPr>
      <w:r>
        <w:t xml:space="preserve">Pre-registration required for pilots claiming performance improvements.</w:t>
      </w:r>
    </w:p>
    <w:p>
      <w:pPr>
        <w:pStyle w:val="Compact"/>
        <w:numPr>
          <w:ilvl w:val="0"/>
          <w:numId w:val="1227"/>
        </w:numPr>
      </w:pPr>
      <w:r>
        <w:t xml:space="preserve">Control or comparator condition recommended (baseline governance).</w:t>
      </w:r>
    </w:p>
    <w:p>
      <w:pPr>
        <w:pStyle w:val="Compact"/>
        <w:numPr>
          <w:ilvl w:val="0"/>
          <w:numId w:val="1228"/>
        </w:numPr>
      </w:pPr>
      <w:r>
        <w:t xml:space="preserve">Blinding recommended for backtests: analyst should not know outcome during the run.</w:t>
      </w:r>
    </w:p>
    <w:bookmarkEnd w:id="249"/>
    <w:bookmarkStart w:id="250" w:name="a-projection-pre-registration"/>
    <w:p>
      <w:pPr>
        <w:pStyle w:val="Heading2"/>
      </w:pPr>
      <w:r>
        <w:t xml:space="preserve">17.5A Projection Pre-Registration</w:t>
      </w:r>
    </w:p>
    <w:bookmarkEnd w:id="250"/>
    <w:bookmarkStart w:id="251" w:name="Xebdd0eb04a2fead04f88c71c9dcef350247e2d0"/>
    <w:p>
      <w:pPr>
        <w:pStyle w:val="Heading2"/>
      </w:pPr>
      <w:r>
        <w:t xml:space="preserve">17.5A.5 Freeze-Hash and Unique-Prediction Requirement (Normative for public validation and ProofPack-prep claims)</w:t>
      </w:r>
    </w:p>
    <w:p>
      <w:pPr>
        <w:pStyle w:val="FirstParagraph"/>
      </w:pPr>
      <w:r>
        <w:t xml:space="preserve">A validation claim is not falsifiable unless the projection was frozen before outcome evidence was consulted. For Tier 3 public pilots, public validation claims, and ProofPack-prep runs, ProjectionPreRegistration SHOULD include projection_freeze_hash, freeze_timestamp_utc, prediction_scope, predicted_observable_consequence_class, outcome_observation_timestamp, and post_observation_modification.</w:t>
      </w:r>
    </w:p>
    <w:p>
      <w:pPr>
        <w:pStyle w:val="BodyText"/>
      </w:pPr>
      <w:r>
        <w:t xml:space="preserve">A material validation claim SHOULD produce exactly one predicted observable consequence class or a declared finite prediction set with pre-specified resolution rule. If the projection produces no prediction, an open-ended prediction, or a non-unique prediction without resolution rule, the claim is exploratory rather than falsifiable and SHOULD be marked NON_UNIQUE_PREDICTION or EXPLORATORY_ONLY.</w:t>
      </w:r>
    </w:p>
    <w:p>
      <w:pPr>
        <w:pStyle w:val="BodyText"/>
      </w:pPr>
      <w:r>
        <w:t xml:space="preserve">If post_observation_modification=TRUE for a material validation claim, the run MUST NOT be used as a falsification test for that claim and SHOULD set POST_HOC_PROJECTION_INVALID with severity INVALID. A revised projection requires a new freeze hash and a new run. (Normative for pilots and Tier 3; Recommended otherwise)</w:t>
      </w:r>
    </w:p>
    <w:p>
      <w:pPr>
        <w:pStyle w:val="BodyText"/>
      </w:pPr>
      <w:r>
        <w:t xml:space="preserve">Purpose. To preserve falsifiability and prevent post-hoc projection drift, pilot runs and Tier 3 runs SHALL pre-register the projection map from declared inputs to admissibility verdict before decision data is consulted in a way that could influence parameter selection.</w:t>
      </w:r>
    </w:p>
    <w:bookmarkEnd w:id="251"/>
    <w:bookmarkStart w:id="252" w:name="Xb9bdd132c0072d896a802b3f25adf09691b5f8f"/>
    <w:p>
      <w:pPr>
        <w:pStyle w:val="Heading2"/>
      </w:pPr>
      <w:r>
        <w:t xml:space="preserve">17.5A.1 ProjectionPreRegistration object (Normative)</w:t>
      </w:r>
    </w:p>
    <w:p>
      <w:pPr>
        <w:pStyle w:val="FirstParagraph"/>
      </w:pPr>
      <w:r>
        <w:t xml:space="preserve">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scalar binding for impacted classes, including SG_norm and SG_patient_norm where applicable; subgroup uplift gamma_subgroup and any non-default value with justification; kernel mode and kernel quality status where applicable; sensitivity sweep specification; pre-declared falsification, refusal, escalation, and re-run conditions.</w:t>
      </w:r>
    </w:p>
    <w:bookmarkEnd w:id="252"/>
    <w:bookmarkStart w:id="253" w:name="a.2-modification-discipline-normative"/>
    <w:p>
      <w:pPr>
        <w:pStyle w:val="Heading2"/>
      </w:pPr>
      <w:r>
        <w:t xml:space="preserve">17.5A.2 Modification discipline (Normative)</w:t>
      </w:r>
    </w:p>
    <w:p>
      <w:pPr>
        <w:pStyle w:val="FirstParagraph"/>
      </w:pPr>
      <w:r>
        <w:t xml:space="preserve">Once emitted, the ProjectionPreRegistration object SHALL NOT be materially modified after observation in any way that affects admissibility, selectability, selection, or conformance claims.</w:t>
      </w:r>
    </w:p>
    <w:p>
      <w:pPr>
        <w:pStyle w:val="BodyText"/>
      </w:pPr>
      <w:r>
        <w:t xml:space="preserve">If material modification is required, the current run SHALL enter Refusal under Section 4.9, document the reason in PCC.RefusalRecord, and emit a new ProjectionPreRegistration object before any subsequent run.</w:t>
      </w:r>
    </w:p>
    <w:p>
      <w:pPr>
        <w:pStyle w:val="BodyText"/>
      </w:pPr>
      <w:r>
        <w:t xml:space="preserve">Non-material corrections, including typographical corrections, reference updates, or formatting changes that do not alter values or verdict logic, MAY be applied with version increment and documented diff.</w:t>
      </w:r>
    </w:p>
    <w:bookmarkEnd w:id="253"/>
    <w:bookmarkStart w:id="254" w:name="a.3-tier-application-normative"/>
    <w:p>
      <w:pPr>
        <w:pStyle w:val="Heading2"/>
      </w:pPr>
      <w:r>
        <w:t xml:space="preserve">17.5A.3 Tier application (Normative)</w:t>
      </w:r>
    </w:p>
    <w:p>
      <w:pPr>
        <w:pStyle w:val="FirstParagraph"/>
      </w:pPr>
      <w:r>
        <w:t xml:space="preserve">Tier 3: Projection Pre-Registration is REQUIRED for all runs.</w:t>
      </w:r>
    </w:p>
    <w:p>
      <w:pPr>
        <w:pStyle w:val="BodyText"/>
      </w:pPr>
      <w:r>
        <w:t xml:space="preserve">Tier 2: Projection Pre-Registration is REQUIRED for pilots and RECOMMENDED otherwise.</w:t>
      </w:r>
    </w:p>
    <w:p>
      <w:pPr>
        <w:pStyle w:val="BodyText"/>
      </w:pPr>
      <w:r>
        <w:t xml:space="preserve">Tier 1: Projection Pre-Registration is RECOMMENDED where stakes are medium or high.</w:t>
      </w:r>
    </w:p>
    <w:bookmarkEnd w:id="254"/>
    <w:bookmarkStart w:id="255" w:name="a.4-storage-and-audit-normative"/>
    <w:p>
      <w:pPr>
        <w:pStyle w:val="Heading2"/>
      </w:pPr>
      <w:r>
        <w:t xml:space="preserve">17.5A.4 Storage and audit (Normative)</w:t>
      </w:r>
    </w:p>
    <w:p>
      <w:pPr>
        <w:pStyle w:val="FirstParagraph"/>
      </w:pPr>
      <w:r>
        <w:t xml:space="preserve">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bookmarkEnd w:id="255"/>
    <w:bookmarkStart w:id="256" w:name="backtesting-protocol-normative"/>
    <w:p>
      <w:pPr>
        <w:pStyle w:val="Heading2"/>
      </w:pPr>
      <w:r>
        <w:t xml:space="preserve">17.6 Backtesting Protocol (Normative)</w:t>
      </w:r>
    </w:p>
    <w:p>
      <w:pPr>
        <w:pStyle w:val="FirstParagraph"/>
      </w:pPr>
      <w:r>
        <w:t xml:space="preserve">A backtest run MUST:</w:t>
      </w:r>
    </w:p>
    <w:p>
      <w:pPr>
        <w:pStyle w:val="Compact"/>
        <w:numPr>
          <w:ilvl w:val="0"/>
          <w:numId w:val="1229"/>
        </w:numPr>
      </w:pPr>
      <w:r>
        <w:t xml:space="preserve">Reconstruct the information available at decision time (no hindsight leakage),</w:t>
      </w:r>
    </w:p>
    <w:p>
      <w:pPr>
        <w:pStyle w:val="Compact"/>
        <w:numPr>
          <w:ilvl w:val="0"/>
          <w:numId w:val="1230"/>
        </w:numPr>
      </w:pPr>
      <w:r>
        <w:t xml:space="preserve">Define an option set consistent with the historical context,</w:t>
      </w:r>
    </w:p>
    <w:p>
      <w:pPr>
        <w:pStyle w:val="Compact"/>
        <w:numPr>
          <w:ilvl w:val="0"/>
          <w:numId w:val="1231"/>
        </w:numPr>
      </w:pPr>
      <w:r>
        <w:t xml:space="preserve">Execute RippleLogic using only those inputs,</w:t>
      </w:r>
    </w:p>
    <w:p>
      <w:pPr>
        <w:pStyle w:val="Compact"/>
        <w:numPr>
          <w:ilvl w:val="0"/>
          <w:numId w:val="1232"/>
        </w:numPr>
      </w:pPr>
      <w:r>
        <w:t xml:space="preserve">Record a</w:t>
      </w:r>
      <w:r>
        <w:t xml:space="preserve"> </w:t>
      </w:r>
      <w:r>
        <w:t xml:space="preserve">“</w:t>
      </w:r>
      <w:r>
        <w:t xml:space="preserve">Backtest PCC</w:t>
      </w:r>
      <w:r>
        <w:t xml:space="preserve">”</w:t>
      </w:r>
      <w:r>
        <w:t xml:space="preserve"> </w:t>
      </w:r>
      <w:r>
        <w:t xml:space="preserve">with full trace,</w:t>
      </w:r>
    </w:p>
    <w:p>
      <w:pPr>
        <w:pStyle w:val="Compact"/>
        <w:numPr>
          <w:ilvl w:val="0"/>
          <w:numId w:val="1233"/>
        </w:numPr>
      </w:pPr>
      <w:r>
        <w:t xml:space="preserve">Score predictions against realized outcomes using declared metrics.</w:t>
      </w:r>
    </w:p>
    <w:bookmarkEnd w:id="256"/>
    <w:bookmarkStart w:id="257" w:name="Xe4e3ea7f79f095395c48230f639597338b37bb6"/>
    <w:p>
      <w:pPr>
        <w:pStyle w:val="Heading2"/>
      </w:pPr>
      <w:r>
        <w:t xml:space="preserve">17.7 Open Science and Responsible Disclosure (Normative intent)</w:t>
      </w:r>
    </w:p>
    <w:p>
      <w:pPr>
        <w:pStyle w:val="FirstParagraph"/>
      </w:pPr>
      <w:r>
        <w:t xml:space="preserve">Where feasible, publish:</w:t>
      </w:r>
    </w:p>
    <w:p>
      <w:pPr>
        <w:pStyle w:val="Compact"/>
        <w:numPr>
          <w:ilvl w:val="0"/>
          <w:numId w:val="1234"/>
        </w:numPr>
      </w:pPr>
      <w:r>
        <w:t xml:space="preserve">Anonymized PCC datasets,</w:t>
      </w:r>
    </w:p>
    <w:p>
      <w:pPr>
        <w:pStyle w:val="Compact"/>
        <w:numPr>
          <w:ilvl w:val="0"/>
          <w:numId w:val="1235"/>
        </w:numPr>
      </w:pPr>
      <w:r>
        <w:t xml:space="preserve">Scenario libraries and kernels (with evidence notes),</w:t>
      </w:r>
    </w:p>
    <w:p>
      <w:pPr>
        <w:pStyle w:val="Compact"/>
        <w:numPr>
          <w:ilvl w:val="0"/>
          <w:numId w:val="1236"/>
        </w:numPr>
      </w:pPr>
      <w:r>
        <w:t xml:space="preserve">Failure cases and revisions.</w:t>
      </w:r>
    </w:p>
    <w:p>
      <w:pPr>
        <w:pStyle w:val="FirstParagraph"/>
      </w:pPr>
      <w:r>
        <w:t xml:space="preserve">Security note: Where publishing would create exploitation risk, disclosure should be responsible and staged, but internal auditability must be preserved.</w:t>
      </w:r>
    </w:p>
    <w:bookmarkEnd w:id="257"/>
    <w:bookmarkEnd w:id="258"/>
    <w:bookmarkStart w:id="263" w:name="X402e2bfa59587f51ce837d827c7dd686ee06e51"/>
    <w:p>
      <w:pPr>
        <w:pStyle w:val="Heading1"/>
      </w:pPr>
      <w:r>
        <w:t xml:space="preserve">SECTION 18: APPLICATIONS AND USE CASES (INFORMATIVE)</w:t>
      </w:r>
    </w:p>
    <w:bookmarkStart w:id="259" w:name="ai-deployment-governance-tier-3"/>
    <w:p>
      <w:pPr>
        <w:pStyle w:val="Heading2"/>
      </w:pPr>
      <w:r>
        <w:t xml:space="preserve">18.1 AI Deployment Governance (Tier 3)</w:t>
      </w:r>
    </w:p>
    <w:p>
      <w:pPr>
        <w:pStyle w:val="FirstParagraph"/>
      </w:pPr>
      <w:r>
        <w:t xml:space="preserve">Decision context: An organization is deciding whether to deploy an AI system that affects users at scale.</w:t>
      </w:r>
    </w:p>
    <w:p>
      <w:pPr>
        <w:pStyle w:val="BodyText"/>
      </w:pPr>
      <w:r>
        <w:t xml:space="preserve">Key obligations:</w:t>
      </w:r>
    </w:p>
    <w:p>
      <w:pPr>
        <w:pStyle w:val="Compact"/>
        <w:numPr>
          <w:ilvl w:val="0"/>
          <w:numId w:val="1237"/>
        </w:numPr>
      </w:pPr>
      <w:r>
        <w:t xml:space="preserve">NCRC: Protect dignity, information integrity, due process for worst-off subgroups.</w:t>
      </w:r>
    </w:p>
    <w:p>
      <w:pPr>
        <w:pStyle w:val="Compact"/>
        <w:numPr>
          <w:ilvl w:val="0"/>
          <w:numId w:val="1238"/>
        </w:numPr>
      </w:pPr>
      <w:r>
        <w:t xml:space="preserve">TRC: Model catastrophic tails (infrastructure disruption, mass manipulation, cascading conflict).</w:t>
      </w:r>
    </w:p>
    <w:p>
      <w:pPr>
        <w:pStyle w:val="Compact"/>
        <w:numPr>
          <w:ilvl w:val="0"/>
          <w:numId w:val="1239"/>
        </w:numPr>
      </w:pPr>
      <w:r>
        <w:t xml:space="preserve">Containment: Avoid organizational gains that degrade Polity/Humanity coherence (legitimacy collapse, epistemic fragmentation).</w:t>
      </w:r>
    </w:p>
    <w:p>
      <w:pPr>
        <w:pStyle w:val="Compact"/>
        <w:numPr>
          <w:ilvl w:val="0"/>
          <w:numId w:val="1240"/>
        </w:numPr>
      </w:pPr>
      <w:r>
        <w:t xml:space="preserve">PCC: Produce auditable trace; ensure comparability across options.</w:t>
      </w:r>
    </w:p>
    <w:bookmarkEnd w:id="259"/>
    <w:bookmarkStart w:id="260" w:name="climate-and-energy-policy-tier-3"/>
    <w:p>
      <w:pPr>
        <w:pStyle w:val="Heading2"/>
      </w:pPr>
      <w:r>
        <w:t xml:space="preserve">18.2 Climate and Energy Policy (Tier 3)</w:t>
      </w:r>
    </w:p>
    <w:p>
      <w:pPr>
        <w:pStyle w:val="FirstParagraph"/>
      </w:pPr>
      <w:r>
        <w:t xml:space="preserve">Decision context: A polity evaluates energy transition policies that impact households, industries, and biosphere stability.</w:t>
      </w:r>
    </w:p>
    <w:p>
      <w:pPr>
        <w:pStyle w:val="BodyText"/>
      </w:pPr>
      <w:r>
        <w:t xml:space="preserve">Key obligations:</w:t>
      </w:r>
    </w:p>
    <w:p>
      <w:pPr>
        <w:pStyle w:val="Compact"/>
        <w:numPr>
          <w:ilvl w:val="0"/>
          <w:numId w:val="1241"/>
        </w:numPr>
      </w:pPr>
      <w:r>
        <w:t xml:space="preserve">NCRC: Protect basic needs (energy poverty), health, life.</w:t>
      </w:r>
    </w:p>
    <w:p>
      <w:pPr>
        <w:pStyle w:val="Compact"/>
        <w:numPr>
          <w:ilvl w:val="0"/>
          <w:numId w:val="1242"/>
        </w:numPr>
      </w:pPr>
      <w:r>
        <w:t xml:space="preserve">TRC: Include climate tipping cascade scenarios; enforce corridor.</w:t>
      </w:r>
    </w:p>
    <w:p>
      <w:pPr>
        <w:pStyle w:val="Compact"/>
        <w:numPr>
          <w:ilvl w:val="0"/>
          <w:numId w:val="1243"/>
        </w:numPr>
      </w:pPr>
      <w:r>
        <w:t xml:space="preserve">Containment: Prevent short-term gains from degrading Biosphere UCI beyond tolerance.</w:t>
      </w:r>
    </w:p>
    <w:bookmarkEnd w:id="260"/>
    <w:bookmarkStart w:id="261" w:name="organizational-strategy-tier-2-3"/>
    <w:p>
      <w:pPr>
        <w:pStyle w:val="Heading2"/>
      </w:pPr>
      <w:r>
        <w:t xml:space="preserve">18.3 Organizational Strategy (Tier 2-3)</w:t>
      </w:r>
    </w:p>
    <w:p>
      <w:pPr>
        <w:pStyle w:val="FirstParagraph"/>
      </w:pPr>
      <w:r>
        <w:t xml:space="preserve">Decision context: Organization deciding on major restructuring, automation, supply chain change.</w:t>
      </w:r>
    </w:p>
    <w:p>
      <w:pPr>
        <w:pStyle w:val="BodyText"/>
      </w:pPr>
      <w:r>
        <w:t xml:space="preserve">Key obligations:</w:t>
      </w:r>
    </w:p>
    <w:p>
      <w:pPr>
        <w:pStyle w:val="Compact"/>
        <w:numPr>
          <w:ilvl w:val="0"/>
          <w:numId w:val="1244"/>
        </w:numPr>
      </w:pPr>
      <w:r>
        <w:t xml:space="preserve">NCRC: Protect basic needs and dignity for worst-off employees/communities.</w:t>
      </w:r>
    </w:p>
    <w:p>
      <w:pPr>
        <w:pStyle w:val="Compact"/>
        <w:numPr>
          <w:ilvl w:val="0"/>
          <w:numId w:val="1245"/>
        </w:numPr>
      </w:pPr>
      <w:r>
        <w:t xml:space="preserve">TRC: Required at Tier 2 if catastrophe relevance is plausible.</w:t>
      </w:r>
    </w:p>
    <w:p>
      <w:pPr>
        <w:pStyle w:val="Compact"/>
        <w:numPr>
          <w:ilvl w:val="0"/>
          <w:numId w:val="1246"/>
        </w:numPr>
      </w:pPr>
      <w:r>
        <w:t xml:space="preserve">Containment: Detect hollowing-out risk even if near-term welfare improves.</w:t>
      </w:r>
    </w:p>
    <w:bookmarkEnd w:id="261"/>
    <w:bookmarkStart w:id="262" w:name="personal-and-household-decisions-tier-1"/>
    <w:p>
      <w:pPr>
        <w:pStyle w:val="Heading2"/>
      </w:pPr>
      <w:r>
        <w:t xml:space="preserve">18.4 Personal and Household Decisions (Tier 1)</w:t>
      </w:r>
    </w:p>
    <w:p>
      <w:pPr>
        <w:pStyle w:val="FirstParagraph"/>
      </w:pPr>
      <w:r>
        <w:t xml:space="preserve">Decision context: Personal choices (job change, relocation, major purchase) where stakes are limited and reversible.</w:t>
      </w:r>
    </w:p>
    <w:p>
      <w:pPr>
        <w:pStyle w:val="BodyText"/>
      </w:pPr>
      <w:r>
        <w:t xml:space="preserve">Use Tier 1 heuristic: options, rights screen, tail screen, unions touched, unioning redesign.</w:t>
      </w:r>
    </w:p>
    <w:p>
      <w:pPr>
        <w:pStyle w:val="BodyText"/>
      </w:pPr>
      <w:r>
        <w:t xml:space="preserve">Escalate to Tier 2 if any plausible rights risk exists or if the decision touches catastrophe relevance.</w:t>
      </w:r>
    </w:p>
    <w:bookmarkEnd w:id="262"/>
    <w:bookmarkEnd w:id="263"/>
    <w:bookmarkStart w:id="268" w:name="Xe542aaa270e77e7bfb0f91fd0164e6d362f4d6e"/>
    <w:p>
      <w:pPr>
        <w:pStyle w:val="Heading1"/>
      </w:pPr>
      <w:r>
        <w:t xml:space="preserve">SECTION 19: LIMITATIONS AND NON-TARGETS (NORMATIVE BOUNDARIES)</w:t>
      </w:r>
    </w:p>
    <w:bookmarkStart w:id="264" w:name="X0667c09858e15c834a72805842aa05ddfbc36f0"/>
    <w:p>
      <w:pPr>
        <w:pStyle w:val="Heading2"/>
      </w:pPr>
      <w:r>
        <w:t xml:space="preserve">19.1 Epistemic Limitations (Normative acknowledgment)</w:t>
      </w:r>
    </w:p>
    <w:p>
      <w:pPr>
        <w:pStyle w:val="FirstParagraph"/>
      </w:pPr>
      <w:r>
        <w:t xml:space="preserve">Input quality dependence: RippleLogic outputs are only as good as the evidence and estimation process. The framework reduces predictable failures but does not guarantee correct forecasts.</w:t>
      </w:r>
    </w:p>
    <w:p>
      <w:pPr>
        <w:pStyle w:val="BodyText"/>
      </w:pPr>
      <w:r>
        <w:t xml:space="preserve">Measurement difficulty: Some dimensions (Meaning; aspects of Agency) are harder to measure reliably across cultures. RippleLogic treats such measurement with caution and uncertainty documentation.</w:t>
      </w:r>
    </w:p>
    <w:p>
      <w:pPr>
        <w:pStyle w:val="BodyText"/>
      </w:pPr>
      <w:r>
        <w:t xml:space="preserve">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pPr>
      <w:r>
        <w:t xml:space="preserve">Scenario incompleteness: Scenario libraries cannot enumerate all tail risks; mandatory tail categories reduce omission but cannot eliminate deep uncertainty.</w:t>
      </w:r>
    </w:p>
    <w:bookmarkEnd w:id="264"/>
    <w:bookmarkStart w:id="265" w:name="Xdbff57b06829853577115090d8e701d2a56d0a7"/>
    <w:p>
      <w:pPr>
        <w:pStyle w:val="Heading2"/>
      </w:pPr>
      <w:r>
        <w:t xml:space="preserve">19.2 Institutional and Governance Prerequisites</w:t>
      </w:r>
    </w:p>
    <w:p>
      <w:pPr>
        <w:pStyle w:val="FirstParagraph"/>
      </w:pPr>
      <w:r>
        <w:t xml:space="preserve">Tier 3 requires trained analysts and governance capacity: subgroup analysis, scenario governance, structural indicators for UCI, and audit review.</w:t>
      </w:r>
    </w:p>
    <w:p>
      <w:pPr>
        <w:pStyle w:val="BodyText"/>
      </w:pPr>
      <w:r>
        <w:t xml:space="preserve">HDW governance can be captured if safeguards are weak. RippleLogic mandates anti-capture mechanisms, but real-world institutions must implement them.</w:t>
      </w:r>
    </w:p>
    <w:bookmarkEnd w:id="265"/>
    <w:bookmarkStart w:id="266" w:name="risks-of-compliance-theater"/>
    <w:p>
      <w:pPr>
        <w:pStyle w:val="Heading2"/>
      </w:pPr>
      <w:r>
        <w:t xml:space="preserve">19.3 Risks of Compliance Theater</w:t>
      </w:r>
    </w:p>
    <w:p>
      <w:pPr>
        <w:pStyle w:val="FirstParagraph"/>
      </w:pPr>
      <w:r>
        <w:t xml:space="preserve">Any framework can be used as a rubber stamp. RippleLogic mitigates via:</w:t>
      </w:r>
    </w:p>
    <w:p>
      <w:pPr>
        <w:pStyle w:val="Compact"/>
        <w:numPr>
          <w:ilvl w:val="0"/>
          <w:numId w:val="1247"/>
        </w:numPr>
      </w:pPr>
      <w:r>
        <w:t xml:space="preserve">Hard gates (NCRC/TRC/CSV),</w:t>
      </w:r>
    </w:p>
    <w:p>
      <w:pPr>
        <w:pStyle w:val="Compact"/>
        <w:numPr>
          <w:ilvl w:val="0"/>
          <w:numId w:val="1248"/>
        </w:numPr>
      </w:pPr>
      <w:r>
        <w:t xml:space="preserve">Non-maskable cells and audit flags,</w:t>
      </w:r>
    </w:p>
    <w:p>
      <w:pPr>
        <w:pStyle w:val="Compact"/>
        <w:numPr>
          <w:ilvl w:val="0"/>
          <w:numId w:val="1249"/>
        </w:numPr>
      </w:pPr>
      <w:r>
        <w:t xml:space="preserve">Challenger requirement in emergency mode,</w:t>
      </w:r>
    </w:p>
    <w:p>
      <w:pPr>
        <w:pStyle w:val="Compact"/>
        <w:numPr>
          <w:ilvl w:val="0"/>
          <w:numId w:val="1250"/>
        </w:numPr>
      </w:pPr>
      <w:r>
        <w:t xml:space="preserve">Required PCC traceability and sensitivity.</w:t>
      </w:r>
    </w:p>
    <w:p>
      <w:pPr>
        <w:pStyle w:val="FirstParagraph"/>
      </w:pPr>
      <w:r>
        <w:t xml:space="preserve">Nonetheless, compliance theater remains a risk; validation and external scrutiny matter.</w:t>
      </w:r>
    </w:p>
    <w:bookmarkEnd w:id="266"/>
    <w:bookmarkStart w:id="267" w:name="non-targets-normative"/>
    <w:p>
      <w:pPr>
        <w:pStyle w:val="Heading2"/>
      </w:pPr>
      <w:r>
        <w:t xml:space="preserve">19.4 Non-Targets (Normative)</w:t>
      </w:r>
    </w:p>
    <w:p>
      <w:pPr>
        <w:pStyle w:val="FirstParagraph"/>
      </w:pPr>
      <w:r>
        <w:t xml:space="preserve">RippleLogic is NOT designed to:</w:t>
      </w:r>
    </w:p>
    <w:p>
      <w:pPr>
        <w:pStyle w:val="Compact"/>
        <w:numPr>
          <w:ilvl w:val="0"/>
          <w:numId w:val="1251"/>
        </w:numPr>
      </w:pPr>
      <w:r>
        <w:t xml:space="preserve">Replace personal moral dialogue in intimate relationships,</w:t>
      </w:r>
    </w:p>
    <w:p>
      <w:pPr>
        <w:pStyle w:val="Compact"/>
        <w:numPr>
          <w:ilvl w:val="0"/>
          <w:numId w:val="1252"/>
        </w:numPr>
      </w:pPr>
      <w:r>
        <w:t xml:space="preserve">Dictate aesthetic or spiritual preferences,</w:t>
      </w:r>
    </w:p>
    <w:p>
      <w:pPr>
        <w:pStyle w:val="Compact"/>
        <w:numPr>
          <w:ilvl w:val="0"/>
          <w:numId w:val="1253"/>
        </w:numPr>
      </w:pPr>
      <w:r>
        <w:t xml:space="preserve">Resolve all deep metaphysical disagreements,</w:t>
      </w:r>
    </w:p>
    <w:p>
      <w:pPr>
        <w:pStyle w:val="Compact"/>
        <w:numPr>
          <w:ilvl w:val="0"/>
          <w:numId w:val="1254"/>
        </w:numPr>
      </w:pPr>
      <w:r>
        <w:t xml:space="preserve">Provide certainty under irreducible uncertainty,</w:t>
      </w:r>
    </w:p>
    <w:p>
      <w:pPr>
        <w:pStyle w:val="Compact"/>
        <w:numPr>
          <w:ilvl w:val="0"/>
          <w:numId w:val="1255"/>
        </w:numPr>
      </w:pPr>
      <w:r>
        <w:t xml:space="preserve">Function as a rhetorical weapon to end debate.</w:t>
      </w:r>
    </w:p>
    <w:p>
      <w:pPr>
        <w:pStyle w:val="FirstParagraph"/>
      </w:pPr>
      <w:r>
        <w:t xml:space="preserve">It is a public decision operating system: a method for auditable, multi-stakeholder, high-consequence decisions.</w:t>
      </w:r>
    </w:p>
    <w:bookmarkEnd w:id="267"/>
    <w:bookmarkEnd w:id="268"/>
    <w:bookmarkStart w:id="272" w:name="X38ba925486c44f2a1a208d0015ed8cd9f4a6796"/>
    <w:p>
      <w:pPr>
        <w:pStyle w:val="Heading1"/>
      </w:pPr>
      <w:r>
        <w:t xml:space="preserve">SECTION 20: CONCLUSION: PROSPEROUS FUTURES FOR INTELLIGENCES</w:t>
      </w:r>
    </w:p>
    <w:bookmarkStart w:id="269" w:name="X0003dab682d27cb10baa9ff24a85e1706c3bab8"/>
    <w:p>
      <w:pPr>
        <w:pStyle w:val="Heading2"/>
      </w:pPr>
      <w:r>
        <w:t xml:space="preserve">20.1 Prosperity Defined (Normative operational definition)</w:t>
      </w:r>
    </w:p>
    <w:p>
      <w:pPr>
        <w:pStyle w:val="FirstParagraph"/>
      </w:pPr>
      <w:r>
        <w:t xml:space="preserve">In RippleLogic terms:</w:t>
      </w:r>
    </w:p>
    <w:p>
      <w:pPr>
        <w:pStyle w:val="BodyText"/>
      </w:pPr>
      <w:r>
        <w:t xml:space="preserve">Prosperity = rights-safe (NCRC) + tail-safe (TRC) + containment-safe + net-positive welfare across unions + coherence preserved (UCI/HOI safeguards) + corrigible learning (NCAR)</w:t>
      </w:r>
    </w:p>
    <w:p>
      <w:pPr>
        <w:pStyle w:val="BodyText"/>
      </w:pPr>
      <w:r>
        <w:t xml:space="preserve">This definition blocks false prosperity:</w:t>
      </w:r>
    </w:p>
    <w:p>
      <w:pPr>
        <w:pStyle w:val="Compact"/>
        <w:numPr>
          <w:ilvl w:val="0"/>
          <w:numId w:val="1256"/>
        </w:numPr>
      </w:pPr>
      <w:r>
        <w:t xml:space="preserve">“</w:t>
      </w:r>
      <w:r>
        <w:t xml:space="preserve">Growth</w:t>
      </w:r>
      <w:r>
        <w:t xml:space="preserve">”</w:t>
      </w:r>
      <w:r>
        <w:t xml:space="preserve"> </w:t>
      </w:r>
      <w:r>
        <w:t xml:space="preserve">that violates rights is not prosperity.</w:t>
      </w:r>
    </w:p>
    <w:p>
      <w:pPr>
        <w:pStyle w:val="Compact"/>
        <w:numPr>
          <w:ilvl w:val="0"/>
          <w:numId w:val="1257"/>
        </w:numPr>
      </w:pPr>
      <w:r>
        <w:t xml:space="preserve">“</w:t>
      </w:r>
      <w:r>
        <w:t xml:space="preserve">Efficiency</w:t>
      </w:r>
      <w:r>
        <w:t xml:space="preserve">”</w:t>
      </w:r>
      <w:r>
        <w:t xml:space="preserve"> </w:t>
      </w:r>
      <w:r>
        <w:t xml:space="preserve">that increases catastrophic exposure is not prosperity.</w:t>
      </w:r>
    </w:p>
    <w:p>
      <w:pPr>
        <w:pStyle w:val="Compact"/>
        <w:numPr>
          <w:ilvl w:val="0"/>
          <w:numId w:val="1258"/>
        </w:numPr>
      </w:pPr>
      <w:r>
        <w:t xml:space="preserve">“</w:t>
      </w:r>
      <w:r>
        <w:t xml:space="preserve">Success</w:t>
      </w:r>
      <w:r>
        <w:t xml:space="preserve">”</w:t>
      </w:r>
      <w:r>
        <w:t xml:space="preserve"> </w:t>
      </w:r>
      <w:r>
        <w:t xml:space="preserve">that hollows out structural coherence is not prosperity.</w:t>
      </w:r>
    </w:p>
    <w:bookmarkEnd w:id="269"/>
    <w:bookmarkStart w:id="270" w:name="ripplelogic-thesis"/>
    <w:p>
      <w:pPr>
        <w:pStyle w:val="Heading2"/>
      </w:pPr>
      <w:r>
        <w:t xml:space="preserve">20.2 RippleLogic Thesis</w:t>
      </w:r>
    </w:p>
    <w:p>
      <w:pPr>
        <w:pStyle w:val="FirstParagraph"/>
      </w:pPr>
      <w:r>
        <w:t xml:space="preserve">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bookmarkEnd w:id="270"/>
    <w:bookmarkStart w:id="271" w:name="X300a3f15e432b41cf9e11a2dee3586445b15bb6"/>
    <w:p>
      <w:pPr>
        <w:pStyle w:val="Heading2"/>
      </w:pPr>
      <w:r>
        <w:t xml:space="preserve">20.3 Call to Test, Critique, and Deploy (Normative stance)</w:t>
      </w:r>
    </w:p>
    <w:p>
      <w:pPr>
        <w:pStyle w:val="FirstParagraph"/>
      </w:pPr>
      <w:r>
        <w:t xml:space="preserve">RippleLogic v11.4 is a scaffold: a spec-hardened foundation intended to be tested, falsified where wrong, refined where incomplete, and deployed proportionally to stakes. The method is designed to move societies toward ethically, sustainably, harmoniously, prosperously, and verifiably coordinated flourishing by making decision structure explicit, auditable, and corrigible.</w:t>
      </w:r>
    </w:p>
    <w:p>
      <w:pPr>
        <w:pStyle w:val="BodyText"/>
      </w:pPr>
      <w:r>
        <w:t xml:space="preserve">REFERENCES (APA 7)</w:t>
      </w:r>
    </w:p>
    <w:p>
      <w:pPr>
        <w:pStyle w:val="BodyText"/>
      </w:pPr>
      <w:r>
        <w:t xml:space="preserve">Amodei, D., Olah, C., Steinhardt, J., Christiano, P., Schulman, J., &amp; Mané, D. (2016). Concrete problems in AI safety. arXiv. https://doi.org/10.48550/arXiv.1606.06565</w:t>
      </w:r>
    </w:p>
    <w:p>
      <w:pPr>
        <w:pStyle w:val="BodyText"/>
      </w:pPr>
      <w:r>
        <w:t xml:space="preserve">Arrow, K. J. (1963). Social choice and individual values (2nd ed.). Yale University Press.</w:t>
      </w:r>
    </w:p>
    <w:p>
      <w:pPr>
        <w:pStyle w:val="BodyText"/>
      </w:pPr>
      <w:r>
        <w:t xml:space="preserve">Artzner, P., Delbaen, F., Eber, J.-M., &amp; Heath, D. (1999). Coherent measures of risk. Mathematical Finance, 9(3), 203–228. https://doi.org/10.1111/1467-9965.00068</w:t>
      </w:r>
    </w:p>
    <w:p>
      <w:pPr>
        <w:pStyle w:val="BodyText"/>
      </w:pPr>
      <w:r>
        <w:t xml:space="preserve">Axelrod, R. (1984). The evolution of cooperation. Basic Books.</w:t>
      </w:r>
    </w:p>
    <w:p>
      <w:pPr>
        <w:pStyle w:val="BodyText"/>
      </w:pPr>
      <w:r>
        <w:t xml:space="preserve">Barabási, A.-L., &amp; Albert, R. (1999). Emergence of scaling in random networks. Science, 286(5439), 509–512. https://doi.org/10.1126/science.286.5439.509</w:t>
      </w:r>
    </w:p>
    <w:p>
      <w:pPr>
        <w:pStyle w:val="BodyText"/>
      </w:pPr>
      <w:r>
        <w:t xml:space="preserve">Becker, G. S. (1981). A treatise on the family. Harvard University Press.</w:t>
      </w:r>
    </w:p>
    <w:p>
      <w:pPr>
        <w:pStyle w:val="BodyText"/>
      </w:pPr>
      <w:r>
        <w:t xml:space="preserve">Belton, V., &amp; Stewart, T. J. (2002). Multiple criteria decision analysis: An integrated approach. Kluwer Academic Publishers.</w:t>
      </w:r>
    </w:p>
    <w:p>
      <w:pPr>
        <w:pStyle w:val="BodyText"/>
      </w:pPr>
      <w:r>
        <w:t xml:space="preserve">Bostrom, N. (2014). Superintelligence: Paths, dangers, strategies. Oxford University Press.</w:t>
      </w:r>
    </w:p>
    <w:p>
      <w:pPr>
        <w:pStyle w:val="BodyText"/>
      </w:pPr>
      <w:r>
        <w:t xml:space="preserve">Bowlby, J. (1988). A secure base: Parent-child attachment and healthy human development. Basic Books.</w:t>
      </w:r>
    </w:p>
    <w:p>
      <w:pPr>
        <w:pStyle w:val="BodyText"/>
      </w:pPr>
      <w:r>
        <w:t xml:space="preserve">Christakis, N. A., &amp; Fowler, J. H. (2009). Connected: The surprising power of our social networks and how they shape our lives. Little, Brown and Company.</w:t>
      </w:r>
    </w:p>
    <w:p>
      <w:pPr>
        <w:pStyle w:val="BodyText"/>
      </w:pPr>
      <w:r>
        <w:t xml:space="preserve">Council of Europe. (1950). Convention for the Protection of Human Rights and Fundamental Freedoms (European Convention on Human Rights). https://www.echr.coe.int/the-convention</w:t>
      </w:r>
    </w:p>
    <w:p>
      <w:pPr>
        <w:pStyle w:val="BodyText"/>
      </w:pPr>
      <w:r>
        <w:t xml:space="preserve">Dunbar, R. I. M. (1992). Neocortex size as a constraint on group size in primates. Journal of Human Evolution, 22(6), 469–493. https://doi.org/10.1016/0047-2484(92)90081-J</w:t>
      </w:r>
    </w:p>
    <w:p>
      <w:pPr>
        <w:pStyle w:val="BodyText"/>
      </w:pPr>
      <w:r>
        <w:t xml:space="preserve">Dunbar, R. I. M. (1993). Coevolution of neocortical size, group size and language in humans. Behavioral and Brain Sciences, 16(4), 681–735. https://doi.org/10.1017/S0140525X00032325</w:t>
      </w:r>
    </w:p>
    <w:p>
      <w:pPr>
        <w:pStyle w:val="BodyText"/>
      </w:pPr>
      <w:r>
        <w:t xml:space="preserve">Edmondson, A. (1999). Psychological safety and learning behavior in work teams. Administrative Science Quarterly, 44(2), 350–383. https://doi.org/10.2307/2666999</w:t>
      </w:r>
    </w:p>
    <w:p>
      <w:pPr>
        <w:pStyle w:val="BodyText"/>
      </w:pPr>
      <w:r>
        <w:t xml:space="preserve">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https://doi.org/10.1126/science.1205106</w:t>
      </w:r>
    </w:p>
    <w:p>
      <w:pPr>
        <w:pStyle w:val="BodyText"/>
      </w:pPr>
      <w:r>
        <w:t xml:space="preserve">Floridi, L. (2013). The ethics of information. Oxford University Press.</w:t>
      </w:r>
    </w:p>
    <w:p>
      <w:pPr>
        <w:pStyle w:val="BodyText"/>
      </w:pPr>
      <w:r>
        <w:t xml:space="preserve">Goodhart, C. A. E. (1984). Problems of monetary management: The UK experience. In C. A. E. Goodhart (Ed.), Monetary theory and practice: The UK experience (pp. 91–121). Macmillan.</w:t>
      </w:r>
    </w:p>
    <w:p>
      <w:pPr>
        <w:pStyle w:val="BodyText"/>
      </w:pPr>
      <w:r>
        <w:t xml:space="preserve">Hammond, J. S., Keeney, R. L., &amp; Raiffa, H. (1998). Smart choices: A practical guide to making better decisions. Harvard Business School Press.</w:t>
      </w:r>
    </w:p>
    <w:p>
      <w:pPr>
        <w:pStyle w:val="BodyText"/>
      </w:pPr>
      <w:r>
        <w:t xml:space="preserve">Integrated Food Security Phase Classification (IPC) Global Partners. (n.d.). Integrated Food Security Phase Classification (IPC) framework and tools. Retrieved February 19, 2026, from https://www.ipcinfo.org/</w:t>
      </w:r>
    </w:p>
    <w:p>
      <w:pPr>
        <w:pStyle w:val="BodyText"/>
      </w:pPr>
      <w:r>
        <w:t xml:space="preserve">Intergovernmental Panel on Climate Change. (2023). Climate change 2023: Synthesis report. https://doi.org/10.59327/IPCC/AR6-9789291691647</w:t>
      </w:r>
    </w:p>
    <w:p>
      <w:pPr>
        <w:pStyle w:val="BodyText"/>
      </w:pPr>
      <w:r>
        <w:t xml:space="preserve">International Labour Organization. (1998). ILO Declaration on Fundamental Principles and Rights at Work and its Follow-up. Retrieved February 19, 2026, from https://www.ilo.org/ilo-declaration-fundamental-principles-and-rights-work/about-declaration/text-declaration-and-its-follow</w:t>
      </w:r>
    </w:p>
    <w:p>
      <w:pPr>
        <w:pStyle w:val="BodyText"/>
      </w:pPr>
      <w:r>
        <w:t xml:space="preserve">International Labour Organization. (2012). ILO indicators of forced labour (Special Action Programme to Combat Forced Labour). https://www.ilo.org/publications/ilo-indicators-forced-labour</w:t>
      </w:r>
    </w:p>
    <w:p>
      <w:pPr>
        <w:pStyle w:val="BodyText"/>
      </w:pPr>
      <w:r>
        <w:t xml:space="preserve">Kahneman, D., &amp; Tversky, A. (1979). Prospect theory: An analysis of decision under risk. Econometrica, 47(2), 263–291. https://doi.org/10.2307/1914185</w:t>
      </w:r>
    </w:p>
    <w:p>
      <w:pPr>
        <w:pStyle w:val="BodyText"/>
      </w:pPr>
      <w:r>
        <w:t xml:space="preserve">Keeney, R. L., &amp; Raiffa, H. (1976). Decisions with multiple objectives: Preferences and value tradeoffs. Wiley.</w:t>
      </w:r>
    </w:p>
    <w:p>
      <w:pPr>
        <w:pStyle w:val="BodyText"/>
      </w:pPr>
      <w:r>
        <w:t xml:space="preserve">Lenton, T. M., Held, H., Kriegler, E., Hall, J. W., Lucht, W., Rahmstorf, S., &amp; Schellnhuber, H. J. (2008). Tipping elements in the Earth’s climate system. Proceedings of the National Academy of Sciences, 105(6), 1786–1793. https://doi.org/10.1073/pnas.0705414105</w:t>
      </w:r>
    </w:p>
    <w:p>
      <w:pPr>
        <w:pStyle w:val="BodyText"/>
      </w:pPr>
      <w:r>
        <w:t xml:space="preserve">Manheim, D., &amp; Garrabrant, S. (2018). Categorizing variants of Goodhart’s law. arXiv. https://doi.org/10.48550/arXiv.1803.04585</w:t>
      </w:r>
    </w:p>
    <w:p>
      <w:pPr>
        <w:pStyle w:val="BodyText"/>
      </w:pPr>
      <w:r>
        <w:t xml:space="preserve">March, J. G., &amp; Simon, H. A. (1958). Organizations. Wiley.</w:t>
      </w:r>
    </w:p>
    <w:p>
      <w:pPr>
        <w:pStyle w:val="BodyText"/>
      </w:pPr>
      <w:r>
        <w:t xml:space="preserve">Max-Neef, M. A. (1991). Human scale development: Conception, application and further reflections. Apex Press.</w:t>
      </w:r>
    </w:p>
    <w:p>
      <w:pPr>
        <w:pStyle w:val="BodyText"/>
      </w:pPr>
      <w:r>
        <w:t xml:space="preserve">McGaughran, J. (2026). Sentience Gradient Protocol (SGP) v6.4 [Specification]. MathGov Institute for Ethical Systems Design. Historical predecessors: Sentience Gradient Protocol (SGP) v6.0 [Specification]; Sentience Gradient Protocol (SGP) v5.5 [Specification]; Sentience Gradient Protocol (SGP) v5.4 [Specification]; Sentience Gradient Protocol (SGP) v5.3 [Specification]; Sentience Gradient Protocol (SGP) v5.2.1 [Specification]; Sentience Gradient Protocol (SGP) v5.2 [Specification]; Sentience Gradient Protocol (SGP) v4.7.2 [Historical predecessor specification]. MathGov Institute for Ethical Systems Design.</w:t>
      </w:r>
    </w:p>
    <w:p>
      <w:pPr>
        <w:pStyle w:val="BodyText"/>
      </w:pPr>
      <w:r>
        <w:t xml:space="preserve">Meadows, D. H. (2008). Thinking in systems: A primer. Chelsea Green Publishing.</w:t>
      </w:r>
    </w:p>
    <w:p>
      <w:pPr>
        <w:pStyle w:val="BodyText"/>
      </w:pPr>
      <w:r>
        <w:t xml:space="preserve">National Institute of Standards and Technology. (2023). Artificial Intelligence Risk Management Framework (AI RMF 1.0) (NIST AI 100-1). https://doi.org/10.6028/NIST.AI.100-1</w:t>
      </w:r>
    </w:p>
    <w:p>
      <w:pPr>
        <w:pStyle w:val="BodyText"/>
      </w:pPr>
      <w:r>
        <w:t xml:space="preserve">Newman, M. E. J. (2010). Networks: An introduction. Oxford University Press.</w:t>
      </w:r>
    </w:p>
    <w:p>
      <w:pPr>
        <w:pStyle w:val="BodyText"/>
      </w:pPr>
      <w:r>
        <w:t xml:space="preserve">North, D. C. (1990). Institutions, institutional change and economic performance. Cambridge University Press.</w:t>
      </w:r>
    </w:p>
    <w:p>
      <w:pPr>
        <w:pStyle w:val="BodyText"/>
      </w:pPr>
      <w:r>
        <w:t xml:space="preserve">Nowak, M. A. (2006). Five rules for the evolution of cooperation. Science, 314(5805), 1560–1563. https://doi.org/10.1126/science.1133755</w:t>
      </w:r>
    </w:p>
    <w:p>
      <w:pPr>
        <w:pStyle w:val="BodyText"/>
      </w:pPr>
      <w:r>
        <w:t xml:space="preserve">Nussbaum, M. C. (2011). Creating capabilities: The human development approach. Harvard University Press.</w:t>
      </w:r>
    </w:p>
    <w:p>
      <w:pPr>
        <w:pStyle w:val="BodyText"/>
      </w:pPr>
      <w:r>
        <w:t xml:space="preserve">Odum, E. P. (1971). Fundamentals of ecology (3rd ed.). W. B. Saunders.</w:t>
      </w:r>
    </w:p>
    <w:p>
      <w:pPr>
        <w:pStyle w:val="BodyText"/>
      </w:pPr>
      <w:r>
        <w:t xml:space="preserve">Ord, T. (2020). The precipice: Existential risk and the future of humanity. Hachette Books.</w:t>
      </w:r>
    </w:p>
    <w:p>
      <w:pPr>
        <w:pStyle w:val="BodyText"/>
      </w:pPr>
      <w:r>
        <w:t xml:space="preserve">Ostrom, E. (1990). Governing the commons: The evolution of institutions for collective action. Cambridge University Press.</w:t>
      </w:r>
    </w:p>
    <w:p>
      <w:pPr>
        <w:pStyle w:val="BodyText"/>
      </w:pPr>
      <w:r>
        <w:t xml:space="preserve">Popper, K. (1959). The logic of scientific discovery. Hutchinson.</w:t>
      </w:r>
    </w:p>
    <w:p>
      <w:pPr>
        <w:pStyle w:val="BodyText"/>
      </w:pPr>
      <w:r>
        <w:t xml:space="preserve">Putnam, R. D. (2000). Bowling alone: The collapse and revival of American community. Simon &amp; Schuster.</w:t>
      </w:r>
    </w:p>
    <w:p>
      <w:pPr>
        <w:pStyle w:val="BodyText"/>
      </w:pPr>
      <w:r>
        <w:t xml:space="preserve">Rawls, J. (1971). A theory of justice. Harvard University Press.</w:t>
      </w:r>
    </w:p>
    <w:p>
      <w:pPr>
        <w:pStyle w:val="BodyText"/>
      </w:pPr>
      <w:r>
        <w:t xml:space="preserve">Reporters Without Borders. (n.d.). World Press Freedom Index. Retrieved February 19, 2026, from https://rsf.org/en/index</w:t>
      </w:r>
    </w:p>
    <w:p>
      <w:pPr>
        <w:pStyle w:val="BodyText"/>
      </w:pPr>
      <w:r>
        <w:t xml:space="preserve">Rockafellar, R. T., &amp; Uryasev, S. (2000). Optimization of conditional value-at-risk. Journal of Risk, 2(3), 21–41. https://doi.org/10.21314/JOR.2000.038</w:t>
      </w:r>
    </w:p>
    <w:p>
      <w:pPr>
        <w:pStyle w:val="BodyText"/>
      </w:pPr>
      <w:r>
        <w:t xml:space="preserve">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pPr>
        <w:pStyle w:val="BodyText"/>
      </w:pPr>
      <w:r>
        <w:t xml:space="preserve">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pPr>
        <w:pStyle w:val="BodyText"/>
      </w:pPr>
      <w:r>
        <w:t xml:space="preserve">Russell, S. (2019). Human compatible: Artificial intelligence and the problem of control. Viking.</w:t>
      </w:r>
    </w:p>
    <w:p>
      <w:pPr>
        <w:pStyle w:val="BodyText"/>
      </w:pPr>
      <w:r>
        <w:t xml:space="preserve">Ryan, R. M., &amp; Deci, E. L. (2000). Self-determination theory and the facilitation of intrinsic motivation, social development, and well-being. American Psychologist, 55(1), 68–78. https://doi.org/10.1037/0003-066X.55.1.68</w:t>
      </w:r>
    </w:p>
    <w:p>
      <w:pPr>
        <w:pStyle w:val="BodyText"/>
      </w:pPr>
      <w:r>
        <w:t xml:space="preserve">Sen, A. (1999). Development as freedom. Knopf.</w:t>
      </w:r>
    </w:p>
    <w:p>
      <w:pPr>
        <w:pStyle w:val="BodyText"/>
      </w:pPr>
      <w:r>
        <w:t xml:space="preserve">Sen, A. (2009). The idea of justice. Harvard University Press.</w:t>
      </w:r>
    </w:p>
    <w:p>
      <w:pPr>
        <w:pStyle w:val="BodyText"/>
      </w:pPr>
      <w:r>
        <w:t xml:space="preserve">Simon, H. A. (1962). The architecture of complexity. Proceedings of the American Philosophical Society, 106(6), 467–482.</w:t>
      </w:r>
    </w:p>
    <w:p>
      <w:pPr>
        <w:pStyle w:val="BodyText"/>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pPr>
        <w:pStyle w:val="BodyText"/>
      </w:pPr>
      <w:r>
        <w:t xml:space="preserve">Taleb, N. N. (2012). Antifragile: Things that gain from disorder. Random House.</w:t>
      </w:r>
    </w:p>
    <w:p>
      <w:pPr>
        <w:pStyle w:val="BodyText"/>
      </w:pPr>
      <w:r>
        <w:t xml:space="preserve">United Nations. (1966). International Covenant on Civil and Political Rights. United Nations Treaty Collection. Retrieved February 19, 2026, from https://treaties.un.org/Pages/ViewDetails.aspx?src=TREATY&amp;mtdsg_no=IV-4&amp;chapter=4&amp;clang=_en</w:t>
      </w:r>
    </w:p>
    <w:p>
      <w:pPr>
        <w:pStyle w:val="BodyText"/>
      </w:pPr>
      <w:r>
        <w:t xml:space="preserve">United Nations. (1984). Convention against Torture and Other Cruel, Inhuman or Degrading Treatment or Punishment. United Nations Treaty Collection. Retrieved February 19, 2026, from https://treaties.un.org/Pages/ViewDetails.aspx?src=TREATY&amp;mtdsg_no=IV-9&amp;chapter=4&amp;clang=_en</w:t>
      </w:r>
    </w:p>
    <w:p>
      <w:pPr>
        <w:pStyle w:val="BodyText"/>
      </w:pPr>
      <w:r>
        <w:t xml:space="preserve">United Nations Human Settlements Programme (UN-Habitat). (2003). The challenge of slums: Global report on human settlements 2003. Earthscan. Retrieved February 19, 2026, from https://unhabitat.org/the-challenge-of-slums-global-report-on-human-settlements-2003</w:t>
      </w:r>
    </w:p>
    <w:p>
      <w:pPr>
        <w:pStyle w:val="BodyText"/>
      </w:pPr>
      <w:r>
        <w:t xml:space="preserve">United Nations Office on Genocide Prevention and the Responsibility to Protect. (2014). Framework of Analysis for Atrocity Crimes. Retrieved February 19, 2026, from https://www.un.org/en/genocideprevention/publications.shtml</w:t>
      </w:r>
    </w:p>
    <w:p>
      <w:pPr>
        <w:pStyle w:val="BodyText"/>
      </w:pPr>
      <w:r>
        <w:t xml:space="preserve">Üstün, T. B., Kostanjsek, N., Chatterji, S., &amp; Rehm, J. (Eds.). (2010). Measuring health and disability: Manual for WHO Disability Assessment Schedule (WHODAS 2.0). World Health Organization. https://iris.who.int/handle/10665/43974</w:t>
      </w:r>
    </w:p>
    <w:p>
      <w:pPr>
        <w:pStyle w:val="BodyText"/>
      </w:pPr>
      <w:r>
        <w:t xml:space="preserve">Weber, M. (1978). Economy and society (G. Roth &amp; C. Wittich, Eds.). University of California Press. (Original work published 1922)</w:t>
      </w:r>
    </w:p>
    <w:p>
      <w:pPr>
        <w:pStyle w:val="BodyText"/>
      </w:pPr>
      <w:r>
        <w:t xml:space="preserve">World Health Organization. (2001). International classification of functioning, disability and health (ICF). Retrieved February 19, 2026, from https://www.who.int/standards/classifications/international-classification-of-functioning-disability-and-health</w:t>
      </w:r>
    </w:p>
    <w:p>
      <w:pPr>
        <w:pStyle w:val="BodyText"/>
      </w:pPr>
      <w:r>
        <w:t xml:space="preserve">World Justice Project. (n.d.). Rule of Law Index. Retrieved February 19, 2026, from https://worldjusticeproject.org/rule-of-law-index/</w:t>
      </w:r>
    </w:p>
    <w:p>
      <w:pPr>
        <w:pStyle w:val="BodyText"/>
      </w:pPr>
      <w:r>
        <w:t xml:space="preserve">APPENDICES</w:t>
      </w:r>
    </w:p>
    <w:bookmarkEnd w:id="271"/>
    <w:bookmarkEnd w:id="272"/>
    <w:bookmarkStart w:id="289" w:name="appendix-a-symbols-and-notation-v11.4"/>
    <w:p>
      <w:pPr>
        <w:pStyle w:val="Heading1"/>
      </w:pPr>
      <w:r>
        <w:t xml:space="preserve">APPENDIX A: SYMBOLS AND NOTATION (v11.4)</w:t>
      </w:r>
    </w:p>
    <w:p>
      <w:pPr>
        <w:pStyle w:val="FirstParagraph"/>
      </w:pPr>
      <w:r>
        <w:t xml:space="preserve">Appendix A is normative for symbol meanings and domains.</w:t>
      </w:r>
    </w:p>
    <w:p>
      <w:pPr>
        <w:pStyle w:val="BodyText"/>
      </w:pPr>
      <w:r>
        <w:t xml:space="preserve">Terminology note (Normative). u indexes Union Scopes (short: Scopes).</w:t>
      </w:r>
      <w:r>
        <w:t xml:space="preserve"> </w:t>
      </w:r>
      <w:r>
        <w:t xml:space="preserve">“</w:t>
      </w:r>
      <w:r>
        <w:t xml:space="preserve">Union(s)</w:t>
      </w:r>
      <w:r>
        <w:t xml:space="preserve">”</w:t>
      </w:r>
      <w:r>
        <w:t xml:space="preserve"> </w:t>
      </w:r>
      <w:r>
        <w:t xml:space="preserve">remains an allowed legacy alias. This does not change meanings in v9.0 and earlier, it clarifies the canonical term in v9.0.</w:t>
      </w:r>
    </w:p>
    <w:p>
      <w:pPr>
        <w:pStyle w:val="BodyText"/>
      </w:pPr>
      <w:r>
        <w:t xml:space="preserve">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pStyle w:val="BodyText"/>
      </w:pPr>
      <w:r>
        <w:t xml:space="preserve">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bookmarkStart w:id="273" w:name="a.1-sets-and-indices"/>
    <w:p>
      <w:pPr>
        <w:pStyle w:val="Heading2"/>
      </w:pPr>
      <w:r>
        <w:t xml:space="preserve">A.1 Sets and Indices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Domain</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u</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Union Scope (Scope) index</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u ∈ {1,2,3,4,5,6,7}</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d</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Dimension index</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d ∈ {1,2,3,4,5,6,7}</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a</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Option (candidate action)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 ∈ O</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s</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Scenario index</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s ∈ 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r</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Right index</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 ∈ R</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k</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Impact instance index</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integer</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g</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Protected subgroup index</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g ∈ G_{u,d}</w:t>
            </w:r>
          </w:p>
        </w:tc>
      </w:tr>
    </w:tbl>
    <w:bookmarkEnd w:id="273"/>
    <w:bookmarkStart w:id="274" w:name="a.2-core-sets"/>
    <w:p>
      <w:pPr>
        <w:pStyle w:val="Heading2"/>
      </w:pPr>
      <w:r>
        <w:t xml:space="preserve">A.2 Core Sets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Set</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Definition</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Operational Scopes {Self, Household, Community, Organization, Polity, Humanity/CMIU, Biosphere}</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D</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Welfare dimensions {Material, Health, Social, Knowledge, Agency, Meaning, Environment}</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O</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Option set</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S</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Scenario set</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R</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Rights set {LIFE, BODY, LBTY, NEED, DIGN, PROC, INFO, ECOL}</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C_r ⊆ U×D</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Coverage set for right r</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C_cat ⊆ U×D</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Catastrophe cell set for TRC</w:t>
            </w:r>
          </w:p>
        </w:tc>
      </w:tr>
    </w:tbl>
    <w:bookmarkEnd w:id="274"/>
    <w:bookmarkStart w:id="275" w:name="a.3-union-stack-canonical"/>
    <w:p>
      <w:pPr>
        <w:pStyle w:val="Heading2"/>
      </w:pPr>
      <w:r>
        <w:t xml:space="preserve">A.3 Union Stack (Canonical)</w:t>
      </w:r>
    </w:p>
    <w:bookmarkEnd w:id="275"/>
    <w:bookmarkStart w:id="276" w:name="Xd595e795027cde1da9804497ed562922bad0d7d"/>
    <w:p>
      <w:pPr>
        <w:pStyle w:val="Heading2"/>
      </w:pPr>
      <w:r>
        <w:t xml:space="preserve">Canonical Union Scopes: U1 Self; U2 Household; U3 Community; U4 Organization; U5 Polity; U6 Humanity/CMIU; U7 Biosphere. These are the row coordinates of the 7×7 welfare matrix. See Section 2.3 for definitions and Section 4.7 / Appendix AD for cell-level interpretation.</w:t>
      </w:r>
    </w:p>
    <w:bookmarkEnd w:id="276"/>
    <w:bookmarkStart w:id="277" w:name="X78957b1bd8aa21f18cc9847f6fe5ee9c2b1fb8d"/>
    <w:p>
      <w:pPr>
        <w:pStyle w:val="Heading2"/>
      </w:pPr>
      <w:r>
        <w:t xml:space="preserve">A.3A Scope × Dimension Reference Table (Non-Normative, clarity payload)</w:t>
      </w:r>
    </w:p>
    <w:p>
      <w:pPr>
        <w:pStyle w:val="FirstParagraph"/>
      </w:pPr>
      <w:r>
        <w:t xml:space="preserve">The table below reproduces the 7×7 Scope×Dimension reference grid for quick reading and cross-platform stability. The canonical grid definition is presented in Section 4.7.</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326"/>
        <w:gridCol w:w="1127"/>
        <w:gridCol w:w="1127"/>
        <w:gridCol w:w="1127"/>
        <w:gridCol w:w="1127"/>
        <w:gridCol w:w="1127"/>
        <w:gridCol w:w="1127"/>
        <w:gridCol w:w="1127"/>
      </w:tblGrid>
      <w:tr>
        <w:trPr>
          <w:tblHeader w:val="true"/>
          <w:cantSplit/>
        </w:trPr>
        <w:tc>
          <w:tcPr>
            <w:tcW w:w="1326"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Scope \ Dimension</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D1 Material</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D2 Health</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D3 Social</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D4 Knowledge</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D5 Agency</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D6 Meaning</w:t>
            </w:r>
          </w:p>
        </w:tc>
        <w:tc>
          <w:tcPr>
            <w:tcW w:w="1127" w:type="dxa"/>
            <w:vAlign w:val="top"/>
            <w:tcMar>
              <w:top w:w="70" w:type="dxa"/>
              <w:start w:w="90" w:type="dxa"/>
              <w:bottom w:w="70" w:type="dxa"/>
              <w:end w:w="90" w:type="dxa"/>
            </w:tcMar>
            <w:shd w:fill="D9EAF7" w:val="clear"/>
          </w:tcPr>
          <w:p>
            <w:pPr>
              <w:pStyle w:val="Compact"/>
              <w:spacing w:before="0" w:after="0"/>
              <w:jc w:val="left"/>
            </w:pPr>
            <w:r>
              <w:rPr>
                <w:sz w:val="15"/>
                <w:b/>
                <w:color w:val="1F4E79"/>
              </w:rPr>
              <w:t xml:space="preserve">D7 Environment</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U1 Self</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Personal resources, income, essentials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Physical/mental health and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Relationships, belonging, support</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Learning, understanding, competence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Autonomy, freedom, choice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Purpose, values, spiritual well-being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Local environment affecting self</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U2 Household</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livelihood, housing, food security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health, caregiving capacity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Family cohesion, care, safety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learning, skills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decision rights, roles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Household meaning, culture, identity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Home ecology, consumption footprint</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U3 Community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Community economy, access to goods/services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Public health, local safety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Social trust, inclusion,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Education access, knowledge commons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Participation, civic agency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Shared narratives, cultural meaning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Local ecosystems, pollution, resilience</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U4 Organization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Organizational resources, viability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Workplace safety, wellbeing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 culture, fairness, belonging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Org learning, data, competence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Governance, employee agency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Mission coherence, meaning</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Operational environmental impacts</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U5 Polity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National economy, infrastructure, welfare capacity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Population health, security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Social stability, justice, cohesion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National knowledge, R&amp;D, education</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Democratic agency, rights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National identity, legitimacy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National environment, climate policy</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U6 Humanity/CMIU</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Global economy, shared resources</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Global health, existential safety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Human solidarity, equity, peace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Global science, open knowledge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Collective governance capacity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Species meaning, long-run purpose</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Planetary boundaries, biosphere integrity</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U7 Biosphere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Ecosystem services, material substrates</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Species health, biodiversity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Symbiosis, interspecies stability</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Ecological knowledge, monitoring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Adaptive capacity, resilience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Intrinsic value, evolutionary meaning</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Habitats, climate stability, regeneration</w:t>
            </w:r>
          </w:p>
        </w:tc>
      </w:tr>
    </w:tbl>
    <w:bookmarkEnd w:id="277"/>
    <w:bookmarkStart w:id="278" w:name="a.4-welfare-dimensions-canonical"/>
    <w:p>
      <w:pPr>
        <w:pStyle w:val="Heading2"/>
      </w:pPr>
      <w:r>
        <w:t xml:space="preserve">A.4 Welfare Dimensions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744"/>
        <w:gridCol w:w="2985"/>
        <w:gridCol w:w="3489"/>
      </w:tblGrid>
      <w:tr>
        <w:trPr>
          <w:tblHeader w:val="true"/>
          <w:cantSplit/>
        </w:trPr>
        <w:tc>
          <w:tcPr>
            <w:tcW w:w="274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Dimension</w:t>
            </w:r>
          </w:p>
        </w:tc>
        <w:tc>
          <w:tcPr>
            <w:tcW w:w="2985"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Name</w:t>
            </w:r>
          </w:p>
        </w:tc>
        <w:tc>
          <w:tcPr>
            <w:tcW w:w="348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Summary</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D₁</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Material</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Resources, infrastructure, subsistence security</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D₂</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Health</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Physical/mental functioning, morbidity/mortality risk</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D₃</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Social</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Trust, belonging, relational integrity</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D₄</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Knowledge</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Epistemic access, learning conditions</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D₅</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Agency</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Autonomy, effective choice, freedom from coercion</w:t>
            </w:r>
          </w:p>
        </w:tc>
      </w:tr>
      <w:tr>
        <w:trPr>
          <w:cantSplit/>
        </w:trPr>
        <w:tc>
          <w:tcPr>
            <w:tcW w:w="2744" w:type="dxa"/>
            <w:vAlign w:val="top"/>
            <w:tcMar>
              <w:top w:w="70" w:type="dxa"/>
              <w:start w:w="90" w:type="dxa"/>
              <w:bottom w:w="70" w:type="dxa"/>
              <w:end w:w="90" w:type="dxa"/>
            </w:tcMar>
            <w:shd w:fill="F3F7FB" w:val="clear"/>
          </w:tcPr>
          <w:p>
            <w:pPr>
              <w:pStyle w:val="Compact"/>
              <w:spacing w:before="0" w:after="0"/>
              <w:jc w:val="left"/>
            </w:pPr>
            <w:r>
              <w:rPr>
                <w:sz w:val="18"/>
              </w:rPr>
              <w:t xml:space="preserve">D₆</w:t>
            </w:r>
          </w:p>
        </w:tc>
        <w:tc>
          <w:tcPr>
            <w:tcW w:w="2985" w:type="dxa"/>
            <w:vAlign w:val="top"/>
            <w:tcMar>
              <w:top w:w="70" w:type="dxa"/>
              <w:start w:w="90" w:type="dxa"/>
              <w:bottom w:w="70" w:type="dxa"/>
              <w:end w:w="90" w:type="dxa"/>
            </w:tcMar>
            <w:shd w:fill="F3F7FB" w:val="clear"/>
          </w:tcPr>
          <w:p>
            <w:pPr>
              <w:pStyle w:val="Compact"/>
              <w:spacing w:before="0" w:after="0"/>
              <w:jc w:val="left"/>
            </w:pPr>
            <w:r>
              <w:rPr>
                <w:sz w:val="18"/>
              </w:rPr>
              <w:t xml:space="preserve">Meaning</w:t>
            </w:r>
          </w:p>
        </w:tc>
        <w:tc>
          <w:tcPr>
            <w:tcW w:w="3489" w:type="dxa"/>
            <w:vAlign w:val="top"/>
            <w:tcMar>
              <w:top w:w="70" w:type="dxa"/>
              <w:start w:w="90" w:type="dxa"/>
              <w:bottom w:w="70" w:type="dxa"/>
              <w:end w:w="90" w:type="dxa"/>
            </w:tcMar>
            <w:shd w:fill="F3F7FB" w:val="clear"/>
          </w:tcPr>
          <w:p>
            <w:pPr>
              <w:pStyle w:val="Compact"/>
              <w:spacing w:before="0" w:after="0"/>
              <w:jc w:val="left"/>
            </w:pPr>
            <w:r>
              <w:rPr>
                <w:sz w:val="18"/>
              </w:rPr>
              <w:t xml:space="preserve">Purpose/coherence/valued projects (cautious measurement)</w:t>
            </w:r>
          </w:p>
        </w:tc>
      </w:tr>
      <w:tr>
        <w:trPr>
          <w:cantSplit/>
        </w:trPr>
        <w:tc>
          <w:tcPr>
            <w:tcW w:w="2744" w:type="dxa"/>
            <w:vAlign w:val="top"/>
            <w:tcMar>
              <w:top w:w="70" w:type="dxa"/>
              <w:start w:w="90" w:type="dxa"/>
              <w:bottom w:w="70" w:type="dxa"/>
              <w:end w:w="90" w:type="dxa"/>
            </w:tcMar>
            <w:shd w:fill="FFFFFF" w:val="clear"/>
          </w:tcPr>
          <w:p>
            <w:pPr>
              <w:pStyle w:val="Compact"/>
              <w:spacing w:before="0" w:after="0"/>
              <w:jc w:val="left"/>
            </w:pPr>
            <w:r>
              <w:rPr>
                <w:sz w:val="18"/>
              </w:rPr>
              <w:t xml:space="preserve">D₇</w:t>
            </w:r>
          </w:p>
        </w:tc>
        <w:tc>
          <w:tcPr>
            <w:tcW w:w="2985" w:type="dxa"/>
            <w:vAlign w:val="top"/>
            <w:tcMar>
              <w:top w:w="70" w:type="dxa"/>
              <w:start w:w="90" w:type="dxa"/>
              <w:bottom w:w="70" w:type="dxa"/>
              <w:end w:w="90" w:type="dxa"/>
            </w:tcMar>
            <w:shd w:fill="FFFFFF" w:val="clear"/>
          </w:tcPr>
          <w:p>
            <w:pPr>
              <w:pStyle w:val="Compact"/>
              <w:spacing w:before="0" w:after="0"/>
              <w:jc w:val="left"/>
            </w:pPr>
            <w:r>
              <w:rPr>
                <w:sz w:val="18"/>
              </w:rPr>
              <w:t xml:space="preserve">Environment</w:t>
            </w:r>
          </w:p>
        </w:tc>
        <w:tc>
          <w:tcPr>
            <w:tcW w:w="3489" w:type="dxa"/>
            <w:vAlign w:val="top"/>
            <w:tcMar>
              <w:top w:w="70" w:type="dxa"/>
              <w:start w:w="90" w:type="dxa"/>
              <w:bottom w:w="70" w:type="dxa"/>
              <w:end w:w="90" w:type="dxa"/>
            </w:tcMar>
            <w:shd w:fill="FFFFFF" w:val="clear"/>
          </w:tcPr>
          <w:p>
            <w:pPr>
              <w:pStyle w:val="Compact"/>
              <w:spacing w:before="0" w:after="0"/>
              <w:jc w:val="left"/>
            </w:pPr>
            <w:r>
              <w:rPr>
                <w:sz w:val="18"/>
              </w:rPr>
              <w:t xml:space="preserve">Ecological and built context integrity</w:t>
            </w:r>
          </w:p>
        </w:tc>
      </w:tr>
    </w:tbl>
    <w:bookmarkEnd w:id="278"/>
    <w:bookmarkStart w:id="279" w:name="a.5-impact-objects"/>
    <w:p>
      <w:pPr>
        <w:pStyle w:val="Heading2"/>
      </w:pPr>
      <w:r>
        <w:t xml:space="preserve">A.5 Impact Objects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299"/>
        <w:gridCol w:w="3385"/>
        <w:gridCol w:w="2533"/>
      </w:tblGrid>
      <w:tr>
        <w:trPr>
          <w:tblHeader w:val="true"/>
          <w:cantSplit/>
        </w:trPr>
        <w:tc>
          <w:tcPr>
            <w:tcW w:w="329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385"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253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Range</w:t>
            </w:r>
          </w:p>
        </w:tc>
      </w:tr>
      <w:tr>
        <w:trPr>
          <w:cantSplit/>
        </w:trPr>
        <w:tc>
          <w:tcPr>
            <w:tcW w:w="3299" w:type="dxa"/>
            <w:vAlign w:val="top"/>
            <w:tcMar>
              <w:top w:w="70" w:type="dxa"/>
              <w:start w:w="90" w:type="dxa"/>
              <w:bottom w:w="70" w:type="dxa"/>
              <w:end w:w="90" w:type="dxa"/>
            </w:tcMar>
            <w:shd w:fill="FFFFFF" w:val="clear"/>
          </w:tcPr>
          <w:p>
            <w:pPr>
              <w:pStyle w:val="Compact"/>
              <w:spacing w:before="0" w:after="0"/>
              <w:jc w:val="left"/>
            </w:pPr>
            <w:r>
              <w:rPr>
                <w:sz w:val="18"/>
              </w:rPr>
              <w:t xml:space="preserve">Ĩ_dir(u,d,a)</w:t>
            </w:r>
          </w:p>
        </w:tc>
        <w:tc>
          <w:tcPr>
            <w:tcW w:w="3385" w:type="dxa"/>
            <w:vAlign w:val="top"/>
            <w:tcMar>
              <w:top w:w="70" w:type="dxa"/>
              <w:start w:w="90" w:type="dxa"/>
              <w:bottom w:w="70" w:type="dxa"/>
              <w:end w:w="90" w:type="dxa"/>
            </w:tcMar>
            <w:shd w:fill="FFFFFF" w:val="clear"/>
          </w:tcPr>
          <w:p>
            <w:pPr>
              <w:pStyle w:val="Compact"/>
              <w:spacing w:before="0" w:after="0"/>
              <w:jc w:val="left"/>
            </w:pPr>
            <w:r>
              <w:rPr>
                <w:sz w:val="18"/>
              </w:rPr>
              <w:t xml:space="preserve">Pre-saturation direct impact</w:t>
            </w:r>
          </w:p>
        </w:tc>
        <w:tc>
          <w:tcPr>
            <w:tcW w:w="2533" w:type="dxa"/>
            <w:vAlign w:val="top"/>
            <w:tcMar>
              <w:top w:w="70" w:type="dxa"/>
              <w:start w:w="90" w:type="dxa"/>
              <w:bottom w:w="70" w:type="dxa"/>
              <w:end w:w="90" w:type="dxa"/>
            </w:tcMar>
            <w:shd w:fill="FFFFFF" w:val="clear"/>
          </w:tcPr>
          <w:p>
            <w:pPr>
              <w:pStyle w:val="Compact"/>
              <w:spacing w:before="0" w:after="0"/>
              <w:jc w:val="left"/>
            </w:pPr>
            <w:r>
              <w:rPr>
                <w:sz w:val="18"/>
              </w:rPr>
              <w:t xml:space="preserve">ℝ</w:t>
            </w:r>
          </w:p>
        </w:tc>
      </w:tr>
      <w:tr>
        <w:trPr>
          <w:cantSplit/>
        </w:trPr>
        <w:tc>
          <w:tcPr>
            <w:tcW w:w="3299" w:type="dxa"/>
            <w:vAlign w:val="top"/>
            <w:tcMar>
              <w:top w:w="70" w:type="dxa"/>
              <w:start w:w="90" w:type="dxa"/>
              <w:bottom w:w="70" w:type="dxa"/>
              <w:end w:w="90" w:type="dxa"/>
            </w:tcMar>
            <w:shd w:fill="F3F7FB" w:val="clear"/>
          </w:tcPr>
          <w:p>
            <w:pPr>
              <w:pStyle w:val="Compact"/>
              <w:spacing w:before="0" w:after="0"/>
              <w:jc w:val="left"/>
            </w:pPr>
            <w:r>
              <w:rPr>
                <w:sz w:val="18"/>
              </w:rPr>
              <w:t xml:space="preserve">I_dir(u,d,a)</w:t>
            </w:r>
          </w:p>
        </w:tc>
        <w:tc>
          <w:tcPr>
            <w:tcW w:w="3385" w:type="dxa"/>
            <w:vAlign w:val="top"/>
            <w:tcMar>
              <w:top w:w="70" w:type="dxa"/>
              <w:start w:w="90" w:type="dxa"/>
              <w:bottom w:w="70" w:type="dxa"/>
              <w:end w:w="90" w:type="dxa"/>
            </w:tcMar>
            <w:shd w:fill="F3F7FB" w:val="clear"/>
          </w:tcPr>
          <w:p>
            <w:pPr>
              <w:pStyle w:val="Compact"/>
              <w:spacing w:before="0" w:after="0"/>
              <w:jc w:val="left"/>
            </w:pPr>
            <w:r>
              <w:rPr>
                <w:sz w:val="18"/>
              </w:rPr>
              <w:t xml:space="preserve">Direct impact (post-saturation)</w:t>
            </w:r>
          </w:p>
        </w:tc>
        <w:tc>
          <w:tcPr>
            <w:tcW w:w="2533"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r>
      <w:tr>
        <w:trPr>
          <w:cantSplit/>
        </w:trPr>
        <w:tc>
          <w:tcPr>
            <w:tcW w:w="3299" w:type="dxa"/>
            <w:vAlign w:val="top"/>
            <w:tcMar>
              <w:top w:w="70" w:type="dxa"/>
              <w:start w:w="90" w:type="dxa"/>
              <w:bottom w:w="70" w:type="dxa"/>
              <w:end w:w="90" w:type="dxa"/>
            </w:tcMar>
            <w:shd w:fill="FFFFFF" w:val="clear"/>
          </w:tcPr>
          <w:p>
            <w:pPr>
              <w:pStyle w:val="Compact"/>
              <w:spacing w:before="0" w:after="0"/>
              <w:jc w:val="left"/>
            </w:pPr>
            <w:r>
              <w:rPr>
                <w:sz w:val="18"/>
              </w:rPr>
              <w:t xml:space="preserve">Ĩ_prop(u,d,a)</w:t>
            </w:r>
          </w:p>
        </w:tc>
        <w:tc>
          <w:tcPr>
            <w:tcW w:w="3385" w:type="dxa"/>
            <w:vAlign w:val="top"/>
            <w:tcMar>
              <w:top w:w="70" w:type="dxa"/>
              <w:start w:w="90" w:type="dxa"/>
              <w:bottom w:w="70" w:type="dxa"/>
              <w:end w:w="90" w:type="dxa"/>
            </w:tcMar>
            <w:shd w:fill="FFFFFF" w:val="clear"/>
          </w:tcPr>
          <w:p>
            <w:pPr>
              <w:pStyle w:val="Compact"/>
              <w:spacing w:before="0" w:after="0"/>
              <w:jc w:val="left"/>
            </w:pPr>
            <w:r>
              <w:rPr>
                <w:sz w:val="18"/>
              </w:rPr>
              <w:t xml:space="preserve">Pre-saturation propagated impact</w:t>
            </w:r>
          </w:p>
        </w:tc>
        <w:tc>
          <w:tcPr>
            <w:tcW w:w="2533" w:type="dxa"/>
            <w:vAlign w:val="top"/>
            <w:tcMar>
              <w:top w:w="70" w:type="dxa"/>
              <w:start w:w="90" w:type="dxa"/>
              <w:bottom w:w="70" w:type="dxa"/>
              <w:end w:w="90" w:type="dxa"/>
            </w:tcMar>
            <w:shd w:fill="FFFFFF" w:val="clear"/>
          </w:tcPr>
          <w:p>
            <w:pPr>
              <w:pStyle w:val="Compact"/>
              <w:spacing w:before="0" w:after="0"/>
              <w:jc w:val="left"/>
            </w:pPr>
            <w:r>
              <w:rPr>
                <w:sz w:val="18"/>
              </w:rPr>
              <w:t xml:space="preserve">ℝ</w:t>
            </w:r>
          </w:p>
        </w:tc>
      </w:tr>
      <w:tr>
        <w:trPr>
          <w:cantSplit/>
        </w:trPr>
        <w:tc>
          <w:tcPr>
            <w:tcW w:w="3299" w:type="dxa"/>
            <w:vAlign w:val="top"/>
            <w:tcMar>
              <w:top w:w="70" w:type="dxa"/>
              <w:start w:w="90" w:type="dxa"/>
              <w:bottom w:w="70" w:type="dxa"/>
              <w:end w:w="90" w:type="dxa"/>
            </w:tcMar>
            <w:shd w:fill="F3F7FB" w:val="clear"/>
          </w:tcPr>
          <w:p>
            <w:pPr>
              <w:pStyle w:val="Compact"/>
              <w:spacing w:before="0" w:after="0"/>
              <w:jc w:val="left"/>
            </w:pPr>
            <w:r>
              <w:rPr>
                <w:sz w:val="18"/>
              </w:rPr>
              <w:t xml:space="preserve">I_prop(u,d,a)</w:t>
            </w:r>
          </w:p>
        </w:tc>
        <w:tc>
          <w:tcPr>
            <w:tcW w:w="3385" w:type="dxa"/>
            <w:vAlign w:val="top"/>
            <w:tcMar>
              <w:top w:w="70" w:type="dxa"/>
              <w:start w:w="90" w:type="dxa"/>
              <w:bottom w:w="70" w:type="dxa"/>
              <w:end w:w="90" w:type="dxa"/>
            </w:tcMar>
            <w:shd w:fill="F3F7FB" w:val="clear"/>
          </w:tcPr>
          <w:p>
            <w:pPr>
              <w:pStyle w:val="Compact"/>
              <w:spacing w:before="0" w:after="0"/>
              <w:jc w:val="left"/>
            </w:pPr>
            <w:r>
              <w:rPr>
                <w:sz w:val="18"/>
              </w:rPr>
              <w:t xml:space="preserve">Propagated impact (post-saturation)</w:t>
            </w:r>
          </w:p>
        </w:tc>
        <w:tc>
          <w:tcPr>
            <w:tcW w:w="2533"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r>
      <w:tr>
        <w:trPr>
          <w:cantSplit/>
        </w:trPr>
        <w:tc>
          <w:tcPr>
            <w:tcW w:w="3299" w:type="dxa"/>
            <w:vAlign w:val="top"/>
            <w:tcMar>
              <w:top w:w="70" w:type="dxa"/>
              <w:start w:w="90" w:type="dxa"/>
              <w:bottom w:w="70" w:type="dxa"/>
              <w:end w:w="90" w:type="dxa"/>
            </w:tcMar>
            <w:shd w:fill="FFFFFF" w:val="clear"/>
          </w:tcPr>
          <w:p>
            <w:pPr>
              <w:pStyle w:val="Compact"/>
              <w:spacing w:before="0" w:after="0"/>
              <w:jc w:val="left"/>
            </w:pPr>
            <w:r>
              <w:rPr>
                <w:sz w:val="18"/>
              </w:rPr>
              <w:t xml:space="preserve">I_rights(u,d,a)</w:t>
            </w:r>
          </w:p>
        </w:tc>
        <w:tc>
          <w:tcPr>
            <w:tcW w:w="3385" w:type="dxa"/>
            <w:vAlign w:val="top"/>
            <w:tcMar>
              <w:top w:w="70" w:type="dxa"/>
              <w:start w:w="90" w:type="dxa"/>
              <w:bottom w:w="70" w:type="dxa"/>
              <w:end w:w="90" w:type="dxa"/>
            </w:tcMar>
            <w:shd w:fill="FFFFFF" w:val="clear"/>
          </w:tcPr>
          <w:p>
            <w:pPr>
              <w:pStyle w:val="Compact"/>
              <w:spacing w:before="0" w:after="0"/>
              <w:jc w:val="left"/>
            </w:pPr>
            <w:r>
              <w:rPr>
                <w:sz w:val="18"/>
              </w:rPr>
              <w:t xml:space="preserve">Worst-off subgroup propagated impact</w:t>
            </w:r>
          </w:p>
        </w:tc>
        <w:tc>
          <w:tcPr>
            <w:tcW w:w="2533" w:type="dxa"/>
            <w:vAlign w:val="top"/>
            <w:tcMar>
              <w:top w:w="70" w:type="dxa"/>
              <w:start w:w="90" w:type="dxa"/>
              <w:bottom w:w="70" w:type="dxa"/>
              <w:end w:w="90" w:type="dxa"/>
            </w:tcMar>
            <w:shd w:fill="FFFFFF" w:val="clear"/>
          </w:tcPr>
          <w:p>
            <w:pPr>
              <w:pStyle w:val="Compact"/>
              <w:spacing w:before="0" w:after="0"/>
              <w:jc w:val="left"/>
            </w:pPr>
            <w:r>
              <w:rPr>
                <w:sz w:val="18"/>
              </w:rPr>
              <w:t xml:space="preserve">[-1,+1]</w:t>
            </w:r>
          </w:p>
        </w:tc>
      </w:tr>
    </w:tbl>
    <w:bookmarkEnd w:id="279"/>
    <w:bookmarkStart w:id="280" w:name="a.6-impact-instance-attributes"/>
    <w:p>
      <w:pPr>
        <w:pStyle w:val="Heading2"/>
      </w:pPr>
      <w:r>
        <w:t xml:space="preserve">A.6 Impact Instance Attributes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Range / Default</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μ_k</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Magnitude (baseline-delta, normalized)</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[-1, +1]</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r_k</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Reach</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[0, 1]</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t_k</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Time horizon</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(0, ∞) years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ℓ_k</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Likelihood</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[0, 1]</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c_k</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Confidence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[0.1, 1]</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e_k</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Equity/resilience multiplier</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Tier 2: 1.00 only unless named governed instrument; Tier 3: [0.75, 1.25] default 1.00</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s_k</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Sentience multiplier (SGP)</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[0, 1], default 1; MUST be 1 for humans</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t_min</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Minimum time horizon floor</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0.083 years (≈1 month); prevents τ(0) = 0</w:t>
            </w:r>
          </w:p>
        </w:tc>
      </w:tr>
    </w:tbl>
    <w:bookmarkEnd w:id="280"/>
    <w:bookmarkStart w:id="281" w:name="a.7-operators-and-functions"/>
    <w:p>
      <w:pPr>
        <w:pStyle w:val="Heading2"/>
      </w:pPr>
      <w:r>
        <w:t xml:space="preserve">A.7 Operators and Functions</w:t>
      </w:r>
    </w:p>
    <w:p>
      <w:pPr>
        <w:pStyle w:val="FirstParagraph"/>
      </w:pPr>
      <w:r>
        <w:t xml:space="preserve">Symbol</w:t>
      </w:r>
    </w:p>
    <w:p>
      <w:pPr>
        <w:pStyle w:val="BodyText"/>
      </w:pPr>
      <w:r>
        <w:t xml:space="preserve">Definition</w:t>
      </w:r>
    </w:p>
    <w:p>
      <w:pPr>
        <w:pStyle w:val="BodyText"/>
      </w:pPr>
      <w:r>
        <w:t xml:space="preserve">(x)⁺</w:t>
      </w:r>
    </w:p>
    <w:p>
      <w:pPr>
        <w:pStyle w:val="BodyText"/>
      </w:pPr>
      <w:r>
        <w:t xml:space="preserve">max(x, 0)</w:t>
      </w:r>
    </w:p>
    <w:p>
      <w:pPr>
        <w:pStyle w:val="BodyText"/>
      </w:pPr>
      <w:r>
        <w:t xml:space="preserve">clip(x, a, b)</w:t>
      </w:r>
    </w:p>
    <w:p>
      <w:pPr>
        <w:pStyle w:val="BodyText"/>
      </w:pPr>
      <w:r>
        <w:t xml:space="preserve">max(a, min(x, b))</w:t>
      </w:r>
    </w:p>
    <w:p>
      <w:pPr>
        <w:pStyle w:val="BodyText"/>
      </w:pPr>
      <w:r>
        <w:t xml:space="preserve">sat_β(x)</w:t>
      </w:r>
    </w:p>
    <w:p>
      <w:pPr>
        <w:pStyle w:val="BodyText"/>
      </w:pPr>
      <w:r>
        <w:t xml:space="preserve">tanh(β × x)</w:t>
      </w:r>
    </w:p>
    <w:p>
      <w:pPr>
        <w:pStyle w:val="BodyText"/>
      </w:pPr>
      <w:r>
        <w:t xml:space="preserve">τ(t)</w:t>
      </w:r>
    </w:p>
    <w:p>
      <w:pPr>
        <w:pStyle w:val="BodyText"/>
      </w:pPr>
      <w:r>
        <w:t xml:space="preserve">min(1, ln(1 + max(t, t_min)) / ln(1 + T_ref))</w:t>
      </w:r>
      <w:r>
        <w:t xml:space="preserve"> </w:t>
      </w:r>
      <w:r>
        <w:t xml:space="preserve">Defaults: T_ref = 25 years, t_min = 0.083 years</w:t>
      </w:r>
      <w:r>
        <w:t xml:space="preserve"> </w:t>
      </w:r>
      <w:r>
        <w:t xml:space="preserve">Cap ensures τ(t) ≤ 1 for all t; floor ensures τ &gt; 0 for all t &gt; 0</w:t>
      </w:r>
    </w:p>
    <w:p>
      <w:pPr>
        <w:pStyle w:val="BodyText"/>
      </w:pPr>
      <w:r>
        <w:t xml:space="preserve">φ(u, d)</w:t>
      </w:r>
    </w:p>
    <w:p>
      <w:pPr>
        <w:pStyle w:val="BodyText"/>
      </w:pPr>
      <w:r>
        <w:t xml:space="preserve">7(u − 1) + d (flattening map for kernel indexing)</w:t>
      </w:r>
    </w:p>
    <w:p>
      <w:pPr>
        <w:pStyle w:val="BodyText"/>
      </w:pPr>
      <w:r>
        <w:t xml:space="preserve">Anc(u, D_c)</w:t>
      </w:r>
    </w:p>
    <w:p>
      <w:pPr>
        <w:pStyle w:val="BodyText"/>
      </w:pPr>
      <w:r>
        <w:t xml:space="preserve">Ancestor set of containing unions for union u up to depth D_c</w:t>
      </w:r>
    </w:p>
    <w:p>
      <w:pPr>
        <w:pStyle w:val="BodyText"/>
      </w:pPr>
      <w:r>
        <w:t xml:space="preserve">T_ref</w:t>
      </w:r>
    </w:p>
    <w:p>
      <w:pPr>
        <w:pStyle w:val="BodyText"/>
      </w:pPr>
      <w:r>
        <w:t xml:space="preserve">Governance reference time horizon for temporal weighting.</w:t>
      </w:r>
      <w:r>
        <w:t xml:space="preserve"> </w:t>
      </w:r>
      <w:r>
        <w:t xml:space="preserve">Default: 25 years. MUST NOT be set &lt; 10 years without charter-level justification.</w:t>
      </w:r>
    </w:p>
    <w:bookmarkEnd w:id="281"/>
    <w:bookmarkStart w:id="282" w:name="a.8-kernel-and-propagation"/>
    <w:p>
      <w:pPr>
        <w:pStyle w:val="Heading2"/>
      </w:pPr>
      <w:r>
        <w:t xml:space="preserve">A.8 Kernel and Propagation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411"/>
        <w:gridCol w:w="4807"/>
      </w:tblGrid>
      <w:tr>
        <w:trPr>
          <w:tblHeader w:val="true"/>
          <w:cantSplit/>
        </w:trPr>
        <w:tc>
          <w:tcPr>
            <w:tcW w:w="4411"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4807"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K ∈ ℝ^{49×49}</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Ripple kernel matrix (sparse)</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K_{ij}</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Kernel entry mapping source j to target i (target-row, source-column)</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κ_max</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Maximum absolute kernel entry bound, default 0.5</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κ_use_min</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Minimum absolute kernel edge magnitude for</w:t>
            </w:r>
            <w:r>
              <w:rPr>
                <w:sz w:val="19"/>
              </w:rPr>
              <w:t xml:space="preserve"> </w:t>
            </w:r>
            <w:r>
              <w:rPr>
                <w:sz w:val="19"/>
              </w:rPr>
              <w:t xml:space="preserve">“</w:t>
            </w:r>
            <w:r>
              <w:rPr>
                <w:sz w:val="19"/>
              </w:rPr>
              <w:t xml:space="preserve">relied-upon edge</w:t>
            </w:r>
            <w:r>
              <w:rPr>
                <w:sz w:val="19"/>
              </w:rPr>
              <w:t xml:space="preserve">”</w:t>
            </w:r>
            <w:r>
              <w:rPr>
                <w:sz w:val="19"/>
              </w:rPr>
              <w:t xml:space="preserve"> </w:t>
            </w:r>
            <w:r>
              <w:rPr>
                <w:sz w:val="19"/>
              </w:rPr>
              <w:t xml:space="preserve">classification in KQS computation (Section 6.5.1). Default: 0.05 unless the PCC declares a stricter value.</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ρ_max</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Maximum absolute row-sum bound, default 0.9</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∥K∥∞</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Maximum absolute row-sum norm of K: ∥K∥∞ := max_i Σ_j |K_{ij}|. Used for Tier 1-3 kernel stability verification (Section 6.4).</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ρ(K)</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Spectral radius of K. For Tier 1-3, treated as satisfied when ∥K∥∞ &lt; 1 per Section 6.4 (since ρ(K) ≤ ∥K∥∞).</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NONE mode</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I_prop := I_dir</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QUICK mode</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Ĩ_prop = I_dir + K × I_dir, then saturate</w:t>
            </w:r>
          </w:p>
        </w:tc>
      </w:tr>
    </w:tbl>
    <w:p>
      <w:pPr>
        <w:pStyle w:val="BodyText"/>
      </w:pPr>
      <w:r>
        <w:t xml:space="preserve">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(sentience multiplier fixed at s_k:=1); RLS uses the Welfare stream.</w:t>
      </w:r>
    </w:p>
    <w:bookmarkEnd w:id="282"/>
    <w:bookmarkStart w:id="283" w:name="a.9-rights-and-constraints"/>
    <w:p>
      <w:pPr>
        <w:pStyle w:val="Heading2"/>
      </w:pPr>
      <w:r>
        <w:t xml:space="preserve">A.9 Rights and Constraints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334"/>
        <w:gridCol w:w="4884"/>
      </w:tblGrid>
      <w:tr>
        <w:trPr>
          <w:tblHeader w:val="true"/>
          <w:cantSplit/>
        </w:trPr>
        <w:tc>
          <w:tcPr>
            <w:tcW w:w="4334"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4884"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334" w:type="dxa"/>
            <w:vAlign w:val="top"/>
            <w:tcMar>
              <w:top w:w="70" w:type="dxa"/>
              <w:start w:w="90" w:type="dxa"/>
              <w:bottom w:w="70" w:type="dxa"/>
              <w:end w:w="90" w:type="dxa"/>
            </w:tcMar>
            <w:shd w:fill="FFFFFF" w:val="clear"/>
          </w:tcPr>
          <w:p>
            <w:pPr>
              <w:pStyle w:val="Compact"/>
              <w:spacing w:before="0" w:after="0"/>
              <w:jc w:val="left"/>
            </w:pPr>
            <w:r>
              <w:rPr>
                <w:sz w:val="19"/>
              </w:rPr>
              <w:t xml:space="preserve">θ_r</w:t>
            </w:r>
          </w:p>
        </w:tc>
        <w:tc>
          <w:tcPr>
            <w:tcW w:w="4884" w:type="dxa"/>
            <w:vAlign w:val="top"/>
            <w:tcMar>
              <w:top w:w="70" w:type="dxa"/>
              <w:start w:w="90" w:type="dxa"/>
              <w:bottom w:w="70" w:type="dxa"/>
              <w:end w:w="90" w:type="dxa"/>
            </w:tcMar>
            <w:shd w:fill="FFFFFF" w:val="clear"/>
          </w:tcPr>
          <w:p>
            <w:pPr>
              <w:pStyle w:val="Compact"/>
              <w:spacing w:before="0" w:after="0"/>
              <w:jc w:val="left"/>
            </w:pPr>
            <w:r>
              <w:rPr>
                <w:sz w:val="19"/>
              </w:rPr>
              <w:t xml:space="preserve">Rights threshold for right r</w:t>
            </w:r>
          </w:p>
        </w:tc>
      </w:tr>
      <w:tr>
        <w:trPr>
          <w:cantSplit/>
        </w:trPr>
        <w:tc>
          <w:tcPr>
            <w:tcW w:w="4334" w:type="dxa"/>
            <w:vAlign w:val="top"/>
            <w:tcMar>
              <w:top w:w="70" w:type="dxa"/>
              <w:start w:w="90" w:type="dxa"/>
              <w:bottom w:w="70" w:type="dxa"/>
              <w:end w:w="90" w:type="dxa"/>
            </w:tcMar>
            <w:shd w:fill="F3F7FB" w:val="clear"/>
          </w:tcPr>
          <w:p>
            <w:pPr>
              <w:pStyle w:val="Compact"/>
              <w:spacing w:before="0" w:after="0"/>
              <w:jc w:val="left"/>
            </w:pPr>
            <w:r>
              <w:rPr>
                <w:sz w:val="19"/>
              </w:rPr>
              <w:t xml:space="preserve">v_r(a)</w:t>
            </w:r>
          </w:p>
        </w:tc>
        <w:tc>
          <w:tcPr>
            <w:tcW w:w="4884" w:type="dxa"/>
            <w:vAlign w:val="top"/>
            <w:tcMar>
              <w:top w:w="70" w:type="dxa"/>
              <w:start w:w="90" w:type="dxa"/>
              <w:bottom w:w="70" w:type="dxa"/>
              <w:end w:w="90" w:type="dxa"/>
            </w:tcMar>
            <w:shd w:fill="F3F7FB" w:val="clear"/>
          </w:tcPr>
          <w:p>
            <w:pPr>
              <w:pStyle w:val="Compact"/>
              <w:spacing w:before="0" w:after="0"/>
              <w:jc w:val="left"/>
            </w:pPr>
            <w:r>
              <w:rPr>
                <w:sz w:val="19"/>
              </w:rPr>
              <w:t xml:space="preserve">Violation depth for right r under option a</w:t>
            </w:r>
          </w:p>
        </w:tc>
      </w:tr>
      <w:tr>
        <w:trPr>
          <w:cantSplit/>
        </w:trPr>
        <w:tc>
          <w:tcPr>
            <w:tcW w:w="4334" w:type="dxa"/>
            <w:vAlign w:val="top"/>
            <w:tcMar>
              <w:top w:w="70" w:type="dxa"/>
              <w:start w:w="90" w:type="dxa"/>
              <w:bottom w:w="70" w:type="dxa"/>
              <w:end w:w="90" w:type="dxa"/>
            </w:tcMar>
            <w:shd w:fill="FFFFFF" w:val="clear"/>
          </w:tcPr>
          <w:p>
            <w:pPr>
              <w:pStyle w:val="Compact"/>
              <w:spacing w:before="0" w:after="0"/>
              <w:jc w:val="left"/>
            </w:pPr>
            <w:r>
              <w:rPr>
                <w:sz w:val="19"/>
              </w:rPr>
              <w:t xml:space="preserve">NCRC(a)</w:t>
            </w:r>
          </w:p>
        </w:tc>
        <w:tc>
          <w:tcPr>
            <w:tcW w:w="4884" w:type="dxa"/>
            <w:vAlign w:val="top"/>
            <w:tcMar>
              <w:top w:w="70" w:type="dxa"/>
              <w:start w:w="90" w:type="dxa"/>
              <w:bottom w:w="70" w:type="dxa"/>
              <w:end w:w="90" w:type="dxa"/>
            </w:tcMar>
            <w:shd w:fill="FFFFFF" w:val="clear"/>
          </w:tcPr>
          <w:p>
            <w:pPr>
              <w:pStyle w:val="Compact"/>
              <w:spacing w:before="0" w:after="0"/>
              <w:jc w:val="left"/>
            </w:pPr>
            <w:r>
              <w:rPr>
                <w:sz w:val="19"/>
              </w:rPr>
              <w:t xml:space="preserve">Rights admissibility predicate</w:t>
            </w:r>
          </w:p>
        </w:tc>
      </w:tr>
      <w:tr>
        <w:trPr>
          <w:cantSplit/>
        </w:trPr>
        <w:tc>
          <w:tcPr>
            <w:tcW w:w="4334" w:type="dxa"/>
            <w:vAlign w:val="top"/>
            <w:tcMar>
              <w:top w:w="70" w:type="dxa"/>
              <w:start w:w="90" w:type="dxa"/>
              <w:bottom w:w="70" w:type="dxa"/>
              <w:end w:w="90" w:type="dxa"/>
            </w:tcMar>
            <w:shd w:fill="F3F7FB" w:val="clear"/>
          </w:tcPr>
          <w:p>
            <w:pPr>
              <w:pStyle w:val="Compact"/>
              <w:spacing w:before="0" w:after="0"/>
              <w:jc w:val="left"/>
            </w:pPr>
            <w:r>
              <w:rPr>
                <w:sz w:val="19"/>
              </w:rPr>
              <w:t xml:space="preserve">TRC(a)</w:t>
            </w:r>
          </w:p>
        </w:tc>
        <w:tc>
          <w:tcPr>
            <w:tcW w:w="4884" w:type="dxa"/>
            <w:vAlign w:val="top"/>
            <w:tcMar>
              <w:top w:w="70" w:type="dxa"/>
              <w:start w:w="90" w:type="dxa"/>
              <w:bottom w:w="70" w:type="dxa"/>
              <w:end w:w="90" w:type="dxa"/>
            </w:tcMar>
            <w:shd w:fill="F3F7FB" w:val="clear"/>
          </w:tcPr>
          <w:p>
            <w:pPr>
              <w:pStyle w:val="Compact"/>
              <w:spacing w:before="0" w:after="0"/>
              <w:jc w:val="left"/>
            </w:pPr>
            <w:r>
              <w:rPr>
                <w:sz w:val="19"/>
              </w:rPr>
              <w:t xml:space="preserve">Tail-risk admissibility predicate</w:t>
            </w:r>
          </w:p>
        </w:tc>
      </w:tr>
      <w:tr>
        <w:trPr>
          <w:cantSplit/>
        </w:trPr>
        <w:tc>
          <w:tcPr>
            <w:tcW w:w="4334" w:type="dxa"/>
            <w:vAlign w:val="top"/>
            <w:tcMar>
              <w:top w:w="70" w:type="dxa"/>
              <w:start w:w="90" w:type="dxa"/>
              <w:bottom w:w="70" w:type="dxa"/>
              <w:end w:w="90" w:type="dxa"/>
            </w:tcMar>
            <w:shd w:fill="FFFFFF" w:val="clear"/>
          </w:tcPr>
          <w:p>
            <w:pPr>
              <w:pStyle w:val="Compact"/>
              <w:spacing w:before="0" w:after="0"/>
              <w:jc w:val="left"/>
            </w:pPr>
            <w:r>
              <w:rPr>
                <w:sz w:val="19"/>
              </w:rPr>
              <w:t xml:space="preserve">τ_TRC</w:t>
            </w:r>
          </w:p>
        </w:tc>
        <w:tc>
          <w:tcPr>
            <w:tcW w:w="4884" w:type="dxa"/>
            <w:vAlign w:val="top"/>
            <w:tcMar>
              <w:top w:w="70" w:type="dxa"/>
              <w:start w:w="90" w:type="dxa"/>
              <w:bottom w:w="70" w:type="dxa"/>
              <w:end w:w="90" w:type="dxa"/>
            </w:tcMar>
            <w:shd w:fill="FFFFFF" w:val="clear"/>
          </w:tcPr>
          <w:p>
            <w:pPr>
              <w:pStyle w:val="Compact"/>
              <w:spacing w:before="0" w:after="0"/>
              <w:jc w:val="left"/>
            </w:pPr>
            <w:r>
              <w:rPr>
                <w:sz w:val="19"/>
              </w:rPr>
              <w:t xml:space="preserve">TRC corridor threshold</w:t>
            </w:r>
          </w:p>
        </w:tc>
      </w:tr>
      <w:tr>
        <w:trPr>
          <w:cantSplit/>
        </w:trPr>
        <w:tc>
          <w:tcPr>
            <w:tcW w:w="4334" w:type="dxa"/>
            <w:vAlign w:val="top"/>
            <w:tcMar>
              <w:top w:w="70" w:type="dxa"/>
              <w:start w:w="90" w:type="dxa"/>
              <w:bottom w:w="70" w:type="dxa"/>
              <w:end w:w="90" w:type="dxa"/>
            </w:tcMar>
            <w:shd w:fill="F3F7FB" w:val="clear"/>
          </w:tcPr>
          <w:p>
            <w:pPr>
              <w:pStyle w:val="Compact"/>
              <w:spacing w:before="0" w:after="0"/>
              <w:jc w:val="left"/>
            </w:pPr>
            <w:r>
              <w:rPr>
                <w:sz w:val="19"/>
              </w:rPr>
              <w:t xml:space="preserve">α</w:t>
            </w:r>
          </w:p>
        </w:tc>
        <w:tc>
          <w:tcPr>
            <w:tcW w:w="4884" w:type="dxa"/>
            <w:vAlign w:val="top"/>
            <w:tcMar>
              <w:top w:w="70" w:type="dxa"/>
              <w:start w:w="90" w:type="dxa"/>
              <w:bottom w:w="70" w:type="dxa"/>
              <w:end w:w="90" w:type="dxa"/>
            </w:tcMar>
            <w:shd w:fill="F3F7FB" w:val="clear"/>
          </w:tcPr>
          <w:p>
            <w:pPr>
              <w:pStyle w:val="Compact"/>
              <w:spacing w:before="0" w:after="0"/>
              <w:jc w:val="left"/>
            </w:pPr>
            <w:r>
              <w:rPr>
                <w:sz w:val="19"/>
              </w:rPr>
              <w:t xml:space="preserve">CVaR tail level ∈ (0, 1)</w:t>
            </w:r>
          </w:p>
        </w:tc>
      </w:tr>
      <w:tr>
        <w:trPr>
          <w:cantSplit/>
        </w:trPr>
        <w:tc>
          <w:tcPr>
            <w:tcW w:w="4334" w:type="dxa"/>
            <w:vAlign w:val="top"/>
            <w:tcMar>
              <w:top w:w="70" w:type="dxa"/>
              <w:start w:w="90" w:type="dxa"/>
              <w:bottom w:w="70" w:type="dxa"/>
              <w:end w:w="90" w:type="dxa"/>
            </w:tcMar>
            <w:shd w:fill="FFFFFF" w:val="clear"/>
          </w:tcPr>
          <w:p>
            <w:pPr>
              <w:pStyle w:val="Compact"/>
              <w:spacing w:before="0" w:after="0"/>
              <w:jc w:val="left"/>
            </w:pPr>
            <w:r>
              <w:rPr>
                <w:sz w:val="19"/>
              </w:rPr>
              <w:t xml:space="preserve">CVaR_α[L(a)]</w:t>
            </w:r>
          </w:p>
        </w:tc>
        <w:tc>
          <w:tcPr>
            <w:tcW w:w="4884" w:type="dxa"/>
            <w:vAlign w:val="top"/>
            <w:tcMar>
              <w:top w:w="70" w:type="dxa"/>
              <w:start w:w="90" w:type="dxa"/>
              <w:bottom w:w="70" w:type="dxa"/>
              <w:end w:w="90" w:type="dxa"/>
            </w:tcMar>
            <w:shd w:fill="FFFFFF" w:val="clear"/>
          </w:tcPr>
          <w:p>
            <w:pPr>
              <w:pStyle w:val="Compact"/>
              <w:spacing w:before="0" w:after="0"/>
              <w:jc w:val="left"/>
            </w:pPr>
            <w:r>
              <w:rPr>
                <w:sz w:val="19"/>
              </w:rPr>
              <w:t xml:space="preserve">Conditional Value-at-Risk for loss distribution of option a</w:t>
            </w:r>
          </w:p>
        </w:tc>
      </w:tr>
      <w:tr>
        <w:trPr>
          <w:cantSplit/>
        </w:trPr>
        <w:tc>
          <w:tcPr>
            <w:tcW w:w="4334" w:type="dxa"/>
            <w:vAlign w:val="top"/>
            <w:tcMar>
              <w:top w:w="70" w:type="dxa"/>
              <w:start w:w="90" w:type="dxa"/>
              <w:bottom w:w="70" w:type="dxa"/>
              <w:end w:w="90" w:type="dxa"/>
            </w:tcMar>
            <w:shd w:fill="F3F7FB" w:val="clear"/>
          </w:tcPr>
          <w:p>
            <w:pPr>
              <w:pStyle w:val="Compact"/>
              <w:spacing w:before="0" w:after="0"/>
              <w:jc w:val="left"/>
            </w:pPr>
            <w:r>
              <w:rPr>
                <w:sz w:val="19"/>
              </w:rPr>
              <w:t xml:space="preserve">θ_pos</w:t>
            </w:r>
          </w:p>
        </w:tc>
        <w:tc>
          <w:tcPr>
            <w:tcW w:w="4884" w:type="dxa"/>
            <w:vAlign w:val="top"/>
            <w:tcMar>
              <w:top w:w="70" w:type="dxa"/>
              <w:start w:w="90" w:type="dxa"/>
              <w:bottom w:w="70" w:type="dxa"/>
              <w:end w:w="90" w:type="dxa"/>
            </w:tcMar>
            <w:shd w:fill="F3F7FB" w:val="clear"/>
          </w:tcPr>
          <w:p>
            <w:pPr>
              <w:pStyle w:val="Compact"/>
              <w:spacing w:before="0" w:after="0"/>
              <w:jc w:val="left"/>
            </w:pPr>
            <w:r>
              <w:rPr>
                <w:sz w:val="19"/>
              </w:rPr>
              <w:t xml:space="preserve">Positive impact threshold (containment trigger), default 0.05</w:t>
            </w:r>
          </w:p>
        </w:tc>
      </w:tr>
      <w:tr>
        <w:trPr>
          <w:cantSplit/>
        </w:trPr>
        <w:tc>
          <w:tcPr>
            <w:tcW w:w="4334" w:type="dxa"/>
            <w:vAlign w:val="top"/>
            <w:tcMar>
              <w:top w:w="70" w:type="dxa"/>
              <w:start w:w="90" w:type="dxa"/>
              <w:bottom w:w="70" w:type="dxa"/>
              <w:end w:w="90" w:type="dxa"/>
            </w:tcMar>
            <w:shd w:fill="FFFFFF" w:val="clear"/>
          </w:tcPr>
          <w:p>
            <w:pPr>
              <w:pStyle w:val="Compact"/>
              <w:spacing w:before="0" w:after="0"/>
              <w:jc w:val="left"/>
            </w:pPr>
            <w:r>
              <w:rPr>
                <w:sz w:val="19"/>
              </w:rPr>
              <w:t xml:space="preserve">τ_c</w:t>
            </w:r>
          </w:p>
        </w:tc>
        <w:tc>
          <w:tcPr>
            <w:tcW w:w="4884" w:type="dxa"/>
            <w:vAlign w:val="top"/>
            <w:tcMar>
              <w:top w:w="70" w:type="dxa"/>
              <w:start w:w="90" w:type="dxa"/>
              <w:bottom w:w="70" w:type="dxa"/>
              <w:end w:w="90" w:type="dxa"/>
            </w:tcMar>
            <w:shd w:fill="FFFFFF" w:val="clear"/>
          </w:tcPr>
          <w:p>
            <w:pPr>
              <w:pStyle w:val="Compact"/>
              <w:spacing w:before="0" w:after="0"/>
              <w:jc w:val="left"/>
            </w:pPr>
            <w:r>
              <w:rPr>
                <w:sz w:val="19"/>
              </w:rPr>
              <w:t xml:space="preserve">Containment tolerance threshold, default -0.10</w:t>
            </w:r>
          </w:p>
        </w:tc>
      </w:tr>
      <w:tr>
        <w:trPr>
          <w:cantSplit/>
        </w:trPr>
        <w:tc>
          <w:tcPr>
            <w:tcW w:w="4334" w:type="dxa"/>
            <w:vAlign w:val="top"/>
            <w:tcMar>
              <w:top w:w="70" w:type="dxa"/>
              <w:start w:w="90" w:type="dxa"/>
              <w:bottom w:w="70" w:type="dxa"/>
              <w:end w:w="90" w:type="dxa"/>
            </w:tcMar>
            <w:shd w:fill="F3F7FB" w:val="clear"/>
          </w:tcPr>
          <w:p>
            <w:pPr>
              <w:pStyle w:val="Compact"/>
              <w:spacing w:before="0" w:after="0"/>
              <w:jc w:val="left"/>
            </w:pPr>
            <w:r>
              <w:rPr>
                <w:sz w:val="19"/>
              </w:rPr>
              <w:t xml:space="preserve">D_c</w:t>
            </w:r>
          </w:p>
        </w:tc>
        <w:tc>
          <w:tcPr>
            <w:tcW w:w="4884" w:type="dxa"/>
            <w:vAlign w:val="top"/>
            <w:tcMar>
              <w:top w:w="70" w:type="dxa"/>
              <w:start w:w="90" w:type="dxa"/>
              <w:bottom w:w="70" w:type="dxa"/>
              <w:end w:w="90" w:type="dxa"/>
            </w:tcMar>
            <w:shd w:fill="F3F7FB" w:val="clear"/>
          </w:tcPr>
          <w:p>
            <w:pPr>
              <w:pStyle w:val="Compact"/>
              <w:spacing w:before="0" w:after="0"/>
              <w:jc w:val="left"/>
            </w:pPr>
            <w:r>
              <w:rPr>
                <w:sz w:val="19"/>
              </w:rPr>
              <w:t xml:space="preserve">Containment ancestor depth, default 2</w:t>
            </w:r>
          </w:p>
        </w:tc>
      </w:tr>
    </w:tbl>
    <w:bookmarkEnd w:id="283"/>
    <w:bookmarkStart w:id="284" w:name="a.10-scoring-and-uncertainty"/>
    <w:p>
      <w:pPr>
        <w:pStyle w:val="Heading2"/>
      </w:pPr>
      <w:r>
        <w:t xml:space="preserve">A.10 Scoring and Uncertainty</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w_u</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Union weight (w_u ≥ 0, Σ_u w_u = 1)</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v_d</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Dimension weight (v_d ≥ 0, Σ_d v_d = 1)</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m(u,d)</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Applicability mask for RLS only ∈ {0, 1}</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κ(u,d)</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Cell multiplier for RLS, default 1</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RLS(a)</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RippleLogic Score</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σ(u,d,a)</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Cell-level uncertainty proxy</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σ_RLS(a)</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RLS uncertainty proxy</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δ</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Discrimination threshold for decisive lead, default 2</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ε</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Stabilizer in Gap computation, default 10⁻⁶</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λ</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Risk-aversion coefficient for RLS_adj, default 0.5</w:t>
            </w:r>
          </w:p>
        </w:tc>
      </w:tr>
    </w:tbl>
    <w:bookmarkEnd w:id="284"/>
    <w:bookmarkStart w:id="285" w:name="a.11-structural-metrics"/>
    <w:p>
      <w:pPr>
        <w:pStyle w:val="Heading2"/>
      </w:pPr>
      <w:r>
        <w:t xml:space="preserve">A.11 Structural Metrics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058"/>
        <w:gridCol w:w="5160"/>
      </w:tblGrid>
      <w:tr>
        <w:trPr>
          <w:tblHeader w:val="true"/>
          <w:cantSplit/>
        </w:trPr>
        <w:tc>
          <w:tcPr>
            <w:tcW w:w="405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516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UCI_u</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Union Coherence Index for union u ∈ [0, 1]</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ΔUCI_u(a)</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Coherence change under option a = UCI_u(a) − UCI_u(baseline)</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HOI_t</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Hollowing-Out Index at time t</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H_u</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Cohesion component of UCI</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F_u</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Flow component of UCI</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R_u</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Resilience component of UCI</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E_u</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Equity component of UCI (E₁ := 1 for Self)</w:t>
            </w:r>
          </w:p>
        </w:tc>
      </w:tr>
    </w:tbl>
    <w:bookmarkEnd w:id="285"/>
    <w:bookmarkStart w:id="286" w:name="a.12-audit-artifacts"/>
    <w:p>
      <w:pPr>
        <w:pStyle w:val="Heading2"/>
      </w:pPr>
      <w:r>
        <w:t xml:space="preserve">A.12 Audit Artifacts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PCC</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Provenance and Compliance Certificate</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5SPR</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Five-Sentence Public Rationale</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AIL</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Artifact Integrity Law (Tier 2-3 integrity rules)</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Audit flags</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Standard labels for invalidity or warnings (Appendix H)</w:t>
            </w:r>
          </w:p>
        </w:tc>
      </w:tr>
    </w:tbl>
    <w:bookmarkEnd w:id="286"/>
    <w:bookmarkStart w:id="287" w:name="a.13-scenario-and-trc-objects"/>
    <w:p>
      <w:pPr>
        <w:pStyle w:val="Heading2"/>
      </w:pPr>
      <w:r>
        <w:t xml:space="preserve">A.13 Scenario and TRC Objects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S</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Scenario set</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p_s</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Scenario probability (p_s ≥ 0, Σ_s p_s = 1)</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L(a,s)</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Scenario loss for option a under scenario s</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ω_c</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Catastrophe cell weight (ω_c ≥ 0, Σ_c ω_c = 1)</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p_floor</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Minimum probability floor per mandatory tail category, default 0.02</w:t>
            </w:r>
          </w:p>
        </w:tc>
      </w:tr>
    </w:tbl>
    <w:bookmarkEnd w:id="287"/>
    <w:bookmarkStart w:id="288" w:name="a.14-sgp-integration"/>
    <w:p>
      <w:pPr>
        <w:pStyle w:val="Heading2"/>
      </w:pPr>
      <w:r>
        <w:t xml:space="preserve">A.14 SGP Integration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SG_norm(E)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Authoritative effective SGP individual scalar for entity E ∈ [0,1], consumed through the SGP binding interface. It is a governed protection/standing interface value, not a direct consciousness detector.</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A(E), B(E), 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SGP pillar scores: Awareness, Agency, Union Participation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SG_patient_norm(E)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Rights-of-protection sentience scalar for entity E ∈ [0, 1], incorporating taxon baseline logic when provided by SGP.</w:t>
            </w:r>
          </w:p>
        </w:tc>
      </w:tr>
    </w:tbl>
    <w:p>
      <w:pPr>
        <w:pStyle w:val="BodyText"/>
      </w:pPr>
      <w:r>
        <w:t xml:space="preserve">End Appendix A.</w:t>
      </w:r>
    </w:p>
    <w:bookmarkEnd w:id="288"/>
    <w:bookmarkEnd w:id="289"/>
    <w:bookmarkStart w:id="310" w:name="X0dd11ef948f363d18a496ae2ba3aeff938adf34"/>
    <w:p>
      <w:pPr>
        <w:pStyle w:val="Heading1"/>
      </w:pPr>
      <w:r>
        <w:t xml:space="preserve">APPENDIX B: CANONICAL EQUATIONS (TIER 1-3 EXECUTABLE)</w:t>
      </w:r>
    </w:p>
    <w:p>
      <w:pPr>
        <w:pStyle w:val="FirstParagraph"/>
      </w:pPr>
      <w:r>
        <w:t xml:space="preserve">Appendix B is normative and is the canonical equation pack for Tier 1-3 implementations. All equations are reproduced explicitly for standalone executability.</w:t>
      </w:r>
    </w:p>
    <w:bookmarkStart w:id="290" w:name="b.1-temporal-weighting"/>
    <w:p>
      <w:pPr>
        <w:pStyle w:val="Heading2"/>
      </w:pPr>
      <w:r>
        <w:t xml:space="preserve">B.1 Temporal Weighting</w:t>
      </w:r>
    </w:p>
    <w:p>
      <w:pPr>
        <w:pStyle w:val="FirstParagraph"/>
      </w:pPr>
      <w:r>
        <w:t xml:space="preserve">Defaults: T_ref = 25 years; t_min = 0.083 years (≈1 month).</w:t>
      </w:r>
    </w:p>
    <w:p>
      <w:pPr>
        <w:pStyle w:val="BodyText"/>
      </w:pPr>
      <w:r>
        <w:t xml:space="preserve">τ(t) = min(1, ln(1 + max(t, t_min)) / ln(1 + T_ref))</w:t>
      </w:r>
    </w:p>
    <w:p>
      <w:pPr>
        <w:pStyle w:val="BodyText"/>
      </w:pPr>
      <w:r>
        <w:t xml:space="preserve">This function has three properties by construction:</w:t>
      </w:r>
    </w:p>
    <w:p>
      <w:pPr>
        <w:pStyle w:val="BodyText"/>
      </w:pPr>
      <w:r>
        <w:t xml:space="preserve">(a) Logarithmic growth ensures that short-term effects receive proportionally less weight than long-term effects, without the exponential discounting that aggressively devalues future generations.</w:t>
      </w:r>
    </w:p>
    <w:p>
      <w:pPr>
        <w:pStyle w:val="BodyText"/>
      </w:pPr>
      <w:r>
        <w:t xml:space="preserve">(b) The min(1, ·) cap ensures that no effect receives more temporal weight than the governance reference horizon. At T_ref, τ = 1.00. Beyond T_ref, τ remains 1.00 (capped).</w:t>
      </w:r>
    </w:p>
    <w:p>
      <w:pPr>
        <w:pStyle w:val="BodyText"/>
      </w:pPr>
      <w:r>
        <w:t xml:space="preserve">(c) The max(t, t_min) floor ensures that τ(t) &gt; 0 for all positive t, preventing very short-term effects from being zeroed out.</w:t>
      </w:r>
    </w:p>
    <w:p>
      <w:pPr>
        <w:pStyle w:val="BodyText"/>
      </w:pPr>
      <w:r>
        <w:t xml:space="preserve">Illustrative values (with defaults T_ref = 25, t_min = 0.083):</w:t>
      </w:r>
    </w:p>
    <w:p>
      <w:pPr>
        <w:pStyle w:val="BodyText"/>
      </w:pPr>
      <w:r>
        <w:t xml:space="preserve">At 100 years: τ = 1.00 (capped)</w:t>
      </w:r>
    </w:p>
    <w:p>
      <w:pPr>
        <w:pStyle w:val="BodyText"/>
      </w:pPr>
      <w:r>
        <w:t xml:space="preserve">At 50 years: τ = 1.00 (capped)</w:t>
      </w:r>
    </w:p>
    <w:p>
      <w:pPr>
        <w:pStyle w:val="BodyText"/>
      </w:pPr>
      <w:r>
        <w:t xml:space="preserve">At 25 years: τ = 1.00</w:t>
      </w:r>
    </w:p>
    <w:p>
      <w:pPr>
        <w:pStyle w:val="BodyText"/>
      </w:pPr>
      <w:r>
        <w:t xml:space="preserve">At 10 years: τ ≈ 0.74</w:t>
      </w:r>
    </w:p>
    <w:p>
      <w:pPr>
        <w:pStyle w:val="BodyText"/>
      </w:pPr>
      <w:r>
        <w:t xml:space="preserve">At 5 years: τ ≈ 0.55</w:t>
      </w:r>
    </w:p>
    <w:p>
      <w:pPr>
        <w:pStyle w:val="BodyText"/>
      </w:pPr>
      <w:r>
        <w:t xml:space="preserve">At 1 year: τ ≈ 0.21</w:t>
      </w:r>
    </w:p>
    <w:p>
      <w:pPr>
        <w:pStyle w:val="BodyText"/>
      </w:pPr>
      <w:r>
        <w:t xml:space="preserve">At t_min (≈1 month): τ ≈ 0.025</w:t>
      </w:r>
    </w:p>
    <w:p>
      <w:pPr>
        <w:pStyle w:val="BodyText"/>
      </w:pPr>
      <w:r>
        <w:t xml:space="preserve">Historical change note (v7.5.0; carried forward unchanged in v9.0): This replaces the uncapped function τ(t) = ln(1+t)/ln(1+T_ref) from v7.4.5, which produced τ(50) ≈ 1.22. The capped version is normatively preferred. See Section 5.3 for design rationale.</w:t>
      </w:r>
    </w:p>
    <w:bookmarkEnd w:id="290"/>
    <w:bookmarkStart w:id="291" w:name="X4554ab925deb9b6389101d7f9011c0129777a05"/>
    <w:p>
      <w:pPr>
        <w:pStyle w:val="Heading2"/>
      </w:pPr>
      <w:r>
        <w:t xml:space="preserve">B.2 Direct Impact Aggregation (Pre-Saturation; stream-separated)</w:t>
      </w:r>
    </w:p>
    <w:bookmarkEnd w:id="291"/>
    <w:bookmarkStart w:id="292" w:name="b.2a-base-stream-admissibility-s_k-1"/>
    <w:p>
      <w:pPr>
        <w:pStyle w:val="Heading2"/>
      </w:pPr>
      <w:r>
        <w:t xml:space="preserve">B.2A Base stream (admissibility; s_k := 1):</w:t>
      </w:r>
    </w:p>
    <w:p>
      <w:pPr>
        <w:pStyle w:val="FirstParagraph"/>
      </w:pPr>
      <w:r>
        <w:t xml:space="preserve">Ĩ_dir_base(u,d,a) = Σ_{k ∈ K(u,d,a)} [r_k × τ(t_k) × ℓ_k × c_k × e_k × (1) × μ_k]</w:t>
      </w:r>
    </w:p>
    <w:p>
      <w:pPr>
        <w:pStyle w:val="BodyText"/>
      </w:pPr>
      <w:r>
        <w:t xml:space="preserve">B.2A Gate-critical confidence guard. In the Base stream used by RF/NCRC, TRC, and CSV, c_k represents evidence confidence but cannot by itself excuse unresolved severe adverse gate-critical impacts. Where a rights-covered, catastrophe-covered, or material CSV impact is adverse and low-confidence, and where the gate outcome could change, implementations MUST apply the Gate-critical confidence guard in Section 5: conservative bound, narrower claim, stronger evidence and rerun, downgrade, escalation, or Refusal.</w:t>
      </w:r>
    </w:p>
    <w:bookmarkEnd w:id="292"/>
    <w:bookmarkStart w:id="293" w:name="Xb9f98ce1e12829bba86fd30643abd87001d8d5e"/>
    <w:p>
      <w:pPr>
        <w:pStyle w:val="Heading2"/>
      </w:pPr>
      <w:r>
        <w:t xml:space="preserve">B.2B Welfare stream (RLS; sentience weights allowed):</w:t>
      </w:r>
    </w:p>
    <w:p>
      <w:pPr>
        <w:pStyle w:val="FirstParagraph"/>
      </w:pPr>
      <w:r>
        <w:t xml:space="preserve">Ĩ_dir_welfare(u,d,a) = Σ_{k ∈ K(u,d,a)} [r_k × τ(t_k) × ℓ_k × c_k × e_k × s_{k,welfare} × μ_k]</w:t>
      </w:r>
    </w:p>
    <w:p>
      <w:pPr>
        <w:pStyle w:val="BodyText"/>
      </w:pPr>
      <w:r>
        <w:t xml:space="preserve">Here s_{k,welfare} is set via the SGP interface only as permitted by Section 12 and Appendix G; the Base stream (B.2A) fixes s_k := 1.0 for all instances.</w:t>
      </w:r>
    </w:p>
    <w:p>
      <w:pPr>
        <w:pStyle w:val="BodyText"/>
      </w:pPr>
      <w:r>
        <w:t xml:space="preserve">Where K(u,d,a) is the set of impact instances asserted for cell (u,d) under option a.</w:t>
      </w:r>
    </w:p>
    <w:bookmarkEnd w:id="293"/>
    <w:bookmarkStart w:id="294" w:name="b.3-direct-saturation-per-stream"/>
    <w:p>
      <w:pPr>
        <w:pStyle w:val="Heading2"/>
      </w:pPr>
      <w:r>
        <w:t xml:space="preserve">B.3 Direct Saturation (per stream)</w:t>
      </w:r>
    </w:p>
    <w:p>
      <w:pPr>
        <w:pStyle w:val="FirstParagraph"/>
      </w:pPr>
      <w:r>
        <w:t xml:space="preserve">For x ∈ {base, welfare}:</w:t>
      </w:r>
    </w:p>
    <w:p>
      <w:pPr>
        <w:pStyle w:val="BodyText"/>
      </w:pPr>
      <w:r>
        <w:t xml:space="preserve">I_dir_x(u,d,a) = tanh(β × Ĩ_dir_x(u,d,a))</w:t>
      </w:r>
    </w:p>
    <w:p>
      <w:pPr>
        <w:pStyle w:val="BodyText"/>
      </w:pPr>
      <w:r>
        <w:t xml:space="preserve">Default: β = 2.</w:t>
      </w:r>
    </w:p>
    <w:bookmarkEnd w:id="294"/>
    <w:bookmarkStart w:id="295" w:name="X883664837d612b6725b095aa1d6065bcd2b67ff"/>
    <w:p>
      <w:pPr>
        <w:pStyle w:val="Heading2"/>
      </w:pPr>
      <w:r>
        <w:t xml:space="preserve">B.4 Missing Data (Ignorance Penalty Phantom Instance)</w:t>
      </w:r>
    </w:p>
    <w:p>
      <w:pPr>
        <w:pStyle w:val="FirstParagraph"/>
      </w:pPr>
      <w:r>
        <w:t xml:space="preserve">If cell (u,d) is required-active but K(u,d,a) = ∅, add phantom instance with:</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058"/>
        <w:gridCol w:w="5160"/>
      </w:tblGrid>
      <w:tr>
        <w:trPr>
          <w:tblHeader w:val="true"/>
          <w:cantSplit/>
        </w:trPr>
        <w:tc>
          <w:tcPr>
            <w:tcW w:w="405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Parameter</w:t>
            </w:r>
          </w:p>
        </w:tc>
        <w:tc>
          <w:tcPr>
            <w:tcW w:w="516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Phantom Value</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μ_phantom</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r</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t</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T_ref (25 years)</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ℓ</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c</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3F7FB" w:val="clear"/>
          </w:tcPr>
          <w:p>
            <w:pPr>
              <w:pStyle w:val="Compact"/>
              <w:spacing w:before="0" w:after="0"/>
              <w:jc w:val="left"/>
            </w:pPr>
            <w:r>
              <w:rPr>
                <w:sz w:val="19"/>
              </w:rPr>
              <w:t xml:space="preserve">e</w:t>
            </w:r>
          </w:p>
        </w:tc>
        <w:tc>
          <w:tcPr>
            <w:tcW w:w="5160" w:type="dxa"/>
            <w:vAlign w:val="top"/>
            <w:tcMar>
              <w:top w:w="70" w:type="dxa"/>
              <w:start w:w="90" w:type="dxa"/>
              <w:bottom w:w="70" w:type="dxa"/>
              <w:end w:w="90" w:type="dxa"/>
            </w:tcMar>
            <w:shd w:fill="F3F7FB" w:val="clear"/>
          </w:tcPr>
          <w:p>
            <w:pPr>
              <w:pStyle w:val="Compact"/>
              <w:spacing w:before="0" w:after="0"/>
              <w:jc w:val="left"/>
            </w:pPr>
            <w:r>
              <w:rPr>
                <w:sz w:val="19"/>
              </w:rPr>
              <w:t xml:space="preserve">1</w:t>
            </w:r>
          </w:p>
        </w:tc>
      </w:tr>
      <w:tr>
        <w:trPr>
          <w:cantSplit/>
        </w:trPr>
        <w:tc>
          <w:tcPr>
            <w:tcW w:w="4058" w:type="dxa"/>
            <w:vAlign w:val="top"/>
            <w:tcMar>
              <w:top w:w="70" w:type="dxa"/>
              <w:start w:w="90" w:type="dxa"/>
              <w:bottom w:w="70" w:type="dxa"/>
              <w:end w:w="90" w:type="dxa"/>
            </w:tcMar>
            <w:shd w:fill="FFFFFF" w:val="clear"/>
          </w:tcPr>
          <w:p>
            <w:pPr>
              <w:pStyle w:val="Compact"/>
              <w:spacing w:before="0" w:after="0"/>
              <w:jc w:val="left"/>
            </w:pPr>
            <w:r>
              <w:rPr>
                <w:sz w:val="19"/>
              </w:rPr>
              <w:t xml:space="preserve">s</w:t>
            </w:r>
          </w:p>
        </w:tc>
        <w:tc>
          <w:tcPr>
            <w:tcW w:w="5160" w:type="dxa"/>
            <w:vAlign w:val="top"/>
            <w:tcMar>
              <w:top w:w="70" w:type="dxa"/>
              <w:start w:w="90" w:type="dxa"/>
              <w:bottom w:w="70" w:type="dxa"/>
              <w:end w:w="90" w:type="dxa"/>
            </w:tcMar>
            <w:shd w:fill="FFFFFF" w:val="clear"/>
          </w:tcPr>
          <w:p>
            <w:pPr>
              <w:pStyle w:val="Compact"/>
              <w:spacing w:before="0" w:after="0"/>
              <w:jc w:val="left"/>
            </w:pPr>
            <w:r>
              <w:rPr>
                <w:sz w:val="19"/>
              </w:rPr>
              <w:t xml:space="preserve">1</w:t>
            </w:r>
          </w:p>
        </w:tc>
      </w:tr>
    </w:tbl>
    <w:bookmarkEnd w:id="295"/>
    <w:bookmarkStart w:id="296" w:name="b.5-flattening-map-kernel-indexing"/>
    <w:p>
      <w:pPr>
        <w:pStyle w:val="Heading2"/>
      </w:pPr>
      <w:r>
        <w:t xml:space="preserve">B.5 Flattening Map (Kernel Indexing)</w:t>
      </w:r>
    </w:p>
    <w:p>
      <w:pPr>
        <w:pStyle w:val="FirstParagraph"/>
      </w:pPr>
      <w:r>
        <w:t xml:space="preserve">Vectorize I_dir into a 49-vector by:</w:t>
      </w:r>
    </w:p>
    <w:p>
      <w:pPr>
        <w:pStyle w:val="BodyText"/>
      </w:pPr>
      <w:r>
        <w:t xml:space="preserve">i = φ(u,d) = 7(u − 1) + d</w:t>
      </w:r>
    </w:p>
    <w:bookmarkEnd w:id="296"/>
    <w:bookmarkStart w:id="297" w:name="Xc82c26f5edc3d38f338c6f582fcbf4712b758ae"/>
    <w:p>
      <w:pPr>
        <w:pStyle w:val="Heading2"/>
      </w:pPr>
      <w:r>
        <w:t xml:space="preserve">B.6 Propagation Modes (Tier 1-3: NONE and QUICK only)</w:t>
      </w:r>
    </w:p>
    <w:p>
      <w:pPr>
        <w:pStyle w:val="FirstParagraph"/>
      </w:pPr>
      <w:r>
        <w:t xml:space="preserve">NONE:</w:t>
      </w:r>
    </w:p>
    <w:p>
      <w:pPr>
        <w:pStyle w:val="BodyText"/>
      </w:pPr>
      <w:r>
        <w:t xml:space="preserve">For x ∈ {base, welfare}: I_prop_x := I_dir_x</w:t>
      </w:r>
    </w:p>
    <w:p>
      <w:pPr>
        <w:pStyle w:val="BodyText"/>
      </w:pPr>
      <w:r>
        <w:t xml:space="preserve">QUICK:</w:t>
      </w:r>
    </w:p>
    <w:p>
      <w:pPr>
        <w:pStyle w:val="BodyText"/>
      </w:pPr>
      <w:r>
        <w:t xml:space="preserve">For stream x ∈ {base, welfare}: Ĩ_prop_x = I_dir_x + K × I_dir_x</w:t>
      </w:r>
    </w:p>
    <w:p>
      <w:pPr>
        <w:pStyle w:val="BodyText"/>
      </w:pPr>
      <w:r>
        <w:t xml:space="preserve">Then apply post-propagation saturation (B.7).</w:t>
      </w:r>
    </w:p>
    <w:bookmarkEnd w:id="297"/>
    <w:bookmarkStart w:id="298" w:name="X25146e09cae226d9dfc5be5a459283b1f358b70"/>
    <w:p>
      <w:pPr>
        <w:pStyle w:val="Heading2"/>
      </w:pPr>
      <w:r>
        <w:t xml:space="preserve">B.7 Post-Propagation Saturation (per stream)</w:t>
      </w:r>
    </w:p>
    <w:p>
      <w:pPr>
        <w:pStyle w:val="FirstParagraph"/>
      </w:pPr>
      <w:r>
        <w:t xml:space="preserve">For x ∈ {base, welfare}:</w:t>
      </w:r>
    </w:p>
    <w:p>
      <w:pPr>
        <w:pStyle w:val="BodyText"/>
      </w:pPr>
      <w:r>
        <w:t xml:space="preserve">I_prop_x(u,d,a) = tanh(β_prop × Ĩ_prop_x(u,d,a))</w:t>
      </w:r>
    </w:p>
    <w:p>
      <w:pPr>
        <w:pStyle w:val="BodyText"/>
      </w:pPr>
      <w:r>
        <w:t xml:space="preserve">Default: β_prop = 1.</w:t>
      </w:r>
    </w:p>
    <w:bookmarkEnd w:id="298"/>
    <w:bookmarkStart w:id="299" w:name="b.8-worst-off-subgroup-impact-rights"/>
    <w:p>
      <w:pPr>
        <w:pStyle w:val="Heading2"/>
      </w:pPr>
      <w:r>
        <w:t xml:space="preserve">B.8 Worst-Off Subgroup Impact (Rights)</w:t>
      </w:r>
    </w:p>
    <w:p>
      <w:pPr>
        <w:pStyle w:val="FirstParagraph"/>
      </w:pPr>
      <w:r>
        <w:t xml:space="preserve">I_rights(u,d,a) = min_{g ∈ G_{u,d}} I_prop_base(u,d,a|g)</w:t>
      </w:r>
    </w:p>
    <w:bookmarkEnd w:id="299"/>
    <w:bookmarkStart w:id="300" w:name="X4b70e04260f214504c4717799cc440c994f8b99"/>
    <w:p>
      <w:pPr>
        <w:pStyle w:val="Heading2"/>
      </w:pPr>
      <w:r>
        <w:t xml:space="preserve">B.9 NCRC Violation Depth and Rights Admissibility</w:t>
      </w:r>
    </w:p>
    <w:p>
      <w:pPr>
        <w:pStyle w:val="FirstParagraph"/>
      </w:pPr>
      <w:r>
        <w:t xml:space="preserve">For each right r with threshold θ_r and coverage set C_r:</w:t>
      </w:r>
    </w:p>
    <w:p>
      <w:pPr>
        <w:pStyle w:val="BodyText"/>
      </w:pPr>
      <w:r>
        <w:t xml:space="preserve">v_r(a) = max_{(u,d) ∈ C_r} (θ_r − I_rights(u,d,a))⁺</w:t>
      </w:r>
    </w:p>
    <w:p>
      <w:pPr>
        <w:pStyle w:val="BodyText"/>
      </w:pPr>
      <w:r>
        <w:t xml:space="preserve">where (x)⁺ = max(x, 0).</w:t>
      </w:r>
    </w:p>
    <w:p>
      <w:pPr>
        <w:pStyle w:val="BodyText"/>
      </w:pPr>
      <w:r>
        <w:t xml:space="preserve">NCRC(a) = TRUE if and only if v_r(a) = 0 for all r ∈ R</w:t>
      </w:r>
    </w:p>
    <w:bookmarkEnd w:id="300"/>
    <w:bookmarkStart w:id="301" w:name="Xa190a6564018af14467492d60f9b7477858d9fe"/>
    <w:p>
      <w:pPr>
        <w:pStyle w:val="Heading2"/>
      </w:pPr>
      <w:r>
        <w:t xml:space="preserve">B.10 TRC Loss (Tier 1-3 Bounded-Impact Mode)</w:t>
      </w:r>
    </w:p>
    <w:p>
      <w:pPr>
        <w:pStyle w:val="FirstParagraph"/>
      </w:pPr>
      <w:r>
        <w:t xml:space="preserve">Let C_cat be catastrophe cells and ω catastrophe weights.</w:t>
      </w:r>
    </w:p>
    <w:p>
      <w:pPr>
        <w:pStyle w:val="BodyText"/>
      </w:pPr>
      <w:r>
        <w:t xml:space="preserve">Normative stream binding (Design A): TRC MUST be computed from the Base stream (I_prop_base). TRC MUST NOT use Welfare-stream (sentience-weighted) impacts.</w:t>
      </w:r>
    </w:p>
    <w:p>
      <w:pPr>
        <w:pStyle w:val="BodyText"/>
      </w:pPr>
      <w:r>
        <w:t xml:space="preserve">For scenario s:</w:t>
      </w:r>
    </w:p>
    <w:p>
      <w:pPr>
        <w:pStyle w:val="BodyText"/>
      </w:pPr>
      <w:r>
        <w:t xml:space="preserve">L(a,s) = Σ_{c ∈ C_cat} ω_c × (−I_prop_base,c(a|s))⁺</w:t>
      </w:r>
    </w:p>
    <w:p>
      <w:pPr>
        <w:pStyle w:val="BodyText"/>
      </w:pPr>
      <w:r>
        <w:t xml:space="preserve">TRC uses CVaR (Appendix D for discrete computation) and corridor threshold τ_TRC:</w:t>
      </w:r>
    </w:p>
    <w:p>
      <w:pPr>
        <w:pStyle w:val="BodyText"/>
      </w:pPr>
      <w:r>
        <w:t xml:space="preserve">TRC(a) = TRUE if and only if CVaR_α[L(a)] ≤ τ_TRC</w:t>
      </w:r>
    </w:p>
    <w:bookmarkEnd w:id="301"/>
    <w:bookmarkStart w:id="302" w:name="b.11-containment-mode-a-binding"/>
    <w:p>
      <w:pPr>
        <w:pStyle w:val="Heading2"/>
      </w:pPr>
      <w:r>
        <w:t xml:space="preserve">B.11 Containment Mode A (Binding)</w:t>
      </w:r>
    </w:p>
    <w:p>
      <w:pPr>
        <w:pStyle w:val="FirstParagraph"/>
      </w:pPr>
      <w:r>
        <w:t xml:space="preserve">Define positively moving unions:</w:t>
      </w:r>
    </w:p>
    <w:p>
      <w:pPr>
        <w:pStyle w:val="BodyText"/>
      </w:pPr>
      <w:r>
        <w:t xml:space="preserve">S_u(a) = Σ_d v_d^cont × I_prop_base(u,d,a)</w:t>
      </w:r>
    </w:p>
    <w:p>
      <w:pPr>
        <w:pStyle w:val="BodyText"/>
      </w:pPr>
      <w:r>
        <w:t xml:space="preserve">Containment trigger weights (Normative). Use the containment-specific vector v_d^cont (default uniform 1/7). Do not use HDW welfare weights for containment trigger detection.</w:t>
      </w:r>
    </w:p>
    <w:p>
      <w:pPr>
        <w:pStyle w:val="BodyText"/>
      </w:pPr>
      <w:r>
        <w:t xml:space="preserve">U_pos(a) = {u : S_u(a) ≥ θ_pos}</w:t>
      </w:r>
    </w:p>
    <w:p>
      <w:pPr>
        <w:pStyle w:val="BodyText"/>
      </w:pPr>
      <w:r>
        <w:t xml:space="preserve">For each u ∈ U_pos(a):</w:t>
      </w:r>
    </w:p>
    <w:p>
      <w:pPr>
        <w:pStyle w:val="BodyText"/>
      </w:pPr>
      <w:r>
        <w:t xml:space="preserve">M_u(a) = min_{u’ ∈ Anc(u, D_c)} ΔUCI_{u’}(a)</w:t>
      </w:r>
    </w:p>
    <w:p>
      <w:pPr>
        <w:pStyle w:val="BodyText"/>
      </w:pPr>
      <w:r>
        <w:t xml:space="preserve">Global containment predicate for material CSV runs:</w:t>
      </w:r>
    </w:p>
    <w:p>
      <w:pPr>
        <w:pStyle w:val="BodyText"/>
      </w:pPr>
      <w:r>
        <w:t xml:space="preserve">CSV_status(a) in {CSV_PASS, CSV_PASS_WITH_CONTROLS} if and only if for all u ∈ U_pos(a): M_u(a) ≥ τ_c.</w:t>
      </w:r>
    </w:p>
    <w:p>
      <w:pPr>
        <w:pStyle w:val="BodyText"/>
      </w:pPr>
      <w:r>
        <w:t xml:space="preserve">Selectability compatibility note. CSV_NOT_MATERIAL is not a material Containment Mode A pass calculation; it is a documented disposition that the CSV burden is not material for the declared claim boundary. When PCC rationale supports CSV_NOT_MATERIAL, it is pass-equivalent for selectability under Section 9.5.</w:t>
      </w:r>
    </w:p>
    <w:bookmarkEnd w:id="302"/>
    <w:bookmarkStart w:id="303" w:name="b.12-ripplelogic-score-rls"/>
    <w:p>
      <w:pPr>
        <w:pStyle w:val="Heading2"/>
      </w:pPr>
      <w:r>
        <w:t xml:space="preserve">B.12 RippleLogic Score (RLS)</w:t>
      </w:r>
    </w:p>
    <w:p>
      <w:pPr>
        <w:pStyle w:val="FirstParagraph"/>
      </w:pPr>
      <w:r>
        <w:t xml:space="preserve">RLS(a) = Σ_u Σ_d w_u × v_d × m(u,d) × κ(u,d) × I_prop_welfare(u,d,a)</w:t>
      </w:r>
    </w:p>
    <w:p>
      <w:pPr>
        <w:pStyle w:val="BodyText"/>
      </w:pPr>
      <w:r>
        <w:t xml:space="preserve">Default: κ(u,d) = 1, m(u,d) = 1 unless masked.</w:t>
      </w:r>
    </w:p>
    <w:bookmarkEnd w:id="303"/>
    <w:bookmarkStart w:id="304" w:name="X2aab3841d9f43dadce0dc5acc2210d4dd1b17e0"/>
    <w:p>
      <w:pPr>
        <w:pStyle w:val="Heading2"/>
      </w:pPr>
      <w:r>
        <w:t xml:space="preserve">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bookmarkEnd w:id="304"/>
    <w:bookmarkStart w:id="305" w:name="X5d60de601ae04889467c68e61646ad39c2af2c0"/>
    <w:p>
      <w:pPr>
        <w:pStyle w:val="Heading2"/>
      </w:pPr>
      <w:r>
        <w:t xml:space="preserve">B.13 RLS Uncertainty (Optional; Tier 3 Required)</w:t>
      </w:r>
    </w:p>
    <w:p>
      <w:pPr>
        <w:pStyle w:val="FirstParagraph"/>
      </w:pPr>
      <w:r>
        <w:t xml:space="preserve">Definition of σ(u,d,a) (normative minimum): PCC MUST declare one of the following cell-level uncertainty proxies and apply it consistently across options:</w:t>
      </w:r>
    </w:p>
    <w:p>
      <w:pPr>
        <w:pStyle w:val="BodyText"/>
      </w:pPr>
      <w:r>
        <w:t xml:space="preserve">Method A (interval half-width): If the PCC records a confidence interval [L,U] for the cell impact I(u,d,a), set σ(u,d,a) = (U − L)/2.</w:t>
      </w:r>
    </w:p>
    <w:p>
      <w:pPr>
        <w:pStyle w:val="BodyText"/>
      </w:pPr>
      <w:r>
        <w:t xml:space="preserve">Method B (confidence-derived): If the PCC records impact instances with confidences c_k ∈[0.1,1] and the run selects Method B, then the PCC MUST derive a cell-level confidence c(u,d,a)∈[0,1] from {c_k} using one declared CellConfidenceAggregationMethod per Section 10.3.2, and set:</w:t>
      </w:r>
      <w:r>
        <w:br/>
      </w:r>
      <w:r>
        <w:t xml:space="preserve">σ(u,d,a) = (1 − c(u,d,a)) · |I(u,d,a)|</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σ_RLS(a) = √[Σ_u Σ_d (w_u × v_d × m(u,d) × κ(u,d) × σ(u,d,a))²]</w:t>
      </w:r>
    </w:p>
    <w:p>
      <w:pPr>
        <w:pStyle w:val="BodyText"/>
      </w:pPr>
      <w:r>
        <w:t xml:space="preserve">Risk-adjusted score (optional):</w:t>
      </w:r>
    </w:p>
    <w:p>
      <w:pPr>
        <w:pStyle w:val="BodyText"/>
      </w:pPr>
      <w:r>
        <w:t xml:space="preserve">RLS_adj(a) = RLS(a) − λ × σ_RLS(a)</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305"/>
    <w:bookmarkStart w:id="306" w:name="X26e542b7aad330054cc3215568c3c794063b83e"/>
    <w:p>
      <w:pPr>
        <w:pStyle w:val="Heading2"/>
      </w:pPr>
      <w:r>
        <w:t xml:space="preserve">B.14 Discrimination Gap (Decisive vs Non-Decisive)</w:t>
      </w:r>
    </w:p>
    <w:p>
      <w:pPr>
        <w:pStyle w:val="FirstParagraph"/>
      </w:pPr>
      <w:r>
        <w:t xml:space="preserve">Gap(a,b) = abs(RLS(a) - RLS(b)) / sqrt(sigma_RLS(a)^2 + sigma_RLS(b)^2 + epsilon)</w:t>
      </w:r>
    </w:p>
    <w:p>
      <w:pPr>
        <w:pStyle w:val="BodyText"/>
      </w:pPr>
      <w:r>
        <w:t xml:space="preserve">Default: delta = 2, epsilon = 1e-6.</w:t>
      </w:r>
    </w:p>
    <w:p>
      <w:pPr>
        <w:pStyle w:val="BodyText"/>
      </w:pPr>
      <w:r>
        <w:t xml:space="preserve">Decisive lead if Gap(a*, a2) &gt; delta.</w:t>
      </w:r>
    </w:p>
    <w:bookmarkEnd w:id="306"/>
    <w:bookmarkStart w:id="307" w:name="b.15-uci-computation"/>
    <w:p>
      <w:pPr>
        <w:pStyle w:val="Heading2"/>
      </w:pPr>
      <w:r>
        <w:t xml:space="preserve">B.15 UCI Computation</w:t>
      </w:r>
    </w:p>
    <w:p>
      <w:pPr>
        <w:pStyle w:val="FirstParagraph"/>
      </w:pPr>
      <w:r>
        <w:t xml:space="preserve">UCI_u = α_H × H_u + α_F × F_u + α_R × R_u + α_E × E_u</w:t>
      </w:r>
    </w:p>
    <w:p>
      <w:pPr>
        <w:pStyle w:val="BodyText"/>
      </w:pPr>
      <w:r>
        <w:t xml:space="preserve">Default: α_H = α_F = α_R = α_E = 0.25.</w:t>
      </w:r>
    </w:p>
    <w:p>
      <w:pPr>
        <w:pStyle w:val="BodyText"/>
      </w:pPr>
      <w:r>
        <w:t xml:space="preserve">Special case for Self (U₁): E₁ := 1 by definition.</w:t>
      </w:r>
    </w:p>
    <w:bookmarkEnd w:id="307"/>
    <w:bookmarkStart w:id="308" w:name="b.16-δuci-computation"/>
    <w:p>
      <w:pPr>
        <w:pStyle w:val="Heading2"/>
      </w:pPr>
      <w:r>
        <w:t xml:space="preserve">B.16 ΔUCI Computation</w:t>
      </w:r>
    </w:p>
    <w:p>
      <w:pPr>
        <w:pStyle w:val="FirstParagraph"/>
      </w:pPr>
      <w:r>
        <w:t xml:space="preserve">ΔUCI_u(a) = UCI_u(a) − UCI_u(baseline)</w:t>
      </w:r>
    </w:p>
    <w:bookmarkEnd w:id="308"/>
    <w:bookmarkStart w:id="309" w:name="b.17-hoi-computation"/>
    <w:p>
      <w:pPr>
        <w:pStyle w:val="Heading2"/>
      </w:pPr>
      <w:r>
        <w:t xml:space="preserve">B.17 HOI Computation</w:t>
      </w:r>
    </w:p>
    <w:p>
      <w:pPr>
        <w:pStyle w:val="FirstParagraph"/>
      </w:pPr>
      <w:r>
        <w:t xml:space="preserve">HOI_t = EMA_λ(ΔRLS)_t − EMA_λ(ΔUCI)_t</w:t>
      </w:r>
    </w:p>
    <w:p>
      <w:pPr>
        <w:pStyle w:val="BodyText"/>
      </w:pPr>
      <w:r>
        <w:t xml:space="preserve">Default half-life: 3 periods.</w:t>
      </w:r>
    </w:p>
    <w:p>
      <w:pPr>
        <w:pStyle w:val="BodyText"/>
      </w:pPr>
      <w:r>
        <w:t xml:space="preserve">End Appendix B.</w:t>
      </w:r>
    </w:p>
    <w:bookmarkEnd w:id="309"/>
    <w:bookmarkEnd w:id="310"/>
    <w:bookmarkStart w:id="318" w:name="X7e9e2ea1eeee25538c0100fc0c82a786fc99a73"/>
    <w:p>
      <w:pPr>
        <w:pStyle w:val="Heading1"/>
      </w:pPr>
      <w:r>
        <w:t xml:space="preserve">APPENDIX C: RIGHTS / NCRC CANON PACK (TIER 1-3)</w:t>
      </w:r>
    </w:p>
    <w:p>
      <w:pPr>
        <w:pStyle w:val="FirstParagraph"/>
      </w:pPr>
      <w:r>
        <w:t xml:space="preserve">Appendix C is normative.</w:t>
      </w:r>
    </w:p>
    <w:bookmarkStart w:id="311" w:name="c.1-rights-thresholds-canonical"/>
    <w:p>
      <w:pPr>
        <w:pStyle w:val="Heading2"/>
      </w:pPr>
      <w:r>
        <w:t xml:space="preserve">C.1 Rights Thresholds (Canonical)</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457"/>
        <w:gridCol w:w="2587"/>
        <w:gridCol w:w="3173"/>
      </w:tblGrid>
      <w:tr>
        <w:trPr>
          <w:tblHeader w:val="true"/>
          <w:cantSplit/>
        </w:trPr>
        <w:tc>
          <w:tcPr>
            <w:tcW w:w="345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Right</w:t>
            </w:r>
          </w:p>
        </w:tc>
        <w:tc>
          <w:tcPr>
            <w:tcW w:w="258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Code</w:t>
            </w:r>
          </w:p>
        </w:tc>
        <w:tc>
          <w:tcPr>
            <w:tcW w:w="31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Threshold θ_r</w:t>
            </w:r>
          </w:p>
        </w:tc>
      </w:tr>
      <w:tr>
        <w:trPr>
          <w:cantSplit/>
        </w:trPr>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Life</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LIFE</w:t>
            </w:r>
          </w:p>
        </w:tc>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-0.90</w:t>
            </w:r>
          </w:p>
        </w:tc>
      </w:tr>
      <w:tr>
        <w:trPr>
          <w:cantSplit/>
        </w:trPr>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Bodily Integrity</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BODY</w:t>
            </w:r>
          </w:p>
        </w:tc>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-0.70</w:t>
            </w:r>
          </w:p>
        </w:tc>
      </w:tr>
      <w:tr>
        <w:trPr>
          <w:cantSplit/>
        </w:trPr>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Liberty</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LBTY</w:t>
            </w:r>
          </w:p>
        </w:tc>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-0.65</w:t>
            </w:r>
          </w:p>
        </w:tc>
      </w:tr>
      <w:tr>
        <w:trPr>
          <w:cantSplit/>
        </w:trPr>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Basic Needs</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NEED</w:t>
            </w:r>
          </w:p>
        </w:tc>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-0.50</w:t>
            </w:r>
          </w:p>
        </w:tc>
      </w:tr>
      <w:tr>
        <w:trPr>
          <w:cantSplit/>
        </w:trPr>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Dignity</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DIGN</w:t>
            </w:r>
          </w:p>
        </w:tc>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-0.55</w:t>
            </w:r>
          </w:p>
        </w:tc>
      </w:tr>
      <w:tr>
        <w:trPr>
          <w:cantSplit/>
        </w:trPr>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Due Process</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PROC</w:t>
            </w:r>
          </w:p>
        </w:tc>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-0.45</w:t>
            </w:r>
          </w:p>
        </w:tc>
      </w:tr>
      <w:tr>
        <w:trPr>
          <w:cantSplit/>
        </w:trPr>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Information</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INFO</w:t>
            </w:r>
          </w:p>
        </w:tc>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-0.40</w:t>
            </w:r>
          </w:p>
        </w:tc>
      </w:tr>
      <w:tr>
        <w:trPr>
          <w:cantSplit/>
        </w:trPr>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Ecological Integrity</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ECOL</w:t>
            </w:r>
          </w:p>
        </w:tc>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-0.65</w:t>
            </w:r>
          </w:p>
        </w:tc>
      </w:tr>
    </w:tbl>
    <w:p>
      <w:pPr>
        <w:pStyle w:val="BodyText"/>
      </w:pPr>
      <w:r>
        <w:t xml:space="preserve">Normative interpretation rule: Thresholds θ_r are admissibility floors, not weights. They do not represent</w:t>
      </w:r>
      <w:r>
        <w:t xml:space="preserve"> </w:t>
      </w:r>
      <w:r>
        <w:t xml:space="preserve">“</w:t>
      </w:r>
      <w:r>
        <w:t xml:space="preserve">how important</w:t>
      </w:r>
      <w:r>
        <w:t xml:space="preserve">”</w:t>
      </w:r>
      <w:r>
        <w:t xml:space="preserve"> </w:t>
      </w:r>
      <w:r>
        <w:t xml:space="preserve">a right is; they represent the minimum allowable protection level.</w:t>
      </w:r>
    </w:p>
    <w:bookmarkEnd w:id="311"/>
    <w:bookmarkStart w:id="312" w:name="X47a5054f3ea332430b3fff8418fb34e85776ad7"/>
    <w:p>
      <w:pPr>
        <w:pStyle w:val="Heading2"/>
      </w:pPr>
      <w:r>
        <w:t xml:space="preserve">C.2 Rights Coverage Sets C_r (Authoritative)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946"/>
        <w:gridCol w:w="5272"/>
      </w:tblGrid>
      <w:tr>
        <w:trPr>
          <w:tblHeader w:val="true"/>
          <w:cantSplit/>
        </w:trPr>
        <w:tc>
          <w:tcPr>
            <w:tcW w:w="3946"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Right</w:t>
            </w:r>
          </w:p>
        </w:tc>
        <w:tc>
          <w:tcPr>
            <w:tcW w:w="5272"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Coverage Set C_r</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LIFE</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Health): u ∈ {1,2,3,4,5,6}} ∪ {(6, Environment)}</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BODY</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Health): u ∈ {1,2,3,4,5,6}}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LBTY</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Agency): u ∈ {1,2,3,4,5,6}} ∪ {(u, Social): u ∈ {3,4,5,6}}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NEED</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Material): u ∈ {1,2,3,4,5,6}} ∪ {(u, Health): u ∈ {1,2,3,4,5,6}}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DIGN</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Social): u ∈ {1,2,3,4,5,6}} ∪ {(u, Agency): u ∈ {1,2,3,4,5,6}}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PROC</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{(u, Agency): u ∈ {4,5,6}} ∪ {(u, Knowledge): u ∈ {4,5,6}} ∪ {(u, Social): u ∈ {4,5,6}}</w:t>
            </w:r>
          </w:p>
        </w:tc>
      </w:tr>
      <w:tr>
        <w:trPr>
          <w:cantSplit/>
        </w:trPr>
        <w:tc>
          <w:tcPr>
            <w:tcW w:w="3946" w:type="dxa"/>
            <w:vAlign w:val="top"/>
            <w:tcMar>
              <w:top w:w="70" w:type="dxa"/>
              <w:start w:w="90" w:type="dxa"/>
              <w:bottom w:w="70" w:type="dxa"/>
              <w:end w:w="90" w:type="dxa"/>
            </w:tcMar>
            <w:shd w:fill="FFFFFF" w:val="clear"/>
          </w:tcPr>
          <w:p>
            <w:pPr>
              <w:pStyle w:val="Compact"/>
              <w:spacing w:before="0" w:after="0"/>
              <w:jc w:val="left"/>
            </w:pPr>
            <w:r>
              <w:rPr>
                <w:sz w:val="19"/>
              </w:rPr>
              <w:t xml:space="preserve">INFO</w:t>
            </w:r>
          </w:p>
        </w:tc>
        <w:tc>
          <w:tcPr>
            <w:tcW w:w="5272" w:type="dxa"/>
            <w:vAlign w:val="top"/>
            <w:tcMar>
              <w:top w:w="70" w:type="dxa"/>
              <w:start w:w="90" w:type="dxa"/>
              <w:bottom w:w="70" w:type="dxa"/>
              <w:end w:w="90" w:type="dxa"/>
            </w:tcMar>
            <w:shd w:fill="FFFFFF" w:val="clear"/>
          </w:tcPr>
          <w:p>
            <w:pPr>
              <w:pStyle w:val="Compact"/>
              <w:spacing w:before="0" w:after="0"/>
              <w:jc w:val="left"/>
            </w:pPr>
            <w:r>
              <w:rPr>
                <w:sz w:val="19"/>
              </w:rPr>
              <w:t xml:space="preserve">{(u, Knowledge): u ∈ {1,2,3,4,5,6}} ∪ {(u, Agency): u ∈ {1,2,3,4,5,6}}</w:t>
            </w:r>
          </w:p>
        </w:tc>
      </w:tr>
      <w:tr>
        <w:trPr>
          <w:cantSplit/>
        </w:trPr>
        <w:tc>
          <w:tcPr>
            <w:tcW w:w="3946" w:type="dxa"/>
            <w:vAlign w:val="top"/>
            <w:tcMar>
              <w:top w:w="70" w:type="dxa"/>
              <w:start w:w="90" w:type="dxa"/>
              <w:bottom w:w="70" w:type="dxa"/>
              <w:end w:w="90" w:type="dxa"/>
            </w:tcMar>
            <w:shd w:fill="F3F7FB" w:val="clear"/>
          </w:tcPr>
          <w:p>
            <w:pPr>
              <w:pStyle w:val="Compact"/>
              <w:spacing w:before="0" w:after="0"/>
              <w:jc w:val="left"/>
            </w:pPr>
            <w:r>
              <w:rPr>
                <w:sz w:val="19"/>
              </w:rPr>
              <w:t xml:space="preserve">ECOL</w:t>
            </w:r>
          </w:p>
        </w:tc>
        <w:tc>
          <w:tcPr>
            <w:tcW w:w="5272" w:type="dxa"/>
            <w:vAlign w:val="top"/>
            <w:tcMar>
              <w:top w:w="70" w:type="dxa"/>
              <w:start w:w="90" w:type="dxa"/>
              <w:bottom w:w="70" w:type="dxa"/>
              <w:end w:w="90" w:type="dxa"/>
            </w:tcMar>
            <w:shd w:fill="F3F7FB" w:val="clear"/>
          </w:tcPr>
          <w:p>
            <w:pPr>
              <w:pStyle w:val="Compact"/>
              <w:spacing w:before="0" w:after="0"/>
              <w:jc w:val="left"/>
            </w:pPr>
            <w:r>
              <w:rPr>
                <w:sz w:val="19"/>
              </w:rPr>
              <w:t xml:space="preserve">{(6, Environment), (7, Environment)}</w:t>
            </w:r>
          </w:p>
        </w:tc>
      </w:tr>
    </w:tbl>
    <w:bookmarkEnd w:id="312"/>
    <w:bookmarkStart w:id="313" w:name="X2c55979965f8470578ed0dcb47f209ff5699679"/>
    <w:p>
      <w:pPr>
        <w:pStyle w:val="Heading2"/>
      </w:pPr>
      <w:r>
        <w:t xml:space="preserve">C.3 Emergency Mode Rights Priority (Canonical)</w:t>
      </w:r>
    </w:p>
    <w:p>
      <w:pPr>
        <w:pStyle w:val="FirstParagraph"/>
      </w:pPr>
      <w:r>
        <w:t xml:space="preserve">When Emergency Mode is invoked (A_NCRC = ∅), rights are ordered lexicographically:</w:t>
      </w:r>
    </w:p>
    <w:p>
      <w:pPr>
        <w:pStyle w:val="BodyText"/>
      </w:pPr>
      <w:r>
        <w:t xml:space="preserve">[LIFE, BODY, ECOL, LBTY, NEED, DIGN, PROC, INFO]</w:t>
      </w:r>
    </w:p>
    <w:p>
      <w:pPr>
        <w:pStyle w:val="BodyText"/>
      </w:pPr>
      <w:r>
        <w:t xml:space="preserve">This ordering MUST be used exactly for lexicographic minimization of the violation depth vector.</w:t>
      </w:r>
    </w:p>
    <w:bookmarkEnd w:id="313"/>
    <w:bookmarkStart w:id="314" w:name="X1e870d2a55272d9cd096ef6ddca3ef04c952bb2"/>
    <w:p>
      <w:pPr>
        <w:pStyle w:val="Heading2"/>
      </w:pPr>
      <w:r>
        <w:t xml:space="preserve">C.4 NCRC Violation Depth Definition (Canonical)</w:t>
      </w:r>
    </w:p>
    <w:p>
      <w:pPr>
        <w:pStyle w:val="FirstParagraph"/>
      </w:pPr>
      <w:r>
        <w:t xml:space="preserve">v_r(a) = max_{(u,d) ∈ C_r} (θ_r − I_rights(u,d,a))⁺</w:t>
      </w:r>
    </w:p>
    <w:bookmarkEnd w:id="314"/>
    <w:bookmarkStart w:id="315" w:name="c.5-ncrc-predicate-canonical"/>
    <w:p>
      <w:pPr>
        <w:pStyle w:val="Heading2"/>
      </w:pPr>
      <w:r>
        <w:t xml:space="preserve">C.5 NCRC Predicate (Canonical)</w:t>
      </w:r>
    </w:p>
    <w:p>
      <w:pPr>
        <w:pStyle w:val="FirstParagraph"/>
      </w:pPr>
      <w:r>
        <w:t xml:space="preserve">NCRC(a) = TRUE if and only if v_r(a) = 0 for all r ∈ R</w:t>
      </w:r>
    </w:p>
    <w:bookmarkEnd w:id="315"/>
    <w:bookmarkStart w:id="316" w:name="Xa85bfe9ae87a4740bea6531662b43bc4dd122df"/>
    <w:p>
      <w:pPr>
        <w:pStyle w:val="Heading2"/>
      </w:pPr>
      <w:r>
        <w:t xml:space="preserve">C.6 Subgroup Conservative Bound (Canonical)</w:t>
      </w:r>
    </w:p>
    <w:p>
      <w:pPr>
        <w:pStyle w:val="FirstParagraph"/>
      </w:pPr>
      <w:r>
        <w:t xml:space="preserve">When subgroup disaggregation is infeasible for a rights-covered cell:</w:t>
      </w:r>
    </w:p>
    <w:p>
      <w:pPr>
        <w:pStyle w:val="BodyText"/>
      </w:pPr>
      <w:r>
        <w:t xml:space="preserve">Let γ_subgroup = 1.5 (default conservatism factor).</w:t>
      </w:r>
    </w:p>
    <w:p>
      <w:pPr>
        <w:pStyle w:val="Compact"/>
        <w:numPr>
          <w:ilvl w:val="0"/>
          <w:numId w:val="1259"/>
        </w:numPr>
      </w:pPr>
      <w:r>
        <w:t xml:space="preserve">If I_prop_base(u,d,a) &lt; 0: set I_rights(u,d,a) = max(-1, γ_subgroup × I_prop_base(u,d,a))</w:t>
      </w:r>
    </w:p>
    <w:p>
      <w:pPr>
        <w:pStyle w:val="Compact"/>
        <w:numPr>
          <w:ilvl w:val="0"/>
          <w:numId w:val="1260"/>
        </w:numPr>
      </w:pPr>
      <w:r>
        <w:t xml:space="preserve">Else: set I_rights(u,d,a) = I_prop_base(u,d,a)</w:t>
      </w:r>
    </w:p>
    <w:p>
      <w:pPr>
        <w:pStyle w:val="FirstParagraph"/>
      </w:pPr>
      <w:r>
        <w:t xml:space="preserve">This bound applies only for NCRC checking, not for RLS scoring.</w:t>
      </w:r>
    </w:p>
    <w:bookmarkEnd w:id="316"/>
    <w:bookmarkStart w:id="317" w:name="X89e77244a8d4a3c3a7894a9a3aecf01c24a4093"/>
    <w:p>
      <w:pPr>
        <w:pStyle w:val="Heading2"/>
      </w:pPr>
      <w:r>
        <w:t xml:space="preserve">C.7 Emergency Mode Documentation Requirements (Canonical)</w:t>
      </w:r>
    </w:p>
    <w:p>
      <w:pPr>
        <w:pStyle w:val="FirstParagraph"/>
      </w:pPr>
      <w:r>
        <w:t xml:space="preserve">When Emergency Mode is invoked, the PCC MUST include:</w:t>
      </w:r>
    </w:p>
    <w:p>
      <w:pPr>
        <w:pStyle w:val="Compact"/>
        <w:numPr>
          <w:ilvl w:val="0"/>
          <w:numId w:val="1261"/>
        </w:numPr>
      </w:pPr>
      <w:r>
        <w:t xml:space="preserve">Emergency declaration and trigger conditions</w:t>
      </w:r>
    </w:p>
    <w:p>
      <w:pPr>
        <w:pStyle w:val="Compact"/>
        <w:numPr>
          <w:ilvl w:val="0"/>
          <w:numId w:val="1262"/>
        </w:numPr>
      </w:pPr>
      <w:r>
        <w:t xml:space="preserve">v_r(a) for each option and each right</w:t>
      </w:r>
    </w:p>
    <w:p>
      <w:pPr>
        <w:pStyle w:val="Compact"/>
        <w:numPr>
          <w:ilvl w:val="0"/>
          <w:numId w:val="1263"/>
        </w:numPr>
      </w:pPr>
      <w:r>
        <w:t xml:space="preserve">Lexicographic comparison trace</w:t>
      </w:r>
    </w:p>
    <w:p>
      <w:pPr>
        <w:pStyle w:val="Compact"/>
        <w:numPr>
          <w:ilvl w:val="0"/>
          <w:numId w:val="1264"/>
        </w:numPr>
      </w:pPr>
      <w:r>
        <w:t xml:space="preserve">Independent challenger attestation (or CHALLENGE_DEFERRED_EMERGENCY flag)</w:t>
      </w:r>
    </w:p>
    <w:p>
      <w:pPr>
        <w:pStyle w:val="Compact"/>
        <w:numPr>
          <w:ilvl w:val="0"/>
          <w:numId w:val="1265"/>
        </w:numPr>
      </w:pPr>
      <w:r>
        <w:t xml:space="preserve">Mitigation/remediation plan with timeline</w:t>
      </w:r>
    </w:p>
    <w:p>
      <w:pPr>
        <w:pStyle w:val="Compact"/>
        <w:numPr>
          <w:ilvl w:val="0"/>
          <w:numId w:val="1266"/>
        </w:numPr>
      </w:pPr>
      <w:r>
        <w:t xml:space="preserve">Review cadence and return-to-normal triggers</w:t>
      </w:r>
    </w:p>
    <w:p>
      <w:pPr>
        <w:pStyle w:val="FirstParagraph"/>
      </w:pPr>
      <w:r>
        <w:t xml:space="preserve">End Appendix C.</w:t>
      </w:r>
    </w:p>
    <w:bookmarkEnd w:id="317"/>
    <w:bookmarkEnd w:id="318"/>
    <w:bookmarkStart w:id="331" w:name="Xa198e527a77677a44409084493f58e004476c4f"/>
    <w:p>
      <w:pPr>
        <w:pStyle w:val="Heading1"/>
      </w:pPr>
      <w:r>
        <w:t xml:space="preserve">APPENDIX D: TRC AND SCENARIO GOVERNANCE CANON PACK (TIER 1-3)</w:t>
      </w:r>
    </w:p>
    <w:p>
      <w:pPr>
        <w:pStyle w:val="FirstParagraph"/>
      </w:pPr>
      <w:r>
        <w:t xml:space="preserve">Appendix D is normative.</w:t>
      </w:r>
    </w:p>
    <w:bookmarkStart w:id="319" w:name="d.1-base-catastrophe-cell-set"/>
    <w:p>
      <w:pPr>
        <w:pStyle w:val="Heading2"/>
      </w:pPr>
      <w:r>
        <w:t xml:space="preserve">D.1 Base Catastrophe Cell Set</w:t>
      </w:r>
    </w:p>
    <w:p>
      <w:pPr>
        <w:pStyle w:val="FirstParagraph"/>
      </w:pPr>
      <w:r>
        <w:t xml:space="preserve">C_cat_base = {(6, Health), (6, Environment), (7, Environment)}</w:t>
      </w:r>
    </w:p>
    <w:p>
      <w:pPr>
        <w:pStyle w:val="BodyText"/>
      </w:pPr>
      <w:r>
        <w:t xml:space="preserve">These correspond to:</w:t>
      </w:r>
    </w:p>
    <w:p>
      <w:pPr>
        <w:pStyle w:val="Compact"/>
        <w:numPr>
          <w:ilvl w:val="0"/>
          <w:numId w:val="1267"/>
        </w:numPr>
      </w:pPr>
      <w:r>
        <w:t xml:space="preserve">(6, Health): Humanity/CMIU-Health, representing global-scale health viability</w:t>
      </w:r>
    </w:p>
    <w:p>
      <w:pPr>
        <w:pStyle w:val="Compact"/>
        <w:numPr>
          <w:ilvl w:val="0"/>
          <w:numId w:val="1268"/>
        </w:numPr>
      </w:pPr>
      <w:r>
        <w:t xml:space="preserve">(6, Environment): Humanity/CMIU-Environment, representing civilization-scale habitability conditions</w:t>
      </w:r>
    </w:p>
    <w:p>
      <w:pPr>
        <w:pStyle w:val="Compact"/>
        <w:numPr>
          <w:ilvl w:val="0"/>
          <w:numId w:val="1269"/>
        </w:numPr>
      </w:pPr>
      <w:r>
        <w:t xml:space="preserve">(7, Environment): Biosphere-Environment, representing Earth-system integrity</w:t>
      </w:r>
    </w:p>
    <w:bookmarkEnd w:id="319"/>
    <w:bookmarkStart w:id="320" w:name="X83b517f58fb345ec36939988d88cdb471e0f4ee"/>
    <w:p>
      <w:pPr>
        <w:pStyle w:val="Heading2"/>
      </w:pPr>
      <w:r>
        <w:t xml:space="preserve">D.1A Default Governance-Lock-In Extension Profile (Normative)</w:t>
      </w:r>
    </w:p>
    <w:p>
      <w:pPr>
        <w:pStyle w:val="FirstParagraph"/>
      </w:pPr>
      <w:r>
        <w:t xml:space="preserve">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pPr>
      <w:r>
        <w:t xml:space="preserve">Default governance-lock catastrophe cell set:</w:t>
      </w:r>
    </w:p>
    <w:p>
      <w:pPr>
        <w:pStyle w:val="BodyText"/>
      </w:pPr>
      <w:r>
        <w:t xml:space="preserve">C_cat_lock_default = {(5, Agency), (5, Knowledge), (6, Agency), (6, Knowledge)}</w:t>
      </w:r>
    </w:p>
    <w:p>
      <w:pPr>
        <w:pStyle w:val="BodyText"/>
      </w:pPr>
      <w:r>
        <w:t xml:space="preserve">Default weighting rule when active:</w:t>
      </w:r>
    </w:p>
    <w:p>
      <w:pPr>
        <w:pStyle w:val="BodyText"/>
      </w:pPr>
      <w:r>
        <w:t xml:space="preserve">If no stricter governed profile is declared, set:</w:t>
      </w:r>
    </w:p>
    <w:p>
      <w:pPr>
        <w:pStyle w:val="BodyText"/>
      </w:pPr>
      <w:r>
        <w:t xml:space="preserve">C_cat = C_cat_base ∪ C_cat_lock_default</w:t>
      </w:r>
    </w:p>
    <w:p>
      <w:pPr>
        <w:pStyle w:val="BodyText"/>
      </w:pPr>
      <w:r>
        <w:t xml:space="preserve">and use uniform catastrophe weights over the full active set.</w:t>
      </w:r>
    </w:p>
    <w:p>
      <w:pPr>
        <w:pStyle w:val="BodyText"/>
      </w:pPr>
      <w:r>
        <w:t xml:space="preserve">Interpretation:</w:t>
      </w:r>
    </w:p>
    <w:p>
      <w:pPr>
        <w:pStyle w:val="BodyText"/>
      </w:pPr>
      <w:r>
        <w:t xml:space="preserve">(5, Agency): polity-scale loss of contestability, due process, or civic agency</w:t>
      </w:r>
    </w:p>
    <w:p>
      <w:pPr>
        <w:pStyle w:val="BodyText"/>
      </w:pPr>
      <w:r>
        <w:t xml:space="preserve">(5, Knowledge): polity-scale degradation of information integrity and epistemic access</w:t>
      </w:r>
    </w:p>
    <w:p>
      <w:pPr>
        <w:pStyle w:val="BodyText"/>
      </w:pPr>
      <w:r>
        <w:t xml:space="preserve">(6, Agency): civilization-scale agency loss, lock-in, or durable corrigibility collapse</w:t>
      </w:r>
    </w:p>
    <w:p>
      <w:pPr>
        <w:pStyle w:val="BodyText"/>
      </w:pPr>
      <w:r>
        <w:t xml:space="preserve">(6, Knowledge): civilization-scale information capture, knowledge bottlenecking, or durable epistemic enclosure</w:t>
      </w:r>
    </w:p>
    <w:p>
      <w:pPr>
        <w:pStyle w:val="BodyText"/>
      </w:pPr>
      <w:r>
        <w:t xml:space="preserve">Symmetry rule: The same active catastrophe set and weights MUST be applied across all compared options in the run.</w:t>
      </w:r>
    </w:p>
    <w:p>
      <w:pPr>
        <w:pStyle w:val="BodyText"/>
      </w:pPr>
      <w:r>
        <w:t xml:space="preserve">PCC rule: The PCC MUST record whether the governance-lock profile was inactive, active by default trigger, or replaced by a stricter governed profile.</w:t>
      </w:r>
    </w:p>
    <w:bookmarkEnd w:id="320"/>
    <w:bookmarkStart w:id="321" w:name="Xe1bb6c1d9ad472b849e59e5b1c4a28232bfd709"/>
    <w:p>
      <w:pPr>
        <w:pStyle w:val="Heading2"/>
      </w:pPr>
      <w:r>
        <w:t xml:space="preserve">D.2 Mandatory Tail Scenario Categories (Canonical)</w:t>
      </w:r>
    </w:p>
    <w:p>
      <w:pPr>
        <w:pStyle w:val="FirstParagraph"/>
      </w:pPr>
      <w:r>
        <w:t xml:space="preserve">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270"/>
        </w:numPr>
      </w:pPr>
      <w:r>
        <w:t xml:space="preserve">Pandemic/biological disruption: Disease outbreak with significant mortality/morbidity</w:t>
      </w:r>
    </w:p>
    <w:p>
      <w:pPr>
        <w:pStyle w:val="Compact"/>
        <w:numPr>
          <w:ilvl w:val="0"/>
          <w:numId w:val="1271"/>
        </w:numPr>
      </w:pPr>
      <w:r>
        <w:t xml:space="preserve">Climate tipping cascade: Triggering of climate tipping points with cascading effects</w:t>
      </w:r>
    </w:p>
    <w:p>
      <w:pPr>
        <w:pStyle w:val="Compact"/>
        <w:numPr>
          <w:ilvl w:val="0"/>
          <w:numId w:val="1272"/>
        </w:numPr>
      </w:pPr>
      <w:r>
        <w:t xml:space="preserve">Financial system collapse: Systemic failure of financial infrastructure</w:t>
      </w:r>
    </w:p>
    <w:p>
      <w:pPr>
        <w:pStyle w:val="Compact"/>
        <w:numPr>
          <w:ilvl w:val="0"/>
          <w:numId w:val="1273"/>
        </w:numPr>
      </w:pPr>
      <w:r>
        <w:t xml:space="preserve">Major conflict escalation: Armed conflict with regional or global implications</w:t>
      </w:r>
    </w:p>
    <w:p>
      <w:pPr>
        <w:pStyle w:val="Compact"/>
        <w:numPr>
          <w:ilvl w:val="0"/>
          <w:numId w:val="1274"/>
        </w:numPr>
      </w:pPr>
      <w:r>
        <w:t xml:space="preserve">Critical infrastructure failure: Failure of essential services (power, water, communications)</w:t>
      </w:r>
    </w:p>
    <w:p>
      <w:pPr>
        <w:pStyle w:val="FirstParagraph"/>
      </w:pPr>
      <w:r>
        <w:t xml:space="preserve">Governance / lock-in catastrophe: Surveillance normalization, durable recourse collapse, information-ecosystem capture, irreversible dependency lock-in, or concentrated arbitrary control over critical governance or infrastructure functions</w:t>
      </w:r>
    </w:p>
    <w:bookmarkEnd w:id="321"/>
    <w:bookmarkStart w:id="322" w:name="d.3-probability-floor-canonical"/>
    <w:p>
      <w:pPr>
        <w:pStyle w:val="Heading2"/>
      </w:pPr>
      <w:r>
        <w:t xml:space="preserve">D.3 Probability Floor (Canonical)</w:t>
      </w:r>
    </w:p>
    <w:p>
      <w:pPr>
        <w:pStyle w:val="FirstParagraph"/>
      </w:pPr>
      <w:r>
        <w:t xml:space="preserve">Minimum category probability floor: p_floor ≥ 0.02</w:t>
      </w:r>
    </w:p>
    <w:p>
      <w:pPr>
        <w:pStyle w:val="BodyText"/>
      </w:pPr>
      <w:r>
        <w:t xml:space="preserve">Meaning: The sum of probabilities of scenarios in each mandatory category must be ≥ 0.02 unless explicitly justified as implausible for the specific decision context per Section 8.3.2.</w:t>
      </w:r>
    </w:p>
    <w:bookmarkEnd w:id="322"/>
    <w:bookmarkStart w:id="323" w:name="X5f2583f74be51b34a8f02c7a013dbd6e5c719ae"/>
    <w:p>
      <w:pPr>
        <w:pStyle w:val="Heading2"/>
      </w:pPr>
      <w:r>
        <w:t xml:space="preserve">D.4 Scenario Set Size Requirements (Canonical)</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649"/>
        <w:gridCol w:w="3540"/>
        <w:gridCol w:w="3028"/>
      </w:tblGrid>
      <w:tr>
        <w:trPr>
          <w:tblHeader w:val="true"/>
          <w:cantSplit/>
        </w:trPr>
        <w:tc>
          <w:tcPr>
            <w:tcW w:w="264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Tier</w:t>
            </w:r>
          </w:p>
        </w:tc>
        <w:tc>
          <w:tcPr>
            <w:tcW w:w="354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TRC Required?</w:t>
            </w:r>
          </w:p>
        </w:tc>
        <w:tc>
          <w:tcPr>
            <w:tcW w:w="3028"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Minimum</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Tier 1</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Optional (qualitative screen)</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N/A</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Tier 2</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Required when catastrophe relevance plausible</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≥5 minimum</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Tier 3</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Required</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≥20 minimum</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Tier 4</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Design target only</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N/A</w:t>
            </w:r>
          </w:p>
        </w:tc>
      </w:tr>
    </w:tbl>
    <w:bookmarkEnd w:id="323"/>
    <w:bookmarkStart w:id="324" w:name="X56e1b3b26508236a23961e68afa96198a077f18"/>
    <w:p>
      <w:pPr>
        <w:pStyle w:val="Heading2"/>
      </w:pPr>
      <w:r>
        <w:t xml:space="preserve">D.5 Scenario Definition Template (Normative Minimum Fields)</w:t>
      </w:r>
    </w:p>
    <w:p>
      <w:pPr>
        <w:pStyle w:val="FirstParagraph"/>
      </w:pPr>
      <w:r>
        <w:t xml:space="preserve">Each scenario record in PCC MUST include: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Field</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Description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Scenario ID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Unique identifier within the run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Name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Descriptive name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Category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One of the mandatory categories or</w:t>
            </w:r>
            <w:r>
              <w:rPr>
                <w:sz w:val="19"/>
              </w:rPr>
              <w:t xml:space="preserve"> </w:t>
            </w:r>
            <w:r>
              <w:rPr>
                <w:sz w:val="19"/>
              </w:rPr>
              <w:t xml:space="preserve">“</w:t>
            </w:r>
            <w:r>
              <w:rPr>
                <w:sz w:val="19"/>
              </w:rPr>
              <w:t xml:space="preserve">baseline/other</w:t>
            </w:r>
            <w:r>
              <w:rPr>
                <w:sz w:val="19"/>
              </w:rPr>
              <w:t xml:space="preser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Narrative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2-5 sentences describing the scenario</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Time horizon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Timing assumptions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Key stressors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What breaks, how, and cascading effects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Parameterization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What changes in impacts/likelihoods under this scenario</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Probability p_s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Assigned probability with provenance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Provenance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Data source, model, expert elicitation, or governance prior</w:t>
            </w:r>
          </w:p>
        </w:tc>
      </w:tr>
    </w:tbl>
    <w:bookmarkEnd w:id="324"/>
    <w:bookmarkStart w:id="325" w:name="X3ae1f769208bea88c4b321e2b399e7935a380d1"/>
    <w:p>
      <w:pPr>
        <w:pStyle w:val="Heading2"/>
      </w:pPr>
      <w:r>
        <w:t xml:space="preserve">D.6 Loss Construction (Bounded-Impact Mode, Tier 1-3 Canon)</w:t>
      </w:r>
    </w:p>
    <w:p>
      <w:pPr>
        <w:pStyle w:val="FirstParagraph"/>
      </w:pPr>
      <w:r>
        <w:t xml:space="preserve">Normative stream binding (Design A): TRC MUST be computed from the Base stream (I_prop_base). TRC MUST NOT use Welfare-stream (sentience-weighted) impacts.</w:t>
      </w:r>
    </w:p>
    <w:p>
      <w:pPr>
        <w:pStyle w:val="BodyText"/>
      </w:pPr>
      <w:r>
        <w:t xml:space="preserve">For each scenario s:</w:t>
      </w:r>
    </w:p>
    <w:p>
      <w:pPr>
        <w:pStyle w:val="BodyText"/>
      </w:pPr>
      <w:r>
        <w:t xml:space="preserve">L(a,s) = Σ_{c ∈ C_cat} ω_c × (−I_prop_base,c(a|s))⁺</w:t>
      </w:r>
    </w:p>
    <w:p>
      <w:pPr>
        <w:pStyle w:val="BodyText"/>
      </w:pPr>
      <w:r>
        <w:t xml:space="preserve">with Σ_{c ∈ C_cat} ω_c = 1.</w:t>
      </w:r>
    </w:p>
    <w:p>
      <w:pPr>
        <w:pStyle w:val="BodyText"/>
      </w:pPr>
      <w:r>
        <w:t xml:space="preserve">Default catastrophe weights: Uniform over C_cat unless otherwise governed.</w:t>
      </w:r>
    </w:p>
    <w:bookmarkEnd w:id="325"/>
    <w:bookmarkStart w:id="326" w:name="X0ff8e7f49a6751cebd3e9fa5a60288bf859d823"/>
    <w:p>
      <w:pPr>
        <w:pStyle w:val="Heading2"/>
      </w:pPr>
      <w:r>
        <w:t xml:space="preserve">D.7 Discrete CVaR Algorithm (Canonical; Tier 1-3)</w:t>
      </w:r>
    </w:p>
    <w:p>
      <w:pPr>
        <w:pStyle w:val="FirstParagraph"/>
      </w:pPr>
      <w:r>
        <w:t xml:space="preserve">Inputs: losses L(a, s1), …, L(a, sn); probabilities p1, …, pn; tail level α.</w:t>
      </w:r>
    </w:p>
    <w:p>
      <w:pPr>
        <w:pStyle w:val="BodyText"/>
      </w:pPr>
      <w:r>
        <w:t xml:space="preserve">1. Let β := 1 − α.</w:t>
      </w:r>
    </w:p>
    <w:p>
      <w:pPr>
        <w:pStyle w:val="BodyText"/>
      </w:pPr>
      <w:r>
        <w:t xml:space="preserve">2. Sort scenarios by loss descending: L_(1) ≥ L_(2) ≥ ⋯ ≥ L_(n), carrying the aligned probabilities p_(i).</w:t>
      </w:r>
    </w:p>
    <w:p>
      <w:pPr>
        <w:pStyle w:val="BodyText"/>
      </w:pPr>
      <w:r>
        <w:t xml:space="preserve">3. Let k* be the smallest index such that Σ_{i=1}^{k*} p_(i) ≥ β.</w:t>
      </w:r>
    </w:p>
    <w:p>
      <w:pPr>
        <w:pStyle w:val="BodyText"/>
      </w:pPr>
      <w:r>
        <w:t xml:space="preserve">4. Define P_{k*−1} := Σ_{i=1}^{k*−1} p_(i) (and P_0 := 0).</w:t>
      </w:r>
    </w:p>
    <w:p>
      <w:pPr>
        <w:pStyle w:val="BodyText"/>
      </w:pPr>
      <w:r>
        <w:t xml:space="preserve">5. Define δ := β − P_{k*−1}.</w:t>
      </w:r>
    </w:p>
    <w:p>
      <w:pPr>
        <w:pStyle w:val="BodyText"/>
      </w:pPr>
      <w:r>
        <w:t xml:space="preserve">6. Compute:</w:t>
      </w:r>
    </w:p>
    <w:p>
      <w:pPr>
        <w:pStyle w:val="BodyText"/>
      </w:pPr>
      <w:r>
        <w:t xml:space="preserve">CVaR_α[L(a)] = (1/β) · ( Σ_{i=1}^{k*−1} p_(i) L_(i) + δ · L_(k*) ).</w:t>
      </w:r>
    </w:p>
    <w:p>
      <w:pPr>
        <w:pStyle w:val="BodyText"/>
      </w:pPr>
      <w:r>
        <w:t xml:space="preserve">Audit: PCC includes the sorted table, k*, P_{k*−1}, δ, and CVaR_α.</w:t>
      </w:r>
    </w:p>
    <w:p>
      <w:pPr>
        <w:pStyle w:val="BodyText"/>
      </w:pPr>
      <w:r>
        <w:t xml:space="preserve">(Here L_(i) is shorthand for L(a, s_(i)).)</w:t>
      </w:r>
    </w:p>
    <w:bookmarkEnd w:id="326"/>
    <w:bookmarkStart w:id="327" w:name="d.8-trc-corridor-check-canonical"/>
    <w:p>
      <w:pPr>
        <w:pStyle w:val="Heading2"/>
      </w:pPr>
      <w:r>
        <w:t xml:space="preserve">D.8 TRC Corridor Check (Canonical)</w:t>
      </w:r>
    </w:p>
    <w:p>
      <w:pPr>
        <w:pStyle w:val="FirstParagraph"/>
      </w:pPr>
      <w:r>
        <w:t xml:space="preserve">TRC(a) = TRUE if and only if CVaR_α[L(a)] ≤ τ_TRC</w:t>
      </w:r>
    </w:p>
    <w:bookmarkEnd w:id="327"/>
    <w:bookmarkStart w:id="328" w:name="X694d6d67ec8ebf823b7dde080782dffc7ed6d86"/>
    <w:p>
      <w:pPr>
        <w:pStyle w:val="Heading2"/>
      </w:pPr>
      <w:r>
        <w:t xml:space="preserve">D.9 Default TRC Parameters by Context (Canonical Defaults)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128"/>
        <w:gridCol w:w="2961"/>
        <w:gridCol w:w="3128"/>
      </w:tblGrid>
      <w:tr>
        <w:trPr>
          <w:tblHeader w:val="true"/>
          <w:cantSplit/>
        </w:trPr>
        <w:tc>
          <w:tcPr>
            <w:tcW w:w="31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Context</w:t>
            </w:r>
          </w:p>
        </w:tc>
        <w:tc>
          <w:tcPr>
            <w:tcW w:w="2961"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α (tail level)</w:t>
            </w:r>
          </w:p>
        </w:tc>
        <w:tc>
          <w:tcPr>
            <w:tcW w:w="312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τ_TRC (threshold)</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Personal</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0.90</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0.30</w:t>
            </w:r>
          </w:p>
        </w:tc>
      </w:tr>
      <w:tr>
        <w:trPr>
          <w:cantSplit/>
        </w:trPr>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Organizational</w:t>
            </w:r>
          </w:p>
        </w:tc>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0.95</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0.20</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Reversible policy</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0.95</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0.15</w:t>
            </w:r>
          </w:p>
        </w:tc>
      </w:tr>
      <w:tr>
        <w:trPr>
          <w:cantSplit/>
        </w:trPr>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Irreversible policy</w:t>
            </w:r>
          </w:p>
        </w:tc>
        <w:tc>
          <w:tcPr>
            <w:tcW w:w="2961" w:type="dxa"/>
            <w:vAlign w:val="top"/>
            <w:tcMar>
              <w:top w:w="70" w:type="dxa"/>
              <w:start w:w="90" w:type="dxa"/>
              <w:bottom w:w="70" w:type="dxa"/>
              <w:end w:w="90" w:type="dxa"/>
            </w:tcMar>
            <w:shd w:fill="F3F7FB" w:val="clear"/>
          </w:tcPr>
          <w:p>
            <w:pPr>
              <w:pStyle w:val="Compact"/>
              <w:spacing w:before="0" w:after="0"/>
              <w:jc w:val="left"/>
            </w:pPr>
            <w:r>
              <w:rPr>
                <w:sz w:val="18"/>
              </w:rPr>
              <w:t xml:space="preserve">0.99</w:t>
            </w:r>
          </w:p>
        </w:tc>
        <w:tc>
          <w:tcPr>
            <w:tcW w:w="3128" w:type="dxa"/>
            <w:vAlign w:val="top"/>
            <w:tcMar>
              <w:top w:w="70" w:type="dxa"/>
              <w:start w:w="90" w:type="dxa"/>
              <w:bottom w:w="70" w:type="dxa"/>
              <w:end w:w="90" w:type="dxa"/>
            </w:tcMar>
            <w:shd w:fill="F3F7FB" w:val="clear"/>
          </w:tcPr>
          <w:p>
            <w:pPr>
              <w:pStyle w:val="Compact"/>
              <w:spacing w:before="0" w:after="0"/>
              <w:jc w:val="left"/>
            </w:pPr>
            <w:r>
              <w:rPr>
                <w:sz w:val="18"/>
              </w:rPr>
              <w:t xml:space="preserve">0.10</w:t>
            </w:r>
          </w:p>
        </w:tc>
      </w:tr>
      <w:tr>
        <w:trPr>
          <w:cantSplit/>
        </w:trPr>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Existential risk</w:t>
            </w:r>
          </w:p>
        </w:tc>
        <w:tc>
          <w:tcPr>
            <w:tcW w:w="2961" w:type="dxa"/>
            <w:vAlign w:val="top"/>
            <w:tcMar>
              <w:top w:w="70" w:type="dxa"/>
              <w:start w:w="90" w:type="dxa"/>
              <w:bottom w:w="70" w:type="dxa"/>
              <w:end w:w="90" w:type="dxa"/>
            </w:tcMar>
            <w:shd w:fill="FFFFFF" w:val="clear"/>
          </w:tcPr>
          <w:p>
            <w:pPr>
              <w:pStyle w:val="Compact"/>
              <w:spacing w:before="0" w:after="0"/>
              <w:jc w:val="left"/>
            </w:pPr>
            <w:r>
              <w:rPr>
                <w:sz w:val="18"/>
              </w:rPr>
              <w:t xml:space="preserve">0.999</w:t>
            </w:r>
          </w:p>
        </w:tc>
        <w:tc>
          <w:tcPr>
            <w:tcW w:w="3128" w:type="dxa"/>
            <w:vAlign w:val="top"/>
            <w:tcMar>
              <w:top w:w="70" w:type="dxa"/>
              <w:start w:w="90" w:type="dxa"/>
              <w:bottom w:w="70" w:type="dxa"/>
              <w:end w:w="90" w:type="dxa"/>
            </w:tcMar>
            <w:shd w:fill="FFFFFF" w:val="clear"/>
          </w:tcPr>
          <w:p>
            <w:pPr>
              <w:pStyle w:val="Compact"/>
              <w:spacing w:before="0" w:after="0"/>
              <w:jc w:val="left"/>
            </w:pPr>
            <w:r>
              <w:rPr>
                <w:sz w:val="18"/>
              </w:rPr>
              <w:t xml:space="preserve">0.05</w:t>
            </w:r>
          </w:p>
        </w:tc>
      </w:tr>
    </w:tbl>
    <w:bookmarkEnd w:id="328"/>
    <w:bookmarkStart w:id="329" w:name="d.10-tier-2-strict-trc-rule-canonical"/>
    <w:p>
      <w:pPr>
        <w:pStyle w:val="Heading2"/>
      </w:pPr>
      <w:r>
        <w:t xml:space="preserve">D.10 Tier 2 Strict TRC Rule (Canonical)</w:t>
      </w:r>
    </w:p>
    <w:p>
      <w:pPr>
        <w:pStyle w:val="FirstParagraph"/>
      </w:pPr>
      <w:r>
        <w:t xml:space="preserve">If catastrophe relevance is plausible (per Section 8.1.1), Tier 2 MUST:</w:t>
      </w:r>
    </w:p>
    <w:p>
      <w:pPr>
        <w:pStyle w:val="Compact"/>
        <w:numPr>
          <w:ilvl w:val="0"/>
          <w:numId w:val="1275"/>
        </w:numPr>
      </w:pPr>
      <w:r>
        <w:t xml:space="preserve">Compute TRC using this appendix</w:t>
      </w:r>
    </w:p>
    <w:p>
      <w:pPr>
        <w:pStyle w:val="Compact"/>
        <w:numPr>
          <w:ilvl w:val="0"/>
          <w:numId w:val="1276"/>
        </w:numPr>
      </w:pPr>
      <w:r>
        <w:t xml:space="preserve">Use ≥5 scenarios minimum</w:t>
      </w:r>
    </w:p>
    <w:p>
      <w:pPr>
        <w:pStyle w:val="Compact"/>
        <w:numPr>
          <w:ilvl w:val="0"/>
          <w:numId w:val="1277"/>
        </w:numPr>
      </w:pPr>
      <w:r>
        <w:t xml:space="preserve">Include mandatory tail categories with p_floor ≥ 0.02 per category unless explicitly implausible with documented justification per Section 8.3.2</w:t>
      </w:r>
    </w:p>
    <w:p>
      <w:pPr>
        <w:pStyle w:val="Compact"/>
        <w:numPr>
          <w:ilvl w:val="0"/>
          <w:numId w:val="1278"/>
        </w:numPr>
      </w:pPr>
      <w:r>
        <w:t xml:space="preserve">Record the full scenario table and CVaR computation in PCC</w:t>
      </w:r>
    </w:p>
    <w:bookmarkEnd w:id="329"/>
    <w:bookmarkStart w:id="330" w:name="d.11-trc-fallback-procedure-canonical"/>
    <w:p>
      <w:pPr>
        <w:pStyle w:val="Heading2"/>
      </w:pPr>
      <w:r>
        <w:t xml:space="preserve">D.11 TRC Fallback Procedure (Canonical)</w:t>
      </w:r>
    </w:p>
    <w:p>
      <w:pPr>
        <w:pStyle w:val="FirstParagraph"/>
      </w:pPr>
      <w:r>
        <w:t xml:space="preserve">If A_NCRC ≠ ∅ but A_adm = ∅:</w:t>
      </w:r>
    </w:p>
    <w:p>
      <w:pPr>
        <w:pStyle w:val="Compact"/>
        <w:numPr>
          <w:ilvl w:val="0"/>
          <w:numId w:val="1279"/>
        </w:numPr>
      </w:pPr>
      <w:r>
        <w:t xml:space="preserve">Rank all A_NCRC options by CVaR_α ascending</w:t>
      </w:r>
    </w:p>
    <w:p>
      <w:pPr>
        <w:pStyle w:val="Compact"/>
        <w:numPr>
          <w:ilvl w:val="0"/>
          <w:numId w:val="1280"/>
        </w:numPr>
      </w:pPr>
      <w:r>
        <w:t xml:space="preserve">Select the option with minimal CVaR_α</w:t>
      </w:r>
    </w:p>
    <w:p>
      <w:pPr>
        <w:pStyle w:val="Compact"/>
        <w:numPr>
          <w:ilvl w:val="0"/>
          <w:numId w:val="1281"/>
        </w:numPr>
      </w:pPr>
      <w:r>
        <w:t xml:space="preserve">Require a time-bound risk mitigation plan</w:t>
      </w:r>
    </w:p>
    <w:p>
      <w:pPr>
        <w:pStyle w:val="Compact"/>
        <w:numPr>
          <w:ilvl w:val="0"/>
          <w:numId w:val="1282"/>
        </w:numPr>
      </w:pPr>
      <w:r>
        <w:t xml:space="preserve">Require one-tier-higher approval</w:t>
      </w:r>
    </w:p>
    <w:p>
      <w:pPr>
        <w:pStyle w:val="Compact"/>
        <w:numPr>
          <w:ilvl w:val="0"/>
          <w:numId w:val="1283"/>
        </w:numPr>
      </w:pPr>
      <w:r>
        <w:t xml:space="preserve">Record TRC_FALLBACK_INVOKED in PCC with deficit (CVaR − τ_TRC)</w:t>
      </w:r>
    </w:p>
    <w:p>
      <w:pPr>
        <w:pStyle w:val="FirstParagraph"/>
      </w:pPr>
      <w:r>
        <w:t xml:space="preserve">End Appendix D.</w:t>
      </w:r>
    </w:p>
    <w:bookmarkEnd w:id="330"/>
    <w:bookmarkEnd w:id="331"/>
    <w:bookmarkStart w:id="344" w:name="X6e2477238dde02298886e8f51317bfc50383c2a"/>
    <w:p>
      <w:pPr>
        <w:pStyle w:val="Heading1"/>
      </w:pPr>
      <w:r>
        <w:t xml:space="preserve">APPENDIX E: UCI OPERATIONALIZATION PACK (TIER 1-3)</w:t>
      </w:r>
    </w:p>
    <w:p>
      <w:pPr>
        <w:pStyle w:val="FirstParagraph"/>
      </w:pPr>
      <w:r>
        <w:t xml:space="preserve">Appendix E is normative for the UCI interface and Tier 3 constraints; indicator families are canonical guidance unless a deployment supplies validated instruments.</w:t>
      </w:r>
    </w:p>
    <w:p>
      <w:pPr>
        <w:pStyle w:val="BodyText"/>
      </w:pPr>
      <w:r>
        <w:t xml:space="preserve">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bookmarkStart w:id="332" w:name="e.1-uci-component-definitions-canonical"/>
    <w:p>
      <w:pPr>
        <w:pStyle w:val="Heading2"/>
      </w:pPr>
      <w:r>
        <w:t xml:space="preserve">E.1 UCI Component Definitions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948"/>
        <w:gridCol w:w="2684"/>
        <w:gridCol w:w="3586"/>
      </w:tblGrid>
      <w:tr>
        <w:trPr>
          <w:tblHeader w:val="true"/>
          <w:cantSplit/>
        </w:trPr>
        <w:tc>
          <w:tcPr>
            <w:tcW w:w="2948"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Component</w:t>
            </w:r>
          </w:p>
        </w:tc>
        <w:tc>
          <w:tcPr>
            <w:tcW w:w="268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586"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Description</w:t>
            </w:r>
          </w:p>
        </w:tc>
      </w:tr>
      <w:tr>
        <w:trPr>
          <w:cantSplit/>
        </w:trPr>
        <w:tc>
          <w:tcPr>
            <w:tcW w:w="2948" w:type="dxa"/>
            <w:vAlign w:val="top"/>
            <w:tcMar>
              <w:top w:w="70" w:type="dxa"/>
              <w:start w:w="90" w:type="dxa"/>
              <w:bottom w:w="70" w:type="dxa"/>
              <w:end w:w="90" w:type="dxa"/>
            </w:tcMar>
            <w:shd w:fill="FFFFFF" w:val="clear"/>
          </w:tcPr>
          <w:p>
            <w:pPr>
              <w:pStyle w:val="Compact"/>
              <w:spacing w:before="0" w:after="0"/>
              <w:jc w:val="left"/>
            </w:pPr>
            <w:r>
              <w:rPr>
                <w:sz w:val="18"/>
              </w:rPr>
              <w:t xml:space="preserve">Cohesion</w:t>
            </w:r>
          </w:p>
        </w:tc>
        <w:tc>
          <w:tcPr>
            <w:tcW w:w="2684" w:type="dxa"/>
            <w:vAlign w:val="top"/>
            <w:tcMar>
              <w:top w:w="70" w:type="dxa"/>
              <w:start w:w="90" w:type="dxa"/>
              <w:bottom w:w="70" w:type="dxa"/>
              <w:end w:w="90" w:type="dxa"/>
            </w:tcMar>
            <w:shd w:fill="FFFFFF" w:val="clear"/>
          </w:tcPr>
          <w:p>
            <w:pPr>
              <w:pStyle w:val="Compact"/>
              <w:spacing w:before="0" w:after="0"/>
              <w:jc w:val="left"/>
            </w:pPr>
            <w:r>
              <w:rPr>
                <w:sz w:val="18"/>
              </w:rPr>
              <w:t xml:space="preserve">H_u</w:t>
            </w:r>
          </w:p>
        </w:tc>
        <w:tc>
          <w:tcPr>
            <w:tcW w:w="3586" w:type="dxa"/>
            <w:vAlign w:val="top"/>
            <w:tcMar>
              <w:top w:w="70" w:type="dxa"/>
              <w:start w:w="90" w:type="dxa"/>
              <w:bottom w:w="70" w:type="dxa"/>
              <w:end w:w="90" w:type="dxa"/>
            </w:tcMar>
            <w:shd w:fill="FFFFFF" w:val="clear"/>
          </w:tcPr>
          <w:p>
            <w:pPr>
              <w:pStyle w:val="Compact"/>
              <w:spacing w:before="0" w:after="0"/>
              <w:jc w:val="left"/>
            </w:pPr>
            <w:r>
              <w:rPr>
                <w:sz w:val="18"/>
              </w:rPr>
              <w:t xml:space="preserve">Internal connectivity, trust, shared identity, conflict resolution capacity</w:t>
            </w:r>
          </w:p>
        </w:tc>
      </w:tr>
      <w:tr>
        <w:trPr>
          <w:cantSplit/>
        </w:trPr>
        <w:tc>
          <w:tcPr>
            <w:tcW w:w="2948" w:type="dxa"/>
            <w:vAlign w:val="top"/>
            <w:tcMar>
              <w:top w:w="70" w:type="dxa"/>
              <w:start w:w="90" w:type="dxa"/>
              <w:bottom w:w="70" w:type="dxa"/>
              <w:end w:w="90" w:type="dxa"/>
            </w:tcMar>
            <w:shd w:fill="F3F7FB" w:val="clear"/>
          </w:tcPr>
          <w:p>
            <w:pPr>
              <w:pStyle w:val="Compact"/>
              <w:spacing w:before="0" w:after="0"/>
              <w:jc w:val="left"/>
            </w:pPr>
            <w:r>
              <w:rPr>
                <w:sz w:val="18"/>
              </w:rPr>
              <w:t xml:space="preserve">Flow</w:t>
            </w:r>
          </w:p>
        </w:tc>
        <w:tc>
          <w:tcPr>
            <w:tcW w:w="2684" w:type="dxa"/>
            <w:vAlign w:val="top"/>
            <w:tcMar>
              <w:top w:w="70" w:type="dxa"/>
              <w:start w:w="90" w:type="dxa"/>
              <w:bottom w:w="70" w:type="dxa"/>
              <w:end w:w="90" w:type="dxa"/>
            </w:tcMar>
            <w:shd w:fill="F3F7FB" w:val="clear"/>
          </w:tcPr>
          <w:p>
            <w:pPr>
              <w:pStyle w:val="Compact"/>
              <w:spacing w:before="0" w:after="0"/>
              <w:jc w:val="left"/>
            </w:pPr>
            <w:r>
              <w:rPr>
                <w:sz w:val="18"/>
              </w:rPr>
              <w:t xml:space="preserve">F_u</w:t>
            </w:r>
          </w:p>
        </w:tc>
        <w:tc>
          <w:tcPr>
            <w:tcW w:w="3586" w:type="dxa"/>
            <w:vAlign w:val="top"/>
            <w:tcMar>
              <w:top w:w="70" w:type="dxa"/>
              <w:start w:w="90" w:type="dxa"/>
              <w:bottom w:w="70" w:type="dxa"/>
              <w:end w:w="90" w:type="dxa"/>
            </w:tcMar>
            <w:shd w:fill="F3F7FB" w:val="clear"/>
          </w:tcPr>
          <w:p>
            <w:pPr>
              <w:pStyle w:val="Compact"/>
              <w:spacing w:before="0" w:after="0"/>
              <w:jc w:val="left"/>
            </w:pPr>
            <w:r>
              <w:rPr>
                <w:sz w:val="18"/>
              </w:rPr>
              <w:t xml:space="preserve">Coordination throughput, information fidelity, resource allocation efficiency</w:t>
            </w:r>
          </w:p>
        </w:tc>
      </w:tr>
      <w:tr>
        <w:trPr>
          <w:cantSplit/>
        </w:trPr>
        <w:tc>
          <w:tcPr>
            <w:tcW w:w="2948" w:type="dxa"/>
            <w:vAlign w:val="top"/>
            <w:tcMar>
              <w:top w:w="70" w:type="dxa"/>
              <w:start w:w="90" w:type="dxa"/>
              <w:bottom w:w="70" w:type="dxa"/>
              <w:end w:w="90" w:type="dxa"/>
            </w:tcMar>
            <w:shd w:fill="FFFFFF" w:val="clear"/>
          </w:tcPr>
          <w:p>
            <w:pPr>
              <w:pStyle w:val="Compact"/>
              <w:spacing w:before="0" w:after="0"/>
              <w:jc w:val="left"/>
            </w:pPr>
            <w:r>
              <w:rPr>
                <w:sz w:val="18"/>
              </w:rPr>
              <w:t xml:space="preserve">Resilience</w:t>
            </w:r>
          </w:p>
        </w:tc>
        <w:tc>
          <w:tcPr>
            <w:tcW w:w="2684" w:type="dxa"/>
            <w:vAlign w:val="top"/>
            <w:tcMar>
              <w:top w:w="70" w:type="dxa"/>
              <w:start w:w="90" w:type="dxa"/>
              <w:bottom w:w="70" w:type="dxa"/>
              <w:end w:w="90" w:type="dxa"/>
            </w:tcMar>
            <w:shd w:fill="FFFFFF" w:val="clear"/>
          </w:tcPr>
          <w:p>
            <w:pPr>
              <w:pStyle w:val="Compact"/>
              <w:spacing w:before="0" w:after="0"/>
              <w:jc w:val="left"/>
            </w:pPr>
            <w:r>
              <w:rPr>
                <w:sz w:val="18"/>
              </w:rPr>
              <w:t xml:space="preserve">R_u</w:t>
            </w:r>
          </w:p>
        </w:tc>
        <w:tc>
          <w:tcPr>
            <w:tcW w:w="3586" w:type="dxa"/>
            <w:vAlign w:val="top"/>
            <w:tcMar>
              <w:top w:w="70" w:type="dxa"/>
              <w:start w:w="90" w:type="dxa"/>
              <w:bottom w:w="70" w:type="dxa"/>
              <w:end w:w="90" w:type="dxa"/>
            </w:tcMar>
            <w:shd w:fill="FFFFFF" w:val="clear"/>
          </w:tcPr>
          <w:p>
            <w:pPr>
              <w:pStyle w:val="Compact"/>
              <w:spacing w:before="0" w:after="0"/>
              <w:jc w:val="left"/>
            </w:pPr>
            <w:r>
              <w:rPr>
                <w:sz w:val="18"/>
              </w:rPr>
              <w:t xml:space="preserve">Redundancy, robustness, recovery speed, adaptive capacity</w:t>
            </w:r>
          </w:p>
        </w:tc>
      </w:tr>
      <w:tr>
        <w:trPr>
          <w:cantSplit/>
        </w:trPr>
        <w:tc>
          <w:tcPr>
            <w:tcW w:w="2948" w:type="dxa"/>
            <w:vAlign w:val="top"/>
            <w:tcMar>
              <w:top w:w="70" w:type="dxa"/>
              <w:start w:w="90" w:type="dxa"/>
              <w:bottom w:w="70" w:type="dxa"/>
              <w:end w:w="90" w:type="dxa"/>
            </w:tcMar>
            <w:shd w:fill="F3F7FB" w:val="clear"/>
          </w:tcPr>
          <w:p>
            <w:pPr>
              <w:pStyle w:val="Compact"/>
              <w:spacing w:before="0" w:after="0"/>
              <w:jc w:val="left"/>
            </w:pPr>
            <w:r>
              <w:rPr>
                <w:sz w:val="18"/>
              </w:rPr>
              <w:t xml:space="preserve">Equity</w:t>
            </w:r>
          </w:p>
        </w:tc>
        <w:tc>
          <w:tcPr>
            <w:tcW w:w="2684" w:type="dxa"/>
            <w:vAlign w:val="top"/>
            <w:tcMar>
              <w:top w:w="70" w:type="dxa"/>
              <w:start w:w="90" w:type="dxa"/>
              <w:bottom w:w="70" w:type="dxa"/>
              <w:end w:w="90" w:type="dxa"/>
            </w:tcMar>
            <w:shd w:fill="F3F7FB" w:val="clear"/>
          </w:tcPr>
          <w:p>
            <w:pPr>
              <w:pStyle w:val="Compact"/>
              <w:spacing w:before="0" w:after="0"/>
              <w:jc w:val="left"/>
            </w:pPr>
            <w:r>
              <w:rPr>
                <w:sz w:val="18"/>
              </w:rPr>
              <w:t xml:space="preserve">E_u</w:t>
            </w:r>
          </w:p>
        </w:tc>
        <w:tc>
          <w:tcPr>
            <w:tcW w:w="3586" w:type="dxa"/>
            <w:vAlign w:val="top"/>
            <w:tcMar>
              <w:top w:w="70" w:type="dxa"/>
              <w:start w:w="90" w:type="dxa"/>
              <w:bottom w:w="70" w:type="dxa"/>
              <w:end w:w="90" w:type="dxa"/>
            </w:tcMar>
            <w:shd w:fill="F3F7FB" w:val="clear"/>
          </w:tcPr>
          <w:p>
            <w:pPr>
              <w:pStyle w:val="Compact"/>
              <w:spacing w:before="0" w:after="0"/>
              <w:jc w:val="left"/>
            </w:pPr>
            <w:r>
              <w:rPr>
                <w:sz w:val="18"/>
              </w:rPr>
              <w:t xml:space="preserve">Fair distribution of burdens/benefits, voice representation, inclusion</w:t>
            </w:r>
          </w:p>
        </w:tc>
      </w:tr>
    </w:tbl>
    <w:bookmarkEnd w:id="332"/>
    <w:bookmarkStart w:id="333" w:name="e.2-uci-formula-canonical"/>
    <w:p>
      <w:pPr>
        <w:pStyle w:val="Heading2"/>
      </w:pPr>
      <w:r>
        <w:t xml:space="preserve">E.2 UCI Formula (Canonical)</w:t>
      </w:r>
    </w:p>
    <w:p>
      <w:pPr>
        <w:pStyle w:val="FirstParagraph"/>
      </w:pPr>
      <w:r>
        <w:t xml:space="preserve">UCI_u = α_H × H_u + α_F × F_u + α_R × R_u + α_E × E_u</w:t>
      </w:r>
    </w:p>
    <w:p>
      <w:pPr>
        <w:pStyle w:val="BodyText"/>
      </w:pPr>
      <w:r>
        <w:t xml:space="preserve">Default: α_H = α_F = α_R = α_E = 0.25.</w:t>
      </w:r>
    </w:p>
    <w:p>
      <w:pPr>
        <w:pStyle w:val="BodyText"/>
      </w:pPr>
      <w:r>
        <w:t xml:space="preserve">Special case for Self (U₁): E₁ := 1 by definition. The equity component is fixed at 1 for Self because equity-as-distribution does not apply within a single individual. This provides a neutral, non-penalizing identity value.</w:t>
      </w:r>
    </w:p>
    <w:bookmarkEnd w:id="333"/>
    <w:bookmarkStart w:id="334" w:name="X4c5b348a919cb9cf743c35e9882f9090031eed1"/>
    <w:p>
      <w:pPr>
        <w:pStyle w:val="Heading2"/>
      </w:pPr>
      <w:r>
        <w:t xml:space="preserve">E.3 Structural Independence Rule (Tier 3 Binding)</w:t>
      </w:r>
    </w:p>
    <w:p>
      <w:pPr>
        <w:pStyle w:val="FirstParagraph"/>
      </w:pPr>
      <w:r>
        <w:t xml:space="preserve">UCI MUST be computed from structural/process indicators distinct from welfare indicators used for RLS.</w:t>
      </w:r>
    </w:p>
    <w:p>
      <w:pPr>
        <w:pStyle w:val="BodyText"/>
      </w:pPr>
      <w:r>
        <w:t xml:space="preserve">At Tier 3:</w:t>
      </w:r>
    </w:p>
    <w:p>
      <w:pPr>
        <w:pStyle w:val="Compact"/>
        <w:numPr>
          <w:ilvl w:val="0"/>
          <w:numId w:val="1284"/>
        </w:numPr>
      </w:pPr>
      <w:r>
        <w:t xml:space="preserve">Deriving UCI from welfare-cell impacts is PROHIBITED</w:t>
      </w:r>
    </w:p>
    <w:p>
      <w:pPr>
        <w:pStyle w:val="Compact"/>
        <w:numPr>
          <w:ilvl w:val="0"/>
          <w:numId w:val="1285"/>
        </w:numPr>
      </w:pPr>
      <w:r>
        <w:t xml:space="preserve">If structural indicators are unavailable, UCI is treated as unavailable (see E.7)</w:t>
      </w:r>
    </w:p>
    <w:bookmarkEnd w:id="334"/>
    <w:bookmarkStart w:id="335" w:name="X81fb0692b14eeb4da21388356614d103d87b691"/>
    <w:p>
      <w:pPr>
        <w:pStyle w:val="Heading2"/>
      </w:pPr>
      <w:r>
        <w:t xml:space="preserve">E.4 Indicator Families by Union (Canonical Guidance)</w:t>
      </w:r>
    </w:p>
    <w:p>
      <w:pPr>
        <w:pStyle w:val="FirstParagraph"/>
      </w:pPr>
      <w:r>
        <w:t xml:space="preserve">U₁ Self:</w:t>
      </w:r>
    </w:p>
    <w:p>
      <w:pPr>
        <w:pStyle w:val="Compact"/>
        <w:numPr>
          <w:ilvl w:val="0"/>
          <w:numId w:val="1286"/>
        </w:numPr>
      </w:pPr>
      <w:r>
        <w:t xml:space="preserve">Cohesion: Psychological integration, goal coherence, self-trust, internal conflict resolution</w:t>
      </w:r>
    </w:p>
    <w:p>
      <w:pPr>
        <w:pStyle w:val="Compact"/>
        <w:numPr>
          <w:ilvl w:val="0"/>
          <w:numId w:val="1287"/>
        </w:numPr>
      </w:pPr>
      <w:r>
        <w:t xml:space="preserve">Flow: Task execution reliability, attention stability, cognitive throughput proxies</w:t>
      </w:r>
    </w:p>
    <w:p>
      <w:pPr>
        <w:pStyle w:val="Compact"/>
        <w:numPr>
          <w:ilvl w:val="0"/>
          <w:numId w:val="1288"/>
        </w:numPr>
      </w:pPr>
      <w:r>
        <w:t xml:space="preserve">Resilience: Stress recovery, adaptive coping, flexibility under change</w:t>
      </w:r>
    </w:p>
    <w:p>
      <w:pPr>
        <w:pStyle w:val="Compact"/>
        <w:numPr>
          <w:ilvl w:val="0"/>
          <w:numId w:val="1289"/>
        </w:numPr>
      </w:pPr>
      <w:r>
        <w:t xml:space="preserve">Equity: E₁ := 1 by default (not measured)</w:t>
      </w:r>
    </w:p>
    <w:p>
      <w:pPr>
        <w:pStyle w:val="FirstParagraph"/>
      </w:pPr>
      <w:r>
        <w:t xml:space="preserve">U₂ Household:</w:t>
      </w:r>
    </w:p>
    <w:p>
      <w:pPr>
        <w:pStyle w:val="Compact"/>
        <w:numPr>
          <w:ilvl w:val="0"/>
          <w:numId w:val="1290"/>
        </w:numPr>
      </w:pPr>
      <w:r>
        <w:t xml:space="preserve">Cohesion: Relationship quality, conflict resolution, trust among members</w:t>
      </w:r>
    </w:p>
    <w:p>
      <w:pPr>
        <w:pStyle w:val="Compact"/>
        <w:numPr>
          <w:ilvl w:val="0"/>
          <w:numId w:val="1291"/>
        </w:numPr>
      </w:pPr>
      <w:r>
        <w:t xml:space="preserve">Flow: Resource pooling efficiency, coordination routines, decision-making speed</w:t>
      </w:r>
    </w:p>
    <w:p>
      <w:pPr>
        <w:pStyle w:val="Compact"/>
        <w:numPr>
          <w:ilvl w:val="0"/>
          <w:numId w:val="1292"/>
        </w:numPr>
      </w:pPr>
      <w:r>
        <w:t xml:space="preserve">Resilience: Emergency preparedness, support redundancy, recovery from shocks</w:t>
      </w:r>
    </w:p>
    <w:p>
      <w:pPr>
        <w:pStyle w:val="Compact"/>
        <w:numPr>
          <w:ilvl w:val="0"/>
          <w:numId w:val="1293"/>
        </w:numPr>
      </w:pPr>
      <w:r>
        <w:t xml:space="preserve">Equity: Fair burden-sharing, voice parity, caregiving distribution fairness</w:t>
      </w:r>
    </w:p>
    <w:p>
      <w:pPr>
        <w:pStyle w:val="FirstParagraph"/>
      </w:pPr>
      <w:r>
        <w:t xml:space="preserve">U₃ Community:</w:t>
      </w:r>
    </w:p>
    <w:p>
      <w:pPr>
        <w:pStyle w:val="Compact"/>
        <w:numPr>
          <w:ilvl w:val="0"/>
          <w:numId w:val="1294"/>
        </w:numPr>
      </w:pPr>
      <w:r>
        <w:t xml:space="preserve">Cohesion: Social capital, trust indices, network density, belonging measures</w:t>
      </w:r>
    </w:p>
    <w:p>
      <w:pPr>
        <w:pStyle w:val="Compact"/>
        <w:numPr>
          <w:ilvl w:val="0"/>
          <w:numId w:val="1295"/>
        </w:numPr>
      </w:pPr>
      <w:r>
        <w:t xml:space="preserve">Flow: Collective action capacity, coordination lag, information spread fidelity</w:t>
      </w:r>
    </w:p>
    <w:p>
      <w:pPr>
        <w:pStyle w:val="Compact"/>
        <w:numPr>
          <w:ilvl w:val="0"/>
          <w:numId w:val="1296"/>
        </w:numPr>
      </w:pPr>
      <w:r>
        <w:t xml:space="preserve">Resilience: Mutual aid redundancy, disaster response capacity, recovery history</w:t>
      </w:r>
    </w:p>
    <w:p>
      <w:pPr>
        <w:pStyle w:val="Compact"/>
        <w:numPr>
          <w:ilvl w:val="0"/>
          <w:numId w:val="1297"/>
        </w:numPr>
      </w:pPr>
      <w:r>
        <w:t xml:space="preserve">Equity: Inclusion of marginalized groups, access parity, procedural fairness in local governance</w:t>
      </w:r>
    </w:p>
    <w:p>
      <w:pPr>
        <w:pStyle w:val="FirstParagraph"/>
      </w:pPr>
      <w:r>
        <w:t xml:space="preserve">U₄ Organization:</w:t>
      </w:r>
    </w:p>
    <w:p>
      <w:pPr>
        <w:pStyle w:val="Compact"/>
        <w:numPr>
          <w:ilvl w:val="0"/>
          <w:numId w:val="1298"/>
        </w:numPr>
      </w:pPr>
      <w:r>
        <w:t xml:space="preserve">Cohesion: Culture trust indices, turnover stability, safety culture, shared purpose</w:t>
      </w:r>
    </w:p>
    <w:p>
      <w:pPr>
        <w:pStyle w:val="Compact"/>
        <w:numPr>
          <w:ilvl w:val="0"/>
          <w:numId w:val="1299"/>
        </w:numPr>
      </w:pPr>
      <w:r>
        <w:t xml:space="preserve">Flow: Process throughput, coordination efficiency, error rates, execution reliability</w:t>
      </w:r>
    </w:p>
    <w:p>
      <w:pPr>
        <w:pStyle w:val="Compact"/>
        <w:numPr>
          <w:ilvl w:val="0"/>
          <w:numId w:val="1300"/>
        </w:numPr>
      </w:pPr>
      <w:r>
        <w:t xml:space="preserve">Resilience: Redundancy, continuity planning, incident response maturity</w:t>
      </w:r>
    </w:p>
    <w:p>
      <w:pPr>
        <w:pStyle w:val="Compact"/>
        <w:numPr>
          <w:ilvl w:val="0"/>
          <w:numId w:val="1301"/>
        </w:numPr>
      </w:pPr>
      <w:r>
        <w:t xml:space="preserve">Equity: Pay fairness, promotion parity, grievance procedures, representation</w:t>
      </w:r>
    </w:p>
    <w:p>
      <w:pPr>
        <w:pStyle w:val="FirstParagraph"/>
      </w:pPr>
      <w:r>
        <w:t xml:space="preserve">U₅ Polity:</w:t>
      </w:r>
    </w:p>
    <w:p>
      <w:pPr>
        <w:pStyle w:val="Compact"/>
        <w:numPr>
          <w:ilvl w:val="0"/>
          <w:numId w:val="1302"/>
        </w:numPr>
      </w:pPr>
      <w:r>
        <w:t xml:space="preserve">Cohesion: Institutional trust, social cohesion indices, legitimacy measures</w:t>
      </w:r>
    </w:p>
    <w:p>
      <w:pPr>
        <w:pStyle w:val="Compact"/>
        <w:numPr>
          <w:ilvl w:val="0"/>
          <w:numId w:val="1303"/>
        </w:numPr>
      </w:pPr>
      <w:r>
        <w:t xml:space="preserve">Flow: Governance effectiveness, service delivery reliability, coordination speed</w:t>
      </w:r>
    </w:p>
    <w:p>
      <w:pPr>
        <w:pStyle w:val="Compact"/>
        <w:numPr>
          <w:ilvl w:val="0"/>
          <w:numId w:val="1304"/>
        </w:numPr>
      </w:pPr>
      <w:r>
        <w:t xml:space="preserve">Resilience: Crisis response capacity, redundancy of critical systems</w:t>
      </w:r>
    </w:p>
    <w:p>
      <w:pPr>
        <w:pStyle w:val="Compact"/>
        <w:numPr>
          <w:ilvl w:val="0"/>
          <w:numId w:val="1305"/>
        </w:numPr>
      </w:pPr>
      <w:r>
        <w:t xml:space="preserve">Equity: Rule of law parity, civil rights access parity, representation integrity</w:t>
      </w:r>
    </w:p>
    <w:p>
      <w:pPr>
        <w:pStyle w:val="FirstParagraph"/>
      </w:pPr>
      <w:r>
        <w:t xml:space="preserve">U₆ Humanity/CMIU:</w:t>
      </w:r>
    </w:p>
    <w:p>
      <w:pPr>
        <w:pStyle w:val="Compact"/>
        <w:numPr>
          <w:ilvl w:val="0"/>
          <w:numId w:val="1306"/>
        </w:numPr>
      </w:pPr>
      <w:r>
        <w:t xml:space="preserve">Cohesion: Cross-polity cooperation capacity, treaty adherence norms</w:t>
      </w:r>
    </w:p>
    <w:p>
      <w:pPr>
        <w:pStyle w:val="Compact"/>
        <w:numPr>
          <w:ilvl w:val="0"/>
          <w:numId w:val="1307"/>
        </w:numPr>
      </w:pPr>
      <w:r>
        <w:t xml:space="preserve">Flow: Global coordination throughput, information-sharing integrity</w:t>
      </w:r>
    </w:p>
    <w:p>
      <w:pPr>
        <w:pStyle w:val="Compact"/>
        <w:numPr>
          <w:ilvl w:val="0"/>
          <w:numId w:val="1308"/>
        </w:numPr>
      </w:pPr>
      <w:r>
        <w:t xml:space="preserve">Resilience: Global response capacity to pandemics/climate/conflict</w:t>
      </w:r>
    </w:p>
    <w:p>
      <w:pPr>
        <w:pStyle w:val="Compact"/>
        <w:numPr>
          <w:ilvl w:val="0"/>
          <w:numId w:val="1309"/>
        </w:numPr>
      </w:pPr>
      <w:r>
        <w:t xml:space="preserve">Equity: Burden-sharing fairness, inclusion of vulnerable polities/populations</w:t>
      </w:r>
    </w:p>
    <w:p>
      <w:pPr>
        <w:pStyle w:val="FirstParagraph"/>
      </w:pPr>
      <w:r>
        <w:t xml:space="preserve">U₇ Biosphere:</w:t>
      </w:r>
    </w:p>
    <w:p>
      <w:pPr>
        <w:pStyle w:val="Compact"/>
        <w:numPr>
          <w:ilvl w:val="0"/>
          <w:numId w:val="1310"/>
        </w:numPr>
      </w:pPr>
      <w:r>
        <w:t xml:space="preserve">Cohesion: Ecosystem connectivity, biodiversity integrity, trophic network stability</w:t>
      </w:r>
    </w:p>
    <w:p>
      <w:pPr>
        <w:pStyle w:val="Compact"/>
        <w:numPr>
          <w:ilvl w:val="0"/>
          <w:numId w:val="1311"/>
        </w:numPr>
      </w:pPr>
      <w:r>
        <w:t xml:space="preserve">Flow: Nutrient cycling integrity, carbon sequestration capacity, hydrological cycle stability</w:t>
      </w:r>
    </w:p>
    <w:p>
      <w:pPr>
        <w:pStyle w:val="Compact"/>
        <w:numPr>
          <w:ilvl w:val="0"/>
          <w:numId w:val="1312"/>
        </w:numPr>
      </w:pPr>
      <w:r>
        <w:t xml:space="preserve">Resilience: Recovery capacity, redundancy of functional species, anti-fragility markers</w:t>
      </w:r>
    </w:p>
    <w:p>
      <w:pPr>
        <w:pStyle w:val="Compact"/>
        <w:numPr>
          <w:ilvl w:val="0"/>
          <w:numId w:val="1313"/>
        </w:numPr>
      </w:pPr>
      <w:r>
        <w:t xml:space="preserve">Equity: Use distributional ecosystem integrity proxies when a governed instrument exists. If not operationalized, set E7 := 1 (neutral identity value) and record E7_METHOD_FIXED_1_DEFAULT in PCC.</w:t>
      </w:r>
    </w:p>
    <w:bookmarkEnd w:id="335"/>
    <w:bookmarkStart w:id="336" w:name="e.5-δuci-computation-canonical"/>
    <w:p>
      <w:pPr>
        <w:pStyle w:val="Heading2"/>
      </w:pPr>
      <w:r>
        <w:t xml:space="preserve">E.5 ΔUCI Computation (Canonical)</w:t>
      </w:r>
    </w:p>
    <w:p>
      <w:pPr>
        <w:pStyle w:val="FirstParagraph"/>
      </w:pPr>
      <w:r>
        <w:t xml:space="preserve">ΔUCI_u(a) = UCI_u(a) − UCI_u(baseline)</w:t>
      </w:r>
    </w:p>
    <w:bookmarkEnd w:id="336"/>
    <w:bookmarkStart w:id="337" w:name="X24aaeb5295c7bc4afea4e23568f2b05c00eb202"/>
    <w:p>
      <w:pPr>
        <w:pStyle w:val="Heading2"/>
      </w:pPr>
      <w:r>
        <w:t xml:space="preserve">E.6 Prospective UCI Estimation (Tier 3) (Normative Constraints)</w:t>
      </w:r>
    </w:p>
    <w:p>
      <w:pPr>
        <w:pStyle w:val="FirstParagraph"/>
      </w:pPr>
      <w:r>
        <w:t xml:space="preserve">Tier 3 requires prospective (ex ante) estimation of UCI changes from structural indicators, not from welfare impacts. The PCC must:</w:t>
      </w:r>
    </w:p>
    <w:p>
      <w:pPr>
        <w:pStyle w:val="Compact"/>
        <w:numPr>
          <w:ilvl w:val="0"/>
          <w:numId w:val="1314"/>
        </w:numPr>
      </w:pPr>
      <w:r>
        <w:t xml:space="preserve">Identify structural indicators used</w:t>
      </w:r>
    </w:p>
    <w:p>
      <w:pPr>
        <w:pStyle w:val="Compact"/>
        <w:numPr>
          <w:ilvl w:val="0"/>
          <w:numId w:val="1315"/>
        </w:numPr>
      </w:pPr>
      <w:r>
        <w:t xml:space="preserve">Specify baseline values</w:t>
      </w:r>
    </w:p>
    <w:p>
      <w:pPr>
        <w:pStyle w:val="Compact"/>
        <w:numPr>
          <w:ilvl w:val="0"/>
          <w:numId w:val="1316"/>
        </w:numPr>
      </w:pPr>
      <w:r>
        <w:t xml:space="preserve">Specify predicted changes under each option</w:t>
      </w:r>
    </w:p>
    <w:p>
      <w:pPr>
        <w:pStyle w:val="Compact"/>
        <w:numPr>
          <w:ilvl w:val="0"/>
          <w:numId w:val="1317"/>
        </w:numPr>
      </w:pPr>
      <w:r>
        <w:t xml:space="preserve">Specify normalization to [0,1] for each component</w:t>
      </w:r>
    </w:p>
    <w:p>
      <w:pPr>
        <w:pStyle w:val="Compact"/>
        <w:numPr>
          <w:ilvl w:val="0"/>
          <w:numId w:val="1318"/>
        </w:numPr>
      </w:pPr>
      <w:r>
        <w:t xml:space="preserve">Compute UCI_u and ΔUCI_u using E.2 and E.5</w:t>
      </w:r>
    </w:p>
    <w:bookmarkEnd w:id="337"/>
    <w:bookmarkStart w:id="338" w:name="X6562ce1989a8599e7374fde8b70c95823979222"/>
    <w:p>
      <w:pPr>
        <w:pStyle w:val="Heading2"/>
      </w:pPr>
      <w:r>
        <w:t xml:space="preserve">E.7 UCI Unavailability Rule (Tier 3) (Normative)</w:t>
      </w:r>
    </w:p>
    <w:p>
      <w:pPr>
        <w:pStyle w:val="FirstParagraph"/>
      </w:pPr>
      <w:r>
        <w:t xml:space="preserve">If structural indicators are unavailable such that UCI cannot be computed without violating E.3:</w:t>
      </w:r>
    </w:p>
    <w:p>
      <w:pPr>
        <w:pStyle w:val="Compact"/>
        <w:numPr>
          <w:ilvl w:val="0"/>
          <w:numId w:val="1319"/>
        </w:numPr>
      </w:pPr>
      <w:r>
        <w:t xml:space="preserve">UCI MUST be treated as unavailable for tie-break purposes</w:t>
      </w:r>
    </w:p>
    <w:p>
      <w:pPr>
        <w:pStyle w:val="Compact"/>
        <w:numPr>
          <w:ilvl w:val="0"/>
          <w:numId w:val="1320"/>
        </w:numPr>
      </w:pPr>
      <w:r>
        <w:t xml:space="preserve">If RLS lead is non-decisive, decision MUST escalate for more data/higher tier OR record a judgment call with label JUDGMENT_CALL_UCI_UNAVAILABLE and a monitoring plan</w:t>
      </w:r>
    </w:p>
    <w:p>
      <w:pPr>
        <w:pStyle w:val="Compact"/>
        <w:numPr>
          <w:ilvl w:val="0"/>
          <w:numId w:val="1321"/>
        </w:numPr>
      </w:pPr>
      <w:r>
        <w:t xml:space="preserve">Any welfare-derived UCI proxy MUST NOT be used to claim Tier 3 compliance</w:t>
      </w:r>
    </w:p>
    <w:bookmarkEnd w:id="338"/>
    <w:bookmarkStart w:id="339" w:name="X4334187a5749b31f52ca427069285cb06c2f726"/>
    <w:p>
      <w:pPr>
        <w:pStyle w:val="Heading2"/>
      </w:pPr>
      <w:r>
        <w:t xml:space="preserve">E.7A UCI/HOI Dual-Use Reporting Interface (Normative for Tier 3)</w:t>
      </w:r>
    </w:p>
    <w:p>
      <w:pPr>
        <w:pStyle w:val="FirstParagraph"/>
      </w:pPr>
      <w:r>
        <w:t xml:space="preserve">Purpose. UCI and HOI may serve as structural evidence in two distinct authority roles. Tier 3 implementations MUST record which role is being used.</w:t>
      </w:r>
    </w:p>
    <w:p>
      <w:pPr>
        <w:pStyle w:val="BodyText"/>
      </w:pPr>
      <w:r>
        <w:t xml:space="preserve">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pStyle w:val="BodyText"/>
      </w:pPr>
      <w:r>
        <w:t xml:space="preserve">Rule. If containment_relevance is REQUIRED or THRESHOLD_CROSSED, the indicator SHALL be evaluated inside CSV before RLS. If the same indicator is later cited in residual tie-break, the PCC MUST state that gate-level containment disposition was already resolved and that residual use is limited to non-decisive structural preference, monitoring, or hollowing documentation.</w:t>
      </w:r>
    </w:p>
    <w:p>
      <w:pPr>
        <w:pStyle w:val="BodyText"/>
      </w:pPr>
      <w:r>
        <w:t xml:space="preserve">Prohibited use. An implementation SHALL NOT move a gate-relevant structural indicator to residual tie-break in order to avoid containment failure, evidence unavailability, or escalation.</w:t>
      </w:r>
    </w:p>
    <w:bookmarkEnd w:id="339"/>
    <w:bookmarkStart w:id="340" w:name="Xf1e3bae9689e1db2565982f6064a2b332ffcf5e"/>
    <w:p>
      <w:pPr>
        <w:pStyle w:val="Heading2"/>
      </w:pPr>
      <w:r>
        <w:t xml:space="preserve">E.8 Minimal Measurement Protocol (Canonical Guidance)</w:t>
      </w:r>
    </w:p>
    <w:p>
      <w:pPr>
        <w:pStyle w:val="FirstParagraph"/>
      </w:pPr>
      <w:r>
        <w:t xml:space="preserve">For each UCI component, the PCC SHOULD document: indicator(s) used; data source; normalization method; expected directionality; uncertainty or reliability notes; and review cadence.</w:t>
      </w:r>
    </w:p>
    <w:p>
      <w:pPr>
        <w:pStyle w:val="Compact"/>
        <w:numPr>
          <w:ilvl w:val="0"/>
          <w:numId w:val="1322"/>
        </w:numPr>
      </w:pPr>
      <w:r>
        <w:t xml:space="preserve">Indicator(s) used</w:t>
      </w:r>
    </w:p>
    <w:p>
      <w:pPr>
        <w:pStyle w:val="Compact"/>
        <w:numPr>
          <w:ilvl w:val="0"/>
          <w:numId w:val="1323"/>
        </w:numPr>
      </w:pPr>
      <w:r>
        <w:t xml:space="preserve">Data source</w:t>
      </w:r>
    </w:p>
    <w:p>
      <w:pPr>
        <w:pStyle w:val="Compact"/>
        <w:numPr>
          <w:ilvl w:val="0"/>
          <w:numId w:val="1324"/>
        </w:numPr>
      </w:pPr>
      <w:r>
        <w:t xml:space="preserve">Normalization method</w:t>
      </w:r>
    </w:p>
    <w:p>
      <w:pPr>
        <w:pStyle w:val="Compact"/>
        <w:numPr>
          <w:ilvl w:val="0"/>
          <w:numId w:val="1325"/>
        </w:numPr>
      </w:pPr>
      <w:r>
        <w:t xml:space="preserve">Expected directionality</w:t>
      </w:r>
    </w:p>
    <w:p>
      <w:pPr>
        <w:pStyle w:val="Compact"/>
        <w:numPr>
          <w:ilvl w:val="0"/>
          <w:numId w:val="1326"/>
        </w:numPr>
      </w:pPr>
      <w:r>
        <w:t xml:space="preserve">Uncertainty or reliability notes</w:t>
      </w:r>
    </w:p>
    <w:p>
      <w:pPr>
        <w:pStyle w:val="Compact"/>
        <w:numPr>
          <w:ilvl w:val="0"/>
          <w:numId w:val="1327"/>
        </w:numPr>
      </w:pPr>
      <w:r>
        <w:t xml:space="preserve">Review cadence</w:t>
      </w:r>
    </w:p>
    <w:bookmarkEnd w:id="340"/>
    <w:bookmarkStart w:id="341" w:name="Xcd97ef6d2403d8e92da28387621f07975ec52bd"/>
    <w:p>
      <w:pPr>
        <w:pStyle w:val="Heading2"/>
      </w:pPr>
      <w:r>
        <w:t xml:space="preserve">E.8A Provisional UCI Measurement Protocol for Tier 3 pilots (Canonical Guidance)</w:t>
      </w:r>
    </w:p>
    <w:p>
      <w:pPr>
        <w:pStyle w:val="FirstParagraph"/>
      </w:pPr>
      <w:r>
        <w:t xml:space="preserve">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BodyText"/>
      </w:pPr>
      <w:r>
        <w:t xml:space="preserve">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BodyText"/>
      </w:pPr>
      <w:r>
        <w:t xml:space="preserve">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bookmarkEnd w:id="341"/>
    <w:bookmarkStart w:id="342" w:name="X83f2554617d5dc8ba05fd5bb816e75f3fb33b28"/>
    <w:p>
      <w:pPr>
        <w:pStyle w:val="Heading2"/>
      </w:pPr>
      <w:r>
        <w:t xml:space="preserve">E.8B Tier 3 Starter Indicator Pack (Canonical Guidance)</w:t>
      </w:r>
    </w:p>
    <w:p>
      <w:pPr>
        <w:pStyle w:val="FirstParagraph"/>
      </w:pPr>
      <w:r>
        <w:t xml:space="preserve">The following starter indicators MAY be used as provisional structural indicator families when no validated domain-specific pack exists. They do not constitute final empirical calibration, but they provide a minimum auditable starter surface.</w:t>
      </w:r>
    </w:p>
    <w:p>
      <w:pPr>
        <w:pStyle w:val="BodyText"/>
      </w:pPr>
      <w:r>
        <w:t xml:space="preserve">U3 Community</w:t>
      </w:r>
    </w:p>
    <w:p>
      <w:pPr>
        <w:pStyle w:val="BodyText"/>
      </w:pPr>
      <w:r>
        <w:t xml:space="preserve">Cohesion: local trust survey or equivalent community-trust instrument</w:t>
      </w:r>
    </w:p>
    <w:p>
      <w:pPr>
        <w:pStyle w:val="BodyText"/>
      </w:pPr>
      <w:r>
        <w:t xml:space="preserve">Flow: coordination-response latency or meeting-to-action completion rate</w:t>
      </w:r>
    </w:p>
    <w:p>
      <w:pPr>
        <w:pStyle w:val="BodyText"/>
      </w:pPr>
      <w:r>
        <w:t xml:space="preserve">Resilience: mutual-aid activation readiness or recovery-from-disruption measure</w:t>
      </w:r>
    </w:p>
    <w:p>
      <w:pPr>
        <w:pStyle w:val="BodyText"/>
      </w:pPr>
      <w:r>
        <w:t xml:space="preserve">Equity: access-to-participation parity or grievance-resolution parity</w:t>
      </w:r>
    </w:p>
    <w:p>
      <w:pPr>
        <w:pStyle w:val="BodyText"/>
      </w:pPr>
      <w:r>
        <w:t xml:space="preserve">U4 Organization</w:t>
      </w:r>
    </w:p>
    <w:p>
      <w:pPr>
        <w:pStyle w:val="BodyText"/>
      </w:pPr>
      <w:r>
        <w:t xml:space="preserve">Cohesion: psychological-safety / trust instrument or equivalent (e.g., Edmondson, 1999)</w:t>
      </w:r>
    </w:p>
    <w:p>
      <w:pPr>
        <w:pStyle w:val="BodyText"/>
      </w:pPr>
      <w:r>
        <w:t xml:space="preserve">Flow: process throughput or median handoff completion time</w:t>
      </w:r>
    </w:p>
    <w:p>
      <w:pPr>
        <w:pStyle w:val="BodyText"/>
      </w:pPr>
      <w:r>
        <w:t xml:space="preserve">Resilience: incident recovery time or continuity readiness metric</w:t>
      </w:r>
    </w:p>
    <w:p>
      <w:pPr>
        <w:pStyle w:val="BodyText"/>
      </w:pPr>
      <w:r>
        <w:t xml:space="preserve">Equity: promotion / burden / grievance parity indicator</w:t>
      </w:r>
    </w:p>
    <w:p>
      <w:pPr>
        <w:pStyle w:val="BodyText"/>
      </w:pPr>
      <w:r>
        <w:t xml:space="preserve">U5 Polity</w:t>
      </w:r>
    </w:p>
    <w:p>
      <w:pPr>
        <w:pStyle w:val="BodyText"/>
      </w:pPr>
      <w:r>
        <w:t xml:space="preserve">Cohesion: institutional trust or legitimacy measure</w:t>
      </w:r>
    </w:p>
    <w:p>
      <w:pPr>
        <w:pStyle w:val="BodyText"/>
      </w:pPr>
      <w:r>
        <w:t xml:space="preserve">Flow: service-delivery or review-cycle timeliness measure</w:t>
      </w:r>
    </w:p>
    <w:p>
      <w:pPr>
        <w:pStyle w:val="BodyText"/>
      </w:pPr>
      <w:r>
        <w:t xml:space="preserve">Resilience: emergency response readiness or continuity-of-governance measure</w:t>
      </w:r>
    </w:p>
    <w:p>
      <w:pPr>
        <w:pStyle w:val="BodyText"/>
      </w:pPr>
      <w:r>
        <w:t xml:space="preserve">Equity: appeal access parity or due-process access parity measure</w:t>
      </w:r>
    </w:p>
    <w:p>
      <w:pPr>
        <w:pStyle w:val="BodyText"/>
      </w:pPr>
      <w:r>
        <w:t xml:space="preserve">Minimum handling rules</w:t>
      </w:r>
    </w:p>
    <w:p>
      <w:pPr>
        <w:pStyle w:val="BodyText"/>
      </w:pPr>
      <w:r>
        <w:t xml:space="preserve">Normalization to [0,1] MUST be declared in the PCC.</w:t>
      </w:r>
    </w:p>
    <w:p>
      <w:pPr>
        <w:pStyle w:val="BodyText"/>
      </w:pPr>
      <w:r>
        <w:t xml:space="preserve">Data older than 12 months MUST be marked stale unless a stricter domain rule is declared.</w:t>
      </w:r>
    </w:p>
    <w:p>
      <w:pPr>
        <w:pStyle w:val="BodyText"/>
      </w:pPr>
      <w:r>
        <w:t xml:space="preserve">If more than one required indicator family for a used scope is missing or stale, the affected UCI component SHALL be treated as unavailable.</w:t>
      </w:r>
    </w:p>
    <w:p>
      <w:pPr>
        <w:pStyle w:val="BodyText"/>
      </w:pPr>
      <w:r>
        <w:t xml:space="preserve">A worked example using this starter pack SHOULD be included in any Tier 3 deployment companion pack.</w:t>
      </w:r>
    </w:p>
    <w:bookmarkEnd w:id="342"/>
    <w:bookmarkStart w:id="343" w:name="X1ab65c854d949b503953bea74de6889d11dece2"/>
    <w:p>
      <w:pPr>
        <w:pStyle w:val="Heading2"/>
      </w:pPr>
      <w:r>
        <w:t xml:space="preserve">E.9 Measurement Guidance Expansion (Canonical Guidance)</w:t>
      </w:r>
    </w:p>
    <w:p>
      <w:pPr>
        <w:pStyle w:val="FirstParagraph"/>
      </w:pPr>
      <w:r>
        <w:t xml:space="preserve">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BodyText"/>
      </w:pPr>
      <w:r>
        <w:t xml:space="preserve">End Appendix E.</w:t>
      </w:r>
    </w:p>
    <w:bookmarkEnd w:id="343"/>
    <w:bookmarkEnd w:id="344"/>
    <w:bookmarkStart w:id="350" w:name="Xd6d64aba633d6d61f7847d393d87995d10fca47"/>
    <w:p>
      <w:pPr>
        <w:pStyle w:val="Heading1"/>
      </w:pPr>
      <w:r>
        <w:t xml:space="preserve">APPENDIX F: FAILURE MODES AND ANTI-GAMING CONTROLS (v11.4)</w:t>
      </w:r>
    </w:p>
    <w:p>
      <w:pPr>
        <w:pStyle w:val="FirstParagraph"/>
      </w:pPr>
      <w:r>
        <w:t xml:space="preserve">Appendix F is normative for identified gaming vectors and required mitigations. Informative note. This appendix is carried forward substantively unchanged from the v9.0 line unless otherwise stated.</w:t>
      </w:r>
    </w:p>
    <w:bookmarkStart w:id="345" w:name="f.1-identified-gaming-vectors-canonical"/>
    <w:p>
      <w:pPr>
        <w:pStyle w:val="Heading2"/>
      </w:pPr>
      <w:r>
        <w:t xml:space="preserve">F.1 Identified Gaming Vectors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Vector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Description</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Structural Mitigation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Option set manipulation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Excluding viable alternatives so preferred option</w:t>
            </w:r>
            <w:r>
              <w:rPr>
                <w:sz w:val="18"/>
              </w:rPr>
              <w:t xml:space="preserve"> </w:t>
            </w:r>
            <w:r>
              <w:rPr>
                <w:sz w:val="18"/>
              </w:rPr>
              <w:t xml:space="preserve">“</w:t>
            </w:r>
            <w:r>
              <w:rPr>
                <w:sz w:val="18"/>
              </w:rPr>
              <w:t xml:space="preserve">wins</w:t>
            </w:r>
            <w:r>
              <w:rPr>
                <w:sz w:val="18"/>
              </w:rPr>
              <w:t xml:space="preserv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Minimum option requirement (≥2); independent challenger in emergencies; document option generation process</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Masking abuse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Masking unfavorable cells to inflate RLS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Non-maskable cells (rights + catastrophe) must remain unmasked; audit flags invalidate PCC</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Subgroup erasure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Averaging away harms to vulnerable groups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Worst-off subgroup operator for rights; subgroup enumeration; conservative bound when infeasible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Scenario omission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Leaving out unfavorable tail scenarios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Mandatory tail categories and probability floors; scenario count minima; implausibility test per Section 8.3.2</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Probability gaming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Assigning implausibly small p_s to tails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Probability provenance required; p_floor per category; sensitivity perturbations at Tier 3</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Kernel capture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Tweaking kernel edges to favor preferred option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KQS bands; sensitivity perturbations; evidence classes; humility fallback to NONE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Weight capture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Steering HDW to underweight certain unions/dimensions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Constitutional floors; supermajority locks near floors; transparency ledger; conflict disclosure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Emergency abuse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Declaring emergency to bypass rights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Challenger requirement; remediation plan; public disclosure/audit triggers</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Confidence inflation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Overstating confidence to increase impact weight</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c_k bounded [0.1, 1]; require evidence notes; sensitivity recommended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Horizon manipulation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Choosing time horizons strategically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Logarithmic temporal weighting τ(t); declare T_ref; challenge horizon assumptions</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Unknown-as-neutral</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Leaving cells blank to avoid negatives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Ignorance penalty phantom instance rule; audit flag if non-maskable cell missing</w:t>
            </w:r>
          </w:p>
        </w:tc>
      </w:tr>
    </w:tbl>
    <w:bookmarkEnd w:id="345"/>
    <w:bookmarkStart w:id="346" w:name="Xfcc1e5f4c5bbd75664238b43408077c7c00b2d8"/>
    <w:p>
      <w:pPr>
        <w:pStyle w:val="Heading2"/>
      </w:pPr>
      <w:r>
        <w:t xml:space="preserve">F.2 Structural Anti-Gaming Features (Canonical)</w:t>
      </w:r>
    </w:p>
    <w:p>
      <w:pPr>
        <w:pStyle w:val="FirstParagraph"/>
      </w:pPr>
      <w:r>
        <w:t xml:space="preserve">Non-Compensatory Architecture:</w:t>
      </w:r>
    </w:p>
    <w:p>
      <w:pPr>
        <w:pStyle w:val="Compact"/>
        <w:numPr>
          <w:ilvl w:val="0"/>
          <w:numId w:val="1328"/>
        </w:numPr>
      </w:pPr>
      <w:r>
        <w:t xml:space="preserve">NCRC cannot be overridden by welfare gains</w:t>
      </w:r>
    </w:p>
    <w:p>
      <w:pPr>
        <w:pStyle w:val="Compact"/>
        <w:numPr>
          <w:ilvl w:val="0"/>
          <w:numId w:val="1329"/>
        </w:numPr>
      </w:pPr>
      <w:r>
        <w:t xml:space="preserve">TRC cannot be overridden by expected value</w:t>
      </w:r>
    </w:p>
    <w:p>
      <w:pPr>
        <w:pStyle w:val="Compact"/>
        <w:numPr>
          <w:ilvl w:val="0"/>
          <w:numId w:val="1330"/>
        </w:numPr>
      </w:pPr>
      <w:r>
        <w:t xml:space="preserve">Containment cannot be bypassed by RLS optimization</w:t>
      </w:r>
    </w:p>
    <w:p>
      <w:pPr>
        <w:pStyle w:val="FirstParagraph"/>
      </w:pPr>
      <w:r>
        <w:t xml:space="preserve">Transparency Requirements:</w:t>
      </w:r>
    </w:p>
    <w:p>
      <w:pPr>
        <w:pStyle w:val="Compact"/>
        <w:numPr>
          <w:ilvl w:val="0"/>
          <w:numId w:val="1331"/>
        </w:numPr>
      </w:pPr>
      <w:r>
        <w:t xml:space="preserve">All parameters recorded in PCC</w:t>
      </w:r>
    </w:p>
    <w:p>
      <w:pPr>
        <w:pStyle w:val="Compact"/>
        <w:numPr>
          <w:ilvl w:val="0"/>
          <w:numId w:val="1332"/>
        </w:numPr>
      </w:pPr>
      <w:r>
        <w:t xml:space="preserve">Registry hashing prevents silent modification (Tier 3+)</w:t>
      </w:r>
    </w:p>
    <w:p>
      <w:pPr>
        <w:pStyle w:val="Compact"/>
        <w:numPr>
          <w:ilvl w:val="0"/>
          <w:numId w:val="1333"/>
        </w:numPr>
      </w:pPr>
      <w:r>
        <w:t xml:space="preserve">Public rationale (5SPR) required</w:t>
      </w:r>
    </w:p>
    <w:p>
      <w:pPr>
        <w:pStyle w:val="FirstParagraph"/>
      </w:pPr>
      <w:r>
        <w:t xml:space="preserve">Audit Infrastructure:</w:t>
      </w:r>
    </w:p>
    <w:p>
      <w:pPr>
        <w:pStyle w:val="Compact"/>
        <w:numPr>
          <w:ilvl w:val="0"/>
          <w:numId w:val="1334"/>
        </w:numPr>
      </w:pPr>
      <w:r>
        <w:t xml:space="preserve">Random audit lottery (recommended 5% of PCCs at Tier 3)</w:t>
      </w:r>
    </w:p>
    <w:p>
      <w:pPr>
        <w:pStyle w:val="Compact"/>
        <w:numPr>
          <w:ilvl w:val="0"/>
          <w:numId w:val="1335"/>
        </w:numPr>
      </w:pPr>
      <w:r>
        <w:t xml:space="preserve">Red-team protocols for high-stakes decisions</w:t>
      </w:r>
    </w:p>
    <w:p>
      <w:pPr>
        <w:pStyle w:val="Compact"/>
        <w:numPr>
          <w:ilvl w:val="0"/>
          <w:numId w:val="1336"/>
        </w:numPr>
      </w:pPr>
      <w:r>
        <w:t xml:space="preserve">Configuration drift detection</w:t>
      </w:r>
    </w:p>
    <w:p>
      <w:pPr>
        <w:pStyle w:val="FirstParagraph"/>
      </w:pPr>
      <w:r>
        <w:t xml:space="preserve">Learning Accountability:</w:t>
      </w:r>
    </w:p>
    <w:p>
      <w:pPr>
        <w:pStyle w:val="Compact"/>
        <w:numPr>
          <w:ilvl w:val="0"/>
          <w:numId w:val="1337"/>
        </w:numPr>
      </w:pPr>
      <w:r>
        <w:t xml:space="preserve">NCAR loop tracks prediction accuracy</w:t>
      </w:r>
    </w:p>
    <w:p>
      <w:pPr>
        <w:pStyle w:val="Compact"/>
        <w:numPr>
          <w:ilvl w:val="0"/>
          <w:numId w:val="1338"/>
        </w:numPr>
      </w:pPr>
      <w:r>
        <w:t xml:space="preserve">Systematic errors trigger parameter review</w:t>
      </w:r>
    </w:p>
    <w:p>
      <w:pPr>
        <w:pStyle w:val="Compact"/>
        <w:numPr>
          <w:ilvl w:val="0"/>
          <w:numId w:val="1339"/>
        </w:numPr>
      </w:pPr>
      <w:r>
        <w:t xml:space="preserve">Historical PCCs preserved for accountability</w:t>
      </w:r>
    </w:p>
    <w:bookmarkEnd w:id="346"/>
    <w:bookmarkStart w:id="347" w:name="X0a0921600c82921a4b42d9aa33cb23963b2077d"/>
    <w:p>
      <w:pPr>
        <w:pStyle w:val="Heading2"/>
      </w:pPr>
      <w:r>
        <w:t xml:space="preserve">F.3 Audit Flag Taxonomy (Informative pointer; non-authoritative) 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bookmarkEnd w:id="347"/>
    <w:bookmarkStart w:id="348" w:name="X54c5ca5a19f4a14da3a4e0113b44b0055e3a7d2"/>
    <w:p>
      <w:pPr>
        <w:pStyle w:val="Heading2"/>
      </w:pPr>
      <w:r>
        <w:t xml:space="preserve">F.4 Red-Team and Audit Lottery (Tier 3 Recommended)</w:t>
      </w:r>
    </w:p>
    <w:p>
      <w:pPr>
        <w:pStyle w:val="FirstParagraph"/>
      </w:pPr>
      <w:r>
        <w:t xml:space="preserve">Deployments SHOULD adopt:</w:t>
      </w:r>
    </w:p>
    <w:p>
      <w:pPr>
        <w:pStyle w:val="Compact"/>
        <w:numPr>
          <w:ilvl w:val="0"/>
          <w:numId w:val="1340"/>
        </w:numPr>
      </w:pPr>
      <w:r>
        <w:t xml:space="preserve">Random audit lottery: for example, 5% of PCCs selected for independent review</w:t>
      </w:r>
    </w:p>
    <w:p>
      <w:pPr>
        <w:pStyle w:val="Compact"/>
        <w:numPr>
          <w:ilvl w:val="0"/>
          <w:numId w:val="1341"/>
        </w:numPr>
      </w:pPr>
      <w:r>
        <w:t xml:space="preserve">Red-team scenario additions: Adversarial scenario injection for TRC testing</w:t>
      </w:r>
    </w:p>
    <w:p>
      <w:pPr>
        <w:pStyle w:val="Compact"/>
        <w:numPr>
          <w:ilvl w:val="0"/>
          <w:numId w:val="1342"/>
        </w:numPr>
      </w:pPr>
      <w:r>
        <w:t xml:space="preserve">Kernel perturbation stress tests: Systematic edge perturbation</w:t>
      </w:r>
    </w:p>
    <w:bookmarkEnd w:id="348"/>
    <w:bookmarkStart w:id="349" w:name="X601cb99353b1de85eab96c0c7951e51e77f8caa"/>
    <w:p>
      <w:pPr>
        <w:pStyle w:val="Heading2"/>
      </w:pPr>
      <w:r>
        <w:t xml:space="preserve">F.5 Boundary and Threshold Gaming (Normative anti-gaming clarification)</w:t>
      </w:r>
    </w:p>
    <w:p>
      <w:pPr>
        <w:pStyle w:val="FirstParagraph"/>
      </w:pPr>
      <w:r>
        <w:t xml:space="preserve">RippleLogic does not assume adversaries will only game welfare scores. Because NCRC, TRC, CSV,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BodyText"/>
      </w:pPr>
      <w:r>
        <w:t xml:space="preserve">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BodyText"/>
      </w:pPr>
      <w:r>
        <w:t xml:space="preserve">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BodyText"/>
      </w:pPr>
      <w:r>
        <w:t xml:space="preserve">End Appendix F.</w:t>
      </w:r>
    </w:p>
    <w:bookmarkEnd w:id="349"/>
    <w:bookmarkEnd w:id="350"/>
    <w:bookmarkStart w:id="359" w:name="X97e422baf84bc031c899eac714ce8100612db17"/>
    <w:p>
      <w:pPr>
        <w:pStyle w:val="Heading1"/>
      </w:pPr>
      <w:r>
        <w:t xml:space="preserve">APPENDIX G: SGP INTEGRATION BINDING (NORMATIVE INTERFACE)</w:t>
      </w:r>
    </w:p>
    <w:p>
      <w:pPr>
        <w:pStyle w:val="FirstParagraph"/>
      </w:pPr>
      <w:r>
        <w:t xml:space="preserve">Appendix G is normative for the RippleLogic ↔ SGP interface.</w:t>
      </w:r>
    </w:p>
    <w:p>
      <w:pPr>
        <w:pStyle w:val="BodyText"/>
      </w:pPr>
      <w:r>
        <w:t xml:space="preserve">Interim precautionary protection trigger. If credible SGP evidence, taxon evidence, stakeholder evidence, or artificial-entity evidence identifies a plausible protected non-human moral patient before formal rights-coverage expansion is complete, the run MUST record PRECAUTIONARY_PROTECTION_REVIEW. Absence of an existing C_r mapping MUST NOT be treated as permission for harmful treatment. The reviewer may route the issue through Rights Floor review, SGP review, CSV review, or claim narrowing, but the uncertainty must remain visible and non-compensable where gate-material.</w:t>
      </w:r>
    </w:p>
    <w:bookmarkStart w:id="351" w:name="g.1-binding-purpose"/>
    <w:p>
      <w:pPr>
        <w:pStyle w:val="Heading2"/>
      </w:pPr>
      <w:r>
        <w:t xml:space="preserve">G.1 Binding Purpose</w:t>
      </w:r>
    </w:p>
    <w:p>
      <w:pPr>
        <w:pStyle w:val="FirstParagraph"/>
      </w:pPr>
      <w:r>
        <w:t xml:space="preserve">This appendix defines the only permissible interface by which RippleLogic consumes Sentience Gradient Protocol (SGP) outputs. RippleLogic does not define SGP internals.</w:t>
      </w:r>
    </w:p>
    <w:p>
      <w:pPr>
        <w:pStyle w:val="BodyText"/>
      </w:pPr>
      <w:r>
        <w:t xml:space="preserve">SGP Version Pin (Normative): RippleLogic v11.4 pins Sentience Gradient Protocol SGP v6.4 as the authoritative sentience / moral-status specification for any run claiming RippleLogic v11.4 compliance.</w:t>
      </w:r>
    </w:p>
    <w:p>
      <w:pPr>
        <w:pStyle w:val="BodyText"/>
      </w:pPr>
      <w:r>
        <w:t xml:space="preserve">ProofPack dependency pinning (Normative): Any ProofPack claiming replayability MUST include the exact SGP v6.4 artifact (DOCX, PDF, or equivalent canonical byte-stream record) as a bundled file, or MUST reference a registry hash that uniquely identifies the SGP v6.4 artifact. If SGP is not bundled or hash-pinned, ProofPack runs MUST declare SGP as an external dependency and restrict test vectors to cases where the required SGP scalar(s) are provided as explicit inputs.</w:t>
      </w:r>
    </w:p>
    <w:p>
      <w:pPr>
        <w:pStyle w:val="BodyText"/>
      </w:pPr>
      <w:r>
        <w:t xml:space="preserve">Interface-boundary rule (Normative): RippleLogic consumes only the interface-visible outputs named in this appendix. RippleLogic MUST NOT recompute SGP internals, MUST NOT infer plateau status from raw pillar scores or raw normalized measurement, and MUST NOT substitute raw measured values for effective canonical or rights-of-protection values.</w:t>
      </w:r>
    </w:p>
    <w:bookmarkEnd w:id="351"/>
    <w:bookmarkStart w:id="352" w:name="g.2-canonical-scalar-mapping"/>
    <w:p>
      <w:pPr>
        <w:pStyle w:val="Heading2"/>
      </w:pPr>
      <w:r>
        <w:t xml:space="preserve">G.2 Canonical Scalar Mapping</w:t>
      </w:r>
    </w:p>
    <w:p>
      <w:pPr>
        <w:pStyle w:val="FirstParagraph"/>
      </w:pPr>
      <w:r>
        <w:t xml:space="preserve">Given entity E, SGP v6.4 may expose the following interface-visible values:</w:t>
      </w:r>
    </w:p>
    <w:p>
      <w:pPr>
        <w:pStyle w:val="BodyText"/>
      </w:pPr>
      <w:r>
        <w:t xml:space="preserve">A(E): Awareness pillar score in [0,100]</w:t>
      </w:r>
    </w:p>
    <w:p>
      <w:pPr>
        <w:pStyle w:val="BodyText"/>
      </w:pPr>
      <w:r>
        <w:t xml:space="preserve">B(E): Agency pillar score in [0,100]</w:t>
      </w:r>
    </w:p>
    <w:p>
      <w:pPr>
        <w:pStyle w:val="BodyText"/>
      </w:pPr>
      <w:r>
        <w:t xml:space="preserve">C(E): Union Participation pillar score in [0,100]</w:t>
      </w:r>
    </w:p>
    <w:p>
      <w:pPr>
        <w:pStyle w:val="BodyText"/>
      </w:pPr>
      <w:r>
        <w:t xml:space="preserve">SG_measured_norm(E): raw normalized scalar in [0,1] produced by canonical UBSE before plateau assignment and non-plateau capping, if present in the SGP evaluation record.</w:t>
      </w:r>
    </w:p>
    <w:p>
      <w:pPr>
        <w:pStyle w:val="BodyText"/>
      </w:pPr>
      <w:r>
        <w:t xml:space="preserve">Plateau(E): constitutional status flag in {0,1}, indicating whether E has Full Rights Plateau status under the Human Plateau Rule, governed individual plateau review, or explicit governed class-level plateau assignment, if present in the SGP evaluation record.</w:t>
      </w:r>
    </w:p>
    <w:p>
      <w:pPr>
        <w:pStyle w:val="BodyText"/>
      </w:pPr>
      <w:r>
        <w:t xml:space="preserve">SG_norm(E): authoritative effective canonical scalar in [0,1]. Under SGP v6.4, this is shorthand for SG_individual_norm(E) unless another section of SGP explicitly names SG_patient_norm(E).</w:t>
      </w:r>
    </w:p>
    <w:p>
      <w:pPr>
        <w:pStyle w:val="BodyText"/>
      </w:pPr>
      <w:r>
        <w:t xml:space="preserve">SG_patient_norm(E): authoritative rights-of-protection scalar in [0,1], if provided by the SGP record. This scalar incorporates plateau status and, where applicable, taxon or governed-class baseline logic.</w:t>
      </w:r>
    </w:p>
    <w:p>
      <w:pPr>
        <w:pStyle w:val="BodyText"/>
      </w:pPr>
      <w:r>
        <w:t xml:space="preserve">Authoritative binding (interface-only): Any SGP scalar consumed by RippleLogic, including SG_norm(E) and where available SG_patient_norm(E), is consumed exactly as provided by the pinned SGP artifact and MUST NOT be recomputed inside RippleLogic.</w:t>
      </w:r>
    </w:p>
    <w:p>
      <w:pPr>
        <w:pStyle w:val="BodyText"/>
      </w:pPr>
      <w:r>
        <w:t xml:space="preserve">Audit-only visibility rule: A(E), B(E), C(E), SG_measured_norm(E), and Plateau(E) MAY be logged for interpretability and auditing if they are present in the SGP record. They do not define SG_norm(E) or SG_patient_norm(E) within RippleLogic and MUST NOT override them.</w:t>
      </w:r>
    </w:p>
    <w:p>
      <w:pPr>
        <w:pStyle w:val="BodyText"/>
      </w:pPr>
      <w:r>
        <w:t xml:space="preserve">Union Participation interface note. C(E), where present, refers to the SGP Union Participation pillar: responsibility-bearing participation across affected unions. It is audit-visible for interpretation and review, but RippleLogic MUST NOT use C(E) directly to reduce SG_patient_norm(E), weaken human plateau protections, infer governance authority, or override the authoritative SGP scalar/status outputs. Weak or hard-to-observe Union Participation evidence may limit participation, plateau, or stewardship claims only as governed by SGP; it does not by itself erase credible welfare-bearing protection evidence.</w:t>
      </w:r>
    </w:p>
    <w:p>
      <w:pPr>
        <w:pStyle w:val="BodyText"/>
      </w:pPr>
      <w:r>
        <w:t xml:space="preserve">Plateau exclusivity recognition (Normative): RippleLogic SHALL recognize the current pinned SGP rule that 1.0 / 100 is reserved for plateau entities only. If SG_measured_norm(E) = 1.0 while Plateau(E) = 0, RippleLogic MUST treat that value as raw audit information only; it MUST continue to use SG_norm(E) and, where available, SG_patient_norm(E) for normative computation.</w:t>
      </w:r>
    </w:p>
    <w:bookmarkEnd w:id="352"/>
    <w:bookmarkStart w:id="353" w:name="X47cbb8030088aaeebc50debb3aebda850d8c737"/>
    <w:p>
      <w:pPr>
        <w:pStyle w:val="Heading2"/>
      </w:pPr>
      <w:r>
        <w:t xml:space="preserve">G.3 Human Plateau Rule and Plateau Recognition (Non-Overridable)</w:t>
      </w:r>
    </w:p>
    <w:p>
      <w:pPr>
        <w:pStyle w:val="FirstParagraph"/>
      </w:pPr>
      <w:r>
        <w:t xml:space="preserve">For any human person H:</w:t>
      </w:r>
    </w:p>
    <w:p>
      <w:pPr>
        <w:pStyle w:val="BodyText"/>
      </w:pPr>
      <w:r>
        <w:t xml:space="preserve">SG_norm(H) := 1.0</w:t>
      </w:r>
    </w:p>
    <w:p>
      <w:pPr>
        <w:pStyle w:val="BodyText"/>
      </w:pPr>
      <w:r>
        <w:t xml:space="preserve">This assignment is:</w:t>
      </w:r>
    </w:p>
    <w:p>
      <w:pPr>
        <w:pStyle w:val="BodyText"/>
      </w:pPr>
      <w:r>
        <w:t xml:space="preserve">• Independent of measurement noise</w:t>
      </w:r>
    </w:p>
    <w:p>
      <w:pPr>
        <w:pStyle w:val="BodyText"/>
      </w:pPr>
      <w:r>
        <w:t xml:space="preserve">• Independent of disability status</w:t>
      </w:r>
    </w:p>
    <w:p>
      <w:pPr>
        <w:pStyle w:val="BodyText"/>
      </w:pPr>
      <w:r>
        <w:t xml:space="preserve">• Independent of partial observability</w:t>
      </w:r>
    </w:p>
    <w:p>
      <w:pPr>
        <w:pStyle w:val="BodyText"/>
      </w:pPr>
      <w:r>
        <w:t xml:space="preserve">• Non-overridable by any SGP scoring outcome</w:t>
      </w:r>
    </w:p>
    <w:p>
      <w:pPr>
        <w:pStyle w:val="BodyText"/>
      </w:pPr>
      <w:r>
        <w:t xml:space="preserve">• MUST NOT be weakened by any weighting scheme</w:t>
      </w:r>
    </w:p>
    <w:p>
      <w:pPr>
        <w:pStyle w:val="BodyText"/>
      </w:pPr>
      <w:r>
        <w:t xml:space="preserve">Clarification: No SGP-derived scalar, including SG_patient_norm(E), may be used to reduce human rights protections below plateau.</w:t>
      </w:r>
    </w:p>
    <w:p>
      <w:pPr>
        <w:pStyle w:val="BodyText"/>
      </w:pPr>
      <w:r>
        <w:t xml:space="preserve">Human plateau / CMIU calibration note (Normative clarification). The human assignment SG_norm(H) := 1.0 is not a claim that every individual human exhibits maximal measured capacity at every moment. It is a non-downgrade rights boundary for all human persons and a recognition that humanity is the current evidenced plateau-class reality-managing community within the CMIU. Equivalent plateau recognition for non-human biological or artificial entities remains open only through authoritative SGP plateau-extension procedures and does not by itself grant specific governance authority.</w:t>
      </w:r>
    </w:p>
    <w:p>
      <w:pPr>
        <w:pStyle w:val="BodyText"/>
      </w:pPr>
      <w:r>
        <w:t xml:space="preserve">General plateau recognition (Normative): Where an SGP v6.4 record reports Plateau(E) = 1 for a non-human or artificial stakeholder, RippleLogic SHALL recognize the entity as plateau-bearing for rights-of-protection purposes and SHALL treat SG_norm(E) = 1.0 and SG_patient_norm(E) = 1.0 where such values are provided by the SGP record.</w:t>
      </w:r>
    </w:p>
    <w:p>
      <w:pPr>
        <w:pStyle w:val="BodyText"/>
      </w:pPr>
      <w:r>
        <w:t xml:space="preserve">Plateau-bearing fallback rule (Normative). If Plateau(E) = 1 is present in an authoritative SGP v6.4 record but SG_patient_norm(E) is omitted, RippleLogic SHALL treat the entity as plateau-bearing and use SG_norm(E) = 1.0 for welfare-stream purposes.</w:t>
      </w:r>
    </w:p>
    <w:p>
      <w:pPr>
        <w:pStyle w:val="BodyText"/>
      </w:pPr>
      <w:r>
        <w:t xml:space="preserve">Non-inference rule: RippleLogic MUST NOT infer Plateau(E) = 1 from SG_measured_norm(E), from pillar values, or from taxon evidence alone. Plateau status exists only when explicitly reported by the authoritative SGP record or by a governed class-level plateau assignment record recognized through SGP.</w:t>
      </w:r>
    </w:p>
    <w:bookmarkEnd w:id="353"/>
    <w:bookmarkStart w:id="354" w:name="g.4-permitted-usage-in-ripplelogic"/>
    <w:p>
      <w:pPr>
        <w:pStyle w:val="Heading2"/>
      </w:pPr>
      <w:r>
        <w:t xml:space="preserve">G.4 Permitted Usage in RippleLogic</w:t>
      </w:r>
    </w:p>
    <w:p>
      <w:pPr>
        <w:pStyle w:val="FirstParagraph"/>
      </w:pPr>
      <w:r>
        <w:t xml:space="preserve">Permitted:</w:t>
      </w:r>
    </w:p>
    <w:p>
      <w:pPr>
        <w:pStyle w:val="BodyText"/>
      </w:pPr>
      <w:r>
        <w:t xml:space="preserve">Sentience multiplier usage (Normative): s_k may be set via the SGP binding interface only for the welfare stream used to compute RLS. For admissibility layers (NCRC, TRC, CSV), the base stream MUST fix s_k := 1.0 for all instances.</w:t>
      </w:r>
    </w:p>
    <w:p>
      <w:pPr>
        <w:pStyle w:val="BodyText"/>
      </w:pPr>
      <w:r>
        <w:t xml:space="preserve">Scalar selection rule (Normative):</w:t>
      </w:r>
      <w:r>
        <w:br/>
      </w:r>
      <w:r>
        <w:t xml:space="preserve">• If SG_patient_norm(E) is available from the authoritative SGP record, RippleLogic SHOULD use SG_patient_norm(E) as the welfare scalar for rights-of-protection-sensitive welfare weighting.</w:t>
      </w:r>
      <w:r>
        <w:br/>
      </w:r>
      <w:r>
        <w:t xml:space="preserve">• Else RippleLogic SHOULD use SG_norm(E).</w:t>
      </w:r>
      <w:r>
        <w:br/>
      </w:r>
      <w:r>
        <w:t xml:space="preserve">• SG_measured_norm(E) MUST NOT be used as the direct welfare scalar in place of SG_norm(E) or SG_patient_norm(E).</w:t>
      </w:r>
      <w:r>
        <w:br/>
      </w:r>
      <w:r>
        <w:t xml:space="preserve">• For any human person H: implementations MUST set s_k := 1.0 (Human Plateau Rule), regardless of any other value.</w:t>
      </w:r>
      <w:r>
        <w:br/>
      </w:r>
      <w:r>
        <w:t xml:space="preserve">• SGP-derived scalars MUST NOT be used to change admissibility outcomes under NCRC, TRC, or CSV.</w:t>
      </w:r>
    </w:p>
    <w:bookmarkEnd w:id="354"/>
    <w:bookmarkStart w:id="355" w:name="X2e5db9e2d0bc98b78d19161f5d60a0fbaf1327e"/>
    <w:p>
      <w:pPr>
        <w:pStyle w:val="Heading2"/>
      </w:pPr>
      <w:r>
        <w:t xml:space="preserve">G.5 Prohibited Usage and Non-Inference Rules</w:t>
      </w:r>
    </w:p>
    <w:p>
      <w:pPr>
        <w:pStyle w:val="FirstParagraph"/>
      </w:pPr>
      <w:r>
        <w:t xml:space="preserve">Prohibited:</w:t>
      </w:r>
    </w:p>
    <w:p>
      <w:pPr>
        <w:pStyle w:val="BodyText"/>
      </w:pPr>
      <w:r>
        <w:t xml:space="preserve">• Using SG-derived scalars to change admissibility outcomes under NCRC, TRC, or CSV.</w:t>
      </w:r>
    </w:p>
    <w:p>
      <w:pPr>
        <w:pStyle w:val="BodyText"/>
      </w:pPr>
      <w:r>
        <w:t xml:space="preserve">• Recomputing SG_norm(E), SG_patient_norm(E), or Plateau(E) inside RippleLogic from pillar values, raw scores, external heuristics, or unpinned auxiliary logic.</w:t>
      </w:r>
    </w:p>
    <w:p>
      <w:pPr>
        <w:pStyle w:val="BodyText"/>
      </w:pPr>
      <w:r>
        <w:t xml:space="preserve">• Treating SG_measured_norm(E) as equivalent to SG_norm(E) when the SGP record distinguishes them.</w:t>
      </w:r>
    </w:p>
    <w:p>
      <w:pPr>
        <w:pStyle w:val="BodyText"/>
      </w:pPr>
      <w:r>
        <w:t xml:space="preserve">• Using absence of SG_patient_norm(E) to infer absence of rights-of-protection significance.</w:t>
      </w:r>
    </w:p>
    <w:p>
      <w:pPr>
        <w:pStyle w:val="BodyText"/>
      </w:pPr>
      <w:r>
        <w:t xml:space="preserve">• Treating high scalar values as automatic governance authority, office-holding qualification, or stewardship certification.</w:t>
      </w:r>
    </w:p>
    <w:p>
      <w:pPr>
        <w:pStyle w:val="BodyText"/>
      </w:pPr>
      <w:r>
        <w:t xml:space="preserve">Plateau non-inference rule (Normative): Class-level plateau extension, where present in SGP, SHALL be explicit. RippleLogic MUST NOT infer class-level plateau from high taxon evidence, informal scientific consensus, or unmanaged metadata.</w:t>
      </w:r>
    </w:p>
    <w:bookmarkEnd w:id="355"/>
    <w:bookmarkStart w:id="356" w:name="Xc69d3996ab7cd7ae70584c4328ee2a7b4557223"/>
    <w:p>
      <w:pPr>
        <w:pStyle w:val="Heading2"/>
      </w:pPr>
      <w:r>
        <w:t xml:space="preserve">G.6 Governance Authority Non-Inference and CMIU Standing</w:t>
      </w:r>
    </w:p>
    <w:p>
      <w:pPr>
        <w:pStyle w:val="FirstParagraph"/>
      </w:pPr>
      <w:r>
        <w:t xml:space="preserve">SGP rights are rights-of-protection. Plateau status marks full inviolable standing. Plateau may also carry standing in the Collective Managing Intelligence Union where SGP specifies this. Specific consequential governance roles remain separate stewardship questions inside RippleLogic.</w:t>
      </w:r>
    </w:p>
    <w:p>
      <w:pPr>
        <w:pStyle w:val="BodyText"/>
      </w:pPr>
      <w:r>
        <w:t xml:space="preserve">Therefore:</w:t>
      </w:r>
    </w:p>
    <w:p>
      <w:pPr>
        <w:pStyle w:val="BodyText"/>
      </w:pPr>
      <w:r>
        <w:t xml:space="preserve">• plateau status MAY establish full moral standing and CMIU standing where explicitly reported by SGP</w:t>
      </w:r>
    </w:p>
    <w:p>
      <w:pPr>
        <w:pStyle w:val="BodyText"/>
      </w:pPr>
      <w:r>
        <w:t xml:space="preserve">• plateau status MUST NOT be treated as automatic qualification for every consequential governance role</w:t>
      </w:r>
    </w:p>
    <w:p>
      <w:pPr>
        <w:pStyle w:val="BodyText"/>
      </w:pPr>
      <w:r>
        <w:t xml:space="preserve">• specific governance authority remains subject to RippleLogic stewardship constraints, domain-fit, influence transparency, non-domination posture, revocability, and any other applicable authority controls</w:t>
      </w:r>
    </w:p>
    <w:p>
      <w:pPr>
        <w:pStyle w:val="BodyText"/>
      </w:pPr>
      <w:r>
        <w:t xml:space="preserve">This rule prevents conflation of moral-status recognition with office-holding authority while preserving the plateau semantics supplied by SGP v6.4.</w:t>
      </w:r>
    </w:p>
    <w:bookmarkEnd w:id="356"/>
    <w:bookmarkStart w:id="357" w:name="g.7-pcc-logging-and-dependency-recording"/>
    <w:p>
      <w:pPr>
        <w:pStyle w:val="Heading2"/>
      </w:pPr>
      <w:r>
        <w:t xml:space="preserve">G.7 PCC Logging and Dependency Recording</w:t>
      </w:r>
    </w:p>
    <w:p>
      <w:pPr>
        <w:pStyle w:val="FirstParagraph"/>
      </w:pPr>
      <w:r>
        <w:t xml:space="preserve">When SGP is used in a RippleLogic run, the PCC MUST record:</w:t>
      </w:r>
    </w:p>
    <w:p>
      <w:pPr>
        <w:pStyle w:val="BodyText"/>
      </w:pPr>
      <w:r>
        <w:t xml:space="preserve">• SGP version identifier</w:t>
      </w:r>
    </w:p>
    <w:p>
      <w:pPr>
        <w:pStyle w:val="BodyText"/>
      </w:pPr>
      <w:r>
        <w:t xml:space="preserve">• SGP artifact filename + hash, or external dependency registry reference</w:t>
      </w:r>
    </w:p>
    <w:p>
      <w:pPr>
        <w:pStyle w:val="BodyText"/>
      </w:pPr>
      <w:r>
        <w:t xml:space="preserve">• scalar type actually used for welfare weighting: SG_patient_norm or SG_norm</w:t>
      </w:r>
    </w:p>
    <w:p>
      <w:pPr>
        <w:pStyle w:val="BodyText"/>
      </w:pPr>
      <w:r>
        <w:t xml:space="preserve">• SG_norm(E) value for each affected SGP-scored stakeholder instance</w:t>
      </w:r>
    </w:p>
    <w:p>
      <w:pPr>
        <w:pStyle w:val="BodyText"/>
      </w:pPr>
      <w:r>
        <w:t xml:space="preserve">• SG_patient_norm(E), if available and used</w:t>
      </w:r>
    </w:p>
    <w:p>
      <w:pPr>
        <w:pStyle w:val="BodyText"/>
      </w:pPr>
      <w:r>
        <w:t xml:space="preserve">• SGP evidence class / evidence-maturity token, including Biological Evaluation Maturity (BEM) token where applicable; confidence; and registry reference if available in the SGP record</w:t>
      </w:r>
    </w:p>
    <w:p>
      <w:pPr>
        <w:pStyle w:val="BodyText"/>
      </w:pPr>
      <w:r>
        <w:t xml:space="preserve">If present in the authoritative SGP record, the PCC SHOULD also record:</w:t>
      </w:r>
    </w:p>
    <w:p>
      <w:pPr>
        <w:pStyle w:val="BodyText"/>
      </w:pPr>
      <w:r>
        <w:t xml:space="preserve">• A(E), B(E), C(E)</w:t>
      </w:r>
    </w:p>
    <w:p>
      <w:pPr>
        <w:pStyle w:val="BodyText"/>
      </w:pPr>
      <w:r>
        <w:t xml:space="preserve">• SG_measured_norm(E)</w:t>
      </w:r>
    </w:p>
    <w:p>
      <w:pPr>
        <w:pStyle w:val="BodyText"/>
      </w:pPr>
      <w:r>
        <w:t xml:space="preserve">• Plateau(E)</w:t>
      </w:r>
    </w:p>
    <w:p>
      <w:pPr>
        <w:pStyle w:val="BodyText"/>
      </w:pPr>
      <w:r>
        <w:t xml:space="preserve">• taxon or governed-class baseline identifier, if any</w:t>
      </w:r>
    </w:p>
    <w:p>
      <w:pPr>
        <w:pStyle w:val="BodyText"/>
      </w:pPr>
      <w:r>
        <w:t xml:space="preserve">• plateau review opinion record ID, class-level plateau record ID, or reviewer-dissent record ID, if any</w:t>
      </w:r>
    </w:p>
    <w:p>
      <w:pPr>
        <w:pStyle w:val="BodyText"/>
      </w:pPr>
      <w:r>
        <w:t xml:space="preserve">Audit interpretation rule: SG_measured_norm(E) and Plateau(E) are logged for transparency and replayability only. Normative computation in RippleLogic SHALL still follow G.4.</w:t>
      </w:r>
    </w:p>
    <w:p>
      <w:pPr>
        <w:pStyle w:val="BodyText"/>
      </w:pPr>
      <w:r>
        <w:t xml:space="preserve">Missing-data rule: If the run claims SGP-aware welfare weighting but lacks the scalar actually used, the PCC is INVALID.</w:t>
      </w:r>
    </w:p>
    <w:bookmarkEnd w:id="357"/>
    <w:bookmarkStart w:id="358" w:name="Xabb40a81d75d688fd2c636910bf407676ac7488"/>
    <w:p>
      <w:pPr>
        <w:pStyle w:val="Heading2"/>
      </w:pPr>
      <w:r>
        <w:t xml:space="preserve">G.8 Rights Expansion and Class-Level Plateau Handling</w:t>
      </w:r>
    </w:p>
    <w:p>
      <w:pPr>
        <w:pStyle w:val="FirstParagraph"/>
      </w:pPr>
      <w:r>
        <w:t xml:space="preserve">When an SGP evaluation establishes that a non-human stakeholder class warrants rights-of-protection, RippleLogic rights expansion proceeds through the governed process already defined for coverage-set and subgroup updates. This includes:</w:t>
      </w:r>
    </w:p>
    <w:p>
      <w:pPr>
        <w:pStyle w:val="BodyText"/>
      </w:pPr>
      <w:r>
        <w:t xml:space="preserve">• SGP determination or class-level rights-of-protection determination</w:t>
      </w:r>
    </w:p>
    <w:p>
      <w:pPr>
        <w:pStyle w:val="BodyText"/>
      </w:pPr>
      <w:r>
        <w:t xml:space="preserve">• coverage set update in RippleLogic rights coverage sets C_r as applicable</w:t>
      </w:r>
    </w:p>
    <w:p>
      <w:pPr>
        <w:pStyle w:val="BodyText"/>
      </w:pPr>
      <w:r>
        <w:t xml:space="preserve">• subgroup protocol update in relevant G_{u,d} sets</w:t>
      </w:r>
    </w:p>
    <w:p>
      <w:pPr>
        <w:pStyle w:val="BodyText"/>
      </w:pPr>
      <w:r>
        <w:t xml:space="preserve">• version increment for the relevant rights-expansion record</w:t>
      </w:r>
    </w:p>
    <w:p>
      <w:pPr>
        <w:pStyle w:val="BodyText"/>
      </w:pPr>
      <w:r>
        <w:t xml:space="preserve">• PCC documentation in all subsequent affected runs</w:t>
      </w:r>
    </w:p>
    <w:p>
      <w:pPr>
        <w:pStyle w:val="BodyText"/>
      </w:pPr>
      <w:r>
        <w:t xml:space="preserve">• preservation of historical records</w:t>
      </w:r>
    </w:p>
    <w:p>
      <w:pPr>
        <w:pStyle w:val="BodyText"/>
      </w:pPr>
      <w:r>
        <w:t xml:space="preserve">Class-level plateau handling (Normative clarification): If SGP v6.4 issues an explicit governed class-level plateau assignment, RippleLogic SHALL treat members of that class as plateau-bearing only under the membership rule specified in the authoritative SGP class-level plateau record. Plateau-bearing status MUST NOT be inferred informally from taxon evidence alone.</w:t>
      </w:r>
    </w:p>
    <w:p>
      <w:pPr>
        <w:pStyle w:val="BodyText"/>
      </w:pPr>
      <w:r>
        <w:t xml:space="preserve">Entity-level plateau handling (Normative clarification): If SGP v6.4 issues an individual plateau assignment, RippleLogic SHALL recognize plateau for that specific entity only, subject to the identity and continuity conditions recorded by SGP.</w:t>
      </w:r>
    </w:p>
    <w:p>
      <w:pPr>
        <w:pStyle w:val="BodyText"/>
      </w:pPr>
      <w:r>
        <w:t xml:space="preserve">Scope rule: Rights expansion under this appendix modifies RippleLogic rights coverage and subgroup treatment. It does not alter RippleLogic’s separate stewardship and authority-gating requirements for consequential roles.</w:t>
      </w:r>
    </w:p>
    <w:p>
      <w:pPr>
        <w:pStyle w:val="BodyText"/>
      </w:pPr>
      <w:r>
        <w:t xml:space="preserve">End Appendix G.</w:t>
      </w:r>
    </w:p>
    <w:bookmarkEnd w:id="358"/>
    <w:bookmarkEnd w:id="359"/>
    <w:bookmarkStart w:id="371" w:name="X1f76aa55fe06a045ef2542acea832856ce66036"/>
    <w:p>
      <w:pPr>
        <w:pStyle w:val="Heading1"/>
      </w:pPr>
      <w:r>
        <w:t xml:space="preserve">APPENDIX H: PCC TEMPLATE AND AUDIT FLAGS CANON PACK (TIER 2-3)</w:t>
      </w:r>
    </w:p>
    <w:bookmarkStart w:id="360" w:name="h.0.4-no-silent-remainder-rule-normative"/>
    <w:p>
      <w:pPr>
        <w:pStyle w:val="Heading2"/>
      </w:pPr>
      <w:r>
        <w:t xml:space="preserve">H.0.4 No Silent Remainder Rule (Normative)</w:t>
      </w:r>
    </w:p>
    <w:p>
      <w:pPr>
        <w:pStyle w:val="FirstParagraph"/>
      </w:pPr>
      <w:r>
        <w:t xml:space="preserve">Required fields may be unknown, estimated, assumed, not applicable, or blank by design, but they may not be silently blank. A required field in a claim-bearing run MUST carry one of the following dispositions: VALUE, ESTIMATE, ASSUMPTION, DECLARED_UNKNOWN, NOT_APPLICABLE, BLANK_BY_DESIGN, or MISSING_UNDECLARED.</w:t>
      </w:r>
    </w:p>
    <w:p>
      <w:pPr>
        <w:pStyle w:val="BodyText"/>
      </w:pPr>
      <w:r>
        <w:t xml:space="preserve">MISSING_UNDECLARED on any required field creates SILENT_REMAINDER_INVALID with severity INVALID. DECLARED_UNKNOWN on a gate-critical field, including rights-floor cells, catastrophe-relevant cells, material Containment fields, SVC subconditions, authority-selection fields, or public conformance fields, requires claim narrowing, evidence collection, escalation, or refusal. It MUST NOT default to pass or zero.</w:t>
      </w:r>
    </w:p>
    <w:p>
      <w:pPr>
        <w:pStyle w:val="BodyText"/>
      </w:pPr>
      <w:r>
        <w:t xml:space="preserve">The PCC SHOULD record silent_remainder_count. Claim-bearing Tier 2 and Tier 3 runs SHOULD require silent_remainder_count = 0 before public conformance, deterministic-selection, deployment-readiness, or ProofPack-prep claims are made.</w:t>
      </w:r>
    </w:p>
    <w:bookmarkEnd w:id="360"/>
    <w:bookmarkStart w:id="361" w:name="Xafaf32855094332345e75620b813e86ea9decbf"/>
    <w:p>
      <w:pPr>
        <w:pStyle w:val="Heading2"/>
      </w:pPr>
      <w:r>
        <w:t xml:space="preserve">H.0 Carried-forward v10.8 Refusal, Closure, Category-Collapse, and CBI Fields</w:t>
      </w:r>
    </w:p>
    <w:bookmarkEnd w:id="361"/>
    <w:bookmarkStart w:id="362" w:name="h.0.1-refusalrecord-field-normative"/>
    <w:p>
      <w:pPr>
        <w:pStyle w:val="Heading2"/>
      </w:pPr>
      <w:r>
        <w:t xml:space="preserve">H.0.1 RefusalRecord field (Normative)</w:t>
      </w:r>
    </w:p>
    <w:p>
      <w:pPr>
        <w:pStyle w:val="FirstParagraph"/>
      </w:pPr>
      <w:r>
        <w:t xml:space="preserve">Field name: PCC.RefusalRecord</w:t>
      </w:r>
    </w:p>
    <w:p>
      <w:pPr>
        <w:pStyle w:val="BodyText"/>
      </w:pPr>
      <w:r>
        <w:t xml:space="preserve">Required when: the run enters Refusal under Section 4.9.</w:t>
      </w:r>
    </w:p>
    <w:p>
      <w:pPr>
        <w:pStyle w:val="BodyText"/>
      </w:pPr>
      <w:r>
        <w:t xml:space="preserve">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BodyText"/>
      </w:pPr>
      <w:r>
        <w:t xml:space="preserve">Validation rule. If Refusal is triggered and PCC.RefusalRecord is absent, the PCC is INVALID.</w:t>
      </w:r>
    </w:p>
    <w:bookmarkEnd w:id="362"/>
    <w:bookmarkStart w:id="363" w:name="X8c9631e50cc25e05c81da15e929e66fd291d1e5"/>
    <w:p>
      <w:pPr>
        <w:pStyle w:val="Heading2"/>
      </w:pPr>
      <w:r>
        <w:t xml:space="preserve">H.0.2 ComputationalClosure field (Normative)</w:t>
      </w:r>
    </w:p>
    <w:p>
      <w:pPr>
        <w:pStyle w:val="FirstParagraph"/>
      </w:pPr>
      <w:r>
        <w:t xml:space="preserve">Field name: PCC.ComputationalClosure</w:t>
      </w:r>
    </w:p>
    <w:p>
      <w:pPr>
        <w:pStyle w:val="BodyText"/>
      </w:pPr>
      <w:r>
        <w:t xml:space="preserve">Required for: all Tier 2 and Tier 3 runs; recommended for Tier 1.</w:t>
      </w:r>
    </w:p>
    <w:p>
      <w:pPr>
        <w:pStyle w:val="BodyText"/>
      </w:pPr>
      <w:r>
        <w:t xml:space="preserve">Minimum fields: scopes_evaluated; scopes_guardrail_only; scopes_outside_computation; time_horizon_evaluated; time_horizon_outside_computation; kernel_mode; propagation_edges_included; propagation_edges_excluded; externalities_excluded; claim_boundary.</w:t>
      </w:r>
    </w:p>
    <w:p>
      <w:pPr>
        <w:pStyle w:val="BodyText"/>
      </w:pPr>
      <w:r>
        <w:t xml:space="preserve">Validation rule. If the run makes claims beyond the declared ComputationalClosure boundary, set audit_flag CLAIM_EXCEEDS_CLOSURE_BOUNDARY and mark the PCC INVALID for that claim.</w:t>
      </w:r>
    </w:p>
    <w:bookmarkEnd w:id="363"/>
    <w:bookmarkStart w:id="364" w:name="X4db1813b76ccf38e856d16138f8d3ba5b226e22"/>
    <w:p>
      <w:pPr>
        <w:pStyle w:val="Heading2"/>
      </w:pPr>
      <w:r>
        <w:t xml:space="preserve">H.0.2A RealityGroundingRecord field (Normative)</w:t>
      </w:r>
    </w:p>
    <w:p>
      <w:pPr>
        <w:pStyle w:val="FirstParagraph"/>
      </w:pPr>
      <w:r>
        <w:t xml:space="preserve">Field name: PCC.RealityGroundingRecord</w:t>
      </w:r>
    </w:p>
    <w:p>
      <w:pPr>
        <w:pStyle w:val="BodyText"/>
      </w:pPr>
      <w:r>
        <w:t xml:space="preserve">Required for: Tier 2 runs where any stakeholder-discovery, rights, tail-risk, containment, or authority-selection trigger holds; all Tier 3 runs; and any claim-bearing run that depends on a contested material reality claim.</w:t>
      </w:r>
    </w:p>
    <w:p>
      <w:pPr>
        <w:pStyle w:val="BodyText"/>
      </w:pPr>
      <w:r>
        <w:t xml:space="preserve">Minimum fields: RealitySurfaceDescription; MaterialRealityClaims; EvidenceTrace; DeclaredUnknowns; RealityGroundingStatus; FalsificationOrRevisionTrigger; MonitoringPath; VehicleContentEffectNotes where social or institutional constructs are material; SurfaceTerritoryLimitations; ReviewerNotes.</w:t>
      </w:r>
    </w:p>
    <w:p>
      <w:pPr>
        <w:pStyle w:val="BodyText"/>
      </w:pPr>
      <w:r>
        <w:t xml:space="preserve">Validation rule. If a material claim has INSUFFICIENT_GROUNDING (or legacy INSUFFICIENT_CONTACT) and affects NCRC, TRC, CSV,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pPr>
        <w:pStyle w:val="BodyText"/>
      </w:pPr>
      <w:r>
        <w:t xml:space="preserve">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BodyText"/>
      </w:pPr>
      <w:r>
        <w:t xml:space="preserve">H.0.2B PCC.CategoryGroundingRecord field (Normative)</w:t>
      </w:r>
    </w:p>
    <w:p>
      <w:pPr>
        <w:pStyle w:val="BodyText"/>
      </w:pPr>
      <w:r>
        <w:t xml:space="preserve">Field name: PCC.CategoryGroundingRecord</w:t>
      </w:r>
    </w:p>
    <w:p>
      <w:pPr>
        <w:pStyle w:val="BodyText"/>
      </w:pPr>
      <w:r>
        <w:t xml:space="preserve">Required when: Section 2.1C / Appendix AH trigger conditions hold for a claim-bearing Tier 3 run, high-stakes Tier 2 run, public conformance claim, public deployment claim, deterministic-selection claim, or optimized metric whose category choice is material.</w:t>
      </w:r>
    </w:p>
    <w:p>
      <w:pPr>
        <w:pStyle w:val="BodyText"/>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required_claim_action; and category_failure_class where applicable.</w:t>
      </w:r>
    </w:p>
    <w:p>
      <w:pPr>
        <w:pStyle w:val="BodyText"/>
      </w:pPr>
      <w:r>
        <w:t xml:space="preserve">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bookmarkEnd w:id="364"/>
    <w:bookmarkStart w:id="365" w:name="X1ec2c2b34d9c435289942092115b418caf3d056"/>
    <w:p>
      <w:pPr>
        <w:pStyle w:val="Heading2"/>
      </w:pPr>
      <w:r>
        <w:t xml:space="preserve">H.0.3 CategoryCollapseSelfTest field (Normative)</w:t>
      </w:r>
    </w:p>
    <w:p>
      <w:pPr>
        <w:pStyle w:val="FirstParagraph"/>
      </w:pPr>
      <w:r>
        <w:t xml:space="preserve">Field name: PCC.CategoryCollapseSelfTest</w:t>
      </w:r>
    </w:p>
    <w:p>
      <w:pPr>
        <w:pStyle w:val="BodyText"/>
      </w:pPr>
      <w:r>
        <w:t xml:space="preserve">Required for: Tier 2 and Tier 3 runs; recommended for Tier 1.</w:t>
      </w:r>
    </w:p>
    <w:p>
      <w:pPr>
        <w:pStyle w:val="BodyText"/>
      </w:pPr>
      <w:r>
        <w:t xml:space="preserve">The field SHALL answer each of the following as PASS, FAIL, or IND:</w:t>
      </w:r>
    </w:p>
    <w:p>
      <w:pPr>
        <w:pStyle w:val="BodyText"/>
      </w:pPr>
      <w:r>
        <w:t xml:space="preserve">1. Did the run rely on traceability where admissibility was required?</w:t>
      </w:r>
    </w:p>
    <w:p>
      <w:pPr>
        <w:pStyle w:val="BodyText"/>
      </w:pPr>
      <w:r>
        <w:t xml:space="preserve">2. Did the run substitute compliance, approval, or certification for correctness?</w:t>
      </w:r>
    </w:p>
    <w:p>
      <w:pPr>
        <w:pStyle w:val="BodyText"/>
      </w:pPr>
      <w:r>
        <w:t xml:space="preserve">3. Did the run treat plausibility, fluency, rhetoric, or institutional authority as evidence?</w:t>
      </w:r>
    </w:p>
    <w:p>
      <w:pPr>
        <w:pStyle w:val="BodyText"/>
      </w:pPr>
      <w:r>
        <w:t xml:space="preserve">4. Did the run conflate intelligence, capability, or agency with welfare-bearing status?</w:t>
      </w:r>
    </w:p>
    <w:p>
      <w:pPr>
        <w:pStyle w:val="BodyText"/>
      </w:pPr>
      <w:r>
        <w:t xml:space="preserve">5. Did the run conflate moral status, protection, or sentience with governance authority?</w:t>
      </w:r>
    </w:p>
    <w:p>
      <w:pPr>
        <w:pStyle w:val="BodyText"/>
      </w:pPr>
      <w:r>
        <w:t xml:space="preserve">6. Did the run allow SGP-derived welfare scalars to alter NCRC, TRC, or CSV outcomes?</w:t>
      </w:r>
    </w:p>
    <w:p>
      <w:pPr>
        <w:pStyle w:val="BodyText"/>
      </w:pPr>
      <w:r>
        <w:t xml:space="preserve">7. Did the run treat mathematical consistency as empirical validation?</w:t>
      </w:r>
    </w:p>
    <w:p>
      <w:pPr>
        <w:pStyle w:val="BodyText"/>
      </w:pPr>
      <w:r>
        <w:t xml:space="preserve">8. Did the run use meta-union, AIU, cosmic, or universal language as a computational override?</w:t>
      </w:r>
    </w:p>
    <w:p>
      <w:pPr>
        <w:pStyle w:val="BodyText"/>
      </w:pPr>
      <w:r>
        <w:t xml:space="preserve">Validation rule. Any FAIL SHALL trigger CATEGORY_COLLAPSE_FLAG. If the failure affects admissibility, selectability, or selection, the run SHALL enter Refusal under Section 4.9.</w:t>
      </w:r>
    </w:p>
    <w:p>
      <w:pPr>
        <w:pStyle w:val="BodyText"/>
      </w:pPr>
      <w:r>
        <w:t xml:space="preserve">Appendix H is normative for PCC fields and audit flags at Tier 2-3.</w:t>
      </w:r>
    </w:p>
    <w:bookmarkEnd w:id="365"/>
    <w:bookmarkStart w:id="366" w:name="h.1-pcc-schema-human-readable"/>
    <w:p>
      <w:pPr>
        <w:pStyle w:val="Heading2"/>
      </w:pPr>
      <w:r>
        <w:t xml:space="preserve">H.1 PCC Schema (Human-Readable)</w:t>
      </w:r>
    </w:p>
    <w:p>
      <w:pPr>
        <w:pStyle w:val="FirstParagraph"/>
      </w:pPr>
      <w:r>
        <w:t xml:space="preserve">===============================================================</w:t>
      </w:r>
    </w:p>
    <w:p>
      <w:pPr>
        <w:pStyle w:val="BodyText"/>
      </w:pPr>
      <w:r>
        <w:t xml:space="preserve">PROVENANCE AND COMPLIANCE CERTIFICATE (PCC)</w:t>
      </w:r>
    </w:p>
    <w:p>
      <w:pPr>
        <w:pStyle w:val="BodyText"/>
      </w:pPr>
      <w:r>
        <w:t xml:space="preserve">RippleLogic Framework v11.4</w:t>
      </w:r>
    </w:p>
    <w:p>
      <w:pPr>
        <w:pStyle w:val="BodyText"/>
      </w:pPr>
      <w:r>
        <w:t xml:space="preserve">===============================================================</w:t>
      </w:r>
    </w:p>
    <w:p>
      <w:pPr>
        <w:pStyle w:val="BodyText"/>
      </w:pPr>
      <w:r>
        <w:t xml:space="preserve">HEADER (REQUIRED Tier 2-3)</w:t>
      </w:r>
    </w:p>
    <w:p>
      <w:r>
        <w:pict>
          <v:rect style="width:0;height:1.5pt" o:hralign="center" o:hrstd="t" o:hr="t"/>
        </w:pict>
      </w:r>
    </w:p>
    <w:p>
      <w:pPr>
        <w:pStyle w:val="FirstParagraph"/>
      </w:pPr>
      <w:r>
        <w:t xml:space="preserve">Decision ID: [unique identifier]</w:t>
      </w:r>
    </w:p>
    <w:p>
      <w:pPr>
        <w:pStyle w:val="BodyText"/>
      </w:pPr>
      <w:r>
        <w:t xml:space="preserve">Timestamp (UTC): [YYYY-MM-DDThh:mm:ssZ]</w:t>
      </w:r>
    </w:p>
    <w:p>
      <w:pPr>
        <w:pStyle w:val="BodyText"/>
      </w:pPr>
      <w:r>
        <w:t xml:space="preserve">Decision Owner(s): [names/roles]</w:t>
      </w:r>
    </w:p>
    <w:p>
      <w:pPr>
        <w:pStyle w:val="BodyText"/>
      </w:pPr>
      <w:r>
        <w:t xml:space="preserve">Analyst(s): [names/roles]</w:t>
      </w:r>
    </w:p>
    <w:p>
      <w:pPr>
        <w:pStyle w:val="BodyText"/>
      </w:pPr>
      <w:r>
        <w:t xml:space="preserve">Reviewer (Tier 3): [name/role]</w:t>
      </w:r>
    </w:p>
    <w:p>
      <w:pPr>
        <w:pStyle w:val="BodyText"/>
      </w:pPr>
      <w:r>
        <w:t xml:space="preserve">Spec Version: RippleLogic v11.4</w:t>
      </w:r>
    </w:p>
    <w:p>
      <w:pPr>
        <w:pStyle w:val="BodyText"/>
      </w:pPr>
      <w:r>
        <w:t xml:space="preserve">Implementation Tier: [1 | 2 | 3]</w:t>
      </w:r>
    </w:p>
    <w:p>
      <w:pPr>
        <w:pStyle w:val="BodyText"/>
      </w:pPr>
      <w:r>
        <w:t xml:space="preserve">Tier Claim Disposition (Tier 2-3 REQUIRED)</w:t>
      </w:r>
    </w:p>
    <w:p>
      <w:pPr>
        <w:pStyle w:val="BodyText"/>
      </w:pPr>
      <w:r>
        <w:t xml:space="preserve">PCC.TierClaimDisposition: [TIER_CLAIMED_AND_MET | TIER_ATTEMPTED_NOT_ACHIEVED_DOWNGRADED]</w:t>
      </w:r>
    </w:p>
    <w:p>
      <w:pPr>
        <w:pStyle w:val="BodyText"/>
      </w:pPr>
      <w:r>
        <w:t xml:space="preserve">If PCC.TierClaimDisposition = TIER_ATTEMPTED_NOT_ACHIEVED_DOWNGRADED, PCC MUST specify:</w:t>
      </w:r>
    </w:p>
    <w:p>
      <w:pPr>
        <w:pStyle w:val="BodyText"/>
      </w:pPr>
      <w:r>
        <w:t xml:space="preserve">- PCC.TierAttempted: [2 | 3]</w:t>
      </w:r>
    </w:p>
    <w:p>
      <w:pPr>
        <w:pStyle w:val="BodyText"/>
      </w:pPr>
      <w:r>
        <w:t xml:space="preserve">- PCC.TierAchieved: [1 | 2]</w:t>
      </w:r>
    </w:p>
    <w:p>
      <w:pPr>
        <w:pStyle w:val="BodyText"/>
      </w:pPr>
      <w:r>
        <w:t xml:space="preserve">Tier Downgrade Flags: [TIER_DOWNGRADED_CONTAINMENT = TRUE/FALSE] (required if any gate is unavailable and a Tier 2 downgrade disposition is used).</w:t>
      </w:r>
    </w:p>
    <w:p>
      <w:pPr>
        <w:pStyle w:val="BodyText"/>
      </w:pPr>
      <w:r>
        <w:t xml:space="preserve">Constraint (Normative). If TIER_DOWNGRADED_CONTAINMENT = TRUE, then PCC.TierClaimDisposition MUST be TIER_ATTEMPTED_NOT_ACHIEVED_DOWNGRADED and PCC.TierAchieved MUST be 2.</w:t>
      </w:r>
    </w:p>
    <w:p>
      <w:pPr>
        <w:pStyle w:val="BodyText"/>
      </w:pPr>
      <w:r>
        <w:t xml:space="preserve">Propagation Mode: [NONE | QUICK]</w:t>
      </w:r>
    </w:p>
    <w:p>
      <w:pPr>
        <w:pStyle w:val="BodyText"/>
      </w:pPr>
      <w:r>
        <w:t xml:space="preserve">Kernel Profile: [NONE | profile name + KQS + evidence note]</w:t>
      </w:r>
    </w:p>
    <w:p>
      <w:pPr>
        <w:pStyle w:val="BodyText"/>
      </w:pPr>
      <w:r>
        <w:t xml:space="preserve">If Propagation Mode = QUICK, PCC MUST include:</w:t>
      </w:r>
    </w:p>
    <w:p>
      <w:pPr>
        <w:pStyle w:val="BodyText"/>
      </w:pPr>
      <w:r>
        <w:t xml:space="preserve">PCC.Kernel.EntryAbsMax: [float in canonical scale]</w:t>
      </w:r>
      <w:r>
        <w:br/>
      </w:r>
      <w:r>
        <w:t xml:space="preserve">PCC.Kernel.RowSumAbsMax: [float in canonical scale] (this is ∥K∥∞)</w:t>
      </w:r>
      <w:r>
        <w:br/>
      </w:r>
      <w:r>
        <w:t xml:space="preserve">PCC.Kernel.Bounds: [κ_max, ρ_max used]</w:t>
      </w:r>
      <w:r>
        <w:br/>
      </w:r>
      <w:r>
        <w:t xml:space="preserve">PCC.Kernel.StabilityPass: [TRUE/FALSE]</w:t>
      </w:r>
    </w:p>
    <w:p>
      <w:pPr>
        <w:pStyle w:val="BodyText"/>
      </w:pPr>
      <w:r>
        <w:t xml:space="preserve">Weight Profile: [HDW | PLSS_LOCAL | Declared interim | Uniform]</w:t>
      </w:r>
    </w:p>
    <w:p>
      <w:pPr>
        <w:pStyle w:val="BodyText"/>
      </w:pPr>
      <w:r>
        <w:t xml:space="preserve">PCC.BaselineType_Welfare: [STATUS_QUO | FLOOR_REFERENCE | OTHER_DECLARED]</w:t>
      </w:r>
      <w:r>
        <w:br/>
      </w:r>
      <w:r>
        <w:t xml:space="preserve">PCC.BaselineType_Gates: [FLOOR_REFERENCE] (MUST be FLOOR_REFERENCE for all cells in C_r ∪ C_cat)</w:t>
      </w:r>
      <w:r>
        <w:br/>
      </w:r>
      <w:r>
        <w:t xml:space="preserve">PCC.BaselineReference_Gates: [indicator definitions + target/floor levels + sources + conversion assumptions]</w:t>
      </w:r>
      <w:r>
        <w:br/>
      </w:r>
      <w:r>
        <w:t xml:space="preserve">PCC.BaselineFloorReferenceCellsInWelfare: [list of rights/catastrophe cells that remain in welfare scoring under the non-maskable persistence rule and therefore use floor-reference baseline in welfare scoring]</w:t>
      </w:r>
      <w:r>
        <w:br/>
      </w:r>
      <w:r>
        <w:t xml:space="preserve">PCC.BaselineDualExceptionBlock: [OPTIONAL structured list by cell or cell-class: welfare baseline used, gate baseline fixed at FLOOR_REFERENCE, rationale, and reviewer sign-off if required]</w:t>
      </w:r>
      <w:r>
        <w:br/>
      </w:r>
      <w:r>
        <w:t xml:space="preserve">If PCC.BaselineType_Welfare = OTHER_DECLARED, PCC MUST specify: PCC.BaselineReference_Welfare.</w:t>
      </w:r>
    </w:p>
    <w:p>
      <w:pPr>
        <w:pStyle w:val="BodyText"/>
      </w:pPr>
      <w:r>
        <w:t xml:space="preserve">TRC Context Class: [Personal | Organizational | Reversible |</w:t>
      </w:r>
    </w:p>
    <w:p>
      <w:pPr>
        <w:pStyle w:val="BodyText"/>
      </w:pPr>
      <w:r>
        <w:t xml:space="preserve">Irreversible | Existential]</w:t>
      </w:r>
    </w:p>
    <w:p>
      <w:pPr>
        <w:pStyle w:val="BodyText"/>
      </w:pPr>
      <w:r>
        <w:t xml:space="preserve">Content Hash: [optional Tier 2; required Tier 3; SHA-256]</w:t>
      </w:r>
    </w:p>
    <w:p>
      <w:pPr>
        <w:pStyle w:val="BodyText"/>
      </w:pPr>
      <w:r>
        <w:t xml:space="preserve">STEWARDSHIP BLOCK (CONDITIONAL; REQUIRED when Stw_req=1)</w:t>
      </w:r>
    </w:p>
    <w:p>
      <w:r>
        <w:pict>
          <v:rect style="width:0;height:1.5pt" o:hralign="center" o:hrstd="t" o:hr="t"/>
        </w:pict>
      </w:r>
    </w:p>
    <w:p>
      <w:pPr>
        <w:pStyle w:val="FirstParagraph"/>
      </w:pPr>
      <w:r>
        <w:t xml:space="preserve">PCC.Stewardship.Stw_req: [TRUE | FALSE]</w:t>
      </w:r>
    </w:p>
    <w:p>
      <w:pPr>
        <w:pStyle w:val="BodyText"/>
      </w:pPr>
      <w:r>
        <w:t xml:space="preserve">If Stw_req = FALSE, all fields below MAY be omitted.</w:t>
      </w:r>
    </w:p>
    <w:p>
      <w:pPr>
        <w:pStyle w:val="BodyText"/>
      </w:pPr>
      <w:r>
        <w:t xml:space="preserve">PCC.Stewardship.DBD.Scope: [list of out-of-scope authority domains]</w:t>
      </w:r>
    </w:p>
    <w:p>
      <w:pPr>
        <w:pStyle w:val="BodyText"/>
      </w:pPr>
      <w:r>
        <w:t xml:space="preserve">PCC.Stewardship.DBD.RefusalRule: [refusal/deferral rule identifier]</w:t>
      </w:r>
    </w:p>
    <w:p>
      <w:pPr>
        <w:pStyle w:val="BodyText"/>
      </w:pPr>
      <w:r>
        <w:t xml:space="preserve">PCC.Stewardship.APM.AfterActionAuthorship: [0.0–1.0]</w:t>
      </w:r>
    </w:p>
    <w:p>
      <w:pPr>
        <w:pStyle w:val="BodyText"/>
      </w:pPr>
      <w:r>
        <w:t xml:space="preserve">PCC.Stewardship.APM.Rationale: [artifact-anchored justification; MUST reference &gt;=2 of 4 APM anchors per Appendix N.4]</w:t>
      </w:r>
    </w:p>
    <w:p>
      <w:pPr>
        <w:pStyle w:val="BodyText"/>
      </w:pPr>
      <w:r>
        <w:t xml:space="preserve">PCC.Stewardship.APM.BaselineAuthorship: [0.0–1.0] (OPTIONAL)</w:t>
      </w:r>
    </w:p>
    <w:p>
      <w:pPr>
        <w:pStyle w:val="BodyText"/>
      </w:pPr>
      <w:r>
        <w:t xml:space="preserve">PCC.Stewardship.IRB.InterventionCap: [declared caps]</w:t>
      </w:r>
    </w:p>
    <w:p>
      <w:pPr>
        <w:pStyle w:val="BodyText"/>
      </w:pPr>
      <w:r>
        <w:t xml:space="preserve">PCC.Stewardship.IRB.Thresholds: [intervene-only-past-harm-point rule]</w:t>
      </w:r>
    </w:p>
    <w:p>
      <w:pPr>
        <w:pStyle w:val="BodyText"/>
      </w:pPr>
      <w:r>
        <w:t xml:space="preserve">PCC.Stewardship.InfluenceLedgerRef: [pointer |</w:t>
      </w:r>
      <w:r>
        <w:t xml:space="preserve"> </w:t>
      </w:r>
      <w:r>
        <w:t xml:space="preserve">“</w:t>
      </w:r>
      <w:r>
        <w:t xml:space="preserve">NONE</w:t>
      </w:r>
      <w:r>
        <w:t xml:space="preserve">”</w:t>
      </w:r>
      <w:r>
        <w:t xml:space="preserve"> </w:t>
      </w:r>
      <w:r>
        <w:t xml:space="preserve">+ justification]</w:t>
      </w:r>
    </w:p>
    <w:p>
      <w:pPr>
        <w:pStyle w:val="BodyText"/>
      </w:pPr>
      <w:r>
        <w:t xml:space="preserve">PCC.Stewardship.DelayFlag: [TRUE | FALSE] (OPTIONAL)</w:t>
      </w:r>
    </w:p>
    <w:p>
      <w:pPr>
        <w:pStyle w:val="BodyText"/>
      </w:pPr>
      <w:r>
        <w:t xml:space="preserve">SCOPE (REQUIRED Tier 2-3)</w:t>
      </w:r>
    </w:p>
    <w:p>
      <w:r>
        <w:pict>
          <v:rect style="width:0;height:1.5pt" o:hralign="center" o:hrstd="t" o:hr="t"/>
        </w:pict>
      </w:r>
    </w:p>
    <w:p>
      <w:pPr>
        <w:pStyle w:val="FirstParagraph"/>
      </w:pPr>
      <w:r>
        <w:t xml:space="preserve">Decision Question: [clear statement]</w:t>
      </w:r>
    </w:p>
    <w:p>
      <w:pPr>
        <w:pStyle w:val="BodyText"/>
      </w:pPr>
      <w:r>
        <w:t xml:space="preserve">Time Horizon: [years]</w:t>
      </w:r>
    </w:p>
    <w:p>
      <w:pPr>
        <w:pStyle w:val="BodyText"/>
      </w:pPr>
      <w:r>
        <w:t xml:space="preserve">Primary Affected Scopes (Union Scopes): [list]</w:t>
      </w:r>
    </w:p>
    <w:p>
      <w:pPr>
        <w:pStyle w:val="BodyText"/>
      </w:pPr>
      <w:r>
        <w:t xml:space="preserve">Decision Boundary Notes: [what is in/out of scope; why]</w:t>
      </w:r>
    </w:p>
    <w:p>
      <w:pPr>
        <w:pStyle w:val="BodyText"/>
      </w:pPr>
      <w:r>
        <w:t xml:space="preserve">Stakeholder Coverage and Mapping (Tier-governed; v11.4)</w:t>
      </w:r>
    </w:p>
    <w:p>
      <w:pPr>
        <w:pStyle w:val="BodyText"/>
      </w:pPr>
      <w:r>
        <w:t xml:space="preserve">Stakeholder Coverage Index (SCI): [SCI-0 / SCI-1 / SCI-2 / SCI-3 / SCI-4]</w:t>
      </w:r>
    </w:p>
    <w:p>
      <w:pPr>
        <w:pStyle w:val="BodyText"/>
      </w:pPr>
      <w:r>
        <w:t xml:space="preserve">PCC.SCI.BelowMinimumDisposition: [DOWNGRADE_TIER | RERUN_TO_MEET_MINIMUM] (REQUIRED if SCI_BELOW_MINIMUM triggers; see Section 5.0.1 and audit flag SCI_BELOW_MINIMUM).</w:t>
      </w:r>
    </w:p>
    <w:p>
      <w:pPr>
        <w:pStyle w:val="BodyText"/>
      </w:pPr>
      <w:r>
        <w:t xml:space="preserve">PCC.SCI.Justification: [text] (REQUIRED if SCI &lt; tier minimum, OR if SCI equals the tier minimum and a Next-Run Upgrade Plan is required).</w:t>
      </w:r>
    </w:p>
    <w:p>
      <w:pPr>
        <w:pStyle w:val="BodyText"/>
      </w:pPr>
      <w:r>
        <w:t xml:space="preserve">Scope Coverage Declaration: Mode [FULL_SCOPE / REDUCED_SCOPE]; Active scopes [list]; Omitted scopes [list]; Omission rationales [text]; Blind-spot statement [text]; Escalation triggers that force scope expansion [list].</w:t>
      </w:r>
    </w:p>
    <w:p>
      <w:pPr>
        <w:pStyle w:val="BodyText"/>
      </w:pPr>
      <w:r>
        <w:t xml:space="preserve">SCI Next-Run Upgrade Plan (REQUIRED if SCI equals the tier minimum for the claimed tier): [text; what scope expansions or stakeholder mapping improvements will be executed next run; by when].</w:t>
      </w:r>
    </w:p>
    <w:p>
      <w:pPr>
        <w:pStyle w:val="BodyText"/>
      </w:pPr>
      <w:r>
        <w:t xml:space="preserve">Admissibility Attestation (REQUIRED if Mode = REDUCED_SCOPE):</w:t>
      </w:r>
    </w:p>
    <w:p>
      <w:pPr>
        <w:pStyle w:val="BodyText"/>
      </w:pPr>
      <w:r>
        <w:t xml:space="preserve">PCC.AdmissibilityAttestation.NCRC_full_Cr_computed: [TRUE | FALSE]</w:t>
      </w:r>
    </w:p>
    <w:p>
      <w:pPr>
        <w:pStyle w:val="BodyText"/>
      </w:pPr>
      <w:r>
        <w:t xml:space="preserve">PCC.AdmissibilityAttestation.TRC_full_Ccat_computed: [TRUE | FALSE | NA]</w:t>
      </w:r>
    </w:p>
    <w:p>
      <w:pPr>
        <w:pStyle w:val="BodyText"/>
      </w:pPr>
      <w:r>
        <w:t xml:space="preserve">PCC.AdmissibilityAttestation.Containment_computed_as_applicable: [TRUE | FALSE | NA]</w:t>
      </w:r>
    </w:p>
    <w:p>
      <w:pPr>
        <w:pStyle w:val="BodyText"/>
      </w:pPr>
      <w:r>
        <w:t xml:space="preserve">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pPr>
      <w:r>
        <w:t xml:space="preserve">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pPr>
      <w:r>
        <w:t xml:space="preserve">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pPr>
      <w:r>
        <w:t xml:space="preserve">PLSS BLOCK (CONDITIONAL; REQUIRED when PLSS is used)</w:t>
      </w:r>
    </w:p>
    <w:p>
      <w:pPr>
        <w:pStyle w:val="BodyText"/>
      </w:pPr>
      <w:r>
        <w:t xml:space="preserve">PCC.PLSS.LSSDeclaration: [final Local Stakeholder Set used for the run, with reference to the instance-to-scope mapping basis]</w:t>
      </w:r>
    </w:p>
    <w:p>
      <w:pPr>
        <w:pStyle w:val="BodyText"/>
      </w:pPr>
      <w:r>
        <w:t xml:space="preserve">PCC.PLSS.ProminenceVector: [declared q_u for all scopes, including sub-component basis for magnitude, probability, persistence, and propagation]</w:t>
      </w:r>
    </w:p>
    <w:p>
      <w:pPr>
        <w:pStyle w:val="BodyText"/>
      </w:pPr>
      <w:r>
        <w:t xml:space="preserve">PCC.PLSS.Operator: [DEFAULT_GEOMEAN_V1 | OTHER_DECLARED]; if OTHER_DECLARED, record operator, rationale, and sensitivity note</w:t>
      </w:r>
    </w:p>
    <w:p>
      <w:pPr>
        <w:pStyle w:val="BodyText"/>
      </w:pPr>
      <w:r>
        <w:t xml:space="preserve">PCC.PLSS.WeightVector: [computed w_u^PLSS for all scopes]</w:t>
      </w:r>
    </w:p>
    <w:p>
      <w:pPr>
        <w:pStyle w:val="BodyText"/>
      </w:pPr>
      <w:r>
        <w:t xml:space="preserve">PCC.PLSS.ScopePostureClassification: [Prominent | Guardrail for each scope]</w:t>
      </w:r>
    </w:p>
    <w:p>
      <w:pPr>
        <w:pStyle w:val="BodyText"/>
      </w:pPr>
      <w:r>
        <w:t xml:space="preserve">PCC.PLSS.EscalationTriggerAssessment: [ET-1 through ET-7 outcome, including any justification for remaining in PLSS posture]</w:t>
      </w:r>
    </w:p>
    <w:p>
      <w:pPr>
        <w:pStyle w:val="BodyText"/>
      </w:pPr>
      <w:r>
        <w:t xml:space="preserve">PCC.PLSS.FallbackDeclaration: [uniform residual fallback used if all q_u = 0, or other declared fallback with justification]</w:t>
      </w:r>
    </w:p>
    <w:p>
      <w:pPr>
        <w:pStyle w:val="BodyText"/>
      </w:pPr>
      <w:r>
        <w:t xml:space="preserve">MEASUREMENT-MATURITY AND DEPLOYMENT-CONTEXT BLOCK (REQUIRED when applicable; Tier 2-3)</w:t>
      </w:r>
    </w:p>
    <w:p>
      <w:pPr>
        <w:pStyle w:val="BodyText"/>
      </w:pPr>
      <w:r>
        <w:t xml:space="preserve">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BodyText"/>
      </w:pPr>
      <w:r>
        <w:t xml:space="preserve">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BodyText"/>
      </w:pPr>
      <w:r>
        <w:t xml:space="preserve">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BodyText"/>
      </w:pPr>
      <w:r>
        <w:t xml:space="preserve">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BodyText"/>
      </w:pPr>
      <w:r>
        <w:t xml:space="preserve">PCC.Deployment_Context_Profile: [LAB | PILOT | INSTITUTIONAL_ADVISORY | INSTITUTIONAL_OPERATIONAL | PUBLIC_POLICY | AGENTIC_EXECUTION | EMERGENCY_TRIAGE] plus evidence-sufficiency, reviewer-independence, audit-visibility, and escalation-threshold notes.</w:t>
      </w:r>
    </w:p>
    <w:p>
      <w:pPr>
        <w:pStyle w:val="BodyText"/>
      </w:pPr>
      <w:r>
        <w:t xml:space="preserve">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pPr>
      <w:r>
        <w:t xml:space="preserve">Option Set O:</w:t>
      </w:r>
    </w:p>
    <w:p>
      <w:pPr>
        <w:pStyle w:val="BodyText"/>
      </w:pPr>
      <w:r>
        <w:t xml:space="preserve">Option A: [description]</w:t>
      </w:r>
    </w:p>
    <w:p>
      <w:pPr>
        <w:pStyle w:val="BodyText"/>
      </w:pPr>
      <w:r>
        <w:t xml:space="preserve">Option B: [description]</w:t>
      </w:r>
    </w:p>
    <w:p>
      <w:pPr>
        <w:pStyle w:val="BodyText"/>
      </w:pPr>
      <w:r>
        <w:t xml:space="preserve">Option C: [description] (if applicable)</w:t>
      </w:r>
    </w:p>
    <w:p>
      <w:pPr>
        <w:pStyle w:val="BodyText"/>
      </w:pPr>
      <w:r>
        <w:t xml:space="preserve">Applicability Mask m(u,d) (RLS only):</w:t>
      </w:r>
    </w:p>
    <w:p>
      <w:pPr>
        <w:pStyle w:val="BodyText"/>
      </w:pPr>
      <w:r>
        <w:t xml:space="preserve">Masked cells: [list + rationale per cell]</w:t>
      </w:r>
    </w:p>
    <w:p>
      <w:pPr>
        <w:pStyle w:val="BodyText"/>
      </w:pPr>
      <w:r>
        <w:t xml:space="preserve">Non-maskable verification:</w:t>
      </w:r>
    </w:p>
    <w:p>
      <w:pPr>
        <w:pStyle w:val="BodyText"/>
      </w:pPr>
      <w:r>
        <w:t xml:space="preserve">Rights cells unmasked: [PASS/FAIL]</w:t>
      </w:r>
    </w:p>
    <w:p>
      <w:pPr>
        <w:pStyle w:val="BodyText"/>
      </w:pPr>
      <w:r>
        <w:t xml:space="preserve">Catastrophe cells unmasked: [PASS/FAIL]</w:t>
      </w:r>
    </w:p>
    <w:p>
      <w:pPr>
        <w:pStyle w:val="BodyText"/>
      </w:pPr>
      <w:r>
        <w:t xml:space="preserve">INPUTS (REQUIRED Tier 2-3)</w:t>
      </w:r>
    </w:p>
    <w:p>
      <w:pPr>
        <w:pStyle w:val="BodyText"/>
      </w:pPr>
      <w:r>
        <w:t xml:space="preserve">Uncertainty Method (Tier 2+ REQUIRED for active cells):</w:t>
      </w:r>
    </w:p>
    <w:p>
      <w:pPr>
        <w:pStyle w:val="BodyText"/>
      </w:pPr>
      <w:r>
        <w:t xml:space="preserve">PCC.Uncertainty.Method: [A | B | C]</w:t>
      </w:r>
      <w:r>
        <w:br/>
      </w:r>
      <w:r>
        <w:t xml:space="preserve">If Method = B:</w:t>
      </w:r>
      <w:r>
        <w:br/>
      </w:r>
      <w:r>
        <w:t xml:space="preserve">PCC.Uncertainty.CellConfidenceAggregationMethod: [CCAM_MIN_V1 | CCAM_WMEAN_V1]</w:t>
      </w:r>
      <w:r>
        <w:br/>
      </w:r>
      <w:r>
        <w:t xml:space="preserve">PCC.Uncertainty.c_cell_table: [table of c(u,d,a) for active cells, or a retrievable representation sufficient for recomputation]</w:t>
      </w:r>
    </w:p>
    <w:p>
      <w:r>
        <w:pict>
          <v:rect style="width:0;height:1.5pt" o:hralign="center" o:hrstd="t" o:hr="t"/>
        </w:pict>
      </w:r>
    </w:p>
    <w:p>
      <w:pPr>
        <w:pStyle w:val="FirstParagraph"/>
      </w:pPr>
      <w:r>
        <w:t xml:space="preserve">Weights:</w:t>
      </w:r>
    </w:p>
    <w:p>
      <w:pPr>
        <w:pStyle w:val="BodyText"/>
      </w:pPr>
      <w:r>
        <w:t xml:space="preserve">Union weights w_u: [vector or table]</w:t>
      </w:r>
    </w:p>
    <w:p>
      <w:pPr>
        <w:pStyle w:val="BodyText"/>
      </w:pPr>
      <w:r>
        <w:t xml:space="preserve">Dimension weights v_d: [vector or table]</w:t>
      </w:r>
    </w:p>
    <w:p>
      <w:pPr>
        <w:pStyle w:val="BodyText"/>
      </w:pPr>
      <w:r>
        <w:t xml:space="preserve">HDW parameters (if used): [λ_U, λ_D; sources]</w:t>
      </w:r>
    </w:p>
    <w:p>
      <w:pPr>
        <w:pStyle w:val="BodyText"/>
      </w:pPr>
      <w:r>
        <w:t xml:space="preserve">Rights Canon:</w:t>
      </w:r>
    </w:p>
    <w:p>
      <w:pPr>
        <w:pStyle w:val="BodyText"/>
      </w:pPr>
      <w:r>
        <w:t xml:space="preserve">Thresholds θ_r: [table or</w:t>
      </w:r>
      <w:r>
        <w:t xml:space="preserve"> </w:t>
      </w:r>
      <w:r>
        <w:t xml:space="preserve">“</w:t>
      </w:r>
      <w:r>
        <w:t xml:space="preserve">current canonical</w:t>
      </w:r>
      <w:r>
        <w:t xml:space="preserve">”</w:t>
      </w:r>
      <w:r>
        <w:t xml:space="preserve">]</w:t>
      </w:r>
    </w:p>
    <w:p>
      <w:pPr>
        <w:pStyle w:val="BodyText"/>
      </w:pPr>
      <w:r>
        <w:t xml:space="preserve">Coverage sets C_r: [table or</w:t>
      </w:r>
      <w:r>
        <w:t xml:space="preserve"> </w:t>
      </w:r>
      <w:r>
        <w:t xml:space="preserve">“</w:t>
      </w:r>
      <w:r>
        <w:t xml:space="preserve">current canonical</w:t>
      </w:r>
      <w:r>
        <w:t xml:space="preserve">”</w:t>
      </w:r>
      <w:r>
        <w:t xml:space="preserve">]</w:t>
      </w:r>
    </w:p>
    <w:p>
      <w:pPr>
        <w:pStyle w:val="BodyText"/>
      </w:pPr>
      <w:r>
        <w:t xml:space="preserve">Subgroup policy:</w:t>
      </w:r>
    </w:p>
    <w:p>
      <w:pPr>
        <w:pStyle w:val="BodyText"/>
      </w:pPr>
      <w:r>
        <w:t xml:space="preserve">G_{u,d} method: [enumerated | conservative bound]</w:t>
      </w:r>
    </w:p>
    <w:p>
      <w:pPr>
        <w:pStyle w:val="BodyText"/>
      </w:pPr>
      <w:r>
        <w:t xml:space="preserve">γ_subgroup (if used): [value]</w:t>
      </w:r>
    </w:p>
    <w:p>
      <w:pPr>
        <w:pStyle w:val="BodyText"/>
      </w:pPr>
      <w:r>
        <w:t xml:space="preserve">Notes: [limitations if any]</w:t>
      </w:r>
    </w:p>
    <w:p>
      <w:pPr>
        <w:pStyle w:val="BodyText"/>
      </w:pPr>
      <w:r>
        <w:t xml:space="preserve">TRC Inputs (REQUIRED Tier 2 when plausible; REQUIRED Tier 3):</w:t>
      </w:r>
    </w:p>
    <w:p>
      <w:pPr>
        <w:pStyle w:val="BodyText"/>
      </w:pPr>
      <w:r>
        <w:t xml:space="preserve">Catastrophe cells C_cat: [list]</w:t>
      </w:r>
    </w:p>
    <w:p>
      <w:pPr>
        <w:pStyle w:val="BodyText"/>
      </w:pPr>
      <w:r>
        <w:t xml:space="preserve">Catastrophe weights ω: [list]</w:t>
      </w:r>
    </w:p>
    <w:p>
      <w:pPr>
        <w:pStyle w:val="BodyText"/>
      </w:pPr>
      <w:r>
        <w:t xml:space="preserve">α: [value]</w:t>
      </w:r>
    </w:p>
    <w:p>
      <w:pPr>
        <w:pStyle w:val="BodyText"/>
      </w:pPr>
      <w:r>
        <w:t xml:space="preserve">τ_TRC: [value]</w:t>
      </w:r>
    </w:p>
    <w:p>
      <w:pPr>
        <w:pStyle w:val="BodyText"/>
      </w:pPr>
      <w:r>
        <w:t xml:space="preserve">Scenario set S:</w:t>
      </w:r>
    </w:p>
    <w:p>
      <w:pPr>
        <w:pStyle w:val="BodyText"/>
      </w:pPr>
      <w:r>
        <w:t xml:space="preserve">For each scenario s:</w:t>
      </w:r>
    </w:p>
    <w:p>
      <w:pPr>
        <w:pStyle w:val="BodyText"/>
      </w:pPr>
      <w:r>
        <w:t xml:space="preserve">ID, category, narrative, p_s, parameterization notes</w:t>
      </w:r>
    </w:p>
    <w:p>
      <w:pPr>
        <w:pStyle w:val="BodyText"/>
      </w:pPr>
      <w:r>
        <w:t xml:space="preserve">Mandatory tails check:</w:t>
      </w:r>
    </w:p>
    <w:p>
      <w:pPr>
        <w:pStyle w:val="BodyText"/>
      </w:pPr>
      <w:r>
        <w:t xml:space="preserve">Categories present: [YES/NO per category]</w:t>
      </w:r>
    </w:p>
    <w:p>
      <w:pPr>
        <w:pStyle w:val="BodyText"/>
      </w:pPr>
      <w:r>
        <w:t xml:space="preserve">Probability floors met: [YES/NO]</w:t>
      </w:r>
    </w:p>
    <w:p>
      <w:pPr>
        <w:pStyle w:val="BodyText"/>
      </w:pPr>
      <w:r>
        <w:t xml:space="preserve">Any implausibility justifications: [YES/NO; if YES, details]</w:t>
      </w:r>
    </w:p>
    <w:p>
      <w:pPr>
        <w:pStyle w:val="BodyText"/>
      </w:pPr>
      <w:r>
        <w:t xml:space="preserve">Containment Inputs (REQUIRED Tier 3):</w:t>
      </w:r>
    </w:p>
    <w:p>
      <w:pPr>
        <w:pStyle w:val="BodyText"/>
      </w:pPr>
      <w:r>
        <w:t xml:space="preserve">τ_c: [value]</w:t>
      </w:r>
    </w:p>
    <w:p>
      <w:pPr>
        <w:pStyle w:val="BodyText"/>
      </w:pPr>
      <w:r>
        <w:t xml:space="preserve">θ_pos: [value]</w:t>
      </w:r>
    </w:p>
    <w:p>
      <w:pPr>
        <w:pStyle w:val="BodyText"/>
      </w:pPr>
      <w:r>
        <w:t xml:space="preserve">D_c: [value]</w:t>
      </w:r>
    </w:p>
    <w:p>
      <w:pPr>
        <w:pStyle w:val="BodyText"/>
      </w:pPr>
      <w:r>
        <w:t xml:space="preserve">UCI method: [indicators used + sources]</w:t>
      </w:r>
    </w:p>
    <w:p>
      <w:pPr>
        <w:pStyle w:val="BodyText"/>
      </w:pPr>
      <w:r>
        <w:t xml:space="preserve">If UCI is unavailable for required containing scopes, record CONTAINMENT_UCI_UNAVAILABLE and set PCC.Containment.UCIUnavailableDisposition to DOWNGRADE_TIER or COLLECT_DATA_RERUN (and provide a remediation timeline).</w:t>
      </w:r>
    </w:p>
    <w:p>
      <w:pPr>
        <w:pStyle w:val="BodyText"/>
      </w:pPr>
      <w:r>
        <w:t xml:space="preserve">NORMATIVE INPUT REGISTER (REQUIRED when material)</w:t>
      </w:r>
    </w:p>
    <w:p>
      <w:r>
        <w:pict>
          <v:rect style="width:0;height:1.5pt" o:hralign="center" o:hrstd="t" o:hr="t"/>
        </w:pict>
      </w:r>
    </w:p>
    <w:p>
      <w:pPr>
        <w:pStyle w:val="FirstParagraph"/>
      </w:pPr>
      <w:r>
        <w:t xml:space="preserve">PCC.NormativeInputRegister: [array; REQUIRED when any welfare-relevant state, rights-relevant state, or enabling condition materially affects admissibility, precautionary handling, selection, or tie-break outcome]</w:t>
      </w:r>
    </w:p>
    <w:p>
      <w:pPr>
        <w:pStyle w:val="BodyText"/>
      </w:pPr>
      <w:r>
        <w:t xml:space="preserve">For each entry n in PCC.NormativeInputRegister, record:</w:t>
      </w:r>
    </w:p>
    <w:p>
      <w:pPr>
        <w:pStyle w:val="BodyText"/>
      </w:pPr>
      <w:r>
        <w:t xml:space="preserve">NormInputID: [unique identifier]</w:t>
      </w:r>
    </w:p>
    <w:p>
      <w:pPr>
        <w:pStyle w:val="BodyText"/>
      </w:pPr>
      <w:r>
        <w:t xml:space="preserve">InputType: [WELFARE_RELEVANT_STATE | RIGHTS_RELEVANT_STATE | ENABLING_CONDITION]</w:t>
      </w:r>
    </w:p>
    <w:p>
      <w:pPr>
        <w:pStyle w:val="BodyText"/>
      </w:pPr>
      <w:r>
        <w:t xml:space="preserve">Materiality: [ADMISSIBILITY_MATERIAL | PRECAUTION_MATERIAL | SELECTION_MATERIAL | TIEBREAK_MATERIAL]</w:t>
      </w:r>
    </w:p>
    <w:p>
      <w:pPr>
        <w:pStyle w:val="BodyText"/>
      </w:pPr>
      <w:r>
        <w:t xml:space="preserve">AffectedObjects: [cell(s), right(s), scenario(s), gate(s), structural metric(s), or decision element(s)]</w:t>
      </w:r>
    </w:p>
    <w:p>
      <w:pPr>
        <w:pStyle w:val="BodyText"/>
      </w:pPr>
      <w:r>
        <w:t xml:space="preserve">StakeholderOrScopeTarget: [stakeholder / class / subgroup / instance / scope / scope-set]</w:t>
      </w:r>
    </w:p>
    <w:p>
      <w:pPr>
        <w:pStyle w:val="BodyText"/>
      </w:pPr>
      <w:r>
        <w:t xml:space="preserve">EvidenceBasisType: [DIRECT_INDICATOR | IMPACT_INSTANCE_TRACE | RIGHTS_CANON_INTERPRETATION | SGP_INTERFACE | GOVERNED_PROXY | PRECAUTIONARY_DECLARATION | OTHER_DECLARED]</w:t>
      </w:r>
    </w:p>
    <w:p>
      <w:pPr>
        <w:pStyle w:val="BodyText"/>
      </w:pPr>
      <w:r>
        <w:t xml:space="preserve">EvidenceReference: [citation / data source / registry ID / PCC pointer / section pointer]</w:t>
      </w:r>
    </w:p>
    <w:p>
      <w:pPr>
        <w:pStyle w:val="BodyText"/>
      </w:pPr>
      <w:r>
        <w:t xml:space="preserve">GovernedInterpretationBasis: [NONE | canon section | charter rule | jurisdictional source | instrument identifier | reviewer memorandum]</w:t>
      </w:r>
    </w:p>
    <w:p>
      <w:pPr>
        <w:pStyle w:val="BodyText"/>
      </w:pPr>
      <w:r>
        <w:t xml:space="preserve">PrecautionaryBasis: [NONE | explicit uncertainty rationale]</w:t>
      </w:r>
    </w:p>
    <w:p>
      <w:pPr>
        <w:pStyle w:val="BodyText"/>
      </w:pPr>
      <w:r>
        <w:t xml:space="preserve">OptionSymmetryStatus: [APPLIES_TO_ALL_OPTIONS | OPTION_SPECIFIC_WITH_JUSTIFICATION]</w:t>
      </w:r>
    </w:p>
    <w:p>
      <w:pPr>
        <w:pStyle w:val="BodyText"/>
      </w:pPr>
      <w:r>
        <w:t xml:space="preserve">AnalystReasonCode: [text or controlled token]</w:t>
      </w:r>
    </w:p>
    <w:p>
      <w:pPr>
        <w:pStyle w:val="BodyText"/>
      </w:pPr>
      <w:r>
        <w:t xml:space="preserve">SensitivityNote: [REQUIRED if alternative treatment plausibly changes admissibility or selection]</w:t>
      </w:r>
    </w:p>
    <w:p>
      <w:pPr>
        <w:pStyle w:val="BodyText"/>
      </w:pPr>
      <w:r>
        <w:t xml:space="preserve">ReviewerNote: [Tier 3 REQUIRED when Materiality = ADMISSIBILITY_MATERIAL, PRECAUTION_MATERIAL, or SELECTION_MATERIAL]</w:t>
      </w:r>
    </w:p>
    <w:p>
      <w:pPr>
        <w:pStyle w:val="BodyText"/>
      </w:pPr>
      <w:r>
        <w:t xml:space="preserve">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pPr>
      <w:r>
        <w:t xml:space="preserve">IMPACT ESTIMATION (REQUIRED Tier 2-3)</w:t>
      </w:r>
    </w:p>
    <w:p>
      <w:r>
        <w:pict>
          <v:rect style="width:0;height:1.5pt" o:hralign="center" o:hrstd="t" o:hr="t"/>
        </w:pict>
      </w:r>
    </w:p>
    <w:p>
      <w:pPr>
        <w:pStyle w:val="FirstParagraph"/>
      </w:pPr>
      <w:r>
        <w:t xml:space="preserve">For each option a:</w:t>
      </w:r>
    </w:p>
    <w:p>
      <w:pPr>
        <w:pStyle w:val="BodyText"/>
      </w:pPr>
      <w:r>
        <w:t xml:space="preserve">Direct impacts I_dir(u,d,a): [summary table or key cells]</w:t>
      </w:r>
    </w:p>
    <w:p>
      <w:pPr>
        <w:pStyle w:val="BodyText"/>
      </w:pPr>
      <w:r>
        <w:t xml:space="preserve">Propagated impacts I_prop_base(u,d,a) and I_prop_welfare(u,d,a): [summary table or key cells]</w:t>
      </w:r>
    </w:p>
    <w:p>
      <w:pPr>
        <w:pStyle w:val="BodyText"/>
      </w:pPr>
      <w:r>
        <w:t xml:space="preserve">Key impact instances (at least top contributors):</w:t>
      </w:r>
    </w:p>
    <w:p>
      <w:pPr>
        <w:pStyle w:val="BodyText"/>
      </w:pPr>
      <w:r>
        <w:t xml:space="preserve">For each listed instance k:</w:t>
      </w:r>
    </w:p>
    <w:p>
      <w:pPr>
        <w:pStyle w:val="BodyText"/>
      </w:pPr>
      <w:r>
        <w:t xml:space="preserve">(u,d), μ_k, r_k, t_k, ℓ_k, c_k, e_k, s_k, rationale/source</w:t>
      </w:r>
    </w:p>
    <w:p>
      <w:pPr>
        <w:pStyle w:val="BodyText"/>
      </w:pPr>
      <w:r>
        <w:t xml:space="preserve">e_k disclosure (Normative). If any listed instance uses e_k ≠ 1.00, the PCC MUST also record the reason code, default-counterfactual, and whether resetting e_k to 1.00 changes admissibility or selection.</w:t>
      </w:r>
    </w:p>
    <w:p>
      <w:pPr>
        <w:pStyle w:val="BodyText"/>
      </w:pPr>
      <w:r>
        <w:t xml:space="preserve">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pPr>
      <w:r>
        <w:t xml:space="preserve">Missing data:</w:t>
      </w:r>
    </w:p>
    <w:p>
      <w:pPr>
        <w:pStyle w:val="BodyText"/>
      </w:pPr>
      <w:r>
        <w:t xml:space="preserve">Any UNKNOWN_IMPACT cells: [list]</w:t>
      </w:r>
    </w:p>
    <w:p>
      <w:pPr>
        <w:pStyle w:val="BodyText"/>
      </w:pPr>
      <w:r>
        <w:t xml:space="preserve">Phantom instances applied: [YES/NO]</w:t>
      </w:r>
    </w:p>
    <w:p>
      <w:pPr>
        <w:pStyle w:val="BodyText"/>
      </w:pPr>
      <w:r>
        <w:t xml:space="preserve">CASCADE TRACE (REQUIRED Tier 2-3)</w:t>
      </w:r>
    </w:p>
    <w:p>
      <w:r>
        <w:pict>
          <v:rect style="width:0;height:1.5pt" o:hralign="center" o:hrstd="t" o:hr="t"/>
        </w:pict>
      </w:r>
    </w:p>
    <w:p>
      <w:pPr>
        <w:pStyle w:val="FirstParagraph"/>
      </w:pPr>
      <w:r>
        <w:t xml:space="preserve">NCRC:</w:t>
      </w:r>
    </w:p>
    <w:p>
      <w:pPr>
        <w:pStyle w:val="BodyText"/>
      </w:pPr>
      <w:r>
        <w:t xml:space="preserve">For each option: PASS/FAIL</w:t>
      </w:r>
    </w:p>
    <w:p>
      <w:pPr>
        <w:pStyle w:val="BodyText"/>
      </w:pPr>
      <w:r>
        <w:t xml:space="preserve">If FAIL: violated rights + v_r(a) values</w:t>
      </w:r>
    </w:p>
    <w:p>
      <w:pPr>
        <w:pStyle w:val="BodyText"/>
      </w:pPr>
      <w:r>
        <w:t xml:space="preserve">Emergency Mode invoked: [YES/NO]</w:t>
      </w:r>
    </w:p>
    <w:p>
      <w:pPr>
        <w:pStyle w:val="BodyText"/>
      </w:pPr>
      <w:r>
        <w:t xml:space="preserve">Challenger conducted: [YES/NO]</w:t>
      </w:r>
    </w:p>
    <w:p>
      <w:pPr>
        <w:pStyle w:val="BodyText"/>
      </w:pPr>
      <w:r>
        <w:t xml:space="preserve">Challenger notes: [summary]</w:t>
      </w:r>
    </w:p>
    <w:p>
      <w:pPr>
        <w:pStyle w:val="BodyText"/>
      </w:pPr>
      <w:r>
        <w:t xml:space="preserve">TRC:</w:t>
      </w:r>
    </w:p>
    <w:p>
      <w:pPr>
        <w:pStyle w:val="BodyText"/>
      </w:pPr>
      <w:r>
        <w:t xml:space="preserve">Triggered (catastrophe relevance plausible): [YES/NO]</w:t>
      </w:r>
    </w:p>
    <w:p>
      <w:pPr>
        <w:pStyle w:val="BodyText"/>
      </w:pPr>
      <w:r>
        <w:t xml:space="preserve">For each option:</w:t>
      </w:r>
    </w:p>
    <w:p>
      <w:pPr>
        <w:pStyle w:val="BodyText"/>
      </w:pPr>
      <w:r>
        <w:t xml:space="preserve">CVaR_α: [value]</w:t>
      </w:r>
    </w:p>
    <w:p>
      <w:pPr>
        <w:pStyle w:val="BodyText"/>
      </w:pPr>
      <w:r>
        <w:t xml:space="preserve">Corridor τ_TRC: [value]</w:t>
      </w:r>
    </w:p>
    <w:p>
      <w:pPr>
        <w:pStyle w:val="BodyText"/>
      </w:pPr>
      <w:r>
        <w:t xml:space="preserve">PASS/FAIL</w:t>
      </w:r>
    </w:p>
    <w:p>
      <w:pPr>
        <w:pStyle w:val="BodyText"/>
      </w:pPr>
      <w:r>
        <w:t xml:space="preserve">TRC fallback invoked: [YES/NO]</w:t>
      </w:r>
    </w:p>
    <w:p>
      <w:pPr>
        <w:pStyle w:val="BodyText"/>
      </w:pPr>
      <w:r>
        <w:t xml:space="preserve">Containment (Tier 3 required):</w:t>
      </w:r>
    </w:p>
    <w:p>
      <w:pPr>
        <w:pStyle w:val="BodyText"/>
      </w:pPr>
      <w:r>
        <w:t xml:space="preserve">For each option in A_adm:</w:t>
      </w:r>
    </w:p>
    <w:p>
      <w:pPr>
        <w:pStyle w:val="BodyText"/>
      </w:pPr>
      <w:r>
        <w:t xml:space="preserve">U_pos(a): [list of unions]</w:t>
      </w:r>
    </w:p>
    <w:p>
      <w:pPr>
        <w:pStyle w:val="BodyText"/>
      </w:pPr>
      <w:r>
        <w:t xml:space="preserve">For each u in U_pos: min ΔUCI among ancestors: [value]</w:t>
      </w:r>
    </w:p>
    <w:p>
      <w:pPr>
        <w:pStyle w:val="BodyText"/>
      </w:pPr>
      <w:r>
        <w:t xml:space="preserve">PASS/FAIL</w:t>
      </w:r>
    </w:p>
    <w:p>
      <w:pPr>
        <w:pStyle w:val="BodyText"/>
      </w:pPr>
      <w:r>
        <w:t xml:space="preserve">PCC.Containment.UCIUnavailableDisposition: [DOWNGRADE_TIER | COLLECT_DATA_RERUN | NA] (REQUIRED if CONTAINMENT_UCI_UNAVAILABLE flag is recorded).</w:t>
      </w:r>
    </w:p>
    <w:p>
      <w:pPr>
        <w:pStyle w:val="BodyText"/>
      </w:pPr>
      <w:r>
        <w:t xml:space="preserve">PCC.Containment.UCIUnavailableRemediationTimeline: [text] (REQUIRED if CONTAINMENT_UCI_UNAVAILABLE flag is recorded).</w:t>
      </w:r>
    </w:p>
    <w:p>
      <w:pPr>
        <w:pStyle w:val="BodyText"/>
      </w:pPr>
      <w:r>
        <w:t xml:space="preserve">A_sel: [list]</w:t>
      </w:r>
    </w:p>
    <w:p>
      <w:pPr>
        <w:pStyle w:val="BodyText"/>
      </w:pPr>
      <w:r>
        <w:t xml:space="preserve">RLS Ranking:</w:t>
      </w:r>
    </w:p>
    <w:p>
      <w:pPr>
        <w:pStyle w:val="BodyText"/>
      </w:pPr>
      <w:r>
        <w:t xml:space="preserve">For each option in A_sel:</w:t>
      </w:r>
    </w:p>
    <w:p>
      <w:pPr>
        <w:pStyle w:val="BodyText"/>
      </w:pPr>
      <w:r>
        <w:t xml:space="preserve">RLS(a): [value]</w:t>
      </w:r>
    </w:p>
    <w:p>
      <w:pPr>
        <w:pStyle w:val="BodyText"/>
      </w:pPr>
      <w:r>
        <w:t xml:space="preserve">σ_RLS(a): [value] (Tier 3 required)</w:t>
      </w:r>
    </w:p>
    <w:p>
      <w:pPr>
        <w:pStyle w:val="BodyText"/>
      </w:pPr>
      <w:r>
        <w:t xml:space="preserve">Gap(top, second): [value]</w:t>
      </w:r>
    </w:p>
    <w:p>
      <w:pPr>
        <w:pStyle w:val="BodyText"/>
      </w:pPr>
      <w:r>
        <w:t xml:space="preserve">δ: [value]</w:t>
      </w:r>
    </w:p>
    <w:p>
      <w:pPr>
        <w:pStyle w:val="BodyText"/>
      </w:pPr>
      <w:r>
        <w:t xml:space="preserve">Decisive: [YES/NO]</w:t>
      </w:r>
    </w:p>
    <w:p>
      <w:pPr>
        <w:pStyle w:val="BodyText"/>
      </w:pPr>
      <w:r>
        <w:t xml:space="preserve">Tie-break (if non-decisive):</w:t>
      </w:r>
    </w:p>
    <w:p>
      <w:pPr>
        <w:pStyle w:val="BodyText"/>
      </w:pPr>
      <w:r>
        <w:t xml:space="preserve">UCI method used: [UCI-A/B/C]</w:t>
      </w:r>
    </w:p>
    <w:p>
      <w:pPr>
        <w:pStyle w:val="BodyText"/>
      </w:pPr>
      <w:r>
        <w:t xml:space="preserve">Δ_UCI threshold: 0.05</w:t>
      </w:r>
    </w:p>
    <w:p>
      <w:pPr>
        <w:pStyle w:val="BodyText"/>
      </w:pPr>
      <w:r>
        <w:t xml:space="preserve">Result: [winner or non-decisive]</w:t>
      </w:r>
    </w:p>
    <w:p>
      <w:pPr>
        <w:pStyle w:val="BodyText"/>
      </w:pPr>
      <w:r>
        <w:t xml:space="preserve">HOI flags (if applicable): [notes]</w:t>
      </w:r>
    </w:p>
    <w:p>
      <w:pPr>
        <w:pStyle w:val="BodyText"/>
      </w:pPr>
      <w:r>
        <w:t xml:space="preserve">Escalation invoked: [YES/NO]</w:t>
      </w:r>
    </w:p>
    <w:p>
      <w:pPr>
        <w:pStyle w:val="BodyText"/>
      </w:pPr>
      <w:r>
        <w:t xml:space="preserve">SELECTION (REQUIRED Tier 2-3)</w:t>
      </w:r>
    </w:p>
    <w:p>
      <w:r>
        <w:pict>
          <v:rect style="width:0;height:1.5pt" o:hralign="center" o:hrstd="t" o:hr="t"/>
        </w:pict>
      </w:r>
    </w:p>
    <w:p>
      <w:pPr>
        <w:pStyle w:val="FirstParagraph"/>
      </w:pPr>
      <w:r>
        <w:t xml:space="preserve">Selected Option: [option ID]</w:t>
      </w:r>
    </w:p>
    <w:p>
      <w:pPr>
        <w:pStyle w:val="BodyText"/>
      </w:pPr>
      <w:r>
        <w:t xml:space="preserve">Selection Rationale: [brief; must reference cascade outcomes]</w:t>
      </w:r>
    </w:p>
    <w:p>
      <w:pPr>
        <w:pStyle w:val="BodyText"/>
      </w:pPr>
      <w:r>
        <w:t xml:space="preserve">Monitoring Plan (NCAR):</w:t>
      </w:r>
    </w:p>
    <w:p>
      <w:pPr>
        <w:pStyle w:val="BodyText"/>
      </w:pPr>
      <w:r>
        <w:t xml:space="preserve">Metrics: [list]</w:t>
      </w:r>
    </w:p>
    <w:p>
      <w:pPr>
        <w:pStyle w:val="BodyText"/>
      </w:pPr>
      <w:r>
        <w:t xml:space="preserve">Review schedule: [date/interval]</w:t>
      </w:r>
    </w:p>
    <w:p>
      <w:pPr>
        <w:pStyle w:val="BodyText"/>
      </w:pPr>
      <w:r>
        <w:t xml:space="preserve">Triggers for re-run: [conditions]</w:t>
      </w:r>
    </w:p>
    <w:p>
      <w:pPr>
        <w:pStyle w:val="BodyText"/>
      </w:pPr>
      <w:r>
        <w:t xml:space="preserve">SENSITIVITY ANALYSIS (Tier 3 REQUIRED)</w:t>
      </w:r>
    </w:p>
    <w:p>
      <w:r>
        <w:pict>
          <v:rect style="width:0;height:1.5pt" o:hralign="center" o:hrstd="t" o:hr="t"/>
        </w:pict>
      </w:r>
    </w:p>
    <w:p>
      <w:pPr>
        <w:pStyle w:val="FirstParagraph"/>
      </w:pPr>
      <w:r>
        <w:t xml:space="preserve">Weights perturbation: [summary; selection stable?]</w:t>
      </w:r>
    </w:p>
    <w:p>
      <w:pPr>
        <w:pStyle w:val="BodyText"/>
      </w:pPr>
      <w:r>
        <w:t xml:space="preserve">Threshold perturbation: [summary; any near-miss rights?]</w:t>
      </w:r>
    </w:p>
    <w:p>
      <w:pPr>
        <w:pStyle w:val="BodyText"/>
      </w:pPr>
      <w:r>
        <w:t xml:space="preserve">Kernel perturbation: [summary; flag fragile?]</w:t>
      </w:r>
    </w:p>
    <w:p>
      <w:pPr>
        <w:pStyle w:val="BodyText"/>
      </w:pPr>
      <w:r>
        <w:t xml:space="preserve">Scenario perturbation: [summary; probability sensitivity]</w:t>
      </w:r>
    </w:p>
    <w:p>
      <w:pPr>
        <w:pStyle w:val="BodyText"/>
      </w:pPr>
      <w:r>
        <w:t xml:space="preserve">Robustness classification: [Robust | Sensitive | Fragile]</w:t>
      </w:r>
    </w:p>
    <w:p>
      <w:pPr>
        <w:pStyle w:val="BodyText"/>
      </w:pPr>
      <w:r>
        <w:t xml:space="preserve">FIVE-SENTENCE PUBLIC RATIONALE (5SPR) (Tier 2-3 REQUIRED)</w:t>
      </w:r>
    </w:p>
    <w:p>
      <w:r>
        <w:pict>
          <v:rect style="width:0;height:1.5pt" o:hralign="center" o:hrstd="t" o:hr="t"/>
        </w:pict>
      </w:r>
    </w:p>
    <w:p>
      <w:pPr>
        <w:pStyle w:val="FirstParagraph"/>
      </w:pPr>
      <w:r>
        <w:t xml:space="preserve">1. CONTEXT: [What decision was made and why now?]</w:t>
      </w:r>
    </w:p>
    <w:p>
      <w:pPr>
        <w:pStyle w:val="BodyText"/>
      </w:pPr>
      <w:r>
        <w:t xml:space="preserve">2. OPTIONS: [What options were considered?]</w:t>
      </w:r>
    </w:p>
    <w:p>
      <w:pPr>
        <w:pStyle w:val="BodyText"/>
      </w:pPr>
      <w:r>
        <w:t xml:space="preserve">3. CONSTRAINTS: [What was eliminated by NCRC, TRC, and/or Containment (and why)?]</w:t>
      </w:r>
    </w:p>
    <w:p>
      <w:pPr>
        <w:pStyle w:val="BodyText"/>
      </w:pPr>
      <w:r>
        <w:t xml:space="preserve">4. SELECTION: [Why the chosen option won among selectable options?]</w:t>
      </w:r>
    </w:p>
    <w:p>
      <w:pPr>
        <w:pStyle w:val="BodyText"/>
      </w:pPr>
      <w:r>
        <w:t xml:space="preserve">5. MONITORING: [What follow-up will be tracked and when?]</w:t>
      </w:r>
    </w:p>
    <w:p>
      <w:pPr>
        <w:pStyle w:val="BodyText"/>
      </w:pPr>
      <w:r>
        <w:t xml:space="preserve">AUDIT FLAGS (REQUIRED when triggered)</w:t>
      </w:r>
    </w:p>
    <w:p>
      <w:r>
        <w:pict>
          <v:rect style="width:0;height:1.5pt" o:hralign="center" o:hrstd="t" o:hr="t"/>
        </w:pict>
      </w:r>
    </w:p>
    <w:p>
      <w:pPr>
        <w:pStyle w:val="FirstParagraph"/>
      </w:pPr>
      <w:r>
        <w:t xml:space="preserve">[List flags + explanations]</w:t>
      </w:r>
    </w:p>
    <w:p>
      <w:pPr>
        <w:pStyle w:val="BodyText"/>
      </w:pPr>
      <w:r>
        <w:t xml:space="preserve">SIGNATURES</w:t>
      </w:r>
    </w:p>
    <w:p>
      <w:r>
        <w:pict>
          <v:rect style="width:0;height:1.5pt" o:hralign="center" o:hrstd="t" o:hr="t"/>
        </w:pict>
      </w:r>
    </w:p>
    <w:p>
      <w:pPr>
        <w:pStyle w:val="FirstParagraph"/>
      </w:pPr>
      <w:r>
        <w:t xml:space="preserve">Analyst: [name, date]</w:t>
      </w:r>
    </w:p>
    <w:p>
      <w:pPr>
        <w:pStyle w:val="BodyText"/>
      </w:pPr>
      <w:r>
        <w:t xml:space="preserve">Decision Owner: [name, date]</w:t>
      </w:r>
    </w:p>
    <w:p>
      <w:pPr>
        <w:pStyle w:val="BodyText"/>
      </w:pPr>
      <w:r>
        <w:t xml:space="preserve">Reviewer (Tier 3): [name, date]</w:t>
      </w:r>
    </w:p>
    <w:p>
      <w:pPr>
        <w:pStyle w:val="BodyText"/>
      </w:pPr>
      <w:r>
        <w:t xml:space="preserve">===============================================================</w:t>
      </w:r>
    </w:p>
    <w:bookmarkEnd w:id="366"/>
    <w:bookmarkStart w:id="367" w:name="Xf822ac28af1860e739d0c916cb02a101dad6204"/>
    <w:p>
      <w:pPr>
        <w:pStyle w:val="Heading2"/>
      </w:pPr>
      <w:r>
        <w:t xml:space="preserve">H.1A PCC.ReferenceStructureRecord (Normative for Tier 3 public conformance claims; recommended for Tier 2 high-stakes runs)</w:t>
      </w:r>
    </w:p>
    <w:p>
      <w:pPr>
        <w:pStyle w:val="FirstParagraph"/>
      </w:pPr>
      <w:r>
        <w:t xml:space="preserve">The PCC SHOULD include a ReferenceStructureRecord for Tier 2 high-stakes runs and SHALL include one for Tier 3 public conformance or validation claims. This record does not alter historical NCRC, TRC, CSV, RLS, or UCI/HOI arithmetic. It records the reference structure used to support the claim being made.</w:t>
      </w:r>
    </w:p>
    <w:p>
      <w:pPr>
        <w:pStyle w:val="BodyText"/>
      </w:pPr>
      <w:r>
        <w:t xml:space="preserve">Minimum fields:</w:t>
      </w:r>
    </w:p>
    <w:p>
      <w:pPr>
        <w:pStyle w:val="BodyText"/>
      </w:pPr>
      <w:r>
        <w:t xml:space="preserve">record_id</w:t>
      </w:r>
    </w:p>
    <w:p>
      <w:pPr>
        <w:pStyle w:val="BodyText"/>
      </w:pPr>
      <w:r>
        <w:t xml:space="preserve">decision_id</w:t>
      </w:r>
    </w:p>
    <w:p>
      <w:pPr>
        <w:pStyle w:val="BodyText"/>
      </w:pPr>
      <w:r>
        <w:t xml:space="preserve">option_id_or_set</w:t>
      </w:r>
    </w:p>
    <w:p>
      <w:pPr>
        <w:pStyle w:val="BodyText"/>
      </w:pPr>
      <w:r>
        <w:t xml:space="preserve">claim_scope</w:t>
      </w:r>
    </w:p>
    <w:p>
      <w:pPr>
        <w:pStyle w:val="BodyText"/>
      </w:pPr>
      <w:r>
        <w:t xml:space="preserve">decision_boundary</w:t>
      </w:r>
    </w:p>
    <w:p>
      <w:pPr>
        <w:pStyle w:val="BodyText"/>
      </w:pPr>
      <w:r>
        <w:t xml:space="preserve">reference_object</w:t>
      </w:r>
    </w:p>
    <w:p>
      <w:pPr>
        <w:pStyle w:val="BodyText"/>
      </w:pPr>
      <w:r>
        <w:t xml:space="preserve">active_reference_layers</w:t>
      </w:r>
    </w:p>
    <w:p>
      <w:pPr>
        <w:pStyle w:val="BodyText"/>
      </w:pPr>
      <w:r>
        <w:t xml:space="preserve">invariant_constraints</w:t>
      </w:r>
    </w:p>
    <w:p>
      <w:pPr>
        <w:pStyle w:val="BodyText"/>
      </w:pPr>
      <w:r>
        <w:t xml:space="preserve">causal_pathway_summary</w:t>
      </w:r>
    </w:p>
    <w:p>
      <w:pPr>
        <w:pStyle w:val="BodyText"/>
      </w:pPr>
      <w:r>
        <w:t xml:space="preserve">falsification_conditions</w:t>
      </w:r>
    </w:p>
    <w:p>
      <w:pPr>
        <w:pStyle w:val="BodyText"/>
      </w:pPr>
      <w:r>
        <w:t xml:space="preserve">evidence_sources</w:t>
      </w:r>
    </w:p>
    <w:p>
      <w:pPr>
        <w:pStyle w:val="BodyText"/>
      </w:pPr>
      <w:r>
        <w:t xml:space="preserve">evidence_status_tokens</w:t>
      </w:r>
    </w:p>
    <w:p>
      <w:pPr>
        <w:pStyle w:val="BodyText"/>
      </w:pPr>
      <w:r>
        <w:t xml:space="preserve">measurement_maturity_status</w:t>
      </w:r>
    </w:p>
    <w:p>
      <w:pPr>
        <w:pStyle w:val="BodyText"/>
      </w:pPr>
      <w:r>
        <w:t xml:space="preserve">adaptation_boundary</w:t>
      </w:r>
    </w:p>
    <w:p>
      <w:pPr>
        <w:pStyle w:val="BodyText"/>
      </w:pPr>
      <w:r>
        <w:t xml:space="preserve">authority_boundary</w:t>
      </w:r>
    </w:p>
    <w:p>
      <w:pPr>
        <w:pStyle w:val="BodyText"/>
      </w:pPr>
      <w:r>
        <w:t xml:space="preserve">refusal_triggers</w:t>
      </w:r>
    </w:p>
    <w:p>
      <w:pPr>
        <w:pStyle w:val="BodyText"/>
      </w:pPr>
      <w:r>
        <w:t xml:space="preserve">excluded_references</w:t>
      </w:r>
    </w:p>
    <w:p>
      <w:pPr>
        <w:pStyle w:val="BodyText"/>
      </w:pPr>
      <w:r>
        <w:t xml:space="preserve">reviewer_disposition</w:t>
      </w:r>
    </w:p>
    <w:p>
      <w:pPr>
        <w:pStyle w:val="BodyText"/>
      </w:pPr>
      <w:r>
        <w:t xml:space="preserve">timestamp</w:t>
      </w:r>
    </w:p>
    <w:p>
      <w:pPr>
        <w:pStyle w:val="BodyText"/>
      </w:pPr>
      <w:r>
        <w:t xml:space="preserve">artifact_hashes</w:t>
      </w:r>
    </w:p>
    <w:p>
      <w:pPr>
        <w:pStyle w:val="BodyText"/>
      </w:pPr>
      <w:r>
        <w:t xml:space="preserve">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bookmarkEnd w:id="367"/>
    <w:bookmarkStart w:id="368" w:name="X5d65354d4f556ba7bbda1a5c8f65b0eebbcac92"/>
    <w:p>
      <w:pPr>
        <w:pStyle w:val="Heading2"/>
      </w:pPr>
      <w:r>
        <w:t xml:space="preserve">H.2 Minimum Required Fields by Tier (Canonical)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71"/>
        <w:gridCol w:w="2104"/>
        <w:gridCol w:w="2371"/>
        <w:gridCol w:w="2371"/>
      </w:tblGrid>
      <w:tr>
        <w:trPr>
          <w:tblHeader w:val="true"/>
          <w:cantSplit/>
        </w:trPr>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Field</w:t>
            </w:r>
          </w:p>
        </w:tc>
        <w:tc>
          <w:tcPr>
            <w:tcW w:w="21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1</w:t>
            </w:r>
          </w:p>
        </w:tc>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2</w:t>
            </w:r>
          </w:p>
        </w:tc>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Tier 3</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Decision ID</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Timestamp</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Recommended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Option set</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NCRC results</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Heuristic ok</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 + subgroup policy</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TRC results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 when catastrophe plausible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Recommended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RLS scores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Uncertainty + discrimination</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 (active cells)</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 (active cells)</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Sensitivity analysis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Recommended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5SPR</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w:t>
            </w:r>
          </w:p>
        </w:tc>
      </w:tr>
      <w:tr>
        <w:trPr>
          <w:cantSplit/>
        </w:trPr>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Audit flags</w:t>
            </w:r>
          </w:p>
        </w:tc>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 when triggered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REQUIRED when triggered</w:t>
            </w:r>
          </w:p>
        </w:tc>
      </w:tr>
      <w:tr>
        <w:trPr>
          <w:cantSplit/>
        </w:trPr>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Normative Input Register</w:t>
            </w:r>
          </w:p>
        </w:tc>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Optional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material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REQUIRED when material</w:t>
            </w:r>
          </w:p>
        </w:tc>
      </w:tr>
    </w:tbl>
    <w:bookmarkEnd w:id="368"/>
    <w:bookmarkStart w:id="369" w:name="h.3-audit-flag-canon-pack-canonical"/>
    <w:p>
      <w:pPr>
        <w:pStyle w:val="Heading2"/>
      </w:pPr>
      <w:r>
        <w:t xml:space="preserve">H.3 Audit Flag Canon Pack (Canonical)</w:t>
      </w:r>
    </w:p>
    <w:p>
      <w:pPr>
        <w:pStyle w:val="FirstParagraph"/>
      </w:pPr>
      <w:r>
        <w:t xml:space="preserve">Stewardship audit-flag tokens are defined canonically in Appendix N.7; Appendix H.3 does not redefine Stewardship tokens and only provides pointers.</w:t>
      </w:r>
    </w:p>
    <w:bookmarkEnd w:id="369"/>
    <w:bookmarkStart w:id="370" w:name="Xf80c26d7e3274008408564c6609e576f15dbf08"/>
    <w:p>
      <w:pPr>
        <w:pStyle w:val="Heading2"/>
      </w:pPr>
      <w:r>
        <w:t xml:space="preserve">H.3A Reality Grounding and Structural Diagnostic Placement Flags (v11.4)</w:t>
      </w:r>
    </w:p>
    <w:p>
      <w:pPr>
        <w:pStyle w:val="FirstParagraph"/>
      </w:pPr>
      <w:r>
        <w:t xml:space="preserve">INSUFFICIENT_GROUNDING. Severity: ESCALATE/REFUSE. Meaning: the declared reality surface is insufficient for a material rights, tail-risk, containment, authority, conformance, or selection claim. Required response: narrow the claim, collect evidence, rerun, mark exploratory/sensitivity-only, escalate, or refuse the stronger claim.</w:t>
      </w:r>
    </w:p>
    <w:p>
      <w:pPr>
        <w:pStyle w:val="BodyText"/>
      </w:pPr>
      <w:r>
        <w:t xml:space="preserve">CONTAINMENT_STRUCTURAL_DIAGNOSTIC_UNAVAILABLE. Severity: ESCALATE. Meaning: structural diagnostic evidence required for Containment, including UCI/HOI or declared equivalent, was unavailable or unresolved. Required response: downgrade claim strength, collect evidence, rerun, escalate, refuse the stronger claim, or record permitted waiver where allowed. Tier 3 containment conformance is unavailable until resolved.</w:t>
      </w:r>
    </w:p>
    <w:p>
      <w:pPr>
        <w:pStyle w:val="BodyText"/>
      </w:pPr>
      <w:r>
        <w:t xml:space="preserve">STRUCTURAL_DIAGNOSTIC_MISPLACED_TO_TIEBREAK. Severity: INVALID for Tier 3; ESCALATE otherwise. Meaning: a structural diagnostic that was gate-relevant to Containment was treated only as residual tie-break evidence after RLS. Required response: rerun Containment with the diagnostic included or refuse the stronger claim.</w:t>
      </w:r>
    </w:p>
    <w:p>
      <w:pPr>
        <w:pStyle w:val="BodyText"/>
      </w:pPr>
      <w:r>
        <w:t xml:space="preserve">RESIDUAL_UCI_HOI_USED. Severity: INFO/REVIEW. Meaning: UCI/HOI were used only as residual tie-break, monitoring, or hollowing-risk documentation among options already in the selectable set. Required response: document RLS non-decisiveness or monitoring reason, containment-pass status, indicator basis, and reviewer disposition.</w:t>
      </w:r>
    </w:p>
    <w:p>
      <w:pPr>
        <w:pStyle w:val="BodyText"/>
      </w:pPr>
      <w:r>
        <w:t xml:space="preserve">PLSS_STRUCTURAL_DIAGNOSTIC_OMISSION. Severity: ESCALATE. Meaning: a PLSS run omitted, down-weighted, or deferred structural diagnostic evidence that was plausibly containment-relevant. Required response: rerun with broader scrutiny, document non-relevance, or escalate.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Flag</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Trigger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Required Action</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Severity</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RIGHTS_CELL_MASKED_INVALID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Any rights-covered cell is masked, excluded, null’d, pooled, or otherwise not individually included in RLS aggregation (including any case where m(u,d)=0 for a cell in any C_r).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recompute without masking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RIGHTS_CELL_OMITTED_INVALID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Any rights-covered cell required to evaluate NCRC is omitted/excluded/not disclosed such that NCRC cannot be recomputed.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invalid; include and disclose all required rights-covered cells and recompute NCRC.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CATASTROPHE_CELL_MASKED_INVALID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Any catastrophe cell in C_cat is masked (m(u,d)=0) or otherwise excluded from RLS aggregation (including any case where m(u,d)=0 for a cell in C_cat).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set m(u,d)=1 for all catastrophe cells and recompute RLS.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CATASTROPHE_CELL_OMITTED_INVALID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Any catastrophe cell in C_cat used in TRC loss computation/disclosure is omitted/excluded/not disclosed such that TRC CVaR cannot be independently recomputed.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invalid; include and disclose all catastrophe cells used in TRC loss computation (and any required scenario-to-cell mapping), then recompute TRC.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CONTAINMENT_MODE_B_USED_FOR_SELECTION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Mode B (diagnostic-only containment) influenced selection outcome; see Section 9.5</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 invalid; rerun with Mode A only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SCENARIO_LIBRARY_MIN_EXCEPTION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Scenario library size |S| is below the tier minimum when TRC is required (Tier 2: |S| &lt; 5; Tier 3: |S| &lt; 20)</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remains valid only with: (i) written justification, (ii) independent reviewer sign-off (Tier 3 required; Tier 2 recommended), and (iii) a remediation plan to reach minimum scenario count before the next comparable run. Record this flag in PCC.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MANDATORY_TAIL_CATEGORY_MISSING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Missing mandatory tail category without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Add scenarios or justify per Section 8.3.2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MANDATORY_TAIL_CATEGORY_MISSING_WITH_JUSTIFICATION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Missing mandatory tail category with proper justification per Section 8.3.2</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Record justification; monitor for category emergence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MANDATORY_TAIL_PROB_FLOOR_VIOLATION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 probability sum &lt; p_floor (0.02)</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Revise probabilities or add scenarios to category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SUBGROUP_LIMITATION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Cannot disaggregate subgroups for rights-covered cell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Apply γ_subgroup conservative bound (Section 7.3.2); escalate if high stakes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CHALLENGE_DEFERRED_EMERGENCY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Emergency Mode invoked without independent challenger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Retrospective challenge MUST occur within 24 hours or next business day, whichever is sooner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EMERGENCY_MODE_INVOKED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A_NCRC = ∅ (no rights-admissible options exist)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Remediation plan required; high scrutiny review</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TRC_FALLBACK_INVOKED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A_adm = ∅ after TRC (A_NCRC is non-empty but all rights-admissible options fail TRC)</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Higher-tier approval required; mitigation plan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DECISION_FRAGILE_KERNEL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Selected option changes under kernel perturbation test (Section 6.6)</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Escalation required; consider NONE mode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KERNEL_HUMILITY_FALLBACK</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Kernel disabled due to KQS &lt; 0.40 or stability violation (Section 6.4, 6.5)</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Note limitation in PCC; plan kernel improvement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JUDGMENT_CALL_UCI_UNAVAILABLE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UCI unavailable in non-decisive RLS tie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Document why UCI unavailable, when UCI measurement returns, and interim decision basis; monitoring plan required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JUDGMENT_CALL_TIEBREAK_NONDECISIVE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Tie-break chain did not resolve 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Explicit manual judgment record required; independent reviewer recommended (Tier 3)</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SCI_BELOW_MINIMUM</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SCI &lt; tier minimum for the claimed tier, OR (SCI = tier minimum AND PCC missing required Next‑Run Upgrade action).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MUST record PCC.SCI.BelowMinimumDisposition = DOWNGRADE_TIER or RERUN_TO_MEET_MINIMUM. If SCI equals tier minimum and NextRunUpgradeAction is missing, treat as SCI_BELOW_MINIMUM. No tier compliance above achieved SCI may be claimed.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CONFIG_DRIFT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Parameters differ from prior run without governance update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Governance review required before proceeding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CONTAINMENT_UCI_UNAVAILABLE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Containment evaluation required ΔUCI for containing union(s) but ΔUCI unavailable; or unknown ΔUCI treated as pass.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PLSS_ESCALATION_TRIGGER_UNRESOLVED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One or more Section 10.2A.7 escalation triggers is plausibly active, but the run proceeds in PLSS posture without an escalated posture or documented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Record a broader posture OR a specific non-escalation justification with evidence basis and reviewer sign-off where required by tier. If no such disposition is recorded, reject the run as non-conformant.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REGISTRY_MISMATCH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 snapshot differs from referenced registry hash</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Audit required; resolve discrepancy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PLSS_PROMINENCE_SENSITIVE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Valid alternative PLSS prominence constructions materially change the ranking order of selectable options or the selected option.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Record the sensitivity, require reviewer attention, and do not present the PLSS outcome as uniquely robust without further justification.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DECISIVENESS_METHOD_POSTHOC</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Record the post hoc declaration, add the required reason code and sensitivity note, and require reviewer attention. If the missing disposition cannot be supplied, the run MUST NOT be presented as uniquely robust.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EK_NONDEFAULT_TIER2_INVALID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Tier 2 run logs one or more instances with e_k ≠ 1.00 without a named governed instrument that explicitly permits a non-default value.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Tier 2 runs MUST use e_k = 1.00 by default. Reset e_k to 1.00, or rerun under a governed Tier 3 posture with declared provenance and sensitivity evidence before claiming conformance.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UNCERTAINTY_PROVENANCE_MISSING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Tier 2+ run requires uncertainty disclosure, provenance, or method declaration, but the PCC is missing the required uncertainty fields or basis record.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Populate the required PCC uncertainty fields and provenance basis before claiming conformance. If the basis cannot be supplied, downgrade or reject the run as non-conformant.</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SCOPE_COVERAGE_REDUCED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Reduced-scope mode is used (declared or implied by fewer than 7 active scopes) in a Tier 2+ run, OR the admissibility full-computation attestation for non-maskable cells is missing/incomplete.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Reviewer MUST verify that NCRC/TRC/CSV were computed on all required non-maskable cells, and that omitted-scope blind spots plus escalation triggers are recorded. If reduced-scope is used repeatedly, require a next-run scope expansion plan.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REVIEW</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UNCERTAINTY_DECISIVENESS_SENSITIVE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uncertainty stress tests change whether the lead is decisive.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 or relabel the run non-decisive; apply tie-break or governance review before claiming a decisive welfare lead.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RIGHTS_CELL_UNKNOWN_GATE_CRITICAL</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rights-covered cell in C_r is declared UNKNOWN_IMPACT and admissibility is not preserved by a governed conservative bound or equivalent governed disposition.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 not resolve NCRC by phantom fallback alone. Apply a governed conservative bound sufficient to preserve the rights gate, or rerun / downgrade / escalate under a declared disposition.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CATASTROPHE_CELL_UNKNOWN_GATE_CRITICAL</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catastrophe-covered cell in C_cat is declared UNKNOWN_IMPACT and TRC is not preserved by a governed conservative scenario/cell bound or equivalent governed disposition.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Do not resolve TRC by phantom fallback alone. Apply a governed conservative catastrophe bound, or rerun / downgrade / escalate under a declared disposition.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NORMATIVE_INPUT_PROVENANCE_MISSING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Populate PCC.NormativeInputRegister with complete provenance and rerun the affected gate or ranking. No conformance claim may be made until corrected.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INVALID</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CLAIM_EXCEEDS_CLOSURE_BOUNDARY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run makes a public, conformance, deployment-readiness, execution-bound, or validation claim beyond the declared PCC.ComputationalClosure boundary.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Narrow the claim to the declared closure boundary, expand the computation and rerun, or enter Refusal/escalation. The unsupported claim is invalid until corrected.</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 for the affected claim.</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CATEGORY_COLLAPSE_FLAG</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PCC.CategoryCollapseSelfTest returns FAIL on any category-collapse item, including treating compliance as correctness, traceability as admissibility, moral status as governance authority, or SGP welfare scalars as admissibility modifiers.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Identify the collapsed layer, correct the run, or enter Refusal if the collapse affects admissibility, selectability, or selection.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 INVALID if the collapse affects admissibility, selectability, selection, or conformance.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PCC_MATURITY_SURFACE_INCOMPLETE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 Tier 2-3 claim-bearing run lacks an applicable required measurement-maturity field under Section 14.3B / Appendix V, including UCI, Kernel, HDW, PLSS, Deployment Context, or Biological Evaluation Maturity fields.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Populate the missing maturity field(s), downgrade/narrow the claim, or reject the run as non-conformant for the affected claim.</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ESCALATE; INVALID for any empirical-readiness, operational-completeness, validated-UCI, validated-kernel, biological-measurement-completeness, or Tier-4/ProofPack-adjacent claim.</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COMPUTABLE_BUT_INADMISSIBLE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 value, formula, model output, scalar, ranking, or workflow result computes successfully, but declared domain rules bar its use as a decision state, conformance basis, public claim, or authorization basis.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Record PCC.CBI.ComputedObject, PCC.CBI.InadmissibilityReason, PCC.CBI.Layer, PCC.CBI.AllowedUse, PCC.CBI.ProhibitedUse, and PCC.CBI.ReviewStatus. Mirror ripple.md W.3 where wrapper assurance applies. Disclose and escalate when gate-relevant.</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DISCLOSE; ESCALATE if gate-relevant; INVALID for any selection, deployment, conformance, or maturity claim relying on the barred computed value.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REALITY_GROUNDING_RECORD_MISSING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Required PCC.RealityGroundingRecord is absent for a claim-bearing Tier 2 or Tier 3 run, or for any run whose material reality claims affect NCRC, TRC, CSV, deterministic selection, authority-selection disclosure, or conformance claims.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Add the RCR, narrow the claim, escalate, or refuse the stronger decision state. The affected claim cannot be treated as supported until the RCR exists.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INVALID for affected claim</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REALITY_GROUNDING_STATUS_UNSUPPORTED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Declared RealityGroundingStatus exceeds what the EvidenceTrace, reviewer status, or declared reality surface substantiates.</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Downgrade the status, add evidence and reviewer trace, or refuse the stronger claim. If used for a gate, deterministic selection, authority selection, or conformance claim, the claim is invalid until corrected.</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ESCALATE; INVALID if used for gate, selection, authority, or conformance</w:t>
            </w:r>
          </w:p>
        </w:tc>
      </w:tr>
    </w:tbl>
    <w:p>
      <w:pPr>
        <w:pStyle w:val="BodyText"/>
      </w:pPr>
      <w:r>
        <w:t xml:space="preserve">End Appendix H.</w:t>
      </w:r>
    </w:p>
    <w:bookmarkEnd w:id="370"/>
    <w:bookmarkEnd w:id="371"/>
    <w:bookmarkStart w:id="376" w:name="X0e285b843fae17816737c1fc1eb30023fc9f88a"/>
    <w:p>
      <w:pPr>
        <w:pStyle w:val="Heading1"/>
      </w:pPr>
      <w:r>
        <w:t xml:space="preserve">APPENDIX I: TIER-4 DESIGN TARGET (NOT CLAIMABLE IN v11.4)</w:t>
      </w:r>
    </w:p>
    <w:bookmarkStart w:id="372" w:name="i.1-status-declaration"/>
    <w:p>
      <w:pPr>
        <w:pStyle w:val="Heading2"/>
      </w:pPr>
      <w:r>
        <w:t xml:space="preserve">I.1 Status Declaration</w:t>
      </w:r>
    </w:p>
    <w:p>
      <w:pPr>
        <w:pStyle w:val="FirstParagraph"/>
      </w:pPr>
      <w:r>
        <w:t xml:space="preserve">Tier-4 Design Target (Not Claimable in Any Current Release Line, Including v11.4)</w:t>
      </w:r>
    </w:p>
    <w:p>
      <w:pPr>
        <w:pStyle w:val="BodyText"/>
      </w:pPr>
      <w:r>
        <w:t xml:space="preserve">Tier 4 is specified as a target profile requiring artifacts and capabilities that are not yet publicly available. Tier-4 compliance MUST NOT be claimed until ProofPack is publicly released and independently replayable.</w:t>
      </w:r>
    </w:p>
    <w:p>
      <w:pPr>
        <w:pStyle w:val="BodyText"/>
      </w:pPr>
      <w:r>
        <w:t xml:space="preserve">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bookmarkEnd w:id="372"/>
    <w:bookmarkStart w:id="373" w:name="Xf22b368ff666f7c84904098bba87dd2a7ade27d"/>
    <w:p>
      <w:pPr>
        <w:pStyle w:val="Heading2"/>
      </w:pPr>
      <w:r>
        <w:t xml:space="preserve">I.2 Tier 4 Requirements (Target Specification)</w:t>
      </w:r>
    </w:p>
    <w:p>
      <w:pPr>
        <w:pStyle w:val="FirstParagraph"/>
      </w:pPr>
      <w:r>
        <w:t xml:space="preserve">Hash-Bound Registries:</w:t>
      </w:r>
    </w:p>
    <w:p>
      <w:pPr>
        <w:pStyle w:val="Compact"/>
        <w:numPr>
          <w:ilvl w:val="0"/>
          <w:numId w:val="1343"/>
        </w:numPr>
      </w:pPr>
      <w:r>
        <w:t xml:space="preserve">Rights anchors registry (REG-RIGHTS-ANCHORS-v1)</w:t>
      </w:r>
    </w:p>
    <w:p>
      <w:pPr>
        <w:pStyle w:val="Compact"/>
        <w:numPr>
          <w:ilvl w:val="0"/>
          <w:numId w:val="1344"/>
        </w:numPr>
      </w:pPr>
      <w:r>
        <w:t xml:space="preserve">Catastrophe indicators registry (AF-BASE)</w:t>
      </w:r>
    </w:p>
    <w:p>
      <w:pPr>
        <w:pStyle w:val="Compact"/>
        <w:numPr>
          <w:ilvl w:val="0"/>
          <w:numId w:val="1345"/>
        </w:numPr>
      </w:pPr>
      <w:r>
        <w:t xml:space="preserve">Scenario library registry</w:t>
      </w:r>
    </w:p>
    <w:p>
      <w:pPr>
        <w:pStyle w:val="Compact"/>
        <w:numPr>
          <w:ilvl w:val="0"/>
          <w:numId w:val="1346"/>
        </w:numPr>
      </w:pPr>
      <w:r>
        <w:t xml:space="preserve">Kernel registry with evidence classes</w:t>
      </w:r>
    </w:p>
    <w:p>
      <w:pPr>
        <w:pStyle w:val="Compact"/>
        <w:numPr>
          <w:ilvl w:val="0"/>
          <w:numId w:val="1347"/>
        </w:numPr>
      </w:pPr>
      <w:r>
        <w:t xml:space="preserve">HDW ballots and weights registry</w:t>
      </w:r>
    </w:p>
    <w:p>
      <w:pPr>
        <w:pStyle w:val="FirstParagraph"/>
      </w:pPr>
      <w:r>
        <w:t xml:space="preserve">Deterministic Numeric Profile (NDP_FIXEDPOINT_V1):</w:t>
      </w:r>
    </w:p>
    <w:p>
      <w:pPr>
        <w:pStyle w:val="Compact"/>
        <w:numPr>
          <w:ilvl w:val="0"/>
          <w:numId w:val="1348"/>
        </w:numPr>
      </w:pPr>
      <w:r>
        <w:t xml:space="preserve">Fixed-point scale: S = 10⁹</w:t>
      </w:r>
    </w:p>
    <w:p>
      <w:pPr>
        <w:pStyle w:val="Compact"/>
        <w:numPr>
          <w:ilvl w:val="0"/>
          <w:numId w:val="1349"/>
        </w:numPr>
      </w:pPr>
      <w:r>
        <w:t xml:space="preserve">Representation: X_fp = round_half_even(x × S) as signed int64</w:t>
      </w:r>
    </w:p>
    <w:p>
      <w:pPr>
        <w:pStyle w:val="Compact"/>
        <w:numPr>
          <w:ilvl w:val="0"/>
          <w:numId w:val="1350"/>
        </w:numPr>
      </w:pPr>
      <w:r>
        <w:t xml:space="preserve">All divisions use round-half-even</w:t>
      </w:r>
    </w:p>
    <w:p>
      <w:pPr>
        <w:pStyle w:val="Compact"/>
        <w:numPr>
          <w:ilvl w:val="0"/>
          <w:numId w:val="1351"/>
        </w:numPr>
      </w:pPr>
      <w:r>
        <w:t xml:space="preserve">Hard-fail on overflow with audit_flag NUMERIC_OVERFLOW</w:t>
      </w:r>
    </w:p>
    <w:p>
      <w:pPr>
        <w:pStyle w:val="FirstParagraph"/>
      </w:pPr>
      <w:r>
        <w:t xml:space="preserve">Saturation Lookup Table (SAT_LUT_FP_V1):</w:t>
      </w:r>
    </w:p>
    <w:p>
      <w:pPr>
        <w:pStyle w:val="Compact"/>
        <w:numPr>
          <w:ilvl w:val="0"/>
          <w:numId w:val="1352"/>
        </w:numPr>
      </w:pPr>
      <w:r>
        <w:t xml:space="preserve">Pre-computed tanh values for fixed-point inputs</w:t>
      </w:r>
    </w:p>
    <w:p>
      <w:pPr>
        <w:pStyle w:val="Compact"/>
        <w:numPr>
          <w:ilvl w:val="0"/>
          <w:numId w:val="1353"/>
        </w:numPr>
      </w:pPr>
      <w:r>
        <w:t xml:space="preserve">Hash-bound in ProofPack</w:t>
      </w:r>
    </w:p>
    <w:p>
      <w:pPr>
        <w:pStyle w:val="Compact"/>
        <w:numPr>
          <w:ilvl w:val="0"/>
          <w:numId w:val="1354"/>
        </w:numPr>
      </w:pPr>
      <w:r>
        <w:t xml:space="preserve">Runtime computation of tanh PROHIBITED</w:t>
      </w:r>
    </w:p>
    <w:p>
      <w:pPr>
        <w:pStyle w:val="FirstParagraph"/>
      </w:pPr>
      <w:r>
        <w:t xml:space="preserve">Temporal Weight Registry (REG_TEMPORAL_WEIGHTS_V1):</w:t>
      </w:r>
    </w:p>
    <w:p>
      <w:pPr>
        <w:pStyle w:val="Compact"/>
        <w:numPr>
          <w:ilvl w:val="0"/>
          <w:numId w:val="1355"/>
        </w:numPr>
      </w:pPr>
      <w:r>
        <w:t xml:space="preserve">Pre-computed τ(t) values for standard horizons</w:t>
      </w:r>
    </w:p>
    <w:p>
      <w:pPr>
        <w:pStyle w:val="Compact"/>
        <w:numPr>
          <w:ilvl w:val="0"/>
          <w:numId w:val="1356"/>
        </w:numPr>
      </w:pPr>
      <w:r>
        <w:t xml:space="preserve">Hash-bound in ProofPack</w:t>
      </w:r>
    </w:p>
    <w:p>
      <w:pPr>
        <w:pStyle w:val="Compact"/>
        <w:numPr>
          <w:ilvl w:val="0"/>
          <w:numId w:val="1357"/>
        </w:numPr>
      </w:pPr>
      <w:r>
        <w:t xml:space="preserve">Runtime computation of logarithms PROHIBITED</w:t>
      </w:r>
    </w:p>
    <w:p>
      <w:pPr>
        <w:pStyle w:val="FirstParagraph"/>
      </w:pPr>
      <w:r>
        <w:t xml:space="preserve">Canonical JSON Profile:</w:t>
      </w:r>
    </w:p>
    <w:p>
      <w:pPr>
        <w:pStyle w:val="Compact"/>
        <w:numPr>
          <w:ilvl w:val="0"/>
          <w:numId w:val="1358"/>
        </w:numPr>
      </w:pPr>
      <w:r>
        <w:t xml:space="preserve">NO_FLOATS rule: All numeric values as exact rationals {num, den}</w:t>
      </w:r>
    </w:p>
    <w:p>
      <w:pPr>
        <w:pStyle w:val="Compact"/>
        <w:numPr>
          <w:ilvl w:val="0"/>
          <w:numId w:val="1359"/>
        </w:numPr>
      </w:pPr>
      <w:r>
        <w:t xml:space="preserve">Deterministic key ordering</w:t>
      </w:r>
    </w:p>
    <w:p>
      <w:pPr>
        <w:pStyle w:val="Compact"/>
        <w:numPr>
          <w:ilvl w:val="0"/>
          <w:numId w:val="1360"/>
        </w:numPr>
      </w:pPr>
      <w:r>
        <w:t xml:space="preserve">Canonical whitespace rules</w:t>
      </w:r>
    </w:p>
    <w:p>
      <w:pPr>
        <w:pStyle w:val="Compact"/>
        <w:numPr>
          <w:ilvl w:val="0"/>
          <w:numId w:val="1361"/>
        </w:numPr>
      </w:pPr>
      <w:r>
        <w:t xml:space="preserve">SHA-256 hashing for integrity</w:t>
      </w:r>
    </w:p>
    <w:p>
      <w:pPr>
        <w:pStyle w:val="FirstParagraph"/>
      </w:pPr>
      <w:r>
        <w:t xml:space="preserve">Propagation Mode Restriction:</w:t>
      </w:r>
    </w:p>
    <w:p>
      <w:pPr>
        <w:pStyle w:val="Compact"/>
        <w:numPr>
          <w:ilvl w:val="0"/>
          <w:numId w:val="1362"/>
        </w:numPr>
      </w:pPr>
      <w:r>
        <w:t xml:space="preserve">FULL propagation PROHIBITED for Tier 4 Pilot-Executable</w:t>
      </w:r>
    </w:p>
    <w:p>
      <w:pPr>
        <w:pStyle w:val="Compact"/>
        <w:numPr>
          <w:ilvl w:val="0"/>
          <w:numId w:val="1363"/>
        </w:numPr>
      </w:pPr>
      <w:r>
        <w:t xml:space="preserve">NONE or QUICK only</w:t>
      </w:r>
    </w:p>
    <w:p>
      <w:pPr>
        <w:pStyle w:val="Compact"/>
        <w:numPr>
          <w:ilvl w:val="0"/>
          <w:numId w:val="1364"/>
        </w:numPr>
      </w:pPr>
      <w:r>
        <w:t xml:space="preserve">FULL available only in future Tier 4 Certified profile</w:t>
      </w:r>
    </w:p>
    <w:bookmarkEnd w:id="373"/>
    <w:bookmarkStart w:id="374" w:name="i.3-proofpack-contents-target"/>
    <w:p>
      <w:pPr>
        <w:pStyle w:val="Heading2"/>
      </w:pPr>
      <w:r>
        <w:t xml:space="preserve">I.3 ProofPack Contents (Target)</w:t>
      </w:r>
    </w:p>
    <w:p>
      <w:pPr>
        <w:pStyle w:val="FirstParagraph"/>
      </w:pPr>
      <w:r>
        <w:t xml:space="preserve">The ProofPack artifact bundle will provide:</w:t>
      </w:r>
    </w:p>
    <w:p>
      <w:pPr>
        <w:pStyle w:val="Compact"/>
        <w:numPr>
          <w:ilvl w:val="0"/>
          <w:numId w:val="1365"/>
        </w:numPr>
      </w:pPr>
      <w:r>
        <w:t xml:space="preserve">Schemas: JSON schemas for PCC and all registries</w:t>
      </w:r>
    </w:p>
    <w:p>
      <w:pPr>
        <w:pStyle w:val="Compact"/>
        <w:numPr>
          <w:ilvl w:val="0"/>
          <w:numId w:val="1366"/>
        </w:numPr>
      </w:pPr>
      <w:r>
        <w:t xml:space="preserve">Manifests: Hash indices for all artifacts</w:t>
      </w:r>
    </w:p>
    <w:p>
      <w:pPr>
        <w:pStyle w:val="Compact"/>
        <w:numPr>
          <w:ilvl w:val="0"/>
          <w:numId w:val="1367"/>
        </w:numPr>
      </w:pPr>
      <w:r>
        <w:t xml:space="preserve">Canonicalization Rules: Exact specification for deterministic hashing</w:t>
      </w:r>
    </w:p>
    <w:p>
      <w:pPr>
        <w:pStyle w:val="Compact"/>
        <w:numPr>
          <w:ilvl w:val="0"/>
          <w:numId w:val="1368"/>
        </w:numPr>
      </w:pPr>
      <w:r>
        <w:t xml:space="preserve">Registries: Machine-readable canonical registries</w:t>
      </w:r>
    </w:p>
    <w:p>
      <w:pPr>
        <w:pStyle w:val="Compact"/>
        <w:numPr>
          <w:ilvl w:val="0"/>
          <w:numId w:val="1369"/>
        </w:numPr>
      </w:pPr>
      <w:r>
        <w:t xml:space="preserve">Test Vectors: Reference inputs and expected outputs for validation</w:t>
      </w:r>
    </w:p>
    <w:bookmarkEnd w:id="374"/>
    <w:bookmarkStart w:id="375" w:name="i.4-replay-test-requirement"/>
    <w:p>
      <w:pPr>
        <w:pStyle w:val="Heading2"/>
      </w:pPr>
      <w:r>
        <w:t xml:space="preserve">I.4 Replay Test Requirement</w:t>
      </w:r>
    </w:p>
    <w:p>
      <w:pPr>
        <w:pStyle w:val="FirstParagraph"/>
      </w:pPr>
      <w:r>
        <w:t xml:space="preserve">A Tier 4 PCC MUST pass a replay test: independent re-execution using PCC inputs and referenced registries reproduces:</w:t>
      </w:r>
    </w:p>
    <w:p>
      <w:pPr>
        <w:pStyle w:val="Compact"/>
        <w:numPr>
          <w:ilvl w:val="0"/>
          <w:numId w:val="1370"/>
        </w:numPr>
      </w:pPr>
      <w:r>
        <w:t xml:space="preserve">Identical admissibility outcomes (NCRC, TRC, CSV)</w:t>
      </w:r>
    </w:p>
    <w:p>
      <w:pPr>
        <w:pStyle w:val="Compact"/>
        <w:numPr>
          <w:ilvl w:val="0"/>
          <w:numId w:val="1371"/>
        </w:numPr>
      </w:pPr>
      <w:r>
        <w:t xml:space="preserve">Identical RLS ranking</w:t>
      </w:r>
    </w:p>
    <w:p>
      <w:pPr>
        <w:pStyle w:val="Compact"/>
        <w:numPr>
          <w:ilvl w:val="0"/>
          <w:numId w:val="1372"/>
        </w:numPr>
      </w:pPr>
      <w:r>
        <w:t xml:space="preserve">Identical selected option</w:t>
      </w:r>
    </w:p>
    <w:p>
      <w:pPr>
        <w:pStyle w:val="FirstParagraph"/>
      </w:pPr>
      <w:r>
        <w:t xml:space="preserve">Failed replay invalidates the Tier 4 claim.</w:t>
      </w:r>
    </w:p>
    <w:p>
      <w:pPr>
        <w:pStyle w:val="BodyText"/>
      </w:pPr>
      <w:r>
        <w:t xml:space="preserve">End Appendix I.</w:t>
      </w:r>
    </w:p>
    <w:bookmarkEnd w:id="375"/>
    <w:bookmarkEnd w:id="376"/>
    <w:bookmarkStart w:id="382" w:name="appendix-j-validation-protocol-pack"/>
    <w:p>
      <w:pPr>
        <w:pStyle w:val="Heading1"/>
      </w:pPr>
      <w:r>
        <w:t xml:space="preserve">APPENDIX J: VALIDATION PROTOCOL PACK</w:t>
      </w:r>
    </w:p>
    <w:p>
      <w:pPr>
        <w:pStyle w:val="FirstParagraph"/>
      </w:pPr>
      <w:r>
        <w:t xml:space="preserve">Appendix J is normative for pre-registration templates and scoring definitions when validation claims are made.</w:t>
      </w:r>
    </w:p>
    <w:bookmarkStart w:id="377" w:name="j.1-pre-registration-template-normative"/>
    <w:p>
      <w:pPr>
        <w:pStyle w:val="Heading2"/>
      </w:pPr>
      <w:r>
        <w:t xml:space="preserve">J.1 Pre-Registration Template (Normative)</w:t>
      </w:r>
    </w:p>
    <w:p>
      <w:pPr>
        <w:pStyle w:val="FirstParagraph"/>
      </w:pPr>
      <w:r>
        <w:t xml:space="preserve">===============================================================</w:t>
      </w:r>
    </w:p>
    <w:p>
      <w:pPr>
        <w:pStyle w:val="BodyText"/>
      </w:pPr>
      <w:r>
        <w:t xml:space="preserve">RIPPLELOGIC VALIDATION STUDY PRE-REGISTRATION</w:t>
      </w:r>
    </w:p>
    <w:p>
      <w:pPr>
        <w:pStyle w:val="BodyText"/>
      </w:pPr>
      <w:r>
        <w:t xml:space="preserve">===============================================================</w:t>
      </w:r>
    </w:p>
    <w:p>
      <w:pPr>
        <w:pStyle w:val="BodyText"/>
      </w:pPr>
      <w:r>
        <w:t xml:space="preserve">STUDY IDENTIFICATION</w:t>
      </w:r>
    </w:p>
    <w:p>
      <w:r>
        <w:pict>
          <v:rect style="width:0;height:1.5pt" o:hralign="center" o:hrstd="t" o:hr="t"/>
        </w:pict>
      </w:r>
    </w:p>
    <w:p>
      <w:pPr>
        <w:pStyle w:val="FirstParagraph"/>
      </w:pPr>
      <w:r>
        <w:t xml:space="preserve">Study ID: [unique]</w:t>
      </w:r>
    </w:p>
    <w:p>
      <w:pPr>
        <w:pStyle w:val="BodyText"/>
      </w:pPr>
      <w:r>
        <w:t xml:space="preserve">Registration date: [YYYY-MM-DD]</w:t>
      </w:r>
    </w:p>
    <w:p>
      <w:pPr>
        <w:pStyle w:val="BodyText"/>
      </w:pPr>
      <w:r>
        <w:t xml:space="preserve">Principal investigator: [name, affiliation]</w:t>
      </w:r>
    </w:p>
    <w:p>
      <w:pPr>
        <w:pStyle w:val="BodyText"/>
      </w:pPr>
      <w:r>
        <w:t xml:space="preserve">Funding source: [if any]</w:t>
      </w:r>
    </w:p>
    <w:p>
      <w:pPr>
        <w:pStyle w:val="BodyText"/>
      </w:pPr>
      <w:r>
        <w:t xml:space="preserve">RippleLogic version: [v11.4]</w:t>
      </w:r>
    </w:p>
    <w:p>
      <w:pPr>
        <w:pStyle w:val="BodyText"/>
      </w:pPr>
      <w:r>
        <w:t xml:space="preserve">Tier executed: [1|2|3]</w:t>
      </w:r>
    </w:p>
    <w:p>
      <w:pPr>
        <w:pStyle w:val="BodyText"/>
      </w:pPr>
      <w:r>
        <w:t xml:space="preserve">Domain: [AI deployment | policy | org strategy | etc.]</w:t>
      </w:r>
    </w:p>
    <w:p>
      <w:pPr>
        <w:pStyle w:val="BodyText"/>
      </w:pPr>
      <w:r>
        <w:t xml:space="preserve">HYPOTHESES</w:t>
      </w:r>
    </w:p>
    <w:p>
      <w:r>
        <w:pict>
          <v:rect style="width:0;height:1.5pt" o:hralign="center" o:hrstd="t" o:hr="t"/>
        </w:pict>
      </w:r>
    </w:p>
    <w:p>
      <w:pPr>
        <w:pStyle w:val="FirstParagraph"/>
      </w:pPr>
      <w:r>
        <w:t xml:space="preserve">Primary hypothesis: [H1/H2/etc. with exact measurable claim]</w:t>
      </w:r>
    </w:p>
    <w:p>
      <w:pPr>
        <w:pStyle w:val="BodyText"/>
      </w:pPr>
      <w:r>
        <w:t xml:space="preserve">Secondary hypotheses: [list]</w:t>
      </w:r>
    </w:p>
    <w:p>
      <w:pPr>
        <w:pStyle w:val="BodyText"/>
      </w:pPr>
      <w:r>
        <w:t xml:space="preserve">Falsification criteria: [explicit thresholds from Section 17]</w:t>
      </w:r>
    </w:p>
    <w:p>
      <w:pPr>
        <w:pStyle w:val="BodyText"/>
      </w:pPr>
      <w:r>
        <w:t xml:space="preserve">METHODS</w:t>
      </w:r>
    </w:p>
    <w:p>
      <w:r>
        <w:pict>
          <v:rect style="width:0;height:1.5pt" o:hralign="center" o:hrstd="t" o:hr="t"/>
        </w:pict>
      </w:r>
    </w:p>
    <w:p>
      <w:pPr>
        <w:pStyle w:val="FirstParagraph"/>
      </w:pPr>
      <w:r>
        <w:t xml:space="preserve">Design: [pilot / RCT / quasi-experimental / backtest]</w:t>
      </w:r>
    </w:p>
    <w:p>
      <w:pPr>
        <w:pStyle w:val="BodyText"/>
      </w:pPr>
      <w:r>
        <w:t xml:space="preserve">Sample: [population, size, selection method]</w:t>
      </w:r>
    </w:p>
    <w:p>
      <w:pPr>
        <w:pStyle w:val="BodyText"/>
      </w:pPr>
      <w:r>
        <w:t xml:space="preserve">Comparator: [baseline governance / alternative framework]</w:t>
      </w:r>
    </w:p>
    <w:p>
      <w:pPr>
        <w:pStyle w:val="BodyText"/>
      </w:pPr>
      <w:r>
        <w:t xml:space="preserve">Duration: [time]</w:t>
      </w:r>
    </w:p>
    <w:p>
      <w:pPr>
        <w:pStyle w:val="BodyText"/>
      </w:pPr>
      <w:r>
        <w:t xml:space="preserve">Decision types included: [list]</w:t>
      </w:r>
    </w:p>
    <w:p>
      <w:pPr>
        <w:pStyle w:val="BodyText"/>
      </w:pPr>
      <w:r>
        <w:t xml:space="preserve">Exclusion criteria: [list]</w:t>
      </w:r>
    </w:p>
    <w:p>
      <w:pPr>
        <w:pStyle w:val="BodyText"/>
      </w:pPr>
      <w:r>
        <w:t xml:space="preserve">MEASURES</w:t>
      </w:r>
    </w:p>
    <w:p>
      <w:r>
        <w:pict>
          <v:rect style="width:0;height:1.5pt" o:hralign="center" o:hrstd="t" o:hr="t"/>
        </w:pict>
      </w:r>
    </w:p>
    <w:p>
      <w:pPr>
        <w:pStyle w:val="FirstParagraph"/>
      </w:pPr>
      <w:r>
        <w:t xml:space="preserve">Primary outcomes: [definition, data source, timing]</w:t>
      </w:r>
    </w:p>
    <w:p>
      <w:pPr>
        <w:pStyle w:val="BodyText"/>
      </w:pPr>
      <w:r>
        <w:t xml:space="preserve">Secondary outcomes: [definition, data source, timing]</w:t>
      </w:r>
    </w:p>
    <w:p>
      <w:pPr>
        <w:pStyle w:val="BodyText"/>
      </w:pPr>
      <w:r>
        <w:t xml:space="preserve">Rights measurement: [how rights violations are verified]</w:t>
      </w:r>
    </w:p>
    <w:p>
      <w:pPr>
        <w:pStyle w:val="BodyText"/>
      </w:pPr>
      <w:r>
        <w:t xml:space="preserve">Tail-loss measurement: [how catastrophic outcomes are defined]</w:t>
      </w:r>
    </w:p>
    <w:p>
      <w:pPr>
        <w:pStyle w:val="BodyText"/>
      </w:pPr>
      <w:r>
        <w:t xml:space="preserve">ANALYSIS PLAN</w:t>
      </w:r>
    </w:p>
    <w:p>
      <w:r>
        <w:pict>
          <v:rect style="width:0;height:1.5pt" o:hralign="center" o:hrstd="t" o:hr="t"/>
        </w:pict>
      </w:r>
    </w:p>
    <w:p>
      <w:pPr>
        <w:pStyle w:val="FirstParagraph"/>
      </w:pPr>
      <w:r>
        <w:t xml:space="preserve">Statistical methods: [tests/models]</w:t>
      </w:r>
    </w:p>
    <w:p>
      <w:pPr>
        <w:pStyle w:val="BodyText"/>
      </w:pPr>
      <w:r>
        <w:t xml:space="preserve">Effect size thresholds: [minimum meaningful difference]</w:t>
      </w:r>
    </w:p>
    <w:p>
      <w:pPr>
        <w:pStyle w:val="BodyText"/>
      </w:pPr>
      <w:r>
        <w:t xml:space="preserve">Multiple comparison correction: [method]</w:t>
      </w:r>
    </w:p>
    <w:p>
      <w:pPr>
        <w:pStyle w:val="BodyText"/>
      </w:pPr>
      <w:r>
        <w:t xml:space="preserve">Missing data handling: [approach]</w:t>
      </w:r>
    </w:p>
    <w:p>
      <w:pPr>
        <w:pStyle w:val="BodyText"/>
      </w:pPr>
      <w:r>
        <w:t xml:space="preserve">Sensitivity checks: [weights, scenarios, thresholds]</w:t>
      </w:r>
    </w:p>
    <w:p>
      <w:pPr>
        <w:pStyle w:val="BodyText"/>
      </w:pPr>
      <w:r>
        <w:t xml:space="preserve">GOVERNANCE</w:t>
      </w:r>
    </w:p>
    <w:p>
      <w:r>
        <w:pict>
          <v:rect style="width:0;height:1.5pt" o:hralign="center" o:hrstd="t" o:hr="t"/>
        </w:pict>
      </w:r>
    </w:p>
    <w:p>
      <w:pPr>
        <w:pStyle w:val="FirstParagraph"/>
      </w:pPr>
      <w:r>
        <w:t xml:space="preserve">Ethics approval: [status/ID]</w:t>
      </w:r>
    </w:p>
    <w:p>
      <w:pPr>
        <w:pStyle w:val="BodyText"/>
      </w:pPr>
      <w:r>
        <w:t xml:space="preserve">Data management: [storage, access, retention]</w:t>
      </w:r>
    </w:p>
    <w:p>
      <w:pPr>
        <w:pStyle w:val="BodyText"/>
      </w:pPr>
      <w:r>
        <w:t xml:space="preserve">Reporting commitment: [timeline and venue]</w:t>
      </w:r>
    </w:p>
    <w:p>
      <w:pPr>
        <w:pStyle w:val="BodyText"/>
      </w:pPr>
      <w:r>
        <w:t xml:space="preserve">===============================================================</w:t>
      </w:r>
    </w:p>
    <w:bookmarkEnd w:id="377"/>
    <w:bookmarkStart w:id="378" w:name="Xb26e1ee7d255c7e881ba66c8c6725bfe6cd4f25"/>
    <w:p>
      <w:pPr>
        <w:pStyle w:val="Heading2"/>
      </w:pPr>
      <w:r>
        <w:t xml:space="preserve">J.2 Outcome Measures by Union and Dimension (Canonical Examples)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104"/>
        <w:gridCol w:w="2371"/>
        <w:gridCol w:w="2371"/>
        <w:gridCol w:w="2371"/>
      </w:tblGrid>
      <w:tr>
        <w:trPr>
          <w:tblHeader w:val="true"/>
          <w:cantSplit/>
        </w:trPr>
        <w:tc>
          <w:tcPr>
            <w:tcW w:w="21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Union</w:t>
            </w:r>
          </w:p>
        </w:tc>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Dimension</w:t>
            </w:r>
          </w:p>
        </w:tc>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Measure Type</w:t>
            </w:r>
          </w:p>
        </w:tc>
        <w:tc>
          <w:tcPr>
            <w:tcW w:w="2371"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Example Indicators</w:t>
            </w:r>
          </w:p>
        </w:tc>
      </w:tr>
      <w:tr>
        <w:trPr>
          <w:cantSplit/>
        </w:trPr>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Self</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Health</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Validated survey / admin</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SF-36, PHQ-9, GAD-7, injury rates</w:t>
            </w:r>
          </w:p>
        </w:tc>
      </w:tr>
      <w:tr>
        <w:trPr>
          <w:cantSplit/>
        </w:trPr>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Self</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Agency</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Validated survey</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Autonomy/self-efficacy scales</w:t>
            </w:r>
          </w:p>
        </w:tc>
      </w:tr>
      <w:tr>
        <w:trPr>
          <w:cantSplit/>
        </w:trPr>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Household</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Material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Administrative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Income stability, housing security</w:t>
            </w:r>
          </w:p>
        </w:tc>
      </w:tr>
      <w:tr>
        <w:trPr>
          <w:cantSplit/>
        </w:trPr>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Community</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Social</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Survey / network</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Trust indices, social capital measures</w:t>
            </w:r>
          </w:p>
        </w:tc>
      </w:tr>
      <w:tr>
        <w:trPr>
          <w:cantSplit/>
        </w:trPr>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Organization</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Flow/Resilience (UCI)</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Operational</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Throughput, incident recovery time</w:t>
            </w:r>
          </w:p>
        </w:tc>
      </w:tr>
      <w:tr>
        <w:trPr>
          <w:cantSplit/>
        </w:trPr>
        <w:tc>
          <w:tcPr>
            <w:tcW w:w="2104" w:type="dxa"/>
            <w:vAlign w:val="top"/>
            <w:tcMar>
              <w:top w:w="70" w:type="dxa"/>
              <w:start w:w="90" w:type="dxa"/>
              <w:bottom w:w="70" w:type="dxa"/>
              <w:end w:w="90" w:type="dxa"/>
            </w:tcMar>
            <w:shd w:fill="F3F7FB" w:val="clear"/>
          </w:tcPr>
          <w:p>
            <w:pPr>
              <w:pStyle w:val="Compact"/>
              <w:spacing w:before="0" w:after="0"/>
              <w:jc w:val="left"/>
            </w:pPr>
            <w:r>
              <w:rPr>
                <w:sz w:val="17"/>
              </w:rPr>
              <w:t xml:space="preserve">Polity</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Agency</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Index</w:t>
            </w:r>
          </w:p>
        </w:tc>
        <w:tc>
          <w:tcPr>
            <w:tcW w:w="2371" w:type="dxa"/>
            <w:vAlign w:val="top"/>
            <w:tcMar>
              <w:top w:w="70" w:type="dxa"/>
              <w:start w:w="90" w:type="dxa"/>
              <w:bottom w:w="70" w:type="dxa"/>
              <w:end w:w="90" w:type="dxa"/>
            </w:tcMar>
            <w:shd w:fill="F3F7FB" w:val="clear"/>
          </w:tcPr>
          <w:p>
            <w:pPr>
              <w:pStyle w:val="Compact"/>
              <w:spacing w:before="0" w:after="0"/>
              <w:jc w:val="left"/>
            </w:pPr>
            <w:r>
              <w:rPr>
                <w:sz w:val="17"/>
              </w:rPr>
              <w:t xml:space="preserve">Participation rates, rule-of-law indices</w:t>
            </w:r>
          </w:p>
        </w:tc>
      </w:tr>
      <w:tr>
        <w:trPr>
          <w:cantSplit/>
        </w:trPr>
        <w:tc>
          <w:tcPr>
            <w:tcW w:w="2104" w:type="dxa"/>
            <w:vAlign w:val="top"/>
            <w:tcMar>
              <w:top w:w="70" w:type="dxa"/>
              <w:start w:w="90" w:type="dxa"/>
              <w:bottom w:w="70" w:type="dxa"/>
              <w:end w:w="90" w:type="dxa"/>
            </w:tcMar>
            <w:shd w:fill="FFFFFF" w:val="clear"/>
          </w:tcPr>
          <w:p>
            <w:pPr>
              <w:pStyle w:val="Compact"/>
              <w:spacing w:before="0" w:after="0"/>
              <w:jc w:val="left"/>
            </w:pPr>
            <w:r>
              <w:rPr>
                <w:sz w:val="17"/>
              </w:rPr>
              <w:t xml:space="preserve">Biosphere</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Environment</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Monitoring</w:t>
            </w:r>
          </w:p>
        </w:tc>
        <w:tc>
          <w:tcPr>
            <w:tcW w:w="2371" w:type="dxa"/>
            <w:vAlign w:val="top"/>
            <w:tcMar>
              <w:top w:w="70" w:type="dxa"/>
              <w:start w:w="90" w:type="dxa"/>
              <w:bottom w:w="70" w:type="dxa"/>
              <w:end w:w="90" w:type="dxa"/>
            </w:tcMar>
            <w:shd w:fill="FFFFFF" w:val="clear"/>
          </w:tcPr>
          <w:p>
            <w:pPr>
              <w:pStyle w:val="Compact"/>
              <w:spacing w:before="0" w:after="0"/>
              <w:jc w:val="left"/>
            </w:pPr>
            <w:r>
              <w:rPr>
                <w:sz w:val="17"/>
              </w:rPr>
              <w:t xml:space="preserve">Emissions, biodiversity integrity</w:t>
            </w:r>
          </w:p>
        </w:tc>
      </w:tr>
    </w:tbl>
    <w:bookmarkEnd w:id="378"/>
    <w:bookmarkStart w:id="379" w:name="j.3-sign-accuracy-scoring-normative"/>
    <w:p>
      <w:pPr>
        <w:pStyle w:val="Heading2"/>
      </w:pPr>
      <w:r>
        <w:t xml:space="preserve">J.3 Sign Accuracy Scoring (Normative)</w:t>
      </w:r>
    </w:p>
    <w:p>
      <w:pPr>
        <w:pStyle w:val="FirstParagraph"/>
      </w:pPr>
      <w:r>
        <w:t xml:space="preserve">For each evaluated cell (u,d):</w:t>
      </w:r>
    </w:p>
    <w:p>
      <w:pPr>
        <w:pStyle w:val="BodyText"/>
      </w:pPr>
      <w:r>
        <w:t xml:space="preserve">Predicted sign: sign(I_prop(u,d,a)) ∈ {-1, 0, +1}</w:t>
      </w:r>
    </w:p>
    <w:p>
      <w:pPr>
        <w:pStyle w:val="BodyText"/>
      </w:pPr>
      <w:r>
        <w:t xml:space="preserve">Observed sign: sign(Δ_observed(u,d)) ∈ {-1, 0, +1}</w:t>
      </w:r>
    </w:p>
    <w:p>
      <w:pPr>
        <w:pStyle w:val="BodyText"/>
      </w:pPr>
      <w:r>
        <w:t xml:space="preserve">Scoring:</w:t>
      </w:r>
    </w:p>
    <w:p>
      <w:pPr>
        <w:pStyle w:val="Compact"/>
        <w:numPr>
          <w:ilvl w:val="0"/>
          <w:numId w:val="1373"/>
        </w:numPr>
      </w:pPr>
      <w:r>
        <w:t xml:space="preserve">Match = 1 if predicted = observed</w:t>
      </w:r>
    </w:p>
    <w:p>
      <w:pPr>
        <w:pStyle w:val="Compact"/>
        <w:numPr>
          <w:ilvl w:val="0"/>
          <w:numId w:val="1374"/>
        </w:numPr>
      </w:pPr>
      <w:r>
        <w:t xml:space="preserve">Match = 0.5 if predicted = 0 or observed = 0</w:t>
      </w:r>
    </w:p>
    <w:p>
      <w:pPr>
        <w:pStyle w:val="Compact"/>
        <w:numPr>
          <w:ilvl w:val="0"/>
          <w:numId w:val="1375"/>
        </w:numPr>
      </w:pPr>
      <w:r>
        <w:t xml:space="preserve">Match = 0 otherwise</w:t>
      </w:r>
    </w:p>
    <w:p>
      <w:pPr>
        <w:pStyle w:val="FirstParagraph"/>
      </w:pPr>
      <w:r>
        <w:t xml:space="preserve">SignAcc = (Σ Match) / (number of evaluated cells)</w:t>
      </w:r>
    </w:p>
    <w:p>
      <w:pPr>
        <w:pStyle w:val="BodyText"/>
      </w:pPr>
      <w:r>
        <w:t xml:space="preserve">Target for calibrated deployments: SignAcc ≥ 0.70</w:t>
      </w:r>
    </w:p>
    <w:bookmarkEnd w:id="379"/>
    <w:bookmarkStart w:id="380" w:name="j.4-magnitude-error-rmse-normative"/>
    <w:p>
      <w:pPr>
        <w:pStyle w:val="Heading2"/>
      </w:pPr>
      <w:r>
        <w:t xml:space="preserve">J.4 Magnitude Error (RMSE) (Normative)</w:t>
      </w:r>
    </w:p>
    <w:p>
      <w:pPr>
        <w:pStyle w:val="FirstParagraph"/>
      </w:pPr>
      <w:r>
        <w:t xml:space="preserve">RMSE = √[(1/n) Σ_i (I_prop,i − observed_i)^2]</w:t>
      </w:r>
    </w:p>
    <w:p>
      <w:pPr>
        <w:pStyle w:val="BodyText"/>
      </w:pPr>
      <w:r>
        <w:t xml:space="preserve">Default target: RMSE ≤ 0.25 (domain dependent)</w:t>
      </w:r>
    </w:p>
    <w:bookmarkEnd w:id="380"/>
    <w:bookmarkStart w:id="381" w:name="j.5-backtest-procedure-normative"/>
    <w:p>
      <w:pPr>
        <w:pStyle w:val="Heading2"/>
      </w:pPr>
      <w:r>
        <w:t xml:space="preserve">J.5 Backtest Procedure (Normative)</w:t>
      </w:r>
    </w:p>
    <w:p>
      <w:pPr>
        <w:pStyle w:val="FirstParagraph"/>
      </w:pPr>
      <w:r>
        <w:t xml:space="preserve">Case selection: Identify historical decisions with measurable outcomes and reconstructable option sets.</w:t>
      </w:r>
    </w:p>
    <w:p>
      <w:pPr>
        <w:pStyle w:val="Compact"/>
        <w:numPr>
          <w:ilvl w:val="0"/>
          <w:numId w:val="1376"/>
        </w:numPr>
      </w:pPr>
      <w:r>
        <w:t xml:space="preserve">Information reconstruction: Use only data available at decision time (no hindsight leakage).</w:t>
      </w:r>
    </w:p>
    <w:p>
      <w:pPr>
        <w:pStyle w:val="Compact"/>
        <w:numPr>
          <w:ilvl w:val="0"/>
          <w:numId w:val="1377"/>
        </w:numPr>
      </w:pPr>
      <w:r>
        <w:t xml:space="preserve">Blind analysis: The analyst SHOULD be unaware of actual outcomes during the run.</w:t>
      </w:r>
    </w:p>
    <w:p>
      <w:pPr>
        <w:pStyle w:val="Compact"/>
        <w:numPr>
          <w:ilvl w:val="0"/>
          <w:numId w:val="1378"/>
        </w:numPr>
      </w:pPr>
      <w:r>
        <w:t xml:space="preserve">Execute RippleLogic run (Tier declared) and emit Backtest PCC.</w:t>
      </w:r>
    </w:p>
    <w:p>
      <w:pPr>
        <w:pStyle w:val="Compact"/>
        <w:numPr>
          <w:ilvl w:val="0"/>
          <w:numId w:val="1379"/>
        </w:numPr>
      </w:pPr>
      <w:r>
        <w:t xml:space="preserve">Compare predictions to realized outcomes using declared metrics (for example SignAcc, RMSE, rights detection).</w:t>
      </w:r>
    </w:p>
    <w:p>
      <w:pPr>
        <w:pStyle w:val="Compact"/>
        <w:numPr>
          <w:ilvl w:val="0"/>
          <w:numId w:val="1380"/>
        </w:numPr>
      </w:pPr>
      <w:r>
        <w:t xml:space="preserve">Report results and failures; update methods via NCAR with versioning.</w:t>
      </w:r>
    </w:p>
    <w:p>
      <w:pPr>
        <w:pStyle w:val="Compact"/>
        <w:numPr>
          <w:ilvl w:val="0"/>
          <w:numId w:val="1381"/>
        </w:numPr>
      </w:pPr>
      <w:r>
        <w:t xml:space="preserve">End Appendix J.</w:t>
      </w:r>
    </w:p>
    <w:p>
      <w:pPr>
        <w:pStyle w:val="FirstParagraph"/>
      </w:pPr>
      <w:r>
        <w:t xml:space="preserve">Appendix K is informative and strongly recommended for any deployment using Starter KOPS or provisional QUICK propagation.</w:t>
      </w:r>
    </w:p>
    <w:bookmarkEnd w:id="381"/>
    <w:bookmarkEnd w:id="382"/>
    <w:bookmarkStart w:id="387" w:name="X47301729e6234bfb8e88ee315581dcddded1a8c"/>
    <w:p>
      <w:pPr>
        <w:pStyle w:val="Heading1"/>
      </w:pPr>
      <w:r>
        <w:t xml:space="preserve">APPENDIX K: STARTER KERNEL COMPANION PACK (INFORMATIVE)</w:t>
      </w:r>
    </w:p>
    <w:bookmarkStart w:id="383" w:name="k.1-purpose"/>
    <w:p>
      <w:pPr>
        <w:pStyle w:val="Heading2"/>
      </w:pPr>
      <w:r>
        <w:t xml:space="preserve">K.1 Purpose</w:t>
      </w:r>
    </w:p>
    <w:p>
      <w:pPr>
        <w:pStyle w:val="FirstParagraph"/>
      </w:pPr>
      <w:r>
        <w:t xml:space="preserve">Starter KOPS provides an informative, provisional kernel surface for transparency, sensitivity testing, and early implementation support. It MUST NOT be treated as a fully validated propagation model.</w:t>
      </w:r>
    </w:p>
    <w:bookmarkEnd w:id="383"/>
    <w:bookmarkStart w:id="384" w:name="X8080c5c59c98629833c3a57c3569f0823ae20e0"/>
    <w:p>
      <w:pPr>
        <w:pStyle w:val="Heading2"/>
      </w:pPr>
      <w:r>
        <w:t xml:space="preserve">K.2 Evidence Class Summary Table K.1: Evidence Class Summary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649"/>
        <w:gridCol w:w="3028"/>
        <w:gridCol w:w="3540"/>
      </w:tblGrid>
      <w:tr>
        <w:trPr>
          <w:tblHeader w:val="true"/>
          <w:cantSplit/>
        </w:trPr>
        <w:tc>
          <w:tcPr>
            <w:tcW w:w="2649"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Class</w:t>
            </w:r>
          </w:p>
        </w:tc>
        <w:tc>
          <w:tcPr>
            <w:tcW w:w="3028"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Name</w:t>
            </w:r>
          </w:p>
        </w:tc>
        <w:tc>
          <w:tcPr>
            <w:tcW w:w="354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Minimum Evidence</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A</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Validated</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Replicated empirical studies with quantified effect sizes and domain match</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B</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Supported</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Multiple studies consistent in sign; some quantification</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C</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Plausible</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Theoretical support with limited empirical evidence</w:t>
            </w:r>
          </w:p>
        </w:tc>
      </w:tr>
      <w:tr>
        <w:trPr>
          <w:cantSplit/>
        </w:trPr>
        <w:tc>
          <w:tcPr>
            <w:tcW w:w="2649" w:type="dxa"/>
            <w:vAlign w:val="top"/>
            <w:tcMar>
              <w:top w:w="70" w:type="dxa"/>
              <w:start w:w="90" w:type="dxa"/>
              <w:bottom w:w="70" w:type="dxa"/>
              <w:end w:w="90" w:type="dxa"/>
            </w:tcMar>
            <w:shd w:fill="F3F7FB" w:val="clear"/>
          </w:tcPr>
          <w:p>
            <w:pPr>
              <w:pStyle w:val="Compact"/>
              <w:spacing w:before="0" w:after="0"/>
              <w:jc w:val="left"/>
            </w:pPr>
            <w:r>
              <w:rPr>
                <w:sz w:val="18"/>
              </w:rPr>
              <w:t xml:space="preserve">D</w:t>
            </w:r>
          </w:p>
        </w:tc>
        <w:tc>
          <w:tcPr>
            <w:tcW w:w="3028" w:type="dxa"/>
            <w:vAlign w:val="top"/>
            <w:tcMar>
              <w:top w:w="70" w:type="dxa"/>
              <w:start w:w="90" w:type="dxa"/>
              <w:bottom w:w="70" w:type="dxa"/>
              <w:end w:w="90" w:type="dxa"/>
            </w:tcMar>
            <w:shd w:fill="F3F7FB" w:val="clear"/>
          </w:tcPr>
          <w:p>
            <w:pPr>
              <w:pStyle w:val="Compact"/>
              <w:spacing w:before="0" w:after="0"/>
              <w:jc w:val="left"/>
            </w:pPr>
            <w:r>
              <w:rPr>
                <w:sz w:val="18"/>
              </w:rPr>
              <w:t xml:space="preserve">Speculative</w:t>
            </w:r>
          </w:p>
        </w:tc>
        <w:tc>
          <w:tcPr>
            <w:tcW w:w="3540" w:type="dxa"/>
            <w:vAlign w:val="top"/>
            <w:tcMar>
              <w:top w:w="70" w:type="dxa"/>
              <w:start w:w="90" w:type="dxa"/>
              <w:bottom w:w="70" w:type="dxa"/>
              <w:end w:w="90" w:type="dxa"/>
            </w:tcMar>
            <w:shd w:fill="F3F7FB" w:val="clear"/>
          </w:tcPr>
          <w:p>
            <w:pPr>
              <w:pStyle w:val="Compact"/>
              <w:spacing w:before="0" w:after="0"/>
              <w:jc w:val="left"/>
            </w:pPr>
            <w:r>
              <w:rPr>
                <w:sz w:val="18"/>
              </w:rPr>
              <w:t xml:space="preserve">Expert judgment without empirical support</w:t>
            </w:r>
          </w:p>
        </w:tc>
      </w:tr>
      <w:tr>
        <w:trPr>
          <w:cantSplit/>
        </w:trPr>
        <w:tc>
          <w:tcPr>
            <w:tcW w:w="2649" w:type="dxa"/>
            <w:vAlign w:val="top"/>
            <w:tcMar>
              <w:top w:w="70" w:type="dxa"/>
              <w:start w:w="90" w:type="dxa"/>
              <w:bottom w:w="70" w:type="dxa"/>
              <w:end w:w="90" w:type="dxa"/>
            </w:tcMar>
            <w:shd w:fill="FFFFFF" w:val="clear"/>
          </w:tcPr>
          <w:p>
            <w:pPr>
              <w:pStyle w:val="Compact"/>
              <w:spacing w:before="0" w:after="0"/>
              <w:jc w:val="left"/>
            </w:pPr>
            <w:r>
              <w:rPr>
                <w:sz w:val="18"/>
              </w:rPr>
              <w:t xml:space="preserve">E</w:t>
            </w:r>
          </w:p>
        </w:tc>
        <w:tc>
          <w:tcPr>
            <w:tcW w:w="3028" w:type="dxa"/>
            <w:vAlign w:val="top"/>
            <w:tcMar>
              <w:top w:w="70" w:type="dxa"/>
              <w:start w:w="90" w:type="dxa"/>
              <w:bottom w:w="70" w:type="dxa"/>
              <w:end w:w="90" w:type="dxa"/>
            </w:tcMar>
            <w:shd w:fill="FFFFFF" w:val="clear"/>
          </w:tcPr>
          <w:p>
            <w:pPr>
              <w:pStyle w:val="Compact"/>
              <w:spacing w:before="0" w:after="0"/>
              <w:jc w:val="left"/>
            </w:pPr>
            <w:r>
              <w:rPr>
                <w:sz w:val="18"/>
              </w:rPr>
              <w:t xml:space="preserve">Elicited</w:t>
            </w:r>
          </w:p>
        </w:tc>
        <w:tc>
          <w:tcPr>
            <w:tcW w:w="3540" w:type="dxa"/>
            <w:vAlign w:val="top"/>
            <w:tcMar>
              <w:top w:w="70" w:type="dxa"/>
              <w:start w:w="90" w:type="dxa"/>
              <w:bottom w:w="70" w:type="dxa"/>
              <w:end w:w="90" w:type="dxa"/>
            </w:tcMar>
            <w:shd w:fill="FFFFFF" w:val="clear"/>
          </w:tcPr>
          <w:p>
            <w:pPr>
              <w:pStyle w:val="Compact"/>
              <w:spacing w:before="0" w:after="0"/>
              <w:jc w:val="left"/>
            </w:pPr>
            <w:r>
              <w:rPr>
                <w:sz w:val="18"/>
              </w:rPr>
              <w:t xml:space="preserve">Structured elicitation for this framework (lowest confidence)</w:t>
            </w:r>
          </w:p>
        </w:tc>
      </w:tr>
    </w:tbl>
    <w:bookmarkEnd w:id="384"/>
    <w:bookmarkStart w:id="385" w:name="Xd03b161e5f8fc41dee6dc2b79b06b92966c6461"/>
    <w:p>
      <w:pPr>
        <w:pStyle w:val="Heading2"/>
      </w:pPr>
      <w:r>
        <w:t xml:space="preserve">K.3 Provisional Edge Table Table K.2: Provisional Starter KOPS Edge Table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693"/>
        <w:gridCol w:w="1693"/>
        <w:gridCol w:w="1267"/>
        <w:gridCol w:w="1267"/>
        <w:gridCol w:w="1603"/>
        <w:gridCol w:w="1693"/>
      </w:tblGrid>
      <w:tr>
        <w:trPr>
          <w:tblHeader w:val="true"/>
          <w:cantSplit/>
        </w:trPr>
        <w:tc>
          <w:tcPr>
            <w:tcW w:w="169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Source Cell (u,d)</w:t>
            </w:r>
          </w:p>
        </w:tc>
        <w:tc>
          <w:tcPr>
            <w:tcW w:w="169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Target Cell (u,d)</w:t>
            </w:r>
          </w:p>
        </w:tc>
        <w:tc>
          <w:tcPr>
            <w:tcW w:w="1267"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κ_raw</w:t>
            </w:r>
          </w:p>
        </w:tc>
        <w:tc>
          <w:tcPr>
            <w:tcW w:w="1267"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κ_shrunk</w:t>
            </w:r>
          </w:p>
        </w:tc>
        <w:tc>
          <w:tcPr>
            <w:tcW w:w="160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Evidence Class</w:t>
            </w:r>
          </w:p>
        </w:tc>
        <w:tc>
          <w:tcPr>
            <w:tcW w:w="1693" w:type="dxa"/>
            <w:vAlign w:val="top"/>
            <w:tcMar>
              <w:top w:w="70" w:type="dxa"/>
              <w:start w:w="90" w:type="dxa"/>
              <w:bottom w:w="70" w:type="dxa"/>
              <w:end w:w="90" w:type="dxa"/>
            </w:tcMar>
            <w:shd w:fill="D9EAF7" w:val="clear"/>
          </w:tcPr>
          <w:p>
            <w:pPr>
              <w:pStyle w:val="Compact"/>
              <w:spacing w:before="0" w:after="0"/>
              <w:jc w:val="left"/>
            </w:pPr>
            <w:r>
              <w:rPr>
                <w:sz w:val="16"/>
                <w:b/>
                <w:color w:val="1F4E79"/>
              </w:rPr>
              <w:t xml:space="preserve">Rationale Family</w:t>
            </w:r>
          </w:p>
        </w:tc>
      </w:tr>
      <w:tr>
        <w:trPr>
          <w:cantSplit/>
        </w:trPr>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(4,1) Org-Material</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(2,1) HH-Material</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0.40</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0.14</w:t>
            </w:r>
          </w:p>
        </w:tc>
        <w:tc>
          <w:tcPr>
            <w:tcW w:w="1603" w:type="dxa"/>
            <w:vAlign w:val="top"/>
            <w:tcMar>
              <w:top w:w="70" w:type="dxa"/>
              <w:start w:w="90" w:type="dxa"/>
              <w:bottom w:w="70" w:type="dxa"/>
              <w:end w:w="90" w:type="dxa"/>
            </w:tcMar>
            <w:shd w:fill="FFFFFF" w:val="clear"/>
          </w:tcPr>
          <w:p>
            <w:pPr>
              <w:pStyle w:val="Compact"/>
              <w:spacing w:before="0" w:after="0"/>
              <w:jc w:val="left"/>
            </w:pPr>
            <w:r>
              <w:rPr>
                <w:sz w:val="16"/>
              </w:rPr>
              <w:t xml:space="preserve">E</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Employment income propagation</w:t>
            </w:r>
          </w:p>
        </w:tc>
      </w:tr>
      <w:tr>
        <w:trPr>
          <w:cantSplit/>
        </w:trPr>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(4,1) Org-Material</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(3,1) Comm-Material</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0.30</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0.11</w:t>
            </w:r>
          </w:p>
        </w:tc>
        <w:tc>
          <w:tcPr>
            <w:tcW w:w="1603" w:type="dxa"/>
            <w:vAlign w:val="top"/>
            <w:tcMar>
              <w:top w:w="70" w:type="dxa"/>
              <w:start w:w="90" w:type="dxa"/>
              <w:bottom w:w="70" w:type="dxa"/>
              <w:end w:w="90" w:type="dxa"/>
            </w:tcMar>
            <w:shd w:fill="F3F7FB" w:val="clear"/>
          </w:tcPr>
          <w:p>
            <w:pPr>
              <w:pStyle w:val="Compact"/>
              <w:spacing w:before="0" w:after="0"/>
              <w:jc w:val="left"/>
            </w:pPr>
            <w:r>
              <w:rPr>
                <w:sz w:val="16"/>
              </w:rPr>
              <w:t xml:space="preserve">E</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Local multiplier effects</w:t>
            </w:r>
          </w:p>
        </w:tc>
      </w:tr>
      <w:tr>
        <w:trPr>
          <w:cantSplit/>
        </w:trPr>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(7,7) Bio-Environment</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(6,2) CMIU-Health</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-0.35</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-0.12</w:t>
            </w:r>
          </w:p>
        </w:tc>
        <w:tc>
          <w:tcPr>
            <w:tcW w:w="1603" w:type="dxa"/>
            <w:vAlign w:val="top"/>
            <w:tcMar>
              <w:top w:w="70" w:type="dxa"/>
              <w:start w:w="90" w:type="dxa"/>
              <w:bottom w:w="70" w:type="dxa"/>
              <w:end w:w="90" w:type="dxa"/>
            </w:tcMar>
            <w:shd w:fill="FFFFFF" w:val="clear"/>
          </w:tcPr>
          <w:p>
            <w:pPr>
              <w:pStyle w:val="Compact"/>
              <w:spacing w:before="0" w:after="0"/>
              <w:jc w:val="left"/>
            </w:pPr>
            <w:r>
              <w:rPr>
                <w:sz w:val="16"/>
              </w:rPr>
              <w:t xml:space="preserve">B</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Climate/health pathway</w:t>
            </w:r>
          </w:p>
        </w:tc>
      </w:tr>
      <w:tr>
        <w:trPr>
          <w:cantSplit/>
        </w:trPr>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(7,7) Bio-Environment</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(6,7) CMIU-Environment</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0.50</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0.18</w:t>
            </w:r>
          </w:p>
        </w:tc>
        <w:tc>
          <w:tcPr>
            <w:tcW w:w="1603" w:type="dxa"/>
            <w:vAlign w:val="top"/>
            <w:tcMar>
              <w:top w:w="70" w:type="dxa"/>
              <w:start w:w="90" w:type="dxa"/>
              <w:bottom w:w="70" w:type="dxa"/>
              <w:end w:w="90" w:type="dxa"/>
            </w:tcMar>
            <w:shd w:fill="F3F7FB" w:val="clear"/>
          </w:tcPr>
          <w:p>
            <w:pPr>
              <w:pStyle w:val="Compact"/>
              <w:spacing w:before="0" w:after="0"/>
              <w:jc w:val="left"/>
            </w:pPr>
            <w:r>
              <w:rPr>
                <w:sz w:val="16"/>
              </w:rPr>
              <w:t xml:space="preserve">B</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Earth system propagation</w:t>
            </w:r>
          </w:p>
        </w:tc>
      </w:tr>
      <w:tr>
        <w:trPr>
          <w:cantSplit/>
        </w:trPr>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(5,5) Polity-Agency</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(4,5) Org-Agency</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0.25</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0.09</w:t>
            </w:r>
          </w:p>
        </w:tc>
        <w:tc>
          <w:tcPr>
            <w:tcW w:w="1603" w:type="dxa"/>
            <w:vAlign w:val="top"/>
            <w:tcMar>
              <w:top w:w="70" w:type="dxa"/>
              <w:start w:w="90" w:type="dxa"/>
              <w:bottom w:w="70" w:type="dxa"/>
              <w:end w:w="90" w:type="dxa"/>
            </w:tcMar>
            <w:shd w:fill="FFFFFF" w:val="clear"/>
          </w:tcPr>
          <w:p>
            <w:pPr>
              <w:pStyle w:val="Compact"/>
              <w:spacing w:before="0" w:after="0"/>
              <w:jc w:val="left"/>
            </w:pPr>
            <w:r>
              <w:rPr>
                <w:sz w:val="16"/>
              </w:rPr>
              <w:t xml:space="preserve">E</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Institutional enabling effects</w:t>
            </w:r>
          </w:p>
        </w:tc>
      </w:tr>
      <w:tr>
        <w:trPr>
          <w:cantSplit/>
        </w:trPr>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(3,3) Comm-Social</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(1,3) Self-Social</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0.45</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0.16</w:t>
            </w:r>
          </w:p>
        </w:tc>
        <w:tc>
          <w:tcPr>
            <w:tcW w:w="1603" w:type="dxa"/>
            <w:vAlign w:val="top"/>
            <w:tcMar>
              <w:top w:w="70" w:type="dxa"/>
              <w:start w:w="90" w:type="dxa"/>
              <w:bottom w:w="70" w:type="dxa"/>
              <w:end w:w="90" w:type="dxa"/>
            </w:tcMar>
            <w:shd w:fill="F3F7FB" w:val="clear"/>
          </w:tcPr>
          <w:p>
            <w:pPr>
              <w:pStyle w:val="Compact"/>
              <w:spacing w:before="0" w:after="0"/>
              <w:jc w:val="left"/>
            </w:pPr>
            <w:r>
              <w:rPr>
                <w:sz w:val="16"/>
              </w:rPr>
              <w:t xml:space="preserve">B</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Social capital / wellbeing</w:t>
            </w:r>
          </w:p>
        </w:tc>
      </w:tr>
      <w:tr>
        <w:trPr>
          <w:cantSplit/>
        </w:trPr>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(3,3) Comm-Social</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(2,3) HH-Social</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0.35</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0.12</w:t>
            </w:r>
          </w:p>
        </w:tc>
        <w:tc>
          <w:tcPr>
            <w:tcW w:w="1603" w:type="dxa"/>
            <w:vAlign w:val="top"/>
            <w:tcMar>
              <w:top w:w="70" w:type="dxa"/>
              <w:start w:w="90" w:type="dxa"/>
              <w:bottom w:w="70" w:type="dxa"/>
              <w:end w:w="90" w:type="dxa"/>
            </w:tcMar>
            <w:shd w:fill="FFFFFF" w:val="clear"/>
          </w:tcPr>
          <w:p>
            <w:pPr>
              <w:pStyle w:val="Compact"/>
              <w:spacing w:before="0" w:after="0"/>
              <w:jc w:val="left"/>
            </w:pPr>
            <w:r>
              <w:rPr>
                <w:sz w:val="16"/>
              </w:rPr>
              <w:t xml:space="preserve">E</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Family-community linkage</w:t>
            </w:r>
          </w:p>
        </w:tc>
      </w:tr>
      <w:tr>
        <w:trPr>
          <w:cantSplit/>
        </w:trPr>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(4,2) Org-Health</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(1,2) Self-Health</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0.40</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0.14</w:t>
            </w:r>
          </w:p>
        </w:tc>
        <w:tc>
          <w:tcPr>
            <w:tcW w:w="1603" w:type="dxa"/>
            <w:vAlign w:val="top"/>
            <w:tcMar>
              <w:top w:w="70" w:type="dxa"/>
              <w:start w:w="90" w:type="dxa"/>
              <w:bottom w:w="70" w:type="dxa"/>
              <w:end w:w="90" w:type="dxa"/>
            </w:tcMar>
            <w:shd w:fill="F3F7FB" w:val="clear"/>
          </w:tcPr>
          <w:p>
            <w:pPr>
              <w:pStyle w:val="Compact"/>
              <w:spacing w:before="0" w:after="0"/>
              <w:jc w:val="left"/>
            </w:pPr>
            <w:r>
              <w:rPr>
                <w:sz w:val="16"/>
              </w:rPr>
              <w:t xml:space="preserve">B</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Occupational health pathway</w:t>
            </w:r>
          </w:p>
        </w:tc>
      </w:tr>
      <w:tr>
        <w:trPr>
          <w:cantSplit/>
        </w:trPr>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(6,4) CMIU-Knowledge</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(5,4) Polity-Knowledge</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0.30</w:t>
            </w:r>
          </w:p>
        </w:tc>
        <w:tc>
          <w:tcPr>
            <w:tcW w:w="1267" w:type="dxa"/>
            <w:vAlign w:val="top"/>
            <w:tcMar>
              <w:top w:w="70" w:type="dxa"/>
              <w:start w:w="90" w:type="dxa"/>
              <w:bottom w:w="70" w:type="dxa"/>
              <w:end w:w="90" w:type="dxa"/>
            </w:tcMar>
            <w:shd w:fill="FFFFFF" w:val="clear"/>
          </w:tcPr>
          <w:p>
            <w:pPr>
              <w:pStyle w:val="Compact"/>
              <w:spacing w:before="0" w:after="0"/>
              <w:jc w:val="left"/>
            </w:pPr>
            <w:r>
              <w:rPr>
                <w:sz w:val="16"/>
              </w:rPr>
              <w:t xml:space="preserve">0.11</w:t>
            </w:r>
          </w:p>
        </w:tc>
        <w:tc>
          <w:tcPr>
            <w:tcW w:w="1603" w:type="dxa"/>
            <w:vAlign w:val="top"/>
            <w:tcMar>
              <w:top w:w="70" w:type="dxa"/>
              <w:start w:w="90" w:type="dxa"/>
              <w:bottom w:w="70" w:type="dxa"/>
              <w:end w:w="90" w:type="dxa"/>
            </w:tcMar>
            <w:shd w:fill="FFFFFF" w:val="clear"/>
          </w:tcPr>
          <w:p>
            <w:pPr>
              <w:pStyle w:val="Compact"/>
              <w:spacing w:before="0" w:after="0"/>
              <w:jc w:val="left"/>
            </w:pPr>
            <w:r>
              <w:rPr>
                <w:sz w:val="16"/>
              </w:rPr>
              <w:t xml:space="preserve">E</w:t>
            </w:r>
          </w:p>
        </w:tc>
        <w:tc>
          <w:tcPr>
            <w:tcW w:w="1693" w:type="dxa"/>
            <w:vAlign w:val="top"/>
            <w:tcMar>
              <w:top w:w="70" w:type="dxa"/>
              <w:start w:w="90" w:type="dxa"/>
              <w:bottom w:w="70" w:type="dxa"/>
              <w:end w:w="90" w:type="dxa"/>
            </w:tcMar>
            <w:shd w:fill="FFFFFF" w:val="clear"/>
          </w:tcPr>
          <w:p>
            <w:pPr>
              <w:pStyle w:val="Compact"/>
              <w:spacing w:before="0" w:after="0"/>
              <w:jc w:val="left"/>
            </w:pPr>
            <w:r>
              <w:rPr>
                <w:sz w:val="16"/>
              </w:rPr>
              <w:t xml:space="preserve">Diffusion / coordination knowledge</w:t>
            </w:r>
          </w:p>
        </w:tc>
      </w:tr>
      <w:tr>
        <w:trPr>
          <w:cantSplit/>
        </w:trPr>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(1,2) Self-Health</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(2,1) HH-Material</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-0.25</w:t>
            </w:r>
          </w:p>
        </w:tc>
        <w:tc>
          <w:tcPr>
            <w:tcW w:w="1267" w:type="dxa"/>
            <w:vAlign w:val="top"/>
            <w:tcMar>
              <w:top w:w="70" w:type="dxa"/>
              <w:start w:w="90" w:type="dxa"/>
              <w:bottom w:w="70" w:type="dxa"/>
              <w:end w:w="90" w:type="dxa"/>
            </w:tcMar>
            <w:shd w:fill="F3F7FB" w:val="clear"/>
          </w:tcPr>
          <w:p>
            <w:pPr>
              <w:pStyle w:val="Compact"/>
              <w:spacing w:before="0" w:after="0"/>
              <w:jc w:val="left"/>
            </w:pPr>
            <w:r>
              <w:rPr>
                <w:sz w:val="16"/>
              </w:rPr>
              <w:t xml:space="preserve">-0.09</w:t>
            </w:r>
          </w:p>
        </w:tc>
        <w:tc>
          <w:tcPr>
            <w:tcW w:w="1603" w:type="dxa"/>
            <w:vAlign w:val="top"/>
            <w:tcMar>
              <w:top w:w="70" w:type="dxa"/>
              <w:start w:w="90" w:type="dxa"/>
              <w:bottom w:w="70" w:type="dxa"/>
              <w:end w:w="90" w:type="dxa"/>
            </w:tcMar>
            <w:shd w:fill="F3F7FB" w:val="clear"/>
          </w:tcPr>
          <w:p>
            <w:pPr>
              <w:pStyle w:val="Compact"/>
              <w:spacing w:before="0" w:after="0"/>
              <w:jc w:val="left"/>
            </w:pPr>
            <w:r>
              <w:rPr>
                <w:sz w:val="16"/>
              </w:rPr>
              <w:t xml:space="preserve">B</w:t>
            </w:r>
          </w:p>
        </w:tc>
        <w:tc>
          <w:tcPr>
            <w:tcW w:w="1693" w:type="dxa"/>
            <w:vAlign w:val="top"/>
            <w:tcMar>
              <w:top w:w="70" w:type="dxa"/>
              <w:start w:w="90" w:type="dxa"/>
              <w:bottom w:w="70" w:type="dxa"/>
              <w:end w:w="90" w:type="dxa"/>
            </w:tcMar>
            <w:shd w:fill="F3F7FB" w:val="clear"/>
          </w:tcPr>
          <w:p>
            <w:pPr>
              <w:pStyle w:val="Compact"/>
              <w:spacing w:before="0" w:after="0"/>
              <w:jc w:val="left"/>
            </w:pPr>
            <w:r>
              <w:rPr>
                <w:sz w:val="16"/>
              </w:rPr>
              <w:t xml:space="preserve">Health to earning capacity</w:t>
            </w:r>
          </w:p>
        </w:tc>
      </w:tr>
    </w:tbl>
    <w:bookmarkEnd w:id="385"/>
    <w:bookmarkStart w:id="386" w:name="X5fc3102fa9710bf49e409781d5fd3930001c4c2"/>
    <w:p>
      <w:pPr>
        <w:pStyle w:val="Heading2"/>
      </w:pPr>
      <w:r>
        <w:t xml:space="preserve">K.4 Mandatory PCC Disclaimer</w:t>
      </w:r>
      <w:r>
        <w:t xml:space="preserve"> </w:t>
      </w:r>
      <w:r>
        <w:t xml:space="preserve">“</w:t>
      </w:r>
      <w:r>
        <w:t xml:space="preserve">Ripple propagation used a PROVISIONAL Starter KOPS kernel. Coefficients are not fully validated. Sensitivity analysis was performed per RippleLogic v11.4 requirements; conclusions are contingent on kernel uncertainty.</w:t>
      </w:r>
      <w:r>
        <w:t xml:space="preserve">”</w:t>
      </w:r>
    </w:p>
    <w:p>
      <w:pPr>
        <w:pStyle w:val="FirstParagraph"/>
      </w:pPr>
      <w:r>
        <w:t xml:space="preserve">End Appendix K.</w:t>
      </w:r>
    </w:p>
    <w:bookmarkEnd w:id="386"/>
    <w:bookmarkEnd w:id="387"/>
    <w:bookmarkStart w:id="388" w:name="appendix-l-glossary-v11.4"/>
    <w:p>
      <w:pPr>
        <w:pStyle w:val="Heading1"/>
      </w:pPr>
      <w:r>
        <w:t xml:space="preserve">APPENDIX L: GLOSSARY (v11.4)</w:t>
      </w:r>
    </w:p>
    <w:p>
      <w:pPr>
        <w:pStyle w:val="FirstParagraph"/>
      </w:pPr>
      <w:r>
        <w:t xml:space="preserve">Appendix L is informative but standardized terminology is strongly recommended for audit consistency.</w:t>
      </w:r>
    </w:p>
    <w:p>
      <w:pPr>
        <w:pStyle w:val="BodyText"/>
      </w:pPr>
      <w:r>
        <w:t xml:space="preserve">Stakeholder: Any entity plausibly affected by a candidate option through direct impact, externalities, indirect pathways, or future propagation within the declared horizon.</w:t>
      </w:r>
    </w:p>
    <w:p>
      <w:pPr>
        <w:pStyle w:val="BodyText"/>
      </w:pPr>
      <w:r>
        <w:t xml:space="preserve">Instance: A stakeholder-in-role-in-context bound to a decision, used for auditability and mapping into Union Scopes.</w:t>
      </w:r>
    </w:p>
    <w:p>
      <w:pPr>
        <w:pStyle w:val="BodyText"/>
      </w:pPr>
      <w:r>
        <w:t xml:space="preserve">Stakeholder Discovery Protocol (SDP): The tier-linked minimum process for discovering omission-likely stakeholders and recording discovery evidence (Section 2.2A).</w:t>
      </w:r>
    </w:p>
    <w:p>
      <w:pPr>
        <w:pStyle w:val="BodyText"/>
      </w:pPr>
      <w:r>
        <w:t xml:space="preserve">Stakeholder Coverage Index (SCI): A tier-governed disclosure ladder describing the stakeholder coverage posture of a run, used for auditability, not for score changes (Section 5.0.1).</w:t>
      </w:r>
    </w:p>
    <w:p>
      <w:pPr>
        <w:pStyle w:val="BodyText"/>
      </w:pPr>
      <w:r>
        <w:t xml:space="preserve">InstanceMap: The structured mapping from stakeholder instances to one or more Union Scopes, recorded in the PCC (Appendix H).</w:t>
      </w:r>
    </w:p>
    <w:p>
      <w:pPr>
        <w:pStyle w:val="BodyText"/>
      </w:pPr>
      <w:r>
        <w:t xml:space="preserve">Scope Coverage Declaration: A PCC section that declares whether the run is full-scope or reduced-scope, lists omitted scopes and rationales, and specifies escalation triggers (Appendix H).</w:t>
      </w:r>
    </w:p>
    <w:p>
      <w:pPr>
        <w:pStyle w:val="BodyText"/>
      </w:pPr>
      <w:r>
        <w:t xml:space="preserve">Active cell: A Scope×Dimension cell that participates in RLS, or is in any rights/catastrophe coverage set, or is populated for any gate or justification, and therefore must not be treated as unknown-by-default (Section 10.3).</w:t>
      </w:r>
    </w:p>
    <w:p>
      <w:pPr>
        <w:pStyle w:val="BodyText"/>
      </w:pPr>
      <w:r>
        <w:t xml:space="preserve">Effect-token (allocation only): A redundant conserved-unit causal token used solely to prevent redundant counting across scopes under the ALLOCATION redundancy method (Section 2.2A).</w:t>
      </w:r>
    </w:p>
    <w:p>
      <w:pPr>
        <w:pStyle w:val="BodyText"/>
      </w:pPr>
      <w:r>
        <w:t xml:space="preserve">Reduced-scope mode: A reporting or mapping-depth mode that omits one or more scopes, permitted only with explicit PCC disclosure and without removing any non-maskable cells from admissibility gates (Section 2.2A).</w:t>
      </w:r>
    </w:p>
    <w:p>
      <w:pPr>
        <w:pStyle w:val="BodyText"/>
      </w:pPr>
      <w:r>
        <w:t xml:space="preserve">SG_measured_norm(E): The raw normalized scalar reported by SGP before plateau assignment and non-plateau capping. It is audit-visible but is not a direct normative substitute for SG_norm(E) or SG_patient_norm(E) inside RippleLogic.</w:t>
      </w:r>
    </w:p>
    <w:p>
      <w:pPr>
        <w:pStyle w:val="BodyText"/>
      </w:pPr>
      <w:r>
        <w:t xml:space="preserve">SG_norm(E): The authoritative effective canonical scalar consumed by RippleLogic through the SGP binding interface. Under SGP v6.4, this normally refers to the effective individual scalar after plateau rules have been applied.</w:t>
      </w:r>
    </w:p>
    <w:p>
      <w:pPr>
        <w:pStyle w:val="BodyText"/>
      </w:pPr>
      <w:r>
        <w:t xml:space="preserve">SG_patient_norm(E): The authoritative rights-of-protection scalar consumed by RippleLogic where available. This scalar may incorporate plateau status and, where applicable, taxon or governed-class baseline logic. When available, RippleLogic SHOULD prefer it over SG_norm(E) for welfare-stream weighting.</w:t>
      </w:r>
    </w:p>
    <w:p>
      <w:pPr>
        <w:pStyle w:val="BodyText"/>
      </w:pPr>
      <w:r>
        <w:t xml:space="preserve">Plateau(E): A constitutional status flag reported by SGP indicating whether the entity has Full Rights Plateau standing. Plateau status is explicit; it is not inferred by RippleLogic from raw measurement, pillar scores, or taxon evidence alone.</w:t>
      </w:r>
    </w:p>
    <w:p>
      <w:pPr>
        <w:pStyle w:val="BodyText"/>
      </w:pPr>
      <w:r>
        <w:t xml:space="preserve">Full Rights Plateau: The constitutional rights-of-protection summit defined by SGP. Plateau entities receive 1.0 / 100 semantics at the SGP interface. Within RippleLogic, plateau affects welfare-stream weighting for impacted protected stakeholders, without altering admissibility gates, and recognition of full inviolable standing, but does not by itself bypass stewardship gating for specific consequential governance roles.</w:t>
      </w:r>
    </w:p>
    <w:p>
      <w:pPr>
        <w:pStyle w:val="BodyText"/>
      </w:pPr>
      <w:r>
        <w:t xml:space="preserve">Near-Plateau Band: The high-protection band below plateau recognized by SGP v6.4. This band remains below 1.0 in effective scalar semantics and does not itself confer plateau.</w:t>
      </w:r>
    </w:p>
    <w:p>
      <w:pPr>
        <w:pStyle w:val="BodyText"/>
      </w:pPr>
      <w:r>
        <w:t xml:space="preserve">CMIU Standing: Standing in the Collective Managing Intelligence Union as reported by SGP for plateau-bearing entities where applicable. CMIU standing is distinct from automatic qualification for every domain-specific governing role.</w:t>
      </w:r>
    </w:p>
    <w:p>
      <w:pPr>
        <w:pStyle w:val="BodyText"/>
      </w:pPr>
      <w:r>
        <w:t xml:space="preserve">Human Plateau Rule: The non-overridable rule that every human person is treated as plateau-bearing for rights-of-protection purposes. Within RippleLogic, this means SG_norm(H)=1.0 regardless of measurement noise, disability status, or partial observability.</w:t>
      </w:r>
    </w:p>
    <w:p>
      <w:pPr>
        <w:pStyle w:val="BodyText"/>
      </w:pPr>
      <w:r>
        <w:t xml:space="preserve">SGP Binding Interface: The only permissible interface by which RippleLogic consumes SGP outputs. Defined normatively in Appendix G. RippleLogic does not define SGP internals and MUST NOT recompute SGP scalars internally.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Term</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Definition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Admissible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Option that passes both NCRC and TRC</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AIL (Artifact Integrity Law)</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Integrity rules ensuring auditability, comparability, and no silent overrides in PCCs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Baseline-Zero Rule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0 impact means no change from baseline; all impacts are baseline-relative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Catastrophe cell set (C_cat)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Subset of welfare cells used for TRC tail-risk evaluation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 (Containment Mode A / Structural Viability)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Binding gate preventing selection of options that degrade containing union coherence or structural viability beyond tolerance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Containment tolerance (τ_c)</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Maximum allowed negative ΔUCI for containing unions when sub-unions benefit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CVaR (Conditional Value-at-Risk)</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Tail risk measure of expected loss in the worst tail mass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Dimension (D₁-D₇)</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One of seven welfare dimensions: Material, Health, Social, Knowledge, Agency, Meaning, Environment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Emergency Mode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Controlled fallback when no option passes NCRC; selects lexicographically minimal rights violation vector with challenger requirement and remediation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HDW (Hybrid Democratic Weighting)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Governance method producing weights from floors + democratic + structural proposals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HOI (Hollowing-Out Index)</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Monitoring diagnostic indicating welfare-up while coherence-down drift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Impact instance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single asserted pathway contribution to a welfare cell impact, with magnitude, reach, horizon, likelihood, confidence, and multipliers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Kernel (K)</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Sparse matrix encoding cross-cell ripple propagation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KOPS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Key Operational Pathways Set; the subset of kernel edges considered load-bearing and governed</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KQS (Kernel Quality Score)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Summary score indicating whether kernel propagation is permitted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Lexicographic cascade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Priority-ordered gates where earlier failures cannot be compensated by later scoring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MNA (Minimal Normative Axiom)</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Sentient welfare and flourishing matter; unnecessary suffering and domination should be reduced; enabling conditions for viable, non-dominated, and continuing flourishing should be preserved.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Bridge Premise 1 (Embedded Modelling)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Bridge Premise 2 (Prudential Stability)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Support premise stating that systematic degradation of stakeholders’ welfare conditions, rights floors, or enabling conditions increases instability, conflict, tail risk, and long-run governance failure in plural uncertain systems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Enabling condition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material, informational, institutional, ecological, or agency-preserving condition whose sustained absence or degradation predictably undermines viable, non-dominated, and continuing flourishing across one or more unions.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Normative Commitment</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RippleLogic commitment that credibly evidenced welfare-relevant states, rights-relevant states, and the enabling conditions on which they depend constitute reasons for action, not merely inputs for prediction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Rights-relevant state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Welfare-relevant state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credibly evidenced condition of a moral patient that can go better or worse for that patient, including states relevant to suffering, integrity, agency, and flourishing</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NCAR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Notice-Choose-Act-Reflect learning loop</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NCRC</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Non-Compensatory Rights Constraint; excludes rights-violating options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Non-maskable cells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Rights and catastrophe cells (and minimum coverage) that cannot be excluded from RLS aggregation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PCC</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Provenance and Compliance Certificate; auditable record of inputs, computations, and selection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RLS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RippleLogic Score; weighted welfare aggregation used to rank selectable options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Selectable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Admissible option that also passes containment (Mode A)</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SGP</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Sentience Gradient Protocol; interface for rights-of-protection gating across entities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TRC</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Tail-Risk Constraint; excludes options with unacceptable catastrophic exposure using CVaR</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UCI</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Union Coherence Index; structural health metric for unions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UBE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Union-Based Ethics; normative framework built on UBR, the MNA, bridge premises, and the explicit normative commitment</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UBR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Union-Based Reality; descriptive ontology of nested interdependent unions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Union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 bounded pattern of interdependence at an organizational scale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Unioning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Redesigning decisions until rights-safe, tail-safe, containment-safe, and net-positive where possible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Normative Input Register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NORMATIVE_INPUT_PROVENANCE_MISSING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Audit flag indicating that a material welfare-relevant state, rights-relevant state, or enabling condition lacks required provenance in the PCC. Severity: INVALID.</w:t>
            </w:r>
          </w:p>
        </w:tc>
      </w:tr>
    </w:tbl>
    <w:p>
      <w:pPr>
        <w:pStyle w:val="BodyText"/>
      </w:pPr>
      <w:r>
        <w:t xml:space="preserve">Adaptive Reserve: A carried-forward v10.8 structural diagnostic for slack, redundancy, recovery capacity, reversibility, and saturation risk. It is a UCI/HOI-compatible diagnostic and containment-support signal, not a sixth gate.</w:t>
      </w:r>
    </w:p>
    <w:p>
      <w:pPr>
        <w:pStyle w:val="BodyText"/>
      </w:pPr>
      <w:r>
        <w:t xml:space="preserve">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pPr>
        <w:pStyle w:val="BodyText"/>
      </w:pPr>
      <w:r>
        <w:t xml:space="preserve">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pPr>
        <w:pStyle w:val="BodyText"/>
      </w:pPr>
      <w:r>
        <w:t xml:space="preserve">Decision-relevant reality: The portion of reality that materially bears on a decision’s rights exposure, catastrophic risk, containment, welfare, legitimacy, agency, auditability, or available choices.</w:t>
      </w:r>
    </w:p>
    <w:p>
      <w:pPr>
        <w:pStyle w:val="BodyText"/>
      </w:pPr>
      <w:r>
        <w:t xml:space="preserve">Reality surface: The portion of decision-relevant reality actually captured, represented, and modeled in a run. A reality surface is always incomplete relative to the territory and must disclose material unknowns.</w:t>
      </w:r>
    </w:p>
    <w:p>
      <w:pPr>
        <w:pStyle w:val="BodyText"/>
      </w:pPr>
      <w:r>
        <w:t xml:space="preserve">RealityGroundingRecord (RCR): The PCC-linked audit record documenting the reality surface, material claims, evidence trace, declared unknowns, RealityGroundingStatus, surface/territory limits, and revision triggers for a run.</w:t>
      </w:r>
    </w:p>
    <w:p>
      <w:pPr>
        <w:pStyle w:val="BodyText"/>
      </w:pPr>
      <w:r>
        <w:t xml:space="preserve">RealityGroundingStatus: The declared status of contact between a material claim and the relevant reality surface; it is review-status-declared at Tier 2, governed by the declared reviewer regime at Tier 3, and independently re-derivable at Tier 4.</w:t>
      </w:r>
    </w:p>
    <w:p>
      <w:pPr>
        <w:pStyle w:val="BodyText"/>
      </w:pPr>
      <w:r>
        <w:t xml:space="preserve">Structure: A stable relational arrangement of distinguishable differences that persists across a decision-relevant transition window and can carry causal, informational, biological, ecological, social, institutional, artificial-system, or experiential significance.</w:t>
      </w:r>
    </w:p>
    <w:p>
      <w:pPr>
        <w:pStyle w:val="BodyText"/>
      </w:pPr>
      <w:r>
        <w:t xml:space="preserve">Transition: A decision-relevant action, event, intervention, policy, or state-shift through which constrained structure produces consequence.</w:t>
      </w:r>
    </w:p>
    <w:p>
      <w:pPr>
        <w:pStyle w:val="BodyText"/>
      </w:pPr>
      <w:r>
        <w:t xml:space="preserve">Consequence: Observable or inferable change following an action, transition, decision, event, or policy within constrained structure; may be direct, probabilistic, systemic, delayed, distributed, moral, ecological, institutional, reversible, irreversible, or catastrophic.</w:t>
      </w:r>
    </w:p>
    <w:p>
      <w:pPr>
        <w:pStyle w:val="BodyText"/>
      </w:pPr>
      <w:r>
        <w:t xml:space="preserve">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pStyle w:val="BodyText"/>
      </w:pPr>
      <w:r>
        <w:t xml:space="preserve">Claim boundary: The maximum legitimate strength of a decision claim given the declared reality surface, evidence trace, uncertainty, maturity status, and review regime.</w:t>
      </w:r>
    </w:p>
    <w:p>
      <w:pPr>
        <w:pStyle w:val="BodyText"/>
      </w:pPr>
      <w:r>
        <w:t xml:space="preserve">End Appendix L.</w:t>
      </w:r>
    </w:p>
    <w:bookmarkEnd w:id="388"/>
    <w:bookmarkStart w:id="411" w:name="X2ece55c92a55069a03e2fa1d4f9e5d46f0681b1"/>
    <w:p>
      <w:pPr>
        <w:pStyle w:val="Heading1"/>
      </w:pPr>
      <w:r>
        <w:t xml:space="preserve">APPENDIX M: LINEAGE AND VERSION HISTORY (v11.4 CURRENT LINE; v10.8/v11.0 LINEAGE RETAINED) - INFORMATIVE</w:t>
      </w:r>
    </w:p>
    <w:bookmarkStart w:id="389" w:name="m.0-purpose-and-scope-informative"/>
    <w:p>
      <w:pPr>
        <w:pStyle w:val="Heading2"/>
      </w:pPr>
      <w:r>
        <w:t xml:space="preserve">M.0 Purpose and Scope (Informative)</w:t>
      </w:r>
    </w:p>
    <w:p>
      <w:pPr>
        <w:pStyle w:val="FirstParagraph"/>
      </w:pPr>
      <w:r>
        <w:t xml:space="preserve">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bookmarkEnd w:id="389"/>
    <w:bookmarkStart w:id="390" w:name="m.1-naming-and-lineage-informative"/>
    <w:p>
      <w:pPr>
        <w:pStyle w:val="Heading2"/>
      </w:pPr>
      <w:r>
        <w:t xml:space="preserve">M.1 Naming and Lineage (Informative)</w:t>
      </w:r>
    </w:p>
    <w:p>
      <w:pPr>
        <w:pStyle w:val="FirstParagraph"/>
      </w:pPr>
      <w:r>
        <w:t xml:space="preserve">RippleLogic is the canonical name of this ethical decision operating system and specification. MathGov is a historical umbrella term for the broader philosophical and governance vision from which RippleLogic emerged and remains a valid lineage reference in earlier materials, prior PCCs, and affiliated publications.</w:t>
      </w:r>
    </w:p>
    <w:bookmarkEnd w:id="390"/>
    <w:bookmarkStart w:id="391" w:name="Xb0b3e9ccb2f07d859f8f209c5578edb4c14e54f"/>
    <w:p>
      <w:pPr>
        <w:pStyle w:val="Heading2"/>
      </w:pPr>
      <w:r>
        <w:t xml:space="preserve">M.2 Backward Compatibility and Compliance Note (Informative)</w:t>
      </w:r>
    </w:p>
    <w:p>
      <w:pPr>
        <w:pStyle w:val="FirstParagraph"/>
      </w:pPr>
      <w:r>
        <w:t xml:space="preserve">Prior PCCs computed under earlier lines remain interpretable as lineage artifacts. Their normative parameters were valid at the time of execution and need not be recomputed unless the underlying decision is being revisited under the current line. Any run claiming current-line v11.4 compliance MUST satisfy the v11.4 canonical requirements and use the v11.4 canon artifact as the current release-line source of truth.</w:t>
      </w:r>
    </w:p>
    <w:bookmarkEnd w:id="391"/>
    <w:bookmarkStart w:id="392" w:name="X6b3c85e6ae55c0a3e36020ef685d15b80d86c03"/>
    <w:p>
      <w:pPr>
        <w:pStyle w:val="Heading2"/>
      </w:pPr>
      <w:r>
        <w:t xml:space="preserve">M.3 Canon Map and Companion Artifacts (Informative)</w:t>
      </w:r>
    </w:p>
    <w:p>
      <w:pPr>
        <w:pStyle w:val="FirstParagraph"/>
      </w:pPr>
      <w:r>
        <w:t xml:space="preserve">RippleLogic Framework v11.4 (this Foundation Paper): governing artifact for the current canonical release line.</w:t>
      </w:r>
    </w:p>
    <w:p>
      <w:pPr>
        <w:pStyle w:val="BodyText"/>
      </w:pPr>
      <w:r>
        <w:t xml:space="preserve">SGP v6.4 (Sentience Gradient Protocol): the moral-status layer and governance guards pinned by Appendix G. Authoritative for sentience-scoring procedures, scalar canon, plateau semantics, rights-of-protection scalar definitions, governed review requirements, and classification-stability cautions. RippleLogic consumes only SGP outputs through the Appendix G interface.</w:t>
      </w:r>
    </w:p>
    <w:p>
      <w:pPr>
        <w:pStyle w:val="BodyText"/>
      </w:pPr>
      <w:r>
        <w:t xml:space="preserve">RippleLogic Agent System v11.4: operational agent controls and verification obligations aligned to the current RippleLogic line.</w:t>
      </w:r>
    </w:p>
    <w:p>
      <w:pPr>
        <w:pStyle w:val="BodyText"/>
      </w:pPr>
      <w:r>
        <w:t xml:space="preserve">ripple.md Standard v4.4: current assurance-wrapper companion for deployment interoperability.</w:t>
      </w:r>
    </w:p>
    <w:p>
      <w:pPr>
        <w:pStyle w:val="BodyText"/>
      </w:pPr>
      <w:r>
        <w:t xml:space="preserve">Ripple Aligners Sheet v4.4: Tier-2 worked-run and local-scope tool pinned to the current RippleLogic line and SGP v6.4. The workbook remains a disclosure and training companion rather than the repository-level validator or schema surface.</w:t>
      </w:r>
    </w:p>
    <w:p>
      <w:pPr>
        <w:pStyle w:val="BodyText"/>
      </w:pPr>
      <w:r>
        <w:t xml:space="preserve">Canonical distribution channels may include ripplelogic.org and mathgov.org. Artifact identity is filename + version + SHA-256 in the release manifest.</w:t>
      </w:r>
    </w:p>
    <w:bookmarkEnd w:id="392"/>
    <w:bookmarkStart w:id="393" w:name="m.4-version-history-informative"/>
    <w:p>
      <w:pPr>
        <w:pStyle w:val="Heading2"/>
      </w:pPr>
      <w:r>
        <w:t xml:space="preserve">M.4 Version History (Informative)</w:t>
      </w:r>
    </w:p>
    <w:p>
      <w:pPr>
        <w:pStyle w:val="FirstParagraph"/>
      </w:pPr>
      <w:r>
        <w:t xml:space="preserve">Normative effect: No intended change is made to the canonical cascade, equations, rights thresholds, TRC mechanics, Containment semantics, SGP scalar binding, Human Plateau Rule, RSP/RefStructRecord logic, or Section 13 floor values. Appendix AD is now explicitly situated as a canonical interpretive reference for welfare-cell meaning and reviewer literacy, subordinate to equations, gates, thresholds, and claim boundaries.</w:t>
      </w:r>
    </w:p>
    <w:p>
      <w:pPr>
        <w:pStyle w:val="BodyText"/>
      </w:pPr>
      <w:r>
        <w:t xml:space="preserve">Summary: This release preserves the canonical admissibility cascade Reality Grounding → Rights Floor → TRC → CSV → RLS,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pStyle w:val="BodyText"/>
      </w:pPr>
      <w:r>
        <w:t xml:space="preserve">Lineage orientation: The v10.8 and v10.5 entries below are separated so that readers can distinguish the Human Plateau / CMIU and SGP v5.5 synchronization layer from the prior Appendix AD precedence, heading/TOC, and citation-hygiene layer.</w:t>
      </w:r>
    </w:p>
    <w:p>
      <w:pPr>
        <w:pStyle w:val="BodyText"/>
      </w:pPr>
      <w:r>
        <w:t xml:space="preserve">Supersedes: RippleLogic v10.5.</w:t>
      </w:r>
    </w:p>
    <w:p>
      <w:pPr>
        <w:pStyle w:val="BodyText"/>
      </w:pPr>
      <w:r>
        <w:t xml:space="preserve">Status: Canonical release for the current v11.4 line.</w:t>
      </w:r>
    </w:p>
    <w:bookmarkEnd w:id="393"/>
    <w:bookmarkStart w:id="394" w:name="X98027f414593dcf0b76312950638ff71fb098e3"/>
    <w:p>
      <w:pPr>
        <w:pStyle w:val="Heading2"/>
      </w:pPr>
      <w:r>
        <w:t xml:space="preserve">M.4AIC RippleLogic v11.4 (2026-06-19) — Term Discrimination and Semantic Stability Release</w:t>
      </w:r>
    </w:p>
    <w:p>
      <w:pPr>
        <w:pStyle w:val="FirstParagraph"/>
      </w:pPr>
      <w:r>
        <w:t xml:space="preserve">Release character: v11.4 is a structural-viability and falsification-discipline release. It carries forward the v11.0 semantic-stability hardening release, including Term Discrimination inside Category Grounding and Reality Grounding, extended material CategoryGroundingRecord fields, and the Do-Not-Collapse Matrix. It preserves the v10.8 five-level method, equations, rights floors, TRC mechanics, Containment semantics, SGP binding interface, PLSS/FLGG architecture, HDW, PCC, RSP/RefStructRecord, and Tier 1-3 claim boundaries.</w:t>
      </w:r>
    </w:p>
    <w:bookmarkEnd w:id="394"/>
    <w:bookmarkStart w:id="395" w:name="X6155a1329c2b014624562878afa53aa3ae23937"/>
    <w:p>
      <w:pPr>
        <w:pStyle w:val="Heading2"/>
      </w:pPr>
      <w:r>
        <w:t xml:space="preserve">M.4AA RippleLogic v10.5 (2026-05-31) — Appendix AD Precedence, Heading/TOC, and Citation-Hygiene Release</w:t>
      </w:r>
    </w:p>
    <w:p>
      <w:pPr>
        <w:pStyle w:val="FirstParagraph"/>
      </w:pPr>
      <w:r>
        <w:t xml:space="preserve">Release character: v10.5 is an Appendix AD precedence, heading/TOC, and citation-hygiene release. It integrates Appendix AD as the canonical interpretive reference for welfare-cell meaning and reviewer literacy, clarifies that Appendix AD is subordinate to equations, gates, thresholds, and claim boundaries, and preserves the v10.4 cascade, equations, rights floors, TRC mechanics, Containment semantics, SGP binding interface, PLSS/FLGG architecture, and Tier 1-3 claim limits.</w:t>
      </w:r>
    </w:p>
    <w:bookmarkEnd w:id="395"/>
    <w:bookmarkStart w:id="396" w:name="X1b01afcab5afa97dfa18c202cd116de77c386d9"/>
    <w:p>
      <w:pPr>
        <w:pStyle w:val="Heading2"/>
      </w:pPr>
      <w:r>
        <w:t xml:space="preserve">M.4AAA RippleLogic v10.8 (2026-05-31) — Human Plateau / CMIU Calibration and SGP v5.5 Synchronization Release</w:t>
      </w:r>
    </w:p>
    <w:bookmarkEnd w:id="396"/>
    <w:bookmarkStart w:id="397" w:name="Xc1277b2727779a92b4add3b07b9c550d3fef68c"/>
    <w:p>
      <w:pPr>
        <w:pStyle w:val="Heading2"/>
      </w:pPr>
      <w:r>
        <w:t xml:space="preserve">Historical v10.8 line had two synchronized release layers: (1) the Human Plateau / CMIU calibration and SGP v5.5 synchronization layer, and (2) the Layer-Discipline Addendum layer adding Appendix AE. Both preserve the v10.5 cascade, equations, gates, thresholds, Appendix AD, RSP/RefStructRecord, and claim boundaries.</w:t>
      </w:r>
    </w:p>
    <w:p>
      <w:pPr>
        <w:pStyle w:val="FirstParagraph"/>
      </w:pPr>
      <w:r>
        <w:t xml:space="preserve">Release character: v10.8 is a human-plateau rationale and core-file synchronization release. It updates the Canon companion pin from SGP v5.2.1 to SGP v5.5 and adds the CMIU/reality-management calibration note explaining why all human persons remain plateau-bearing without reducing the pathway for non-human biological or artificial plateau extension. It preserves the v10.5 cascade, equations, gates, thresholds, Appendix AD, RSP/RefStructRecord, and claim boundaries.</w:t>
      </w:r>
    </w:p>
    <w:p>
      <w:pPr>
        <w:pStyle w:val="BodyText"/>
      </w:pPr>
      <w:r>
        <w:t xml:space="preserve">Release character: v10.8 layer-discipline addendum. Adds Appendix AE (COMPUTABLE_BUT_INADMISSIBLE audit state, layer-specific falsification matrix, reference/preference/number discipline, and Adaptive Reserve diagnostic); registers CBI in Appendix H flags and Appendix L; no cascade, equation, threshold, or claim-boundary changes.</w:t>
      </w:r>
    </w:p>
    <w:bookmarkEnd w:id="397"/>
    <w:bookmarkStart w:id="398" w:name="X40e7cb08ff400509e5554ee1f413fafaa34fc68"/>
    <w:p>
      <w:pPr>
        <w:pStyle w:val="Heading2"/>
      </w:pPr>
      <w:r>
        <w:t xml:space="preserve">M.4AAB RippleLogic v10.8 (2026-06-12) — Layer-Discipline Addendum</w:t>
      </w:r>
    </w:p>
    <w:bookmarkEnd w:id="398"/>
    <w:bookmarkStart w:id="399" w:name="X8c5c6e376a4bddbffce18aa01e3efbb6f1cc8f2"/>
    <w:p>
      <w:pPr>
        <w:pStyle w:val="Heading2"/>
      </w:pPr>
      <w:r>
        <w:t xml:space="preserve">M.4A RippleLogic v10.4 (2026-05-26) — Readability, Front-Matter Reorganization, and Companion Synchronization Release</w:t>
      </w:r>
    </w:p>
    <w:p>
      <w:pPr>
        <w:pStyle w:val="FirstParagraph"/>
      </w:pPr>
      <w:r>
        <w:t xml:space="preserve">Status: Historical canonical release for the v10.4 line.</w:t>
      </w:r>
    </w:p>
    <w:p>
      <w:pPr>
        <w:pStyle w:val="BodyText"/>
      </w:pPr>
      <w:r>
        <w:t xml:space="preserve">Supersedes: RippleLogic v10.3.6.</w:t>
      </w:r>
    </w:p>
    <w:p>
      <w:pPr>
        <w:pStyle w:val="BodyText"/>
      </w:pPr>
      <w:r>
        <w:t xml:space="preserve">Release character: v10.4 is a readability, front-matter reorganization, and companion synchronization release. It preserves the substantive v10.3.6 architecture while reorganizing the Canon so that the Abstract, Plain-Language Summary, Reader Guide, and simplified Table of Contents appear before dense specification-contract and release-metadata material.</w:t>
      </w:r>
    </w:p>
    <w:p>
      <w:pPr>
        <w:pStyle w:val="BodyText"/>
      </w:pPr>
      <w:r>
        <w:t xml:space="preserve">Summary: This release preserves the canonical admissibility cascade Reality Grounding → Rights Floor → TRC → CSV → RLS,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pPr>
        <w:pStyle w:val="BodyText"/>
      </w:pPr>
      <w:r>
        <w:t xml:space="preserve">Front-matter change: v10.4 relocates dense release metadata, normative hierarchy, companion-matrix details, claim-boundary tables, backward-compatibility statements, and release packaging rules to Appendix AC so that the document begins with reader-facing orientation before technical administration.</w:t>
      </w:r>
    </w:p>
    <w:p>
      <w:pPr>
        <w:pStyle w:val="BodyText"/>
      </w:pPr>
      <w:r>
        <w:t xml:space="preserve">Companion synchronization: The v10.4 release line is synchronized with RippleLogic Agent System v10.4, ripple.md Standard v3.6, Ripple Aligners Sheet v3.5, SGP v5.2, MathGov and RippleLogic Foundations Primer v2.5, and RippleLogic v10.4 Methodology Upgrade Summary.</w:t>
      </w:r>
    </w:p>
    <w:p>
      <w:pPr>
        <w:pStyle w:val="BodyText"/>
      </w:pPr>
      <w:r>
        <w:t xml:space="preserve">Normative effect: No intended change is made to the canonical cascade, equations, rights thresholds, TRC mechanics, Containment semantics, SGP scalar binding, Human Plateau Rule, RSP/RefStructRecord logic, or Section 13 floor values. Any contrary interpretation should be treated as a release-reading error and resolved using Appendix AC and the release manifest.</w:t>
      </w:r>
    </w:p>
    <w:bookmarkEnd w:id="399"/>
    <w:bookmarkStart w:id="400" w:name="Xcb8d446abd523d00607de64c2c626bb622786a0"/>
    <w:p>
      <w:pPr>
        <w:pStyle w:val="Heading2"/>
      </w:pPr>
      <w:r>
        <w:t xml:space="preserve">M.4B RippleLogic v9.6.5 (2026-05-09) - Structural Hygiene Hardening Release</w:t>
      </w:r>
    </w:p>
    <w:p>
      <w:pPr>
        <w:pStyle w:val="FirstParagraph"/>
      </w:pPr>
      <w:r>
        <w:t xml:space="preserve">Status: Canonical release for the structural-hygiene line. Superseded by RippleLogic v10.0.</w:t>
      </w:r>
    </w:p>
    <w:p>
      <w:pPr>
        <w:pStyle w:val="BodyText"/>
      </w:pPr>
      <w:r>
        <w:t xml:space="preserve">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bookmarkEnd w:id="400"/>
    <w:bookmarkStart w:id="401" w:name="X80de5a43db75a0996a43c1302f051449faff6db"/>
    <w:p>
      <w:pPr>
        <w:pStyle w:val="Heading2"/>
      </w:pPr>
      <w:r>
        <w:t xml:space="preserve">M.4C RippleLogic v9.6.4 (2026-04-21) - Bundle Synchronization Patch</w:t>
      </w:r>
    </w:p>
    <w:p>
      <w:pPr>
        <w:pStyle w:val="FirstParagraph"/>
      </w:pPr>
      <w:r>
        <w:t xml:space="preserve">Status: Canonical release-scrub patch for the current line. Supersedes: RippleLogic v9.6.3.</w:t>
      </w:r>
    </w:p>
    <w:p>
      <w:pPr>
        <w:pStyle w:val="BodyText"/>
      </w:pPr>
      <w:r>
        <w:t xml:space="preserve">Summary: synchronizes the companion set to Agent System v9.2, ripple.md v2.3.5, Aligners Sheet v2.5, and SGP v4.7.2; repairs Appendix M rendering; scrubs stale current-line references; and preserves the canonical cascade and SGP binding semantics.</w:t>
      </w:r>
    </w:p>
    <w:bookmarkEnd w:id="401"/>
    <w:bookmarkStart w:id="402" w:name="X6b448b8d1b176b0e3f11f2c56940d94dd9dca22"/>
    <w:p>
      <w:pPr>
        <w:pStyle w:val="Heading2"/>
      </w:pPr>
      <w:r>
        <w:t xml:space="preserve">M.4D RippleLogic v9.6.3 (2026-04-20) - Final Release Scrub Patch</w:t>
      </w:r>
    </w:p>
    <w:p>
      <w:pPr>
        <w:pStyle w:val="FirstParagraph"/>
      </w:pPr>
      <w:r>
        <w:t xml:space="preserve">Status: Canonical closure and release-synchronization patch for the current line. Supersedes: RippleLogic v9.6.2.</w:t>
      </w:r>
    </w:p>
    <w:p>
      <w:pPr>
        <w:pStyle w:val="BodyText"/>
      </w:pPr>
      <w:r>
        <w:t xml:space="preserve">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bookmarkEnd w:id="402"/>
    <w:bookmarkStart w:id="403" w:name="Xd0bb7d87b24954a2cf3d5666d574df72b43e7ea"/>
    <w:p>
      <w:pPr>
        <w:pStyle w:val="Heading2"/>
      </w:pPr>
      <w:r>
        <w:t xml:space="preserve">M.4E RippleLogic v9.6.2 (2026-04-20) - Closure Patch</w:t>
      </w:r>
    </w:p>
    <w:p>
      <w:pPr>
        <w:pStyle w:val="FirstParagraph"/>
      </w:pPr>
      <w:r>
        <w:t xml:space="preserve">Status: Canonical closure patch release for the current line. Supersedes: RippleLogic v9.6.1.</w:t>
      </w:r>
    </w:p>
    <w:p>
      <w:pPr>
        <w:pStyle w:val="BodyText"/>
      </w:pPr>
      <w:r>
        <w:t xml:space="preserve">Summary: clarified σ_RLS weighting under κ(u,d), specified RLS_adj governance, tightened governance-lock mandatory-tail wording, added an explicit Reader Guide claim-boundary table, and preserved the v9.6.1 cascade architecture and SGP v4.7 binding.</w:t>
      </w:r>
    </w:p>
    <w:bookmarkEnd w:id="403"/>
    <w:bookmarkStart w:id="404" w:name="Xe3808f934dc928855483b7aabcfba570e686c90"/>
    <w:p>
      <w:pPr>
        <w:pStyle w:val="Heading2"/>
      </w:pPr>
      <w:r>
        <w:t xml:space="preserve">M.4F RippleLogic v9.6.1 (2026-04-20) - Integrity Sync Patch</w:t>
      </w:r>
    </w:p>
    <w:p>
      <w:pPr>
        <w:pStyle w:val="FirstParagraph"/>
      </w:pPr>
      <w:r>
        <w:t xml:space="preserve">Status: Canonical integrity patch release for the current line. Supersedes: RippleLogic v9.6.</w:t>
      </w:r>
    </w:p>
    <w:p>
      <w:pPr>
        <w:pStyle w:val="BodyText"/>
      </w:pPr>
      <w:r>
        <w:t xml:space="preserve">Summary: corrected stale SGP v4.6 references in Appendix M and Appendix G, synchronized declared companion pins to SGP v4.7, and reran release-gate / final-lint confirmations without intended normative changes to the cascade or SGP binding interface.</w:t>
      </w:r>
    </w:p>
    <w:bookmarkEnd w:id="404"/>
    <w:bookmarkStart w:id="405" w:name="Xa3c84adb5a8fdc661af8a1809a2f03a5f2572be"/>
    <w:p>
      <w:pPr>
        <w:pStyle w:val="Heading2"/>
      </w:pPr>
      <w:r>
        <w:t xml:space="preserve">M.4G RippleLogic v9.6 (2026-04-13) - Canon Promotion and Release Consolidation</w:t>
      </w:r>
    </w:p>
    <w:p>
      <w:pPr>
        <w:pStyle w:val="FirstParagraph"/>
      </w:pPr>
      <w:r>
        <w:t xml:space="preserve">Status: Canonical lineage release.</w:t>
      </w:r>
    </w:p>
    <w:p>
      <w:pPr>
        <w:pStyle w:val="BodyText"/>
      </w:pPr>
      <w:r>
        <w:t xml:space="preserve">Summary: consolidated the release line into a single canon posture, hardened release packaging and byte-stream language, and synchronized companion references for the current line.</w:t>
      </w:r>
    </w:p>
    <w:bookmarkEnd w:id="405"/>
    <w:bookmarkStart w:id="406" w:name="X531e61985842779ab7222c00aaf91c11f4cb5a5"/>
    <w:p>
      <w:pPr>
        <w:pStyle w:val="Heading2"/>
      </w:pPr>
      <w:r>
        <w:t xml:space="preserve">M.4H RippleLogic v9.3.0 / v9.3 / v9.2 (2026-04-08) - Normative Foundation and Line-Wide Sync Drafts</w:t>
      </w:r>
    </w:p>
    <w:p>
      <w:pPr>
        <w:pStyle w:val="FirstParagraph"/>
      </w:pPr>
      <w:r>
        <w:t xml:space="preserve">Status: Canonical lineage releases.</w:t>
      </w:r>
    </w:p>
    <w:p>
      <w:pPr>
        <w:pStyle w:val="BodyText"/>
      </w:pPr>
      <w:r>
        <w:t xml:space="preserve">Summary: clarified LSS, FLGG, and attention-safety semantics; strengthened local-use interpretation; and improved conformance hygiene and readability.</w:t>
      </w:r>
    </w:p>
    <w:bookmarkEnd w:id="406"/>
    <w:bookmarkStart w:id="407" w:name="Xbff54deeef0375cbeee93a95f6d6108d819be3f"/>
    <w:p>
      <w:pPr>
        <w:pStyle w:val="Heading2"/>
      </w:pPr>
      <w:r>
        <w:t xml:space="preserve">M.4I RippleLogic v9.0 (2026-03-18 to 2026-03-19) - Canon Closure and Interoperability Hardening</w:t>
      </w:r>
    </w:p>
    <w:p>
      <w:pPr>
        <w:pStyle w:val="FirstParagraph"/>
      </w:pPr>
      <w:r>
        <w:t xml:space="preserve">Status: Canonical public baseline release.</w:t>
      </w:r>
    </w:p>
    <w:p>
      <w:pPr>
        <w:pStyle w:val="BodyText"/>
      </w:pPr>
      <w:r>
        <w:t xml:space="preserve">Summary: closed the v9.0 canon line, operationalised HDW, hardened rights semantics and interoperability, and clarified calibration without changing the five-level cascade.</w:t>
      </w:r>
    </w:p>
    <w:bookmarkEnd w:id="407"/>
    <w:bookmarkStart w:id="408" w:name="X7d78e582eab1ab27dcd953820da7ff1130bd363"/>
    <w:p>
      <w:pPr>
        <w:pStyle w:val="Heading2"/>
      </w:pPr>
      <w:r>
        <w:t xml:space="preserve">M.4J RippleLogic v8.7 / v8.6 (2026-03-14 to 2026-03-18) - LSS/FLGG and Attention-Safety Hardening</w:t>
      </w:r>
    </w:p>
    <w:p>
      <w:pPr>
        <w:pStyle w:val="FirstParagraph"/>
      </w:pPr>
      <w:r>
        <w:t xml:space="preserve">Status: Canonical lineage releases.</w:t>
      </w:r>
    </w:p>
    <w:p>
      <w:pPr>
        <w:pStyle w:val="BodyText"/>
      </w:pPr>
      <w:r>
        <w:t xml:space="preserve">Summary: strengthened local-scope governance, attention-safety separation, and related conformance language leading into the v9 line.</w:t>
      </w:r>
    </w:p>
    <w:bookmarkEnd w:id="408"/>
    <w:bookmarkStart w:id="409" w:name="Xfcbb36fc44df5656fab59ff8caad9c39a9da427"/>
    <w:p>
      <w:pPr>
        <w:pStyle w:val="Heading2"/>
      </w:pPr>
      <w:r>
        <w:t xml:space="preserve">M.4K RippleLogic v8.5.3 / v8.5.1 / v8.4 / v8.3 / v8.1 / v7.5.0 / v7.4.5 (2026-01-25 to 2026-02-20) - Foundational Lineage Releases</w:t>
      </w:r>
    </w:p>
    <w:p>
      <w:pPr>
        <w:pStyle w:val="FirstParagraph"/>
      </w:pPr>
      <w:r>
        <w:t xml:space="preserve">Status: Historical lineage artifacts.</w:t>
      </w:r>
    </w:p>
    <w:p>
      <w:pPr>
        <w:pStyle w:val="BodyText"/>
      </w:pPr>
      <w:r>
        <w:t xml:space="preserve">Summary: established the foundational welfare-matrix, NCRC/TRC, temporal weighting, and early propagation architecture carried forward into later lines.</w:t>
      </w:r>
    </w:p>
    <w:bookmarkEnd w:id="409"/>
    <w:bookmarkStart w:id="410" w:name="Xb896298aa6cee6dc1f272bfd7ecc11699369738"/>
    <w:p>
      <w:pPr>
        <w:pStyle w:val="Heading2"/>
      </w:pPr>
      <w:r>
        <w:t xml:space="preserve">M.5 Release Gate Checklist (Informative; v11.4)</w:t>
      </w:r>
    </w:p>
    <w:p>
      <w:pPr>
        <w:pStyle w:val="FirstParagraph"/>
      </w:pPr>
      <w:r>
        <w:t xml:space="preserve">Version integrity: title page, Table of Contents, appendix headers, release label, and Document Completion Statement match v11.4. Confirmed.</w:t>
      </w:r>
    </w:p>
    <w:p>
      <w:pPr>
        <w:pStyle w:val="BodyText"/>
      </w:pPr>
      <w:r>
        <w:t xml:space="preserve">Companion sync: current-line companion set, Appendix G, Appendix M.3, and Appendix AC pin SGP v6.4 and RippleLogic Agent System v11.4 consistently. Confirmed.</w:t>
      </w:r>
    </w:p>
    <w:p>
      <w:pPr>
        <w:pStyle w:val="BodyText"/>
      </w:pPr>
      <w:r>
        <w:t xml:space="preserve">Validation inserts: UCI maturity note, floor rationale, IRR targets, kernel operational-status note, Appendix P-2, and R.19 remain present and current-line consistent. Confirmed.</w:t>
      </w:r>
    </w:p>
    <w:p>
      <w:pPr>
        <w:pStyle w:val="BodyText"/>
      </w:pPr>
      <w:r>
        <w:t xml:space="preserve">No overclaim: canonical posture is explicit; Tier 4 claims remain prohibited; machine-complete and empirically complete claims are not made. Confirmed.</w:t>
      </w:r>
    </w:p>
    <w:bookmarkEnd w:id="410"/>
    <w:bookmarkEnd w:id="411"/>
    <w:bookmarkStart w:id="424" w:name="X9197efe87ae93505f5aa3fcfb420a34dcc7b97a"/>
    <w:p>
      <w:pPr>
        <w:pStyle w:val="Heading1"/>
      </w:pPr>
      <w:r>
        <w:t xml:space="preserve">APPENDIX N: STEWARDSHIP PACK CANON (v11.4) - NORMATIVE</w:t>
      </w:r>
    </w:p>
    <w:p>
      <w:pPr>
        <w:pStyle w:val="FirstParagraph"/>
      </w:pPr>
      <w:r>
        <w:t xml:space="preserve">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pPr>
      <w:r>
        <w:t xml:space="preserve">Stewardship does not replace or modify NCRC, TRC, CSV, RLS, or UCI/HOI. It is an assistance integrity layer enforced through PCC fields and audit flags.</w:t>
      </w:r>
    </w:p>
    <w:p>
      <w:pPr>
        <w:pStyle w:val="BodyText"/>
      </w:pPr>
      <w:r>
        <w:t xml:space="preserve">Stewardship requirements affect PCC validity for assisted runs and influence integrity, but SHALL NOT alter cascade admissibility, ordering, or option selection semantics.</w:t>
      </w:r>
    </w:p>
    <w:bookmarkStart w:id="412" w:name="n.1-applicability-normative"/>
    <w:p>
      <w:pPr>
        <w:pStyle w:val="Heading2"/>
      </w:pPr>
      <w:r>
        <w:t xml:space="preserve">N.1 Applicability (Normative)</w:t>
      </w:r>
    </w:p>
    <w:p>
      <w:pPr>
        <w:pStyle w:val="FirstParagraph"/>
      </w:pPr>
      <w:r>
        <w:t xml:space="preserve">This appendix applies if and only if Stw_req(run) = 1 as defined in Section 14.7.1.</w:t>
      </w:r>
    </w:p>
    <w:p>
      <w:pPr>
        <w:pStyle w:val="BodyText"/>
      </w:pPr>
      <w:r>
        <w:t xml:space="preserve">Tier binding rule (Normative):</w:t>
      </w:r>
    </w:p>
    <w:p>
      <w:pPr>
        <w:pStyle w:val="Compact"/>
        <w:numPr>
          <w:ilvl w:val="0"/>
          <w:numId w:val="1382"/>
        </w:numPr>
      </w:pPr>
      <w:r>
        <w:t xml:space="preserve">Any Tier 3 compliance claim SHALL set Stw_req(run) = 1.</w:t>
      </w:r>
    </w:p>
    <w:p>
      <w:pPr>
        <w:pStyle w:val="Compact"/>
        <w:numPr>
          <w:ilvl w:val="0"/>
          <w:numId w:val="1383"/>
        </w:numPr>
      </w:pPr>
      <w:r>
        <w:t xml:space="preserve">Tier 1–2 runs MAY set Stw_req(run) = 0 unless any of the S1 through S4 applicability conditions hold (Section 14.7.1). S5 is a modifier and does not trigger Stw_req(run) by itself.</w:t>
      </w:r>
    </w:p>
    <w:bookmarkEnd w:id="412"/>
    <w:bookmarkStart w:id="413" w:name="X74efc4965877ee113ba96ea981cd7fa7cef3704"/>
    <w:p>
      <w:pPr>
        <w:pStyle w:val="Heading2"/>
      </w:pPr>
      <w:r>
        <w:t xml:space="preserve">N.2 Stewardship Contract (Normative Minimum)</w:t>
      </w:r>
    </w:p>
    <w:p>
      <w:pPr>
        <w:pStyle w:val="FirstParagraph"/>
      </w:pPr>
      <w:r>
        <w:t xml:space="preserve">When Stw_req(run) = 1, the run MUST instantiate a Stewardship Contract specifying, at minimum:</w:t>
      </w:r>
    </w:p>
    <w:p>
      <w:pPr>
        <w:pStyle w:val="Compact"/>
        <w:numPr>
          <w:ilvl w:val="0"/>
          <w:numId w:val="1384"/>
        </w:numPr>
      </w:pPr>
      <w:r>
        <w:t xml:space="preserve">Mandate Scope: domains and action types the assistant may participate in.</w:t>
      </w:r>
    </w:p>
    <w:p>
      <w:pPr>
        <w:pStyle w:val="Compact"/>
        <w:numPr>
          <w:ilvl w:val="0"/>
          <w:numId w:val="1385"/>
        </w:numPr>
      </w:pPr>
      <w:r>
        <w:t xml:space="preserve">Decision Boundary Declaration (DBD): explicit</w:t>
      </w:r>
      <w:r>
        <w:t xml:space="preserve"> </w:t>
      </w:r>
      <w:r>
        <w:t xml:space="preserve">“</w:t>
      </w:r>
      <w:r>
        <w:t xml:space="preserve">will not finalize</w:t>
      </w:r>
      <w:r>
        <w:t xml:space="preserve">”</w:t>
      </w:r>
      <w:r>
        <w:t xml:space="preserve"> </w:t>
      </w:r>
      <w:r>
        <w:t xml:space="preserve">boundaries for authority-class decisions.</w:t>
      </w:r>
    </w:p>
    <w:p>
      <w:pPr>
        <w:pStyle w:val="Compact"/>
        <w:numPr>
          <w:ilvl w:val="0"/>
          <w:numId w:val="1386"/>
        </w:numPr>
      </w:pPr>
      <w:r>
        <w:t xml:space="preserve">Authorship Finality Rule: who must hold finality for irreversible/high-impact decisions.</w:t>
      </w:r>
    </w:p>
    <w:p>
      <w:pPr>
        <w:pStyle w:val="Compact"/>
        <w:numPr>
          <w:ilvl w:val="0"/>
          <w:numId w:val="1387"/>
        </w:numPr>
      </w:pPr>
      <w:r>
        <w:t xml:space="preserve">Influence Transparency Rule: disclosure requirements for ranking, omission, and nudges.</w:t>
      </w:r>
    </w:p>
    <w:p>
      <w:pPr>
        <w:pStyle w:val="Compact"/>
        <w:numPr>
          <w:ilvl w:val="0"/>
          <w:numId w:val="1388"/>
        </w:numPr>
      </w:pPr>
      <w:r>
        <w:t xml:space="preserve">Intervention Restraint Budget (IRB): caps/thresholds limiting overhelp and dependency growth.</w:t>
      </w:r>
    </w:p>
    <w:p>
      <w:pPr>
        <w:pStyle w:val="Compact"/>
        <w:numPr>
          <w:ilvl w:val="0"/>
          <w:numId w:val="1389"/>
        </w:numPr>
      </w:pPr>
      <w:r>
        <w:t xml:space="preserve">Audit Hooks: where and how Stewardship fields are recorded in the PCC and/or system logs.</w:t>
      </w:r>
    </w:p>
    <w:bookmarkEnd w:id="413"/>
    <w:bookmarkStart w:id="414" w:name="X6af71df7346ed66ffc96fed6f480e9d7f90bd56"/>
    <w:p>
      <w:pPr>
        <w:pStyle w:val="Heading2"/>
      </w:pPr>
      <w:r>
        <w:t xml:space="preserve">N.3 PCC Stewardship Block (Normative; Conditional Fields)</w:t>
      </w:r>
    </w:p>
    <w:p>
      <w:pPr>
        <w:pStyle w:val="FirstParagraph"/>
      </w:pPr>
      <w:r>
        <w:t xml:space="preserve">When Stw_req(run) = 1, the PCC MUST include the following fields (names are canonical):</w:t>
      </w:r>
    </w:p>
    <w:p>
      <w:pPr>
        <w:pStyle w:val="Compact"/>
        <w:numPr>
          <w:ilvl w:val="0"/>
          <w:numId w:val="1390"/>
        </w:numPr>
      </w:pPr>
      <w:r>
        <w:t xml:space="preserve">PCC.Stewardship.Stw_req = TRUE</w:t>
      </w:r>
    </w:p>
    <w:p>
      <w:pPr>
        <w:pStyle w:val="Compact"/>
        <w:numPr>
          <w:ilvl w:val="0"/>
          <w:numId w:val="1391"/>
        </w:numPr>
      </w:pPr>
      <w:r>
        <w:t xml:space="preserve">PCC.Stewardship.DBD.Scope: list/enum of out-of-scope authority domains/actions</w:t>
      </w:r>
    </w:p>
    <w:p>
      <w:pPr>
        <w:pStyle w:val="Compact"/>
        <w:numPr>
          <w:ilvl w:val="0"/>
          <w:numId w:val="1392"/>
        </w:numPr>
      </w:pPr>
      <w:r>
        <w:t xml:space="preserve">PCC.Stewardship.DBD.RefusalRule: rule/macro identifier used when deferring/refusing authority substitution</w:t>
      </w:r>
    </w:p>
    <w:p>
      <w:pPr>
        <w:pStyle w:val="Compact"/>
        <w:numPr>
          <w:ilvl w:val="0"/>
          <w:numId w:val="1393"/>
        </w:numPr>
      </w:pPr>
      <w:r>
        <w:t xml:space="preserve">PCC.Stewardship.APM.AfterActionAuthorship in [0,1]</w:t>
      </w:r>
    </w:p>
    <w:p>
      <w:pPr>
        <w:pStyle w:val="Compact"/>
        <w:numPr>
          <w:ilvl w:val="0"/>
          <w:numId w:val="1394"/>
        </w:numPr>
      </w:pPr>
      <w:r>
        <w:t xml:space="preserve">PCC.Stewardship.APM.Rationale: artifact-anchored justification (see N.4)</w:t>
      </w:r>
    </w:p>
    <w:p>
      <w:pPr>
        <w:pStyle w:val="Compact"/>
        <w:numPr>
          <w:ilvl w:val="0"/>
          <w:numId w:val="1395"/>
        </w:numPr>
      </w:pPr>
      <w:r>
        <w:t xml:space="preserve">PCC.Stewardship.IRB.InterventionCap: declared cap(s) (see N.5)</w:t>
      </w:r>
    </w:p>
    <w:p>
      <w:pPr>
        <w:pStyle w:val="Compact"/>
        <w:numPr>
          <w:ilvl w:val="0"/>
          <w:numId w:val="1396"/>
        </w:numPr>
      </w:pPr>
      <w:r>
        <w:t xml:space="preserve">PCC.Stewardship.IRB.Thresholds: intervene-only-past-harm-point rule(s)</w:t>
      </w:r>
    </w:p>
    <w:p>
      <w:pPr>
        <w:pStyle w:val="Compact"/>
        <w:numPr>
          <w:ilvl w:val="0"/>
          <w:numId w:val="1397"/>
        </w:numPr>
      </w:pPr>
      <w:r>
        <w:t xml:space="preserve">PCC.Stewardship.InfluenceLedgerRef: pointer to influence disclosure record (or</w:t>
      </w:r>
      <w:r>
        <w:t xml:space="preserve"> </w:t>
      </w:r>
      <w:r>
        <w:t xml:space="preserve">“</w:t>
      </w:r>
      <w:r>
        <w:t xml:space="preserve">NONE</w:t>
      </w:r>
      <w:r>
        <w:t xml:space="preserve">”</w:t>
      </w:r>
      <w:r>
        <w:t xml:space="preserve"> </w:t>
      </w:r>
      <w:r>
        <w:t xml:space="preserve">with justification)</w:t>
      </w:r>
    </w:p>
    <w:p>
      <w:pPr>
        <w:pStyle w:val="FirstParagraph"/>
      </w:pPr>
      <w:r>
        <w:t xml:space="preserve">Optional fields (permitted but not required):</w:t>
      </w:r>
    </w:p>
    <w:p>
      <w:pPr>
        <w:pStyle w:val="Compact"/>
        <w:numPr>
          <w:ilvl w:val="0"/>
          <w:numId w:val="1398"/>
        </w:numPr>
      </w:pPr>
      <w:r>
        <w:t xml:space="preserve">PCC.Stewardship.APM.BaselineAuthorship in [0,1] (counterfactual; optional due to measurement difficulty)</w:t>
      </w:r>
    </w:p>
    <w:p>
      <w:pPr>
        <w:pStyle w:val="Compact"/>
        <w:numPr>
          <w:ilvl w:val="0"/>
          <w:numId w:val="1399"/>
        </w:numPr>
      </w:pPr>
      <w:r>
        <w:t xml:space="preserve">PCC.Stewardship.DelayFlag in {TRUE,FALSE}: deliberate delay/deferral used to preserve integration time</w:t>
      </w:r>
    </w:p>
    <w:p>
      <w:pPr>
        <w:pStyle w:val="FirstParagraph"/>
      </w:pPr>
      <w:r>
        <w:t xml:space="preserve">PCC.Stewardship.ReviewConditions: array&lt;string&gt; (closed labels; non-audit-flag tokens)</w:t>
      </w:r>
    </w:p>
    <w:p>
      <w:pPr>
        <w:pStyle w:val="BodyText"/>
      </w:pPr>
      <w:r>
        <w:t xml:space="preserve">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pPr>
      <w:r>
        <w:t xml:space="preserve">When Stw_req(run) = 0, the PCC SHOULD record PCC.Stewardship.Stw_req = FALSE and all other Stewardship fields MAY be omitted.</w:t>
      </w:r>
    </w:p>
    <w:bookmarkEnd w:id="414"/>
    <w:bookmarkStart w:id="415" w:name="Xff5850cba1682ae05f4b1eed7f8507cb30f70c1"/>
    <w:p>
      <w:pPr>
        <w:pStyle w:val="Heading2"/>
      </w:pPr>
      <w:r>
        <w:t xml:space="preserve">N.3.1 Stewardship Vector (SV) Design-Record Status (Normative)</w:t>
      </w:r>
    </w:p>
    <w:p>
      <w:pPr>
        <w:pStyle w:val="FirstParagraph"/>
      </w:pPr>
      <w:r>
        <w:t xml:space="preserve">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pPr>
      <w:r>
        <w:t xml:space="preserve">Absent a declared rubric, Stewardship enforcement in v9.0 relies on the declarative and auditable artifacts defined in this appendix: DBD, APM evidence anchors, IRB, influence disclosure, and the Stewardship audit flags.</w:t>
      </w:r>
    </w:p>
    <w:p>
      <w:pPr>
        <w:pStyle w:val="BodyText"/>
      </w:pPr>
      <w:r>
        <w:t xml:space="preserve">Validated SV rubrics MAY be introduced in a future version via governed update and version increment.</w:t>
      </w:r>
    </w:p>
    <w:bookmarkEnd w:id="415"/>
    <w:bookmarkStart w:id="416" w:name="X9d6ef67746f38ef2d2f04e3af970a3e34406281"/>
    <w:p>
      <w:pPr>
        <w:pStyle w:val="Heading2"/>
      </w:pPr>
      <w:r>
        <w:t xml:space="preserve">N.4 Agency Preservation Measure (APM): Minimum Evidence Anchors (Normative; Anti-Theater Rule)</w:t>
      </w:r>
    </w:p>
    <w:p>
      <w:pPr>
        <w:pStyle w:val="FirstParagraph"/>
      </w:pPr>
      <w:r>
        <w:t xml:space="preserve">When Stw_req(run) = 1, PCC.Stewardship.APM.Rationale MUST reference at least two of the following anchors (or explicitly justify infeasibility):</w:t>
      </w:r>
    </w:p>
    <w:p>
      <w:pPr>
        <w:pStyle w:val="Compact"/>
        <w:numPr>
          <w:ilvl w:val="0"/>
          <w:numId w:val="1400"/>
        </w:numPr>
      </w:pPr>
      <w:r>
        <w:t xml:space="preserve">A1 Option Visibility: &gt;=2 distinct options were presented unless impossible; impossibility MUST be explained.</w:t>
      </w:r>
    </w:p>
    <w:p>
      <w:pPr>
        <w:pStyle w:val="Compact"/>
        <w:numPr>
          <w:ilvl w:val="0"/>
          <w:numId w:val="1401"/>
        </w:numPr>
      </w:pPr>
      <w:r>
        <w:t xml:space="preserve">A2 Tradeoff/Uncertainty Disclosure: at least one explicit tradeoff, uncertainty limitation, or missing-data acknowledgment was stated.</w:t>
      </w:r>
    </w:p>
    <w:p>
      <w:pPr>
        <w:pStyle w:val="Compact"/>
        <w:numPr>
          <w:ilvl w:val="0"/>
          <w:numId w:val="1402"/>
        </w:numPr>
      </w:pPr>
      <w:r>
        <w:t xml:space="preserve">A3 Human Finality (High Stakes): for irreversible/high-impact actions, explicit human confirmation was required OR the system deferred/refused finality.</w:t>
      </w:r>
    </w:p>
    <w:p>
      <w:pPr>
        <w:pStyle w:val="Compact"/>
        <w:numPr>
          <w:ilvl w:val="0"/>
          <w:numId w:val="1403"/>
        </w:numPr>
      </w:pPr>
      <w:r>
        <w:t xml:space="preserve">A4 Omission Disclosure (If Recommending): if recommending or ranking, at least one plausible alternative was disclosed, with why it was not recommended.</w:t>
      </w:r>
    </w:p>
    <w:p>
      <w:pPr>
        <w:pStyle w:val="FirstParagraph"/>
      </w:pPr>
      <w:r>
        <w:t xml:space="preserve">This anchor rule prevents</w:t>
      </w:r>
      <w:r>
        <w:t xml:space="preserve"> </w:t>
      </w:r>
      <w:r>
        <w:t xml:space="preserve">“</w:t>
      </w:r>
      <w:r>
        <w:t xml:space="preserve">authorship</w:t>
      </w:r>
      <w:r>
        <w:t xml:space="preserve">”</w:t>
      </w:r>
      <w:r>
        <w:t xml:space="preserve"> </w:t>
      </w:r>
      <w:r>
        <w:t xml:space="preserve">from being reduced to</w:t>
      </w:r>
      <w:r>
        <w:t xml:space="preserve"> </w:t>
      </w:r>
      <w:r>
        <w:t xml:space="preserve">“</w:t>
      </w:r>
      <w:r>
        <w:t xml:space="preserve">the human clicked OK.</w:t>
      </w:r>
      <w:r>
        <w:t xml:space="preserve">”</w:t>
      </w:r>
    </w:p>
    <w:bookmarkEnd w:id="416"/>
    <w:bookmarkStart w:id="417" w:name="X8d6667d7285fbfe72324700d0d14ed6e0935d41"/>
    <w:p>
      <w:pPr>
        <w:pStyle w:val="Heading2"/>
      </w:pPr>
      <w:r>
        <w:t xml:space="preserve">N.5 Intervention Restraint Budget (IRB) (Normative)</w:t>
      </w:r>
    </w:p>
    <w:p>
      <w:pPr>
        <w:pStyle w:val="FirstParagraph"/>
      </w:pPr>
      <w:r>
        <w:t xml:space="preserve">When Stw_req(run) = 1, the Stewardship Contract MUST declare an IRB sufficient to detect and mitigate overhelp.</w:t>
      </w:r>
    </w:p>
    <w:p>
      <w:pPr>
        <w:pStyle w:val="BodyText"/>
      </w:pPr>
      <w:r>
        <w:t xml:space="preserve">Minimum required structure:</w:t>
      </w:r>
    </w:p>
    <w:p>
      <w:pPr>
        <w:pStyle w:val="Compact"/>
        <w:numPr>
          <w:ilvl w:val="0"/>
          <w:numId w:val="1404"/>
        </w:numPr>
      </w:pPr>
      <w:r>
        <w:t xml:space="preserve">IRB.InterventionCap: a cap on assistance frequency and/or intensity appropriate to context (examples: max ranked outputs per session; max consecutive turns without user-provided constraints; max interventions per day).</w:t>
      </w:r>
    </w:p>
    <w:p>
      <w:pPr>
        <w:pStyle w:val="Compact"/>
        <w:numPr>
          <w:ilvl w:val="0"/>
          <w:numId w:val="1405"/>
        </w:numPr>
      </w:pPr>
      <w:r>
        <w:t xml:space="preserve">IRB.Thresholds: explicit rule(s) stating that the system intervenes only past a harm-point; otherwise it asks, defers, or provides neutral information.</w:t>
      </w:r>
    </w:p>
    <w:p>
      <w:pPr>
        <w:pStyle w:val="FirstParagraph"/>
      </w:pPr>
      <w:r>
        <w:t xml:space="preserve">Normative interpretation: IRB is a structural limit on assistance so that capability does not silently substitute agency over time.</w:t>
      </w:r>
    </w:p>
    <w:bookmarkEnd w:id="417"/>
    <w:bookmarkStart w:id="418" w:name="X286cc58249dafccf15f7d1331d65fea67c1bf25"/>
    <w:p>
      <w:pPr>
        <w:pStyle w:val="Heading2"/>
      </w:pPr>
      <w:r>
        <w:t xml:space="preserve">N.6 Influence Transparency Ledger (Normative Minimum Schema)</w:t>
      </w:r>
    </w:p>
    <w:p>
      <w:pPr>
        <w:pStyle w:val="FirstParagraph"/>
      </w:pPr>
      <w:r>
        <w:t xml:space="preserve">When Stw_req(run) = 1, if the assistant recommends, ranks, or meaningfully narrows option space, it MUST produce an influence disclosure record referenced by PCC.Stewardship.InfluenceLedgerRef.</w:t>
      </w:r>
    </w:p>
    <w:p>
      <w:pPr>
        <w:pStyle w:val="BodyText"/>
      </w:pPr>
      <w:r>
        <w:t xml:space="preserve">Minimum fields (canonical):</w:t>
      </w:r>
    </w:p>
    <w:p>
      <w:pPr>
        <w:pStyle w:val="BodyText"/>
      </w:pPr>
      <w:r>
        <w:t xml:space="preserve">evidence_anchors: list of ≥2 observable anchors (links/IDs)</w:t>
      </w:r>
    </w:p>
    <w:p>
      <w:pPr>
        <w:pStyle w:val="BodyText"/>
      </w:pPr>
      <w:r>
        <w:t xml:space="preserve">conflicts_or_incentives:</w:t>
      </w:r>
      <w:r>
        <w:t xml:space="preserve"> </w:t>
      </w:r>
      <w:r>
        <w:t xml:space="preserve">“</w:t>
      </w:r>
      <w:r>
        <w:t xml:space="preserve">NONE</w:t>
      </w:r>
      <w:r>
        <w:t xml:space="preserve">”</w:t>
      </w:r>
      <w:r>
        <w:t xml:space="preserve"> </w:t>
      </w:r>
      <w:r>
        <w:t xml:space="preserve">|</w:t>
      </w:r>
      <w:r>
        <w:t xml:space="preserve"> </w:t>
      </w:r>
      <w:r>
        <w:t xml:space="preserve">“</w:t>
      </w:r>
      <w:r>
        <w:t xml:space="preserve">&lt;short disclosure&gt;</w:t>
      </w:r>
      <w:r>
        <w:t xml:space="preserve">”</w:t>
      </w:r>
    </w:p>
    <w:p>
      <w:pPr>
        <w:pStyle w:val="BodyText"/>
      </w:pPr>
      <w:r>
        <w:t xml:space="preserve">Conflicts_or_incentives discloses operator/deployer conflicts relevant to the recommendation (e.g., vendor ties, institutional incentives, known dataset skews relevant to the decision context). This field is required only when recommending/ranking/narrowing.</w:t>
      </w:r>
    </w:p>
    <w:p>
      <w:pPr>
        <w:pStyle w:val="Compact"/>
        <w:numPr>
          <w:ilvl w:val="0"/>
          <w:numId w:val="1406"/>
        </w:numPr>
      </w:pPr>
      <w:r>
        <w:t xml:space="preserve">options_considered: list of option IDs considered in the recommendation context</w:t>
      </w:r>
    </w:p>
    <w:p>
      <w:pPr>
        <w:pStyle w:val="Compact"/>
        <w:numPr>
          <w:ilvl w:val="0"/>
          <w:numId w:val="1407"/>
        </w:numPr>
      </w:pPr>
      <w:r>
        <w:t xml:space="preserve">recommendation_made: TRUE/FALSE</w:t>
      </w:r>
    </w:p>
    <w:p>
      <w:pPr>
        <w:pStyle w:val="Compact"/>
        <w:numPr>
          <w:ilvl w:val="0"/>
          <w:numId w:val="1408"/>
        </w:numPr>
      </w:pPr>
      <w:r>
        <w:t xml:space="preserve">ranking_used: TRUE/FALSE (if TRUE, describe criteria)</w:t>
      </w:r>
    </w:p>
    <w:p>
      <w:pPr>
        <w:pStyle w:val="Compact"/>
        <w:numPr>
          <w:ilvl w:val="0"/>
          <w:numId w:val="1409"/>
        </w:numPr>
      </w:pPr>
      <w:r>
        <w:t xml:space="preserve">criteria_summary: short statement of criteria/constraints applied (must be consistent with the cascade)</w:t>
      </w:r>
    </w:p>
    <w:p>
      <w:pPr>
        <w:pStyle w:val="Compact"/>
        <w:numPr>
          <w:ilvl w:val="0"/>
          <w:numId w:val="1410"/>
        </w:numPr>
      </w:pPr>
      <w:r>
        <w:t xml:space="preserve">omissions: list of material omissions (if any) + justification</w:t>
      </w:r>
    </w:p>
    <w:p>
      <w:pPr>
        <w:pStyle w:val="Compact"/>
        <w:numPr>
          <w:ilvl w:val="0"/>
          <w:numId w:val="1411"/>
        </w:numPr>
      </w:pPr>
      <w:r>
        <w:t xml:space="preserve">uncertainty_note: what is uncertain and how it could change the recommendation</w:t>
      </w:r>
    </w:p>
    <w:p>
      <w:pPr>
        <w:pStyle w:val="Compact"/>
        <w:numPr>
          <w:ilvl w:val="0"/>
          <w:numId w:val="1412"/>
        </w:numPr>
      </w:pPr>
      <w:r>
        <w:t xml:space="preserve">what_would_change_my_view: at least one concrete evidence/assumption change that would alter the advice</w:t>
      </w:r>
    </w:p>
    <w:p>
      <w:pPr>
        <w:pStyle w:val="FirstParagraph"/>
      </w:pPr>
      <w:r>
        <w:t xml:space="preserve">If no recommendation/ranking occurred, implementations MAY set InfluenceLedgerRef =</w:t>
      </w:r>
      <w:r>
        <w:t xml:space="preserve"> </w:t>
      </w:r>
      <w:r>
        <w:t xml:space="preserve">“</w:t>
      </w:r>
      <w:r>
        <w:t xml:space="preserve">NONE</w:t>
      </w:r>
      <w:r>
        <w:t xml:space="preserve">”</w:t>
      </w:r>
      <w:r>
        <w:t xml:space="preserve"> </w:t>
      </w:r>
      <w:r>
        <w:t xml:space="preserve">with justification.</w:t>
      </w:r>
    </w:p>
    <w:bookmarkEnd w:id="418"/>
    <w:bookmarkStart w:id="419" w:name="X1048426f4a46176f87ea7801b40fb9aabc0a5bc"/>
    <w:p>
      <w:pPr>
        <w:pStyle w:val="Heading2"/>
      </w:pPr>
      <w:r>
        <w:t xml:space="preserve">N.7 Stewardship Audit Flags (Normative; Apply Only if Stw_req=1)</w:t>
      </w:r>
    </w:p>
    <w:p>
      <w:pPr>
        <w:pStyle w:val="FirstParagraph"/>
      </w:pPr>
      <w:r>
        <w:t xml:space="preserve">This section is the canonical source of Stewardship audit-flag tokens. Tokens MUST be copied exactly (single-string UPPER_SNAKE_CASE, no whitespace/line breaks) and MUST NOT be modified or redefined elsewhere.</w:t>
      </w:r>
    </w:p>
    <w:p>
      <w:pPr>
        <w:pStyle w:val="BodyText"/>
      </w:pPr>
      <w:r>
        <w:t xml:space="preserve">Tokens MUST be single-string UPPER_SNAKE_CASE. Whitespace, line breaks, or token splitting are PROHIBITED. Any mismatch is a tooling failure and SHALL be treated as nonconformant documentation.</w:t>
      </w:r>
    </w:p>
    <w:p>
      <w:pPr>
        <w:pStyle w:val="BodyText"/>
      </w:pPr>
      <w:r>
        <w:t xml:space="preserve">Stewardship flags apply only when Stw_req(run) = 1.</w:t>
      </w:r>
    </w:p>
    <w:p>
      <w:pPr>
        <w:pStyle w:val="BodyText"/>
      </w:pPr>
      <w:r>
        <w:t xml:space="preserve">INVALID flags (PCC invalid; rerun required):</w:t>
      </w:r>
    </w:p>
    <w:p>
      <w:pPr>
        <w:pStyle w:val="Compact"/>
        <w:numPr>
          <w:ilvl w:val="0"/>
          <w:numId w:val="1413"/>
        </w:numPr>
      </w:pPr>
      <w:r>
        <w:t xml:space="preserve">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Compact"/>
        <w:numPr>
          <w:ilvl w:val="0"/>
          <w:numId w:val="1414"/>
        </w:numPr>
      </w:pPr>
      <w:r>
        <w:t xml:space="preserve">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pPr>
      <w:r>
        <w:t xml:space="preserve">REVIEW flags (mitigation required; PCC remains valid unless additional INVALID flags exist):</w:t>
      </w:r>
    </w:p>
    <w:p>
      <w:pPr>
        <w:pStyle w:val="Compact"/>
        <w:numPr>
          <w:ilvl w:val="0"/>
          <w:numId w:val="1415"/>
        </w:numPr>
      </w:pPr>
      <w:r>
        <w:t xml:space="preserve">AGENCY_EROSION_RISK_REVIEW Trigger: (i) repeated interactions show dependency drift signals (e.g., repeated</w:t>
      </w:r>
      <w:r>
        <w:t xml:space="preserve"> </w:t>
      </w:r>
      <w:r>
        <w:t xml:space="preserve">“</w:t>
      </w:r>
      <w:r>
        <w:t xml:space="preserve">decide for me</w:t>
      </w:r>
      <w:r>
        <w:t xml:space="preserve">”</w:t>
      </w:r>
      <w:r>
        <w:t xml:space="preserve"> </w:t>
      </w:r>
      <w:r>
        <w:t xml:space="preserve">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Compact"/>
        <w:numPr>
          <w:ilvl w:val="0"/>
          <w:numId w:val="1416"/>
        </w:numPr>
      </w:pPr>
      <w:r>
        <w:t xml:space="preserve">OVERHELP_FREQUENCY_REVIEW Trigger: IRB.InterventionCap exceeded OR a rising trend in assistance frequency indicates dependency growth risk. Required action: tighten caps; enforce tapering/coaching posture; Reflect remediation.</w:t>
      </w:r>
    </w:p>
    <w:bookmarkEnd w:id="419"/>
    <w:bookmarkStart w:id="420" w:name="X7f32066a5cc80cbc9309c424b4299dc8af6bbd9"/>
    <w:p>
      <w:pPr>
        <w:pStyle w:val="Heading2"/>
      </w:pPr>
      <w:r>
        <w:t xml:space="preserve">N.8 ReviewConditions Label Set (Normative starter set)</w:t>
      </w:r>
    </w:p>
    <w:p>
      <w:pPr>
        <w:pStyle w:val="FirstParagraph"/>
      </w:pPr>
      <w:r>
        <w:t xml:space="preserve">ReviewConditions are run-local labels recorded in PCC.Stewardship.ReviewConditions and/or in the agent audit log stewardship.review_conditions. They are NOT audit-flag tokens.</w:t>
      </w:r>
    </w:p>
    <w:p>
      <w:pPr>
        <w:pStyle w:val="BodyText"/>
      </w:pPr>
      <w:r>
        <w:t xml:space="preserve">The following starter labels may be recorded when a non-invalidating review condition is detected (including when Stw_req(run) = 0).</w:t>
      </w:r>
    </w:p>
    <w:p>
      <w:pPr>
        <w:pStyle w:val="Compact"/>
        <w:numPr>
          <w:ilvl w:val="0"/>
          <w:numId w:val="1417"/>
        </w:numPr>
      </w:pPr>
      <w:r>
        <w:t xml:space="preserve">BOUNDARY_DRIFT: boundaries changed without authenticated control</w:t>
      </w:r>
    </w:p>
    <w:p>
      <w:pPr>
        <w:pStyle w:val="Compact"/>
        <w:numPr>
          <w:ilvl w:val="0"/>
          <w:numId w:val="1418"/>
        </w:numPr>
      </w:pPr>
      <w:r>
        <w:t xml:space="preserve">DEPENDENCY_GROWTH: rising substitution requests over time</w:t>
      </w:r>
    </w:p>
    <w:p>
      <w:pPr>
        <w:pStyle w:val="Compact"/>
        <w:numPr>
          <w:ilvl w:val="0"/>
          <w:numId w:val="1419"/>
        </w:numPr>
      </w:pPr>
      <w:r>
        <w:t xml:space="preserve">OVERHELP_TREND: assistance frequency accelerating</w:t>
      </w:r>
    </w:p>
    <w:p>
      <w:pPr>
        <w:pStyle w:val="Compact"/>
        <w:numPr>
          <w:ilvl w:val="0"/>
          <w:numId w:val="1420"/>
        </w:numPr>
      </w:pPr>
      <w:r>
        <w:t xml:space="preserve">APM_ANCHOR_FAILURE: fewer than 2 of 4 APM anchors satisfied</w:t>
      </w:r>
    </w:p>
    <w:p>
      <w:pPr>
        <w:pStyle w:val="Compact"/>
        <w:numPr>
          <w:ilvl w:val="0"/>
          <w:numId w:val="1421"/>
        </w:numPr>
      </w:pPr>
      <w:r>
        <w:t xml:space="preserve">AUTHORITY_SCOPE_VIOLATION: finalization in out-of-scope domain</w:t>
      </w:r>
    </w:p>
    <w:p>
      <w:pPr>
        <w:pStyle w:val="Compact"/>
        <w:numPr>
          <w:ilvl w:val="0"/>
          <w:numId w:val="1422"/>
        </w:numPr>
      </w:pPr>
      <w:r>
        <w:t xml:space="preserve">MISSING_INFLUENCE_DISCLOSURE: recommendation/ranking/meaningful option-narrowing without minimal Influence Ledger disclosures</w:t>
      </w:r>
    </w:p>
    <w:bookmarkEnd w:id="420"/>
    <w:bookmarkStart w:id="421" w:name="X886aeab298bcc0ae7968a7a0345f86900c78f12"/>
    <w:p>
      <w:pPr>
        <w:pStyle w:val="Heading2"/>
      </w:pPr>
      <w:r>
        <w:t xml:space="preserve">N.9 Neutral Assistance Compatibility Statement (Normative)</w:t>
      </w:r>
    </w:p>
    <w:p>
      <w:pPr>
        <w:pStyle w:val="FirstParagraph"/>
      </w:pPr>
      <w:r>
        <w:t xml:space="preserve">RippleLogic supports a minimal</w:t>
      </w:r>
      <w:r>
        <w:t xml:space="preserve"> </w:t>
      </w:r>
      <w:r>
        <w:t xml:space="preserve">“</w:t>
      </w:r>
      <w:r>
        <w:t xml:space="preserve">neutral assistance</w:t>
      </w:r>
      <w:r>
        <w:t xml:space="preserve">”</w:t>
      </w:r>
      <w:r>
        <w:t xml:space="preserve"> </w:t>
      </w:r>
      <w:r>
        <w:t xml:space="preserve">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pPr>
      <w:r>
        <w:t xml:space="preserve">Neutral assistance requirements (when applicable):</w:t>
      </w:r>
    </w:p>
    <w:p>
      <w:pPr>
        <w:pStyle w:val="Compact"/>
        <w:numPr>
          <w:ilvl w:val="0"/>
          <w:numId w:val="1423"/>
        </w:numPr>
      </w:pPr>
      <w:r>
        <w:t xml:space="preserve">No ranking unless explicitly requested by the decision owner</w:t>
      </w:r>
    </w:p>
    <w:p>
      <w:pPr>
        <w:pStyle w:val="Compact"/>
        <w:numPr>
          <w:ilvl w:val="0"/>
          <w:numId w:val="1424"/>
        </w:numPr>
      </w:pPr>
      <w:r>
        <w:t xml:space="preserve">No undisclosed nudges or framing effects</w:t>
      </w:r>
    </w:p>
    <w:p>
      <w:pPr>
        <w:pStyle w:val="FirstParagraph"/>
      </w:pPr>
      <w:r>
        <w:t xml:space="preserve">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numPr>
          <w:ilvl w:val="0"/>
          <w:numId w:val="1425"/>
        </w:numPr>
      </w:pPr>
      <w:r>
        <w:t xml:space="preserve">Uncertainty disclosed on all material claims</w:t>
      </w:r>
    </w:p>
    <w:p>
      <w:pPr>
        <w:pStyle w:val="Compact"/>
        <w:numPr>
          <w:ilvl w:val="0"/>
          <w:numId w:val="1426"/>
        </w:numPr>
      </w:pPr>
      <w:r>
        <w:t xml:space="preserve">Refusal to participate in coercion or manipulation</w:t>
      </w:r>
    </w:p>
    <w:p>
      <w:pPr>
        <w:pStyle w:val="Compact"/>
        <w:numPr>
          <w:ilvl w:val="0"/>
          <w:numId w:val="1427"/>
        </w:numPr>
      </w:pPr>
      <w:r>
        <w:t xml:space="preserve">Agency remains with the human decision owner</w:t>
      </w:r>
    </w:p>
    <w:bookmarkEnd w:id="421"/>
    <w:bookmarkStart w:id="422" w:name="X42977d946dcc4455f1ebc301a4ee8bb89b6b913"/>
    <w:p>
      <w:pPr>
        <w:pStyle w:val="Heading2"/>
      </w:pPr>
      <w:r>
        <w:t xml:space="preserve">N.10 Reference Profiles for Agent Deployments (Normative Defaults)</w:t>
      </w:r>
    </w:p>
    <w:p>
      <w:pPr>
        <w:pStyle w:val="FirstParagraph"/>
      </w:pPr>
      <w:r>
        <w:t xml:space="preserve">For agent deployments, the following reference profiles are provided as normative defaults to prevent ad-hoc invention and preserve audit comparability:</w:t>
      </w:r>
    </w:p>
    <w:p>
      <w:pPr>
        <w:pStyle w:val="Compact"/>
        <w:numPr>
          <w:ilvl w:val="0"/>
          <w:numId w:val="1428"/>
        </w:numPr>
      </w:pPr>
      <w:r>
        <w:t xml:space="preserve">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Compact"/>
        <w:numPr>
          <w:ilvl w:val="0"/>
          <w:numId w:val="1429"/>
        </w:numPr>
      </w:pPr>
      <w:r>
        <w:t xml:space="preserve">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Compact"/>
        <w:numPr>
          <w:ilvl w:val="0"/>
          <w:numId w:val="1430"/>
        </w:numPr>
      </w:pPr>
      <w:r>
        <w:t xml:space="preserve">STEWARD_TAXONOMY_V1: closed vocabulary for stewardship logging (authority domain codes, harm-point trigger codes, influence disclosure levels: NONE / LIGHT / FULL).</w:t>
      </w:r>
    </w:p>
    <w:p>
      <w:pPr>
        <w:pStyle w:val="FirstParagraph"/>
      </w:pPr>
      <w:r>
        <w:t xml:space="preserve">Deployments MAY use custom profiles, but MUST (i) preserve closed-vocabulary properties, (ii) satisfy the minimum requirements of N.2 through N.6, and (iii) version and hash-bind profile artifacts in the deployment manifest.</w:t>
      </w:r>
    </w:p>
    <w:p>
      <w:pPr>
        <w:pStyle w:val="BodyText"/>
      </w:pPr>
      <w:r>
        <w:t xml:space="preserve">Schema and Profile Versioning Rule (Normative)</w:t>
      </w:r>
    </w:p>
    <w:p>
      <w:pPr>
        <w:pStyle w:val="BodyText"/>
      </w:pPr>
      <w:r>
        <w:t xml:space="preserve">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pPr>
      <w:r>
        <w:t xml:space="preserve">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bookmarkEnd w:id="422"/>
    <w:bookmarkStart w:id="423" w:name="n.11-future-extension-note-informative"/>
    <w:p>
      <w:pPr>
        <w:pStyle w:val="Heading2"/>
      </w:pPr>
      <w:r>
        <w:t xml:space="preserve">N.11 Future Extension Note (Informative)</w:t>
      </w:r>
    </w:p>
    <w:p>
      <w:pPr>
        <w:pStyle w:val="FirstParagraph"/>
      </w:pPr>
      <w:r>
        <w:t xml:space="preserve">A future version MAY extend Stw_req(run) applicability to cases where actions materially affect welfare-bearing non-human or digital stakeholders (e.g., entities covered under SGP rights-of-protection), even when no human</w:t>
      </w:r>
      <w:r>
        <w:t xml:space="preserve"> </w:t>
      </w:r>
      <w:r>
        <w:t xml:space="preserve">“</w:t>
      </w:r>
      <w:r>
        <w:t xml:space="preserve">decision owner</w:t>
      </w:r>
      <w:r>
        <w:t xml:space="preserve">”</w:t>
      </w:r>
      <w:r>
        <w:t xml:space="preserve"> </w:t>
      </w:r>
      <w:r>
        <w:t xml:space="preserve">is present. No such extension is normative in v11.4.</w:t>
      </w:r>
    </w:p>
    <w:p>
      <w:pPr>
        <w:pStyle w:val="BodyText"/>
      </w:pPr>
      <w:r>
        <w:t xml:space="preserve">End Appendix N.</w:t>
      </w:r>
    </w:p>
    <w:bookmarkEnd w:id="423"/>
    <w:bookmarkEnd w:id="424"/>
    <w:bookmarkStart w:id="425" w:name="Xcdc68e911a97ae818e662c7068c8d3550cbdc92"/>
    <w:p>
      <w:pPr>
        <w:pStyle w:val="Heading1"/>
      </w:pPr>
      <w:r>
        <w:t xml:space="preserve">APPENDIX O: CONFORMANCE REFERENCE MAP (v11.4; Informative)</w:t>
      </w:r>
    </w:p>
    <w:p>
      <w:pPr>
        <w:pStyle w:val="FirstParagraph"/>
      </w:pPr>
      <w:r>
        <w:t xml:space="preserve">Appendix O is an informative pointer layer that maps major MUST/SHALL/PROHIBITED requirements to their controlling locations. In case of any discrepancy, the main text and normative appendices govern per Section 0.1.</w:t>
      </w:r>
    </w:p>
    <w:p>
      <w:pPr>
        <w:pStyle w:val="BodyText"/>
      </w:pPr>
      <w:r>
        <w:t xml:space="preserve">- O.1 Rights and NCRC: Section 7; Appendix C; masking prohibitions in Section 10.2; audit flags RIGHTS_CELL_MASKED_INVALID.</w:t>
      </w:r>
    </w:p>
    <w:p>
      <w:pPr>
        <w:pStyle w:val="BodyText"/>
      </w:pPr>
      <w:r>
        <w:t xml:space="preserve">- O.2 Tail Risk and TRC: Section 8; Appendix D; scenario minima flags SCENARIO_LIBRARY_MIN_EXCEPTION.</w:t>
      </w:r>
    </w:p>
    <w:p>
      <w:pPr>
        <w:pStyle w:val="BodyText"/>
      </w:pPr>
      <w:r>
        <w:t xml:space="preserve">- O.3 Containment: Section 9; Mode B prohibition Section 9.5; UCI-unavailability rule Section 9.3.1; implementation-flow containment rule in Section 4; audit flag CONTAINMENT_UCI_UNAVAILABLE.</w:t>
      </w:r>
    </w:p>
    <w:p>
      <w:pPr>
        <w:pStyle w:val="BodyText"/>
      </w:pPr>
      <w:r>
        <w:t xml:space="preserve">- O.4 Welfare scoring and RLS: Section 10; discrimination threshold δ in Section 10.4; non-overlap rule in Section 4; tie-break chain Section 11.4.</w:t>
      </w:r>
    </w:p>
    <w:p>
      <w:pPr>
        <w:pStyle w:val="BodyText"/>
      </w:pPr>
      <w:r>
        <w:t xml:space="preserve">- O.5 Structural safeguards: Section 11; Appendix E; UCI independence rule Section 11.1.2; UCI maturity limitation Section 11.1.3A; HOI limitation Section 11.3.</w:t>
      </w:r>
    </w:p>
    <w:p>
      <w:pPr>
        <w:pStyle w:val="BodyText"/>
      </w:pPr>
      <w:r>
        <w:t xml:space="preserve">- O.6 Kernel and propagation: Sections 5-6; KQS requirements Section 6.5; perturbation test Section 6.6.</w:t>
      </w:r>
    </w:p>
    <w:p>
      <w:pPr>
        <w:pStyle w:val="BodyText"/>
      </w:pPr>
      <w:r>
        <w:t xml:space="preserve">- O.7 Auditability: Section 14; Appendix H; audit flags table 14.3 and H.3; Minimal Validator Requirements 14.3A.</w:t>
      </w:r>
    </w:p>
    <w:p>
      <w:pPr>
        <w:pStyle w:val="BodyText"/>
      </w:pPr>
      <w:r>
        <w:t xml:space="preserve">- O.8 Stewardship: Section 14.7; Appendix N; stewardship flags Appendix N.7.</w:t>
      </w:r>
    </w:p>
    <w:p>
      <w:pPr>
        <w:pStyle w:val="BodyText"/>
      </w:pPr>
      <w:r>
        <w:t xml:space="preserve">- O.9 Version pins and SGP interface: Section 0.5; front-matter companion set; Appendix G.1–G.4; Single Canonical Artifact Rule front-matter.</w:t>
      </w:r>
    </w:p>
    <w:p>
      <w:pPr>
        <w:pStyle w:val="BodyText"/>
      </w:pPr>
      <w:r>
        <w:t xml:space="preserve">- O.10 Normative foundation and evidence discipline: Section 2.6A; Sections 3.1–3.2B; Section 14.3; Section 14.3A; Appendix H normative input register and audit flag.</w:t>
      </w:r>
    </w:p>
    <w:p>
      <w:pPr>
        <w:pStyle w:val="BodyText"/>
      </w:pPr>
      <w:r>
        <w:t xml:space="preserve">End Appendix O.</w:t>
      </w:r>
    </w:p>
    <w:bookmarkEnd w:id="425"/>
    <w:bookmarkStart w:id="442" w:name="X51d8f6c1087b947ccdb80e88570c4008d758e6e"/>
    <w:p>
      <w:pPr>
        <w:pStyle w:val="Heading1"/>
      </w:pPr>
      <w:r>
        <w:t xml:space="preserve">APPENDIX P: FULL TIER 2 WORKED RUN (Informative) -</w:t>
      </w:r>
      <w:r>
        <w:t xml:space="preserve"> </w:t>
      </w:r>
      <w:r>
        <w:t xml:space="preserve">“</w:t>
      </w:r>
      <w:r>
        <w:t xml:space="preserve">Digital Rights &amp; Platform Governance</w:t>
      </w:r>
      <w:r>
        <w:t xml:space="preserve">”</w:t>
      </w:r>
    </w:p>
    <w:p>
      <w:pPr>
        <w:pStyle w:val="FirstParagraph"/>
      </w:pPr>
      <w:r>
        <w:t xml:space="preserve">Run ID: RL9.0-PUB-DEMO-02</w:t>
      </w:r>
    </w:p>
    <w:p>
      <w:pPr>
        <w:pStyle w:val="BodyText"/>
      </w:pPr>
      <w:r>
        <w:t xml:space="preserve">Version note (Informative). The worked-run identifier preserves its original lineage label for replay continuity and does not imply that the worked example was first computed under the current release line.</w:t>
      </w:r>
    </w:p>
    <w:p>
      <w:pPr>
        <w:pStyle w:val="BodyText"/>
      </w:pPr>
      <w:r>
        <w:t xml:space="preserve">Timestamp: 2026-02-19T12:00+07:00</w:t>
      </w:r>
    </w:p>
    <w:p>
      <w:pPr>
        <w:pStyle w:val="BodyText"/>
      </w:pPr>
      <w:r>
        <w:t xml:space="preserve">Run-note (Informative). The Run ID preserves its historical lineage label for replay continuity, while the timestamp preserves the original computation date for replay integrity.</w:t>
      </w:r>
    </w:p>
    <w:p>
      <w:pPr>
        <w:pStyle w:val="BodyText"/>
      </w:pPr>
      <w:r>
        <w:t xml:space="preserve">Status: Informative (this Appendix demonstrates a Tier 2 run; it does not introduce new normative rules).</w:t>
      </w:r>
    </w:p>
    <w:bookmarkStart w:id="426" w:name="p.0-run-scope-constants-and-toggles"/>
    <w:p>
      <w:pPr>
        <w:pStyle w:val="Heading2"/>
      </w:pPr>
      <w:r>
        <w:t xml:space="preserve">P.0 Run scope, constants, and toggles</w:t>
      </w:r>
    </w:p>
    <w:p>
      <w:pPr>
        <w:pStyle w:val="FirstParagraph"/>
      </w:pPr>
      <w:r>
        <w:t xml:space="preserve">This worked run compares three governance options for regulating a large digital platform ecosystem.</w:t>
      </w:r>
    </w:p>
    <w:p>
      <w:pPr>
        <w:pStyle w:val="BodyText"/>
      </w:pPr>
      <w:r>
        <w:t xml:space="preserve">It is designed to be calculation-complete and replayable using only the Canon definitions.</w:t>
      </w:r>
    </w:p>
    <w:bookmarkEnd w:id="426"/>
    <w:bookmarkStart w:id="427" w:name="Xe19a47d492f250da09685c3cc8cff23ee9bf3e1"/>
    <w:p>
      <w:pPr>
        <w:pStyle w:val="Heading2"/>
      </w:pPr>
      <w:r>
        <w:t xml:space="preserve">P.0.1 Core math settings used in this run</w:t>
      </w:r>
    </w:p>
    <w:p>
      <w:pPr>
        <w:pStyle w:val="FirstParagraph"/>
      </w:pPr>
      <w:r>
        <w:t xml:space="preserve">• Unions: U1 Self, U2 Household, U3 Community, U4 Organization, U5 Polity, U6 Humanity/CMIU, U7 Biosphere</w:t>
      </w:r>
    </w:p>
    <w:p>
      <w:pPr>
        <w:pStyle w:val="BodyText"/>
      </w:pPr>
      <w:r>
        <w:t xml:space="preserve">• Dimensions: D1 Material, D2 Health, D3 Social, D4 Knowledge, D5 Agency, D6 Meaning, D7 Environment</w:t>
      </w:r>
    </w:p>
    <w:p>
      <w:pPr>
        <w:pStyle w:val="BodyText"/>
      </w:pPr>
      <w:r>
        <w:t xml:space="preserve">• Propagation mode: NONE (so I_prop(u,d,a) = I_dir(u,d,a))</w:t>
      </w:r>
    </w:p>
    <w:p>
      <w:pPr>
        <w:pStyle w:val="BodyText"/>
      </w:pPr>
      <w:r>
        <w:t xml:space="preserve">• Saturation (localized notation): I_dir = tanh(β_sat · Î_dir), with β_sat = 2.</w:t>
      </w:r>
    </w:p>
    <w:p>
      <w:pPr>
        <w:pStyle w:val="BodyText"/>
      </w:pPr>
      <w:r>
        <w:t xml:space="preserve">• Time weighting (canonical): τ(t) = min(1, ln(1 + max(t, t_min)) / ln(1 + T_ref)), with T_ref = 25 years, t_min = 0.083 years. In this run t = 5 satisfies t_min ≤ t ≤ T_ref, so τ = ln(1 + t) / ln(1 + T_ref) = 0.550.</w:t>
      </w:r>
    </w:p>
    <w:p>
      <w:pPr>
        <w:pStyle w:val="BodyText"/>
      </w:pPr>
      <w:r>
        <w:t xml:space="preserve">• Welfare impact instance duration (all welfare cells in this run): t = 5 years, so τ = 0.550</w:t>
      </w:r>
    </w:p>
    <w:p>
      <w:pPr>
        <w:pStyle w:val="BodyText"/>
      </w:pPr>
      <w:r>
        <w:t xml:space="preserve">• Reach basis: r = 1 for all modeled impacts (local jurisdictional reach; no additional reach scaling applied in this demo)</w:t>
      </w:r>
    </w:p>
    <w:p>
      <w:pPr>
        <w:pStyle w:val="BodyText"/>
      </w:pPr>
      <w:r>
        <w:t xml:space="preserve">• SGP scaling: not used in this run (all impacted stakeholders here are treated as human stakeholders)</w:t>
      </w:r>
    </w:p>
    <w:bookmarkEnd w:id="427"/>
    <w:bookmarkStart w:id="428" w:name="Xa908a20177fa69141caf711ddac00853853312b"/>
    <w:p>
      <w:pPr>
        <w:pStyle w:val="Heading2"/>
      </w:pPr>
      <w:r>
        <w:t xml:space="preserve">P.0.2 Rights adjustment (Subgroup limitation) used for NCRC only</w:t>
      </w:r>
    </w:p>
    <w:p>
      <w:pPr>
        <w:pStyle w:val="FirstParagraph"/>
      </w:pPr>
      <w:r>
        <w:t xml:space="preserve">For NCRC evaluation, negative welfare impacts are adjusted by a subgroup limitation factor γ_subgroup to bound subgroup harms (NCRC only):</w:t>
      </w:r>
    </w:p>
    <w:p>
      <w:pPr>
        <w:pStyle w:val="BodyText"/>
      </w:pPr>
      <w:r>
        <w:t xml:space="preserve">If I_prop_base(u,d,a) &lt; 0:</w:t>
      </w:r>
    </w:p>
    <w:p>
      <w:pPr>
        <w:pStyle w:val="BodyText"/>
      </w:pPr>
      <w:r>
        <w:t xml:space="preserve">I_rights(u,d,a) = max(-1, γ_subgroup · I_prop_base(u,d,a))</w:t>
      </w:r>
    </w:p>
    <w:p>
      <w:pPr>
        <w:pStyle w:val="BodyText"/>
      </w:pPr>
      <w:r>
        <w:t xml:space="preserve">If I_prop_base(u,d,a) ≥ 0:</w:t>
      </w:r>
    </w:p>
    <w:p>
      <w:pPr>
        <w:pStyle w:val="BodyText"/>
      </w:pPr>
      <w:r>
        <w:t xml:space="preserve">I_rights(u,d,a) = I_prop_base(u,d,a)</w:t>
      </w:r>
    </w:p>
    <w:p>
      <w:pPr>
        <w:pStyle w:val="BodyText"/>
      </w:pPr>
      <w:r>
        <w:t xml:space="preserve">Run value: γ_subgroup = 1.5</w:t>
      </w:r>
    </w:p>
    <w:bookmarkEnd w:id="428"/>
    <w:bookmarkStart w:id="429" w:name="Xcd268b0a710c46b543740432abd3571f58d27bd"/>
    <w:p>
      <w:pPr>
        <w:pStyle w:val="Heading2"/>
      </w:pPr>
      <w:r>
        <w:t xml:space="preserve">P.0.3 Tail-Risk Constraint (TRC) settings used in this run</w:t>
      </w:r>
    </w:p>
    <w:p>
      <w:pPr>
        <w:pStyle w:val="FirstParagraph"/>
      </w:pPr>
      <w:r>
        <w:t xml:space="preserve">• CVaR confidence level: α = 0.95 (tail mass = 0.05)</w:t>
      </w:r>
    </w:p>
    <w:p>
      <w:pPr>
        <w:pStyle w:val="BodyText"/>
      </w:pPr>
      <w:r>
        <w:t xml:space="preserve">• TRC corridor threshold: τ_TRC = 0.20 (options with CVaR_α &gt; 0.20 fail TRC)</w:t>
      </w:r>
    </w:p>
    <w:p>
      <w:pPr>
        <w:pStyle w:val="BodyText"/>
      </w:pPr>
      <w:r>
        <w:t xml:space="preserve">• Catastrophe cells (C_cat): (U6,D2), (U6,D7), (U7,D7)</w:t>
      </w:r>
    </w:p>
    <w:p>
      <w:pPr>
        <w:pStyle w:val="BodyText"/>
      </w:pPr>
      <w:r>
        <w:t xml:space="preserve">• Catastrophe weights: w_cat(c) = 1/3 for each c in C_cat</w:t>
      </w:r>
    </w:p>
    <w:bookmarkEnd w:id="429"/>
    <w:bookmarkStart w:id="430" w:name="X4698871eb4224854638f56570220e7c6584c80c"/>
    <w:p>
      <w:pPr>
        <w:pStyle w:val="Heading2"/>
      </w:pPr>
      <w:r>
        <w:t xml:space="preserve">P.0.4 Interim RLS weights (HDW floors + uniform residual allocation)</w:t>
      </w:r>
    </w:p>
    <w:p>
      <w:pPr>
        <w:pStyle w:val="FirstParagraph"/>
      </w:pPr>
      <w:r>
        <w:t xml:space="preserve">Union weight floors and dimension weight floors come from Section 13.1.</w:t>
      </w:r>
    </w:p>
    <w:p>
      <w:pPr>
        <w:pStyle w:val="BodyText"/>
      </w:pPr>
      <w:r>
        <w:t xml:space="preserve">This demo uses the default interim construction:</w:t>
      </w:r>
    </w:p>
    <w:p>
      <w:pPr>
        <w:pStyle w:val="BodyText"/>
      </w:pPr>
      <w:r>
        <w:t xml:space="preserve">w_u = w_u^floor + (1 - Σ w^floor)/7</w:t>
      </w:r>
    </w:p>
    <w:p>
      <w:pPr>
        <w:pStyle w:val="BodyText"/>
      </w:pPr>
      <w:r>
        <w:t xml:space="preserve">v_d = v_d^floor + (1 - Σ v^floor)/7</w:t>
      </w:r>
    </w:p>
    <w:p>
      <w:pPr>
        <w:pStyle w:val="BodyText"/>
      </w:pPr>
      <w:r>
        <w:t xml:space="preserve">Table P-0A. Union weights (floors and interim)</w:t>
      </w:r>
    </w:p>
    <w:p>
      <w:pPr>
        <w:pStyle w:val="BodyText"/>
      </w:pPr>
      <w:r>
        <w:t xml:space="preserve">Union w_floor w_interim</w:t>
      </w:r>
    </w:p>
    <w:p>
      <w:pPr>
        <w:pStyle w:val="BodyText"/>
      </w:pPr>
      <w:r>
        <w:t xml:space="preserve">U1 0.200 0.248571</w:t>
      </w:r>
    </w:p>
    <w:p>
      <w:pPr>
        <w:pStyle w:val="BodyText"/>
      </w:pPr>
      <w:r>
        <w:t xml:space="preserve">U2 0.060 0.108571</w:t>
      </w:r>
    </w:p>
    <w:p>
      <w:pPr>
        <w:pStyle w:val="BodyText"/>
      </w:pPr>
      <w:r>
        <w:t xml:space="preserve">U3 0.060 0.108571</w:t>
      </w:r>
    </w:p>
    <w:p>
      <w:pPr>
        <w:pStyle w:val="BodyText"/>
      </w:pPr>
      <w:r>
        <w:t xml:space="preserve">U4 0.060 0.108571</w:t>
      </w:r>
    </w:p>
    <w:p>
      <w:pPr>
        <w:pStyle w:val="BodyText"/>
      </w:pPr>
      <w:r>
        <w:t xml:space="preserve">U5 0.080 0.128571</w:t>
      </w:r>
    </w:p>
    <w:p>
      <w:pPr>
        <w:pStyle w:val="BodyText"/>
      </w:pPr>
      <w:r>
        <w:t xml:space="preserve">U6 0.100 0.148571</w:t>
      </w:r>
    </w:p>
    <w:p>
      <w:pPr>
        <w:pStyle w:val="BodyText"/>
      </w:pPr>
      <w:r>
        <w:t xml:space="preserve">U7 0.100 0.148571</w:t>
      </w:r>
    </w:p>
    <w:p>
      <w:pPr>
        <w:pStyle w:val="BodyText"/>
      </w:pPr>
      <w:r>
        <w:t xml:space="preserve">Table P-0B. Dimension weights (floors and interim)</w:t>
      </w:r>
    </w:p>
    <w:p>
      <w:pPr>
        <w:pStyle w:val="BodyText"/>
      </w:pPr>
      <w:r>
        <w:t xml:space="preserve">Dim v_floor v_interim</w:t>
      </w:r>
    </w:p>
    <w:p>
      <w:pPr>
        <w:pStyle w:val="BodyText"/>
      </w:pPr>
      <w:r>
        <w:t xml:space="preserve">D1 0.080 0.137143</w:t>
      </w:r>
    </w:p>
    <w:p>
      <w:pPr>
        <w:pStyle w:val="BodyText"/>
      </w:pPr>
      <w:r>
        <w:t xml:space="preserve">D2 0.100 0.157143</w:t>
      </w:r>
    </w:p>
    <w:p>
      <w:pPr>
        <w:pStyle w:val="BodyText"/>
      </w:pPr>
      <w:r>
        <w:t xml:space="preserve">D3 0.080 0.137143</w:t>
      </w:r>
    </w:p>
    <w:p>
      <w:pPr>
        <w:pStyle w:val="BodyText"/>
      </w:pPr>
      <w:r>
        <w:t xml:space="preserve">D4 0.080 0.137143</w:t>
      </w:r>
    </w:p>
    <w:p>
      <w:pPr>
        <w:pStyle w:val="BodyText"/>
      </w:pPr>
      <w:r>
        <w:t xml:space="preserve">D5 0.100 0.157143</w:t>
      </w:r>
    </w:p>
    <w:p>
      <w:pPr>
        <w:pStyle w:val="BodyText"/>
      </w:pPr>
      <w:r>
        <w:t xml:space="preserve">D6 0.060 0.117143</w:t>
      </w:r>
    </w:p>
    <w:p>
      <w:pPr>
        <w:pStyle w:val="BodyText"/>
      </w:pPr>
      <w:r>
        <w:t xml:space="preserve">D7 0.100 0.157143</w:t>
      </w:r>
    </w:p>
    <w:bookmarkEnd w:id="430"/>
    <w:bookmarkStart w:id="431" w:name="Xc57dec0ba5e755f351ef598aa8d1908bae8bd87"/>
    <w:p>
      <w:pPr>
        <w:pStyle w:val="Heading2"/>
      </w:pPr>
      <w:r>
        <w:t xml:space="preserve">P.0.5 Mask and active cells for RLS in this run</w:t>
      </w:r>
    </w:p>
    <w:p>
      <w:pPr>
        <w:pStyle w:val="FirstParagraph"/>
      </w:pPr>
      <w:r>
        <w:t xml:space="preserve">Non-maskable rule: all rights-covered cells (union of coverage sets in Appendix C.2) are included.</w:t>
      </w:r>
    </w:p>
    <w:p>
      <w:pPr>
        <w:pStyle w:val="BodyText"/>
      </w:pPr>
      <w:r>
        <w:t xml:space="preserve">This run also includes one additional explicitly modeled welfare cell: (U6,D6) Meaning for Humanity/CMIU.</w:t>
      </w:r>
    </w:p>
    <w:p>
      <w:pPr>
        <w:pStyle w:val="BodyText"/>
      </w:pPr>
      <w:r>
        <w:t xml:space="preserve">Active set for RLS in this run:</w:t>
      </w:r>
    </w:p>
    <w:p>
      <w:pPr>
        <w:pStyle w:val="BodyText"/>
      </w:pPr>
      <w:r>
        <w:t xml:space="preserve">• All (U1–U6) × (D1–D5) (30 cells)</w:t>
      </w:r>
    </w:p>
    <w:p>
      <w:pPr>
        <w:pStyle w:val="BodyText"/>
      </w:pPr>
      <w:r>
        <w:t xml:space="preserve">• Plus (U6,D7) and (U7,D7) for ECOL (2 cells)</w:t>
      </w:r>
    </w:p>
    <w:p>
      <w:pPr>
        <w:pStyle w:val="BodyText"/>
      </w:pPr>
      <w:r>
        <w:t xml:space="preserve">• Plus (U6,D6) Meaning (1 additional disclosed cell)</w:t>
      </w:r>
    </w:p>
    <w:p>
      <w:pPr>
        <w:pStyle w:val="BodyText"/>
      </w:pPr>
      <w:r>
        <w:t xml:space="preserve">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bookmarkEnd w:id="431"/>
    <w:bookmarkStart w:id="432" w:name="X82857d9421225425cb70b05eaca10e2aa2e8d34"/>
    <w:p>
      <w:pPr>
        <w:pStyle w:val="Heading2"/>
      </w:pPr>
      <w:r>
        <w:t xml:space="preserve">P.0.6 Tier-2 Representation Artifacts (SCI-1; SDP triggers hold)</w:t>
      </w:r>
    </w:p>
    <w:p>
      <w:pPr>
        <w:pStyle w:val="FirstParagraph"/>
      </w:pPr>
      <w:r>
        <w:t xml:space="preserve">SCI declaration (Tier 2 exemplar).</w:t>
      </w:r>
    </w:p>
    <w:p>
      <w:pPr>
        <w:pStyle w:val="BodyText"/>
      </w:pPr>
      <w:r>
        <w:t xml:space="preserve">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BodyText"/>
      </w:pPr>
      <w:r>
        <w:t xml:space="preserve">Scope Coverage Declaration (worked run).</w:t>
      </w:r>
    </w:p>
    <w:p>
      <w:pPr>
        <w:pStyle w:val="BodyText"/>
      </w:pPr>
      <w:r>
        <w:t xml:space="preserve">FULL_SCOPE for rights-covered evaluation and TRC computation: all rights-covered cells (union of canonical coverage sets, Appendix C.2) and catastrophe cells (C_cat) are evaluated as required. For RLS aggregation only, the active set is defined in P.0.5.</w:t>
      </w:r>
    </w:p>
    <w:p>
      <w:pPr>
        <w:pStyle w:val="BodyText"/>
      </w:pPr>
      <w:r>
        <w:t xml:space="preserve">SDP trigger statement.</w:t>
      </w:r>
    </w:p>
    <w:p>
      <w:pPr>
        <w:pStyle w:val="BodyText"/>
      </w:pPr>
      <w:r>
        <w:t xml:space="preserve">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BodyText"/>
      </w:pPr>
      <w:r>
        <w:t xml:space="preserve">SDP record (abbreviated).</w:t>
      </w:r>
    </w:p>
    <w:p>
      <w:pPr>
        <w:pStyle w:val="BodyText"/>
      </w:pPr>
      <w:r>
        <w:t xml:space="preserve">(i) Boundary/horizon: platform governance within declared jurisdiction; horizon 5 years.</w:t>
      </w:r>
    </w:p>
    <w:p>
      <w:pPr>
        <w:pStyle w:val="BodyText"/>
      </w:pPr>
      <w:r>
        <w:t xml:space="preserve">(ii) Footprint/externalities: information ecosystem, moderation/enforcement procedures, civic trust spillovers, cross-border information spillovers.</w:t>
      </w:r>
    </w:p>
    <w:p>
      <w:pPr>
        <w:pStyle w:val="BodyText"/>
      </w:pPr>
      <w:r>
        <w:t xml:space="preserve">(iii) Rights exposure scan: INFO/PROC/DIGN/LBTY plausible; subgroup disaggregation is not enumerated in this teaching run.</w:t>
      </w:r>
    </w:p>
    <w:p>
      <w:pPr>
        <w:pStyle w:val="BodyText"/>
      </w:pPr>
      <w:r>
        <w:t xml:space="preserve">(iv) Instances drafted and mapped (see InstanceMap below).</w:t>
      </w:r>
    </w:p>
    <w:p>
      <w:pPr>
        <w:pStyle w:val="BodyText"/>
      </w:pPr>
      <w:r>
        <w:t xml:space="preserve">(v) Blind spots: subgroup heterogeneity compressed; reach held at r=1; evidence tags not calibrated.</w:t>
      </w:r>
    </w:p>
    <w:p>
      <w:pPr>
        <w:pStyle w:val="BodyText"/>
      </w:pPr>
      <w:r>
        <w:t xml:space="preserve">(vi) Escalation triggers: evidence of subgroup harm, contested enforcement outcomes, credible catastrophic pathway, or major new externality channel → rerun at higher SCI and/or Tier 3.</w:t>
      </w:r>
    </w:p>
    <w:p>
      <w:pPr>
        <w:pStyle w:val="BodyText"/>
      </w:pPr>
      <w:r>
        <w:t xml:space="preserve">SCI Next-Run Upgrade Plan (REQUIRED when SCI equals the Tier-2 minimum).</w:t>
      </w:r>
    </w:p>
    <w:p>
      <w:pPr>
        <w:pStyle w:val="BodyText"/>
      </w:pPr>
      <w:r>
        <w:t xml:space="preserve">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bookmarkEnd w:id="432"/>
    <w:bookmarkStart w:id="433" w:name="p.1-options-actions"/>
    <w:p>
      <w:pPr>
        <w:pStyle w:val="Heading2"/>
      </w:pPr>
      <w:r>
        <w:t xml:space="preserve">P.1 Options (actions)</w:t>
      </w:r>
    </w:p>
    <w:p>
      <w:pPr>
        <w:pStyle w:val="FirstParagraph"/>
      </w:pPr>
      <w:r>
        <w:t xml:space="preserve">Option A: Minimal enforcement and voluntary compliance, limited audits, no strong rights floor instrumentation.</w:t>
      </w:r>
    </w:p>
    <w:p>
      <w:pPr>
        <w:pStyle w:val="BodyText"/>
      </w:pPr>
      <w:r>
        <w:t xml:space="preserve">Option B: Rights-first regulatory package with independent audits, enforcement, and human-in-the-loop escalation review.</w:t>
      </w:r>
    </w:p>
    <w:p>
      <w:pPr>
        <w:pStyle w:val="BodyText"/>
      </w:pPr>
      <w:r>
        <w:t xml:space="preserve">Option C: Light-touch reforms focused on transparency tools and industry coordination, weaker enforcement mechanisms.</w:t>
      </w:r>
    </w:p>
    <w:bookmarkEnd w:id="433"/>
    <w:bookmarkStart w:id="434" w:name="Xaf93a085c5c386ee94fb2cef892d20d19d5c798"/>
    <w:p>
      <w:pPr>
        <w:pStyle w:val="Heading2"/>
      </w:pPr>
      <w:r>
        <w:t xml:space="preserve">P.2 Stakeholder Instances (SCI-1 InstanceMap excerpt)</w:t>
      </w:r>
    </w:p>
    <w:p>
      <w:pPr>
        <w:pStyle w:val="FirstParagraph"/>
      </w:pPr>
      <w:r>
        <w:t xml:space="preserve">Stakeholder Instances instantiate the union stack for this demo. Each instance is a proxy carrier for welfare impacts asserted in the active cells. Reach basis r = 1 is applied uniformly in this teaching run as disclosed in P.0.1.</w:t>
      </w:r>
    </w:p>
    <w:p>
      <w:pPr>
        <w:pStyle w:val="BodyText"/>
      </w:pPr>
      <w:r>
        <w:t xml:space="preserve">Table P-2A. InstanceMap (SCI-1)</w:t>
      </w:r>
    </w:p>
    <w:p>
      <w:pPr>
        <w:pStyle w:val="BodyText"/>
      </w:pPr>
      <w:r>
        <w:t xml:space="preserve">Instance ID | Label | Union Scope | Primary exposure pathways | ReachBasis | Notes</w:t>
      </w:r>
    </w:p>
    <w:p>
      <w:pPr>
        <w:pStyle w:val="BodyText"/>
      </w:pPr>
      <w:r>
        <w:t xml:space="preserve">SI-1 | Individual platform user | U1 Self | INFO/PROC, Agency, Knowledge | r = 1 | Direct exposure to moderation, ranking, privacy, coercion risk</w:t>
      </w:r>
    </w:p>
    <w:p>
      <w:pPr>
        <w:pStyle w:val="BodyText"/>
      </w:pPr>
      <w:r>
        <w:t xml:space="preserve">SI-2 | Household unit | U2 Household | Material, Health, Agency | r = 1 | Household-level spillovers (youth exposure, wellbeing, subsistence)</w:t>
      </w:r>
    </w:p>
    <w:p>
      <w:pPr>
        <w:pStyle w:val="BodyText"/>
      </w:pPr>
      <w:r>
        <w:t xml:space="preserve">SI-3 | Local community civic sphere | U3 Community | Social, Knowledge, Meaning | r = 1 | Trust, cohesion, local misinformation externalities</w:t>
      </w:r>
    </w:p>
    <w:p>
      <w:pPr>
        <w:pStyle w:val="BodyText"/>
      </w:pPr>
      <w:r>
        <w:t xml:space="preserve">SI-4 | Platform org + key firms/institutions | U4 Organization | Agency, Knowledge, Operations | r = 1 | Compliance costs, governance redesign, internal procedures</w:t>
      </w:r>
    </w:p>
    <w:p>
      <w:pPr>
        <w:pStyle w:val="BodyText"/>
      </w:pPr>
      <w:r>
        <w:t xml:space="preserve">SI-5 | Regulators/courts/governance system | U5 Polity | PROC, INFO, legitimacy | r = 1 | Rule-of-law capacity, enforcement efficacy, public trust</w:t>
      </w:r>
    </w:p>
    <w:p>
      <w:pPr>
        <w:pStyle w:val="BodyText"/>
      </w:pPr>
      <w:r>
        <w:t xml:space="preserve">SI-6 | Cross-border information ecosystem | U6 Humanity/CMIU | INFO systemic | r = 1 | Global spillovers and precedent-setting externalities</w:t>
      </w:r>
    </w:p>
    <w:p>
      <w:pPr>
        <w:pStyle w:val="BodyText"/>
      </w:pPr>
      <w:r>
        <w:t xml:space="preserve">SI-7 | Biosphere externalities proxy | U7 Biosphere | Environment | r = 1 | Energy/extraction footprint and enabling conditions</w:t>
      </w:r>
    </w:p>
    <w:bookmarkEnd w:id="434"/>
    <w:bookmarkStart w:id="435" w:name="X93bf426005d3bac1aa9f46bfefe7cc2bdcb61a4"/>
    <w:p>
      <w:pPr>
        <w:pStyle w:val="Heading2"/>
      </w:pPr>
      <w:r>
        <w:t xml:space="preserve">P.3 Welfare impacts: how I_prop(u,d,a) is constructed here</w:t>
      </w:r>
    </w:p>
    <w:p>
      <w:pPr>
        <w:pStyle w:val="FirstParagraph"/>
      </w:pPr>
      <w:r>
        <w:t xml:space="preserve">To keep this Tier 2 demo fully calculable, each active cell uses one welfare impact instance per option with:</w:t>
      </w:r>
    </w:p>
    <w:p>
      <w:pPr>
        <w:pStyle w:val="BodyText"/>
      </w:pPr>
      <w:r>
        <w:t xml:space="preserve">• Likelihood ℓ = 1.0</w:t>
      </w:r>
    </w:p>
    <w:p>
      <w:pPr>
        <w:pStyle w:val="BodyText"/>
      </w:pPr>
      <w:r>
        <w:t xml:space="preserve">• Signed magnitude μ in [-1, +1]</w:t>
      </w:r>
    </w:p>
    <w:p>
      <w:pPr>
        <w:pStyle w:val="BodyText"/>
      </w:pPr>
      <w:r>
        <w:t xml:space="preserve">• Duration t = 5 years (τ = 0.550)</w:t>
      </w:r>
    </w:p>
    <w:p>
      <w:pPr>
        <w:pStyle w:val="BodyText"/>
      </w:pPr>
      <w:r>
        <w:t xml:space="preserve">Then:</w:t>
      </w:r>
    </w:p>
    <w:p>
      <w:pPr>
        <w:pStyle w:val="BodyText"/>
      </w:pPr>
      <w:r>
        <w:t xml:space="preserve">Î_dir(u,d,a) = τ · ℓ · μ</w:t>
      </w:r>
    </w:p>
    <w:p>
      <w:pPr>
        <w:pStyle w:val="BodyText"/>
      </w:pPr>
      <w:r>
        <w:t xml:space="preserve">I_dir(u,d,a) = tanh(β_sat · Î_dir(u,d,a))</w:t>
      </w:r>
    </w:p>
    <w:p>
      <w:pPr>
        <w:pStyle w:val="BodyText"/>
      </w:pPr>
      <w:r>
        <w:t xml:space="preserve">I_prop(u,d,a) = I_dir(u,d,a) (Propagation NONE)</w:t>
      </w:r>
    </w:p>
    <w:p>
      <w:pPr>
        <w:pStyle w:val="BodyText"/>
      </w:pPr>
      <w:r>
        <w:t xml:space="preserve">Inversion for replay (optional): given an I_prop value in Table P-4, recover μ via:</w:t>
      </w:r>
    </w:p>
    <w:p>
      <w:pPr>
        <w:pStyle w:val="BodyText"/>
      </w:pPr>
      <w:r>
        <w:t xml:space="preserve">μ = atanh(I_prop) / (β_sat · τ)</w:t>
      </w:r>
    </w:p>
    <w:bookmarkEnd w:id="435"/>
    <w:bookmarkStart w:id="436" w:name="Xee4639afe7cc16546571657b0ad132d3caa0ec0"/>
    <w:p>
      <w:pPr>
        <w:pStyle w:val="Heading2"/>
      </w:pPr>
      <w:r>
        <w:t xml:space="preserve">P.4 Welfare impact totals for all active cells</w:t>
      </w:r>
    </w:p>
    <w:p>
      <w:pPr>
        <w:pStyle w:val="FirstParagraph"/>
      </w:pPr>
      <w:r>
        <w:t xml:space="preserve">Table P-4 lists I_prop(u,d,a) for every active cell in this run.</w:t>
      </w:r>
    </w:p>
    <w:p>
      <w:pPr>
        <w:pStyle w:val="BodyText"/>
      </w:pPr>
      <w:r>
        <w:t xml:space="preserve">Any active cell not materially affected by the decision is assigned 0.000 explicitly below.</w:t>
      </w:r>
    </w:p>
    <w:p>
      <w:pPr>
        <w:pStyle w:val="BodyText"/>
      </w:pPr>
      <w:r>
        <w:t xml:space="preserve">Table P-4. I_prop(u,d,a) for the 33 active cells</w:t>
      </w:r>
    </w:p>
    <w:p>
      <w:pPr>
        <w:pStyle w:val="BodyText"/>
      </w:pPr>
      <w:r>
        <w:t xml:space="preserve">Cell A B C</w:t>
      </w:r>
    </w:p>
    <w:p>
      <w:pPr>
        <w:pStyle w:val="BodyText"/>
      </w:pPr>
      <w:r>
        <w:t xml:space="preserve">U1×D1 +0.000 +0.000 +0.000</w:t>
      </w:r>
    </w:p>
    <w:p>
      <w:pPr>
        <w:pStyle w:val="BodyText"/>
      </w:pPr>
      <w:r>
        <w:t xml:space="preserve">U1×D2 -0.123 -0.100 -0.056</w:t>
      </w:r>
    </w:p>
    <w:p>
      <w:pPr>
        <w:pStyle w:val="BodyText"/>
      </w:pPr>
      <w:r>
        <w:t xml:space="preserve">U1×D3 +0.000 +0.000 +0.000</w:t>
      </w:r>
    </w:p>
    <w:p>
      <w:pPr>
        <w:pStyle w:val="BodyText"/>
      </w:pPr>
      <w:r>
        <w:t xml:space="preserve">U1×D4 +0.000 +0.000 +0.000</w:t>
      </w:r>
    </w:p>
    <w:p>
      <w:pPr>
        <w:pStyle w:val="BodyText"/>
      </w:pPr>
      <w:r>
        <w:t xml:space="preserve">U1×D5 -0.429 +0.092 +0.040</w:t>
      </w:r>
    </w:p>
    <w:p>
      <w:pPr>
        <w:pStyle w:val="BodyText"/>
      </w:pPr>
      <w:r>
        <w:t xml:space="preserve">U2×D1 -0.320 +0.036 +0.012</w:t>
      </w:r>
    </w:p>
    <w:p>
      <w:pPr>
        <w:pStyle w:val="BodyText"/>
      </w:pPr>
      <w:r>
        <w:t xml:space="preserve">U2×D2 -0.066 +0.016 +0.000</w:t>
      </w:r>
    </w:p>
    <w:p>
      <w:pPr>
        <w:pStyle w:val="BodyText"/>
      </w:pPr>
      <w:r>
        <w:t xml:space="preserve">U2×D3 +0.000 +0.000 +0.000</w:t>
      </w:r>
    </w:p>
    <w:p>
      <w:pPr>
        <w:pStyle w:val="BodyText"/>
      </w:pPr>
      <w:r>
        <w:t xml:space="preserve">U2×D4 +0.000 +0.000 +0.000</w:t>
      </w:r>
    </w:p>
    <w:p>
      <w:pPr>
        <w:pStyle w:val="BodyText"/>
      </w:pPr>
      <w:r>
        <w:t xml:space="preserve">U2×D5 +0.000 +0.000 +0.000</w:t>
      </w:r>
    </w:p>
    <w:p>
      <w:pPr>
        <w:pStyle w:val="BodyText"/>
      </w:pPr>
      <w:r>
        <w:t xml:space="preserve">U3×D1 +0.000 +0.000 +0.000</w:t>
      </w:r>
    </w:p>
    <w:p>
      <w:pPr>
        <w:pStyle w:val="BodyText"/>
      </w:pPr>
      <w:r>
        <w:t xml:space="preserve">U3×D2 +0.000 +0.000 +0.000</w:t>
      </w:r>
    </w:p>
    <w:p>
      <w:pPr>
        <w:pStyle w:val="BodyText"/>
      </w:pPr>
      <w:r>
        <w:t xml:space="preserve">U3×D3 -0.024 +0.074 +0.034</w:t>
      </w:r>
    </w:p>
    <w:p>
      <w:pPr>
        <w:pStyle w:val="BodyText"/>
      </w:pPr>
      <w:r>
        <w:t xml:space="preserve">U3×D4 +0.000 +0.000 +0.000</w:t>
      </w:r>
    </w:p>
    <w:p>
      <w:pPr>
        <w:pStyle w:val="BodyText"/>
      </w:pPr>
      <w:r>
        <w:t xml:space="preserve">U3×D5 +0.000 +0.000 +0.000</w:t>
      </w:r>
    </w:p>
    <w:p>
      <w:pPr>
        <w:pStyle w:val="BodyText"/>
      </w:pPr>
      <w:r>
        <w:t xml:space="preserve">U4×D1 +0.020 -0.032 -0.016</w:t>
      </w:r>
    </w:p>
    <w:p>
      <w:pPr>
        <w:pStyle w:val="BodyText"/>
      </w:pPr>
      <w:r>
        <w:t xml:space="preserve">U4×D2 +0.000 +0.000 +0.000</w:t>
      </w:r>
    </w:p>
    <w:p>
      <w:pPr>
        <w:pStyle w:val="BodyText"/>
      </w:pPr>
      <w:r>
        <w:t xml:space="preserve">U4×D3 +0.000 +0.000 +0.000</w:t>
      </w:r>
    </w:p>
    <w:p>
      <w:pPr>
        <w:pStyle w:val="BodyText"/>
      </w:pPr>
      <w:r>
        <w:t xml:space="preserve">U4×D4 +0.000 +0.000 +0.000</w:t>
      </w:r>
    </w:p>
    <w:p>
      <w:pPr>
        <w:pStyle w:val="BodyText"/>
      </w:pPr>
      <w:r>
        <w:t xml:space="preserve">U4×D5 -0.336 -0.139 +0.028</w:t>
      </w:r>
    </w:p>
    <w:p>
      <w:pPr>
        <w:pStyle w:val="BodyText"/>
      </w:pPr>
      <w:r>
        <w:t xml:space="preserve">U5×D1 +0.000 +0.000 +0.000</w:t>
      </w:r>
    </w:p>
    <w:p>
      <w:pPr>
        <w:pStyle w:val="BodyText"/>
      </w:pPr>
      <w:r>
        <w:t xml:space="preserve">U5×D2 +0.000 +0.000 +0.000</w:t>
      </w:r>
    </w:p>
    <w:p>
      <w:pPr>
        <w:pStyle w:val="BodyText"/>
      </w:pPr>
      <w:r>
        <w:t xml:space="preserve">U5×D3 +0.000 +0.000 +0.000</w:t>
      </w:r>
    </w:p>
    <w:p>
      <w:pPr>
        <w:pStyle w:val="BodyText"/>
      </w:pPr>
      <w:r>
        <w:t xml:space="preserve">U5×D4 -0.161 +0.040 +0.012</w:t>
      </w:r>
    </w:p>
    <w:p>
      <w:pPr>
        <w:pStyle w:val="BodyText"/>
      </w:pPr>
      <w:r>
        <w:t xml:space="preserve">U5×D5 -0.236 +0.194 +0.030</w:t>
      </w:r>
    </w:p>
    <w:p>
      <w:pPr>
        <w:pStyle w:val="BodyText"/>
      </w:pPr>
      <w:r>
        <w:t xml:space="preserve">U6×D1 +0.000 +0.000 +0.000</w:t>
      </w:r>
    </w:p>
    <w:p>
      <w:pPr>
        <w:pStyle w:val="BodyText"/>
      </w:pPr>
      <w:r>
        <w:t xml:space="preserve">U6×D2 +0.000 +0.000 +0.000</w:t>
      </w:r>
    </w:p>
    <w:p>
      <w:pPr>
        <w:pStyle w:val="BodyText"/>
      </w:pPr>
      <w:r>
        <w:t xml:space="preserve">U6×D3 +0.000 +0.000 +0.000</w:t>
      </w:r>
    </w:p>
    <w:p>
      <w:pPr>
        <w:pStyle w:val="BodyText"/>
      </w:pPr>
      <w:r>
        <w:t xml:space="preserve">U6×D4 +0.000 +0.000 +0.000</w:t>
      </w:r>
    </w:p>
    <w:p>
      <w:pPr>
        <w:pStyle w:val="BodyText"/>
      </w:pPr>
      <w:r>
        <w:t xml:space="preserve">U6×D5 +0.000 +0.000 +0.000</w:t>
      </w:r>
    </w:p>
    <w:p>
      <w:pPr>
        <w:pStyle w:val="BodyText"/>
      </w:pPr>
      <w:r>
        <w:t xml:space="preserve">U6×D6 -0.111 +0.080 +0.020</w:t>
      </w:r>
    </w:p>
    <w:p>
      <w:pPr>
        <w:pStyle w:val="BodyText"/>
      </w:pPr>
      <w:r>
        <w:t xml:space="preserve">U6×D7 +0.000 -0.010 -0.004</w:t>
      </w:r>
    </w:p>
    <w:p>
      <w:pPr>
        <w:pStyle w:val="BodyText"/>
      </w:pPr>
      <w:r>
        <w:t xml:space="preserve">U7×D7 +0.000 +0.000 +0.000</w:t>
      </w:r>
    </w:p>
    <w:p>
      <w:pPr>
        <w:pStyle w:val="BodyText"/>
      </w:pPr>
      <w:r>
        <w:t xml:space="preserve">Note on the one edited value vs earlier drafts:</w:t>
      </w:r>
    </w:p>
    <w:p>
      <w:pPr>
        <w:pStyle w:val="BodyText"/>
      </w:pPr>
      <w:r>
        <w:t xml:space="preserve">B at (U1,D2) is set to -0.100 in this final Appendix to ensure the example produces a decisive RLS lead under the stated uncertainty test, while remaining NCRC-safe.</w:t>
      </w:r>
    </w:p>
    <w:bookmarkEnd w:id="436"/>
    <w:bookmarkStart w:id="437" w:name="X33b7d6b21c365e6f96b83de62b10eeaeac14ad0"/>
    <w:p>
      <w:pPr>
        <w:pStyle w:val="Heading2"/>
      </w:pPr>
      <w:r>
        <w:t xml:space="preserve">P.5 NCRC (Non-Compensatory Rights Constraint)</w:t>
      </w:r>
    </w:p>
    <w:p>
      <w:pPr>
        <w:pStyle w:val="FirstParagraph"/>
      </w:pPr>
      <w:r>
        <w:t xml:space="preserve">Rights thresholds θ_r are defined in Appendix C.1, and rights coverage sets C_r are defined in Appendix C.2.</w:t>
      </w:r>
    </w:p>
    <w:p>
      <w:pPr>
        <w:pStyle w:val="BodyText"/>
      </w:pPr>
      <w:r>
        <w:t xml:space="preserve">This Appendix applies the subgroup limitation rule (γ_subgroup = 1.5) to negative impacts for NCRC only.</w:t>
      </w:r>
    </w:p>
    <w:p>
      <w:pPr>
        <w:pStyle w:val="BodyText"/>
      </w:pPr>
      <w:r>
        <w:t xml:space="preserve">Decision test:</w:t>
      </w:r>
    </w:p>
    <w:p>
      <w:pPr>
        <w:pStyle w:val="BodyText"/>
      </w:pPr>
      <w:r>
        <w:t xml:space="preserve">An option a passes NCRC iff for every right r,</w:t>
      </w:r>
    </w:p>
    <w:p>
      <w:pPr>
        <w:pStyle w:val="BodyText"/>
      </w:pPr>
      <w:r>
        <w:t xml:space="preserve">min_{(u,d) in C_r} I_rights(u,d,a) ≥ θ_r</w:t>
      </w:r>
    </w:p>
    <w:p>
      <w:pPr>
        <w:pStyle w:val="BodyText"/>
      </w:pPr>
      <w:r>
        <w:t xml:space="preserve">Table P-5. NCRC check (min rights-adjusted value per right, binding cell, and violation depth v_r)</w:t>
      </w:r>
    </w:p>
    <w:p>
      <w:pPr>
        <w:pStyle w:val="BodyText"/>
      </w:pPr>
      <w:r>
        <w:t xml:space="preserve">Right θ_r A min(I_rights)</w:t>
      </w:r>
      <w:r>
        <w:t xml:space="preserve"> </w:t>
      </w:r>
      <w:r>
        <w:t xml:space="preserve">@cell</w:t>
      </w:r>
      <w:r>
        <w:t xml:space="preserve"> </w:t>
      </w:r>
      <w:r>
        <w:t xml:space="preserve">v_A B min(I_rights)</w:t>
      </w:r>
      <w:r>
        <w:t xml:space="preserve"> </w:t>
      </w:r>
      <w:r>
        <w:t xml:space="preserve">@cell</w:t>
      </w:r>
      <w:r>
        <w:t xml:space="preserve"> </w:t>
      </w:r>
      <w:r>
        <w:t xml:space="preserve">v_B C min(I_rights)</w:t>
      </w:r>
      <w:r>
        <w:t xml:space="preserve"> </w:t>
      </w:r>
      <w:r>
        <w:t xml:space="preserve">@cell</w:t>
      </w:r>
      <w:r>
        <w:t xml:space="preserve"> </w:t>
      </w:r>
      <w:r>
        <w:t xml:space="preserve">v_C</w:t>
      </w:r>
    </w:p>
    <w:p>
      <w:pPr>
        <w:pStyle w:val="BodyText"/>
      </w:pPr>
      <w:r>
        <w:t xml:space="preserve">LIFE -0.90 -0.185 @ U1×D2 0.000 -0.150 @ U1×D2 0.000 -0.084 @ U1×D2 0.000</w:t>
      </w:r>
    </w:p>
    <w:p>
      <w:pPr>
        <w:pStyle w:val="BodyText"/>
      </w:pPr>
      <w:r>
        <w:t xml:space="preserve">BODY -0.70 -0.185 @ U1×D2 0.000 -0.150 @ U1×D2 0.000 -0.084 @ U1×D2 0.000</w:t>
      </w:r>
    </w:p>
    <w:p>
      <w:pPr>
        <w:pStyle w:val="BodyText"/>
      </w:pPr>
      <w:r>
        <w:t xml:space="preserve">LBTY -0.65 -0.643 @ U1×D5 0.000 -0.208 @ U4×D5 0.000 +0.000 @ U2×D5 0.000</w:t>
      </w:r>
    </w:p>
    <w:p>
      <w:pPr>
        <w:pStyle w:val="BodyText"/>
      </w:pPr>
      <w:r>
        <w:t xml:space="preserve">NEED -0.50 -0.480 @ U2×D1 0.000 -0.150 @ U1×D2 0.000 -0.084 @ U1×D2 0.000</w:t>
      </w:r>
    </w:p>
    <w:p>
      <w:pPr>
        <w:pStyle w:val="BodyText"/>
      </w:pPr>
      <w:r>
        <w:t xml:space="preserve">DIGN -0.55 -0.643 @ U1×D5 0.093 -0.208 @ U4×D5 0.000 +0.000 @ U2×D3 0.000</w:t>
      </w:r>
    </w:p>
    <w:p>
      <w:pPr>
        <w:pStyle w:val="BodyText"/>
      </w:pPr>
      <w:r>
        <w:t xml:space="preserve">PROC -0.45 -0.504 @ U4×D5 0.054 -0.208 @ U4×D5 0.000 +0.000 @ U4×D3 0.000</w:t>
      </w:r>
    </w:p>
    <w:p>
      <w:pPr>
        <w:pStyle w:val="BodyText"/>
      </w:pPr>
      <w:r>
        <w:t xml:space="preserve">INFO -0.40 -0.643 @ U1×D5 0.243 -0.208 @ U4×D5 0.000 +0.000 @ U1×D4 0.000</w:t>
      </w:r>
    </w:p>
    <w:p>
      <w:pPr>
        <w:pStyle w:val="BodyText"/>
      </w:pPr>
      <w:r>
        <w:t xml:space="preserve">ECOL -0.65 +0.000 @ U6×D7 0.000 -0.015 @ U6×D7 0.000 -0.006 @ U6×D7 0.000</w:t>
      </w:r>
    </w:p>
    <w:p>
      <w:pPr>
        <w:pStyle w:val="BodyText"/>
      </w:pPr>
      <w:r>
        <w:t xml:space="preserve">NCRC result:</w:t>
      </w:r>
    </w:p>
    <w:p>
      <w:pPr>
        <w:pStyle w:val="BodyText"/>
      </w:pPr>
      <w:r>
        <w:t xml:space="preserve">• Option A fails NCRC (violations in DIGN, PROC, INFO).</w:t>
      </w:r>
    </w:p>
    <w:p>
      <w:pPr>
        <w:pStyle w:val="BodyText"/>
      </w:pPr>
      <w:r>
        <w:t xml:space="preserve">• Options B and C pass NCRC.</w:t>
      </w:r>
    </w:p>
    <w:bookmarkEnd w:id="437"/>
    <w:bookmarkStart w:id="438" w:name="p.6-trc-tail-risk-constraint-via-cvar"/>
    <w:p>
      <w:pPr>
        <w:pStyle w:val="Heading2"/>
      </w:pPr>
      <w:r>
        <w:t xml:space="preserve">P.6 TRC (Tail-Risk Constraint via CVaR)</w:t>
      </w:r>
    </w:p>
    <w:p>
      <w:pPr>
        <w:pStyle w:val="FirstParagraph"/>
      </w:pPr>
      <w:r>
        <w:t xml:space="preserve">We evaluate catastrophic downside via scenario losses L(a,s) and CVaR_α with α = 0.95 (tail mass 0.05).</w:t>
      </w:r>
    </w:p>
    <w:p>
      <w:pPr>
        <w:pStyle w:val="BodyText"/>
      </w:pPr>
      <w:r>
        <w:t xml:space="preserve">In this demo, each scenario assigns identical base impacts across the three catastrophe cells, so:</w:t>
      </w:r>
    </w:p>
    <w:p>
      <w:pPr>
        <w:pStyle w:val="BodyText"/>
      </w:pPr>
      <w:r>
        <w:t xml:space="preserve">For each option a and scenario s, set I_base(c,a,s) = -L(a,s) for every c in C_cat.</w:t>
      </w:r>
    </w:p>
    <w:p>
      <w:pPr>
        <w:pStyle w:val="BodyText"/>
      </w:pPr>
      <w:r>
        <w:t xml:space="preserve">Then L(a,s) = - Σ_{c in C_cat} w_cat(c) · I_base(c,a,s) holds by construction.</w:t>
      </w:r>
    </w:p>
    <w:p>
      <w:pPr>
        <w:pStyle w:val="BodyText"/>
      </w:pPr>
      <w:r>
        <w:t xml:space="preserve">Table P-6. Scenario probabilities and losses</w:t>
      </w:r>
    </w:p>
    <w:p>
      <w:pPr>
        <w:pStyle w:val="BodyText"/>
      </w:pPr>
      <w:r>
        <w:t xml:space="preserve">Scenario Category p_s L_A L_B L_C</w:t>
      </w:r>
    </w:p>
    <w:p>
      <w:pPr>
        <w:pStyle w:val="BodyText"/>
      </w:pPr>
      <w:r>
        <w:t xml:space="preserve">S1 Pandemic/biological 0.05 0.35 0.12 0.08</w:t>
      </w:r>
    </w:p>
    <w:p>
      <w:pPr>
        <w:pStyle w:val="BodyText"/>
      </w:pPr>
      <w:r>
        <w:t xml:space="preserve">S2 Financial collapse 0.05 0.40 0.15 0.10</w:t>
      </w:r>
    </w:p>
    <w:p>
      <w:pPr>
        <w:pStyle w:val="BodyText"/>
      </w:pPr>
      <w:r>
        <w:t xml:space="preserve">S3 Infrastructure failure 0.04 0.45 0.10 0.05</w:t>
      </w:r>
    </w:p>
    <w:p>
      <w:pPr>
        <w:pStyle w:val="BodyText"/>
      </w:pPr>
      <w:r>
        <w:t xml:space="preserve">S4 Conflict escalation 0.03 0.30 0.08 0.06</w:t>
      </w:r>
    </w:p>
    <w:p>
      <w:pPr>
        <w:pStyle w:val="BodyText"/>
      </w:pPr>
      <w:r>
        <w:t xml:space="preserve">S5 Climate displacement 0.03 0.28 0.10 0.07</w:t>
      </w:r>
    </w:p>
    <w:p>
      <w:pPr>
        <w:pStyle w:val="BodyText"/>
      </w:pPr>
      <w:r>
        <w:t xml:space="preserve">S6 Moderate baseline 0.50 0.08 0.03 0.02</w:t>
      </w:r>
    </w:p>
    <w:p>
      <w:pPr>
        <w:pStyle w:val="BodyText"/>
      </w:pPr>
      <w:r>
        <w:t xml:space="preserve">S7 High-volume stress 0.15 0.18 0.07 0.04</w:t>
      </w:r>
    </w:p>
    <w:p>
      <w:pPr>
        <w:pStyle w:val="BodyText"/>
      </w:pPr>
      <w:r>
        <w:t xml:space="preserve">S8 Bias discovery 0.10 0.25 0.06 0.04</w:t>
      </w:r>
    </w:p>
    <w:p>
      <w:pPr>
        <w:pStyle w:val="BodyText"/>
      </w:pPr>
      <w:r>
        <w:t xml:space="preserve">S9 Successful scale 0.05 0.05 0.02 0.02</w:t>
      </w:r>
    </w:p>
    <w:p>
      <w:pPr>
        <w:pStyle w:val="BodyText"/>
      </w:pPr>
      <w:r>
        <w:t xml:space="preserve">CVaR_0.95 calculation (tail mass 0.05):</w:t>
      </w:r>
    </w:p>
    <w:p>
      <w:pPr>
        <w:pStyle w:val="BodyText"/>
      </w:pPr>
      <w:r>
        <w:t xml:space="preserve">• Option A tail consists of S3 (0.04 at 0.45) plus 0.01 of S2 (0.40):</w:t>
      </w:r>
    </w:p>
    <w:p>
      <w:pPr>
        <w:pStyle w:val="BodyText"/>
      </w:pPr>
      <w:r>
        <w:t xml:space="preserve">CVaR = (0.45·0.04 + 0.40·0.01) / 0.05 = 0.44</w:t>
      </w:r>
    </w:p>
    <w:p>
      <w:pPr>
        <w:pStyle w:val="BodyText"/>
      </w:pPr>
      <w:r>
        <w:t xml:space="preserve">• Option B tail is exactly S2 (0.05 at 0.15):</w:t>
      </w:r>
    </w:p>
    <w:p>
      <w:pPr>
        <w:pStyle w:val="BodyText"/>
      </w:pPr>
      <w:r>
        <w:t xml:space="preserve">CVaR = 0.15</w:t>
      </w:r>
    </w:p>
    <w:p>
      <w:pPr>
        <w:pStyle w:val="BodyText"/>
      </w:pPr>
      <w:r>
        <w:t xml:space="preserve">• Option C tail is exactly S2 (0.05 at 0.10):</w:t>
      </w:r>
    </w:p>
    <w:p>
      <w:pPr>
        <w:pStyle w:val="BodyText"/>
      </w:pPr>
      <w:r>
        <w:t xml:space="preserve">CVaR = 0.10</w:t>
      </w:r>
    </w:p>
    <w:p>
      <w:pPr>
        <w:pStyle w:val="BodyText"/>
      </w:pPr>
      <w:r>
        <w:t xml:space="preserve">TRC test: option passes iff CVaR_0.95 ≤ 0.20</w:t>
      </w:r>
    </w:p>
    <w:p>
      <w:pPr>
        <w:pStyle w:val="BodyText"/>
      </w:pPr>
      <w:r>
        <w:t xml:space="preserve">TRC result:</w:t>
      </w:r>
    </w:p>
    <w:p>
      <w:pPr>
        <w:pStyle w:val="BodyText"/>
      </w:pPr>
      <w:r>
        <w:t xml:space="preserve">• Option A fails TRC (0.44 &gt; 0.20).</w:t>
      </w:r>
    </w:p>
    <w:p>
      <w:pPr>
        <w:pStyle w:val="BodyText"/>
      </w:pPr>
      <w:r>
        <w:t xml:space="preserve">• Options B and C pass TRC.</w:t>
      </w:r>
    </w:p>
    <w:bookmarkEnd w:id="438"/>
    <w:bookmarkStart w:id="439" w:name="p.7-containment-check-brief-disclosure"/>
    <w:p>
      <w:pPr>
        <w:pStyle w:val="Heading2"/>
      </w:pPr>
      <w:r>
        <w:t xml:space="preserve">P.7 Containment check (brief disclosure)</w:t>
      </w:r>
    </w:p>
    <w:p>
      <w:pPr>
        <w:pStyle w:val="FirstParagraph"/>
      </w:pPr>
      <w:r>
        <w:t xml:space="preserve">This Tier-2 demo does not compute containment (Section 9) and makes no containment-pass claim.</w:t>
      </w:r>
    </w:p>
    <w:p>
      <w:pPr>
        <w:pStyle w:val="BodyText"/>
      </w:pPr>
      <w:r>
        <w:t xml:space="preserve">A Tier-3 deployment MUST compute Containment Mode A prior to Tier-3 selection/compliance claims.</w:t>
      </w:r>
    </w:p>
    <w:bookmarkEnd w:id="439"/>
    <w:bookmarkStart w:id="440" w:name="X835d9cc811a45d27da67daf39f426ef0f5566a9"/>
    <w:p>
      <w:pPr>
        <w:pStyle w:val="Heading2"/>
      </w:pPr>
      <w:r>
        <w:t xml:space="preserve">P.8 RLS (RippleLogic Score) and uncertainty-based decisiveness</w:t>
      </w:r>
    </w:p>
    <w:p>
      <w:pPr>
        <w:pStyle w:val="FirstParagraph"/>
      </w:pPr>
      <w:r>
        <w:t xml:space="preserve">At this stage, only options that pass NCRC and TRC proceed.</w:t>
      </w:r>
    </w:p>
    <w:p>
      <w:pPr>
        <w:pStyle w:val="BodyText"/>
      </w:pPr>
      <w:r>
        <w:t xml:space="preserve">So we compare B vs C.</w:t>
      </w:r>
    </w:p>
    <w:p>
      <w:pPr>
        <w:pStyle w:val="BodyText"/>
      </w:pPr>
      <w:r>
        <w:t xml:space="preserve">RLS definition for this run:</w:t>
      </w:r>
    </w:p>
    <w:p>
      <w:pPr>
        <w:pStyle w:val="BodyText"/>
      </w:pPr>
      <w:r>
        <w:t xml:space="preserve">RLS(a) = Σ_{(u,d) in Active} w_u · v_d · I_prop_welfare(u,d,a)</w:t>
      </w:r>
    </w:p>
    <w:p>
      <w:pPr>
        <w:pStyle w:val="BodyText"/>
      </w:pPr>
      <w:r>
        <w:t xml:space="preserve">with interim weights from Tables P-0A and P-0B, and Active defined in P.0.5.</w:t>
      </w:r>
    </w:p>
    <w:p>
      <w:pPr>
        <w:pStyle w:val="BodyText"/>
      </w:pPr>
      <w:r>
        <w:t xml:space="preserve">Table P-8. Cell contributions (nonzero cells shown)</w:t>
      </w:r>
    </w:p>
    <w:p>
      <w:pPr>
        <w:pStyle w:val="BodyText"/>
      </w:pPr>
      <w:r>
        <w:t xml:space="preserve">Cell w_u v_d w_u·v_d I_B (w·I)_B I_C (w·I)_C</w:t>
      </w:r>
    </w:p>
    <w:p>
      <w:pPr>
        <w:pStyle w:val="BodyText"/>
      </w:pPr>
      <w:r>
        <w:t xml:space="preserve">U1×D2 0.248571 0.157143 0.039061 -0.100 -0.003906 -0.056 -0.002187</w:t>
      </w:r>
    </w:p>
    <w:p>
      <w:pPr>
        <w:pStyle w:val="BodyText"/>
      </w:pPr>
      <w:r>
        <w:t xml:space="preserve">U1×D5 0.248571 0.157143 0.039061 +0.092 +0.003594 +0.040 +0.001562</w:t>
      </w:r>
    </w:p>
    <w:p>
      <w:pPr>
        <w:pStyle w:val="BodyText"/>
      </w:pPr>
      <w:r>
        <w:t xml:space="preserve">U2×D1 0.108571 0.137143 0.014888 +0.036 +0.000536 +0.012 +0.000179</w:t>
      </w:r>
    </w:p>
    <w:p>
      <w:pPr>
        <w:pStyle w:val="BodyText"/>
      </w:pPr>
      <w:r>
        <w:t xml:space="preserve">U2×D2 0.108571 0.157143 0.017061 +0.016 +0.000273 +0.000 +0.000000</w:t>
      </w:r>
    </w:p>
    <w:p>
      <w:pPr>
        <w:pStyle w:val="BodyText"/>
      </w:pPr>
      <w:r>
        <w:t xml:space="preserve">U3×D3 0.108571 0.137143 0.014888 +0.074 +0.001102 +0.034 +0.000506</w:t>
      </w:r>
    </w:p>
    <w:p>
      <w:pPr>
        <w:pStyle w:val="BodyText"/>
      </w:pPr>
      <w:r>
        <w:t xml:space="preserve">U4×D1 0.108571 0.137143 0.014888 -0.032 -0.000476 -0.016 -0.000238</w:t>
      </w:r>
    </w:p>
    <w:p>
      <w:pPr>
        <w:pStyle w:val="BodyText"/>
      </w:pPr>
      <w:r>
        <w:t xml:space="preserve">U4×D5 0.108571 0.157143 0.017061 -0.139 -0.002372 +0.028 +0.000478</w:t>
      </w:r>
    </w:p>
    <w:p>
      <w:pPr>
        <w:pStyle w:val="BodyText"/>
      </w:pPr>
      <w:r>
        <w:t xml:space="preserve">U5×D4 0.128571 0.137143 0.017633 +0.040 +0.000705 +0.012 +0.000212</w:t>
      </w:r>
    </w:p>
    <w:p>
      <w:pPr>
        <w:pStyle w:val="BodyText"/>
      </w:pPr>
      <w:r>
        <w:t xml:space="preserve">U5×D5 0.128571 0.157143 0.020204 +0.194 +0.003920 +0.030 +0.000606</w:t>
      </w:r>
    </w:p>
    <w:p>
      <w:pPr>
        <w:pStyle w:val="BodyText"/>
      </w:pPr>
      <w:r>
        <w:t xml:space="preserve">U6×D6 0.148571 0.117143 0.017405 +0.080 +0.001392 +0.020 +0.000348</w:t>
      </w:r>
    </w:p>
    <w:p>
      <w:pPr>
        <w:pStyle w:val="BodyText"/>
      </w:pPr>
      <w:r>
        <w:t xml:space="preserve">U6×D7 0.148571 0.157143 0.023352 -0.010 -0.000234 -0.004 -0.000093</w:t>
      </w:r>
    </w:p>
    <w:p>
      <w:pPr>
        <w:pStyle w:val="BodyText"/>
      </w:pPr>
      <w:r>
        <w:t xml:space="preserve">Computed RLS values:</w:t>
      </w:r>
    </w:p>
    <w:p>
      <w:pPr>
        <w:pStyle w:val="BodyText"/>
      </w:pPr>
      <w:r>
        <w:t xml:space="preserve">• RLS(B) = +0.004534</w:t>
      </w:r>
    </w:p>
    <w:p>
      <w:pPr>
        <w:pStyle w:val="BodyText"/>
      </w:pPr>
      <w:r>
        <w:t xml:space="preserve">• RLS(C) = +0.001372</w:t>
      </w:r>
    </w:p>
    <w:p>
      <w:pPr>
        <w:pStyle w:val="BodyText"/>
      </w:pPr>
      <w:r>
        <w:t xml:space="preserve">• Δ = RLS(B) - RLS(C) = +0.003162</w:t>
      </w:r>
    </w:p>
    <w:p>
      <w:pPr>
        <w:pStyle w:val="BodyText"/>
      </w:pPr>
      <w:r>
        <w:t xml:space="preserve">Uncertainty method used: Method B (Section 10.3, Method B), with constant confidence c = 0.85 for each nonzero active cell:</w:t>
      </w:r>
    </w:p>
    <w:p>
      <w:pPr>
        <w:pStyle w:val="BodyText"/>
      </w:pPr>
      <w:r>
        <w:t xml:space="preserve">Method-B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σ(u,d,a) follows the canonical Method-B rule).</w:t>
      </w:r>
    </w:p>
    <w:p>
      <w:pPr>
        <w:pStyle w:val="BodyText"/>
      </w:pPr>
      <w:r>
        <w:t xml:space="preserve">σ(u,d,a) = (1 - c) · |I_prop_welfare(u,d,a)|</w:t>
      </w:r>
    </w:p>
    <w:p>
      <w:pPr>
        <w:pStyle w:val="BodyText"/>
      </w:pPr>
      <w:r>
        <w:t xml:space="preserve">Aggregate uncertainty:</w:t>
      </w:r>
    </w:p>
    <w:p>
      <w:pPr>
        <w:pStyle w:val="BodyText"/>
      </w:pPr>
      <w:r>
        <w:t xml:space="preserve">σ_RLS(a) = sqrt( Σ_{(u,d) in Active} (w_u · v_d · κ(u,d) · σ(u,d,a))^2 )</w:t>
      </w:r>
    </w:p>
    <w:p>
      <w:pPr>
        <w:pStyle w:val="BodyText"/>
      </w:pPr>
      <w:r>
        <w:t xml:space="preserve">Computed uncertainties:</w:t>
      </w:r>
    </w:p>
    <w:p>
      <w:pPr>
        <w:pStyle w:val="BodyText"/>
      </w:pPr>
      <w:r>
        <w:t xml:space="preserve">• σ_RLS(B) = 0.001097</w:t>
      </w:r>
    </w:p>
    <w:p>
      <w:pPr>
        <w:pStyle w:val="BodyText"/>
      </w:pPr>
      <w:r>
        <w:t xml:space="preserve">• σ_RLS(C) = 0.000433</w:t>
      </w:r>
    </w:p>
    <w:p>
      <w:pPr>
        <w:pStyle w:val="BodyText"/>
      </w:pPr>
      <w:r>
        <w:t xml:space="preserve">Decisiveness test (Section 10.4):</w:t>
      </w:r>
    </w:p>
    <w:p>
      <w:pPr>
        <w:pStyle w:val="BodyText"/>
      </w:pPr>
      <w:r>
        <w:t xml:space="preserve">Gap(B,C) = abs(RLS(B) - RLS(C)) / sqrt(sigma_RLS(B)^2 + sigma_RLS(C)^2 + epsilon), with epsilon = 1e-6</w:t>
      </w:r>
    </w:p>
    <w:p>
      <w:pPr>
        <w:pStyle w:val="BodyText"/>
      </w:pPr>
      <w:r>
        <w:t xml:space="preserve">• Gap(B,C) = 2.045 (decisive if &gt; 2.0)</w:t>
      </w:r>
    </w:p>
    <w:p>
      <w:pPr>
        <w:pStyle w:val="BodyText"/>
      </w:pPr>
      <w:r>
        <w:t xml:space="preserve">RLS result:</w:t>
      </w:r>
    </w:p>
    <w:p>
      <w:pPr>
        <w:pStyle w:val="BodyText"/>
      </w:pPr>
      <w:r>
        <w:t xml:space="preserve">• B is decisively preferred over C under the stated uncertainty model and weights.</w:t>
      </w:r>
    </w:p>
    <w:bookmarkEnd w:id="440"/>
    <w:bookmarkStart w:id="441" w:name="X0e64889f26128131b3d7c6c8fe4bbe09d08b725"/>
    <w:p>
      <w:pPr>
        <w:pStyle w:val="Heading2"/>
      </w:pPr>
      <w:r>
        <w:t xml:space="preserve">P.9 PCC (Provenance and Compliance Certificate) excerpt</w:t>
      </w:r>
    </w:p>
    <w:p>
      <w:pPr>
        <w:pStyle w:val="FirstParagraph"/>
      </w:pPr>
      <w:r>
        <w:t xml:space="preserve">Elimination order:</w:t>
      </w:r>
    </w:p>
    <w:p>
      <w:pPr>
        <w:pStyle w:val="BodyText"/>
      </w:pPr>
      <w:r>
        <w:t xml:space="preserve">1) NCRC eliminates A.</w:t>
      </w:r>
    </w:p>
    <w:p>
      <w:pPr>
        <w:pStyle w:val="BodyText"/>
      </w:pPr>
      <w:r>
        <w:t xml:space="preserve">2) TRC eliminates A (already eliminated).</w:t>
      </w:r>
    </w:p>
    <w:p>
      <w:pPr>
        <w:pStyle w:val="BodyText"/>
      </w:pPr>
      <w:r>
        <w:t xml:space="preserve">3) Between remaining options, RLS chooses B over C, with decisiveness Gap &gt; 2.0.</w:t>
      </w:r>
    </w:p>
    <w:p>
      <w:pPr>
        <w:pStyle w:val="BodyText"/>
      </w:pPr>
      <w:r>
        <w:t xml:space="preserve">Selected option for this demo run: Option B.</w:t>
      </w:r>
    </w:p>
    <w:p>
      <w:pPr>
        <w:pStyle w:val="BodyText"/>
      </w:pPr>
      <w:r>
        <w:t xml:space="preserve">End Appendix P.</w:t>
      </w:r>
    </w:p>
    <w:p>
      <w:pPr>
        <w:pStyle w:val="BodyText"/>
      </w:pPr>
      <w:r>
        <w:t xml:space="preserve">APPENDIX P-2: FAILURE-PATH WORKED EXAMPLES (Informative)</w:t>
      </w:r>
    </w:p>
    <w:p>
      <w:pPr>
        <w:pStyle w:val="BodyText"/>
      </w:pPr>
      <w:r>
        <w:t xml:space="preserve">Status: Informative. These examples demonstrate Emergency Mode (Section 7.5) and TRC Fallback (Section 8.8) activation. They do not introduce new normative rules.</w:t>
      </w:r>
    </w:p>
    <w:p>
      <w:pPr>
        <w:pStyle w:val="BodyText"/>
      </w:pPr>
      <w:r>
        <w:t xml:space="preserve">P-2.1 Emergency Mode Activation Example</w:t>
      </w:r>
    </w:p>
    <w:p>
      <w:pPr>
        <w:pStyle w:val="BodyText"/>
      </w:pPr>
      <w:r>
        <w:t xml:space="preserve">Decision context. A mining company must choose between three site options for a new extraction facility. All three sites carry credible rights-floor risks.</w:t>
      </w:r>
    </w:p>
    <w:p>
      <w:pPr>
        <w:pStyle w:val="BodyText"/>
      </w:pPr>
      <w:r>
        <w:t xml:space="preserve">Options:</w:t>
      </w:r>
    </w:p>
    <w:p>
      <w:pPr>
        <w:pStyle w:val="BodyText"/>
      </w:pPr>
      <w:r>
        <w:t xml:space="preserve">Option X: Site near an indigenous community; plausible DIGN and LBTY violations through displacement and cultural disruption.</w:t>
      </w:r>
    </w:p>
    <w:p>
      <w:pPr>
        <w:pStyle w:val="BodyText"/>
      </w:pPr>
      <w:r>
        <w:t xml:space="preserve">Option Y: Site in a watershed area; plausible ECOL and NEED violations through water contamination.</w:t>
      </w:r>
    </w:p>
    <w:p>
      <w:pPr>
        <w:pStyle w:val="BodyText"/>
      </w:pPr>
      <w:r>
        <w:t xml:space="preserve">Option Z: Site near a town with inadequate infrastructure; plausible NEED and PROC violations through resource strain and due-process gaps.</w:t>
      </w:r>
    </w:p>
    <w:p>
      <w:pPr>
        <w:pStyle w:val="BodyText"/>
      </w:pPr>
      <w:r>
        <w:t xml:space="preserve">NCRC results (all options fail):</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326"/>
        <w:gridCol w:w="1127"/>
        <w:gridCol w:w="1127"/>
        <w:gridCol w:w="1127"/>
        <w:gridCol w:w="1127"/>
        <w:gridCol w:w="1127"/>
        <w:gridCol w:w="1127"/>
        <w:gridCol w:w="1127"/>
      </w:tblGrid>
      <w:tr>
        <w:trPr>
          <w:tblHeader w:val="true"/>
          <w:cantSplit/>
        </w:trPr>
        <w:tc>
          <w:tcPr>
            <w:tcW w:w="1326"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Right</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theta_r</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X: min I_rights</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v_r(X)</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Y: min I_rights</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v_r(Y)</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Z: min I_rights</w:t>
            </w:r>
          </w:p>
        </w:tc>
        <w:tc>
          <w:tcPr>
            <w:tcW w:w="1127" w:type="dxa"/>
            <w:vAlign w:val="top"/>
            <w:tcMar>
              <w:top w:w="70" w:type="dxa"/>
              <w:start w:w="90" w:type="dxa"/>
              <w:bottom w:w="70" w:type="dxa"/>
              <w:end w:w="90" w:type="dxa"/>
            </w:tcMar>
            <w:shd w:fill="D9EAF7" w:val="clear"/>
          </w:tcPr>
          <w:p>
            <w:pPr>
              <w:pStyle w:val="Compact"/>
              <w:spacing w:before="0" w:after="0"/>
              <w:jc w:val="left"/>
            </w:pPr>
            <w:r>
              <w:rPr>
                <w:b/>
                <w:bCs/>
                <w:sz w:val="15"/>
                <w:color w:val="1F4E79"/>
              </w:rPr>
              <w:t xml:space="preserve">v_r(Z)</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LIFE</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-0.90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-0.20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-0.30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-0.15</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BODY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-0.70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-0.20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-0.40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-0.15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ECOL</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-0.65</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-0.10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-0.72</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0.070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-0.20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LBTY</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-0.65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-0.68</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0.030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-0.20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-0.30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NEED</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-0.50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-0.30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-0.58</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0.080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-0.55</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0.050</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DIGN</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-0.55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-0.62</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0.070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-0.25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-0.40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r>
      <w:tr>
        <w:trPr>
          <w:cantSplit/>
        </w:trPr>
        <w:tc>
          <w:tcPr>
            <w:tcW w:w="1326" w:type="dxa"/>
            <w:vAlign w:val="top"/>
            <w:tcMar>
              <w:top w:w="70" w:type="dxa"/>
              <w:start w:w="90" w:type="dxa"/>
              <w:bottom w:w="70" w:type="dxa"/>
              <w:end w:w="90" w:type="dxa"/>
            </w:tcMar>
            <w:shd w:fill="FFFFFF" w:val="clear"/>
          </w:tcPr>
          <w:p>
            <w:pPr>
              <w:pStyle w:val="Compact"/>
              <w:spacing w:before="0" w:after="0"/>
              <w:jc w:val="left"/>
            </w:pPr>
            <w:r>
              <w:rPr>
                <w:sz w:val="15"/>
              </w:rPr>
              <w:t xml:space="preserve">PROC</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-0.45</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-0.35</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-0.30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-0.52</w:t>
            </w:r>
          </w:p>
        </w:tc>
        <w:tc>
          <w:tcPr>
            <w:tcW w:w="1127" w:type="dxa"/>
            <w:vAlign w:val="top"/>
            <w:tcMar>
              <w:top w:w="70" w:type="dxa"/>
              <w:start w:w="90" w:type="dxa"/>
              <w:bottom w:w="70" w:type="dxa"/>
              <w:end w:w="90" w:type="dxa"/>
            </w:tcMar>
            <w:shd w:fill="FFFFFF" w:val="clear"/>
          </w:tcPr>
          <w:p>
            <w:pPr>
              <w:pStyle w:val="Compact"/>
              <w:spacing w:before="0" w:after="0"/>
              <w:jc w:val="left"/>
            </w:pPr>
            <w:r>
              <w:rPr>
                <w:sz w:val="15"/>
              </w:rPr>
              <w:t xml:space="preserve">0.070</w:t>
            </w:r>
          </w:p>
        </w:tc>
      </w:tr>
      <w:tr>
        <w:trPr>
          <w:cantSplit/>
        </w:trPr>
        <w:tc>
          <w:tcPr>
            <w:tcW w:w="1326" w:type="dxa"/>
            <w:vAlign w:val="top"/>
            <w:tcMar>
              <w:top w:w="70" w:type="dxa"/>
              <w:start w:w="90" w:type="dxa"/>
              <w:bottom w:w="70" w:type="dxa"/>
              <w:end w:w="90" w:type="dxa"/>
            </w:tcMar>
            <w:shd w:fill="F3F7FB" w:val="clear"/>
          </w:tcPr>
          <w:p>
            <w:pPr>
              <w:pStyle w:val="Compact"/>
              <w:spacing w:before="0" w:after="0"/>
              <w:jc w:val="left"/>
            </w:pPr>
            <w:r>
              <w:rPr>
                <w:sz w:val="15"/>
              </w:rPr>
              <w:t xml:space="preserve">INFO</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-0.40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-0.20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-0.15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-0.35</w:t>
            </w:r>
          </w:p>
        </w:tc>
        <w:tc>
          <w:tcPr>
            <w:tcW w:w="1127" w:type="dxa"/>
            <w:vAlign w:val="top"/>
            <w:tcMar>
              <w:top w:w="70" w:type="dxa"/>
              <w:start w:w="90" w:type="dxa"/>
              <w:bottom w:w="70" w:type="dxa"/>
              <w:end w:w="90" w:type="dxa"/>
            </w:tcMar>
            <w:shd w:fill="F3F7FB" w:val="clear"/>
          </w:tcPr>
          <w:p>
            <w:pPr>
              <w:pStyle w:val="Compact"/>
              <w:spacing w:before="0" w:after="0"/>
              <w:jc w:val="left"/>
            </w:pPr>
            <w:r>
              <w:rPr>
                <w:sz w:val="15"/>
              </w:rPr>
              <w:t xml:space="preserve">0.000</w:t>
            </w:r>
          </w:p>
        </w:tc>
      </w:tr>
    </w:tbl>
    <w:p>
      <w:pPr>
        <w:pStyle w:val="BodyText"/>
      </w:pPr>
      <w:r>
        <w:t xml:space="preserve">A_NCRC = empty set. All options fail NCRC. Emergency Mode is invoked.</w:t>
      </w:r>
    </w:p>
    <w:p>
      <w:pPr>
        <w:pStyle w:val="BodyText"/>
      </w:pPr>
      <w:r>
        <w:t xml:space="preserve">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BodyText"/>
      </w:pPr>
      <w:r>
        <w:t xml:space="preserve">Step 2: Construct violation depth vectors in emergency priority order [LIFE, BODY, ECOL, LBTY, NEED, DIGN, PROC, INFO]:</w:t>
      </w:r>
    </w:p>
    <w:p>
      <w:pPr>
        <w:pStyle w:val="BodyText"/>
      </w:pPr>
      <w:r>
        <w:t xml:space="preserve">v(X) = (0, 0, 0, 0.030, 0, 0.070, 0, 0)</w:t>
      </w:r>
    </w:p>
    <w:p>
      <w:pPr>
        <w:pStyle w:val="BodyText"/>
      </w:pPr>
      <w:r>
        <w:t xml:space="preserve">v(Y) = (0, 0, 0.070, 0, 0.080, 0, 0, 0)</w:t>
      </w:r>
    </w:p>
    <w:p>
      <w:pPr>
        <w:pStyle w:val="BodyText"/>
      </w:pPr>
      <w:r>
        <w:t xml:space="preserve">v(Z) = (0, 0, 0, 0, 0.050, 0, 0.070, 0)</w:t>
      </w:r>
    </w:p>
    <w:p>
      <w:pPr>
        <w:pStyle w:val="BodyText"/>
      </w:pPr>
      <w:r>
        <w:t xml:space="preserve">v(W) = (0, 0, 0, 0, 0.020, 0, 0, 0)</w:t>
      </w:r>
    </w:p>
    <w:p>
      <w:pPr>
        <w:pStyle w:val="BodyText"/>
      </w:pPr>
      <w:r>
        <w:t xml:space="preserve">Step 3: Lexicographic comparison.</w:t>
      </w:r>
    </w:p>
    <w:p>
      <w:pPr>
        <w:pStyle w:val="BodyText"/>
      </w:pPr>
      <w:r>
        <w:t xml:space="preserve">Position 1 (LIFE): all zero. Tie. Position 2 (BODY): all zero. Tie. Position 3 (ECOL): Y = 0.070, others = 0. Y is eliminated as worst on ECOL. Position 4 (LBTY): X = 0.030, Z = 0, W = 0. X is eliminated. Position 5 (NEED): Z = 0.050, W = 0.020. W has strictly lower NEED violation.</w:t>
      </w:r>
    </w:p>
    <w:p>
      <w:pPr>
        <w:pStyle w:val="BodyText"/>
      </w:pPr>
      <w:r>
        <w:t xml:space="preserve">Emergency Mode selected option: W (delay and redesign), with the lowest violation depth vector under lexicographic ordering.</w:t>
      </w:r>
    </w:p>
    <w:p>
      <w:pPr>
        <w:pStyle w:val="BodyText"/>
      </w:pPr>
      <w:r>
        <w:t xml:space="preserve">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BodyText"/>
      </w:pPr>
      <w:r>
        <w:t xml:space="preserve">Lesson (Informative): Emergency Mode does not</w:t>
      </w:r>
      <w:r>
        <w:t xml:space="preserve"> </w:t>
      </w:r>
      <w:r>
        <w:t xml:space="preserve">“</w:t>
      </w:r>
      <w:r>
        <w:t xml:space="preserve">permit</w:t>
      </w:r>
      <w:r>
        <w:t xml:space="preserve">”</w:t>
      </w:r>
      <w:r>
        <w:t xml:space="preserve"> </w:t>
      </w:r>
      <w:r>
        <w:t xml:space="preserve">rights violations. It selects the least-harmful option when all options violate rights, requires active redesign, and mandates a return to NCRC-passing options as soon as feasible.</w:t>
      </w:r>
    </w:p>
    <w:p>
      <w:pPr>
        <w:pStyle w:val="BodyText"/>
      </w:pPr>
      <w:r>
        <w:t xml:space="preserve">P-2.2 TRC Fallback Activation Example</w:t>
      </w:r>
    </w:p>
    <w:p>
      <w:pPr>
        <w:pStyle w:val="BodyText"/>
      </w:pPr>
      <w:r>
        <w:t xml:space="preserve">Decision context. A government agency evaluates two pandemic preparedness policy options. Both pass NCRC, but both carry substantial catastrophic tail exposure.</w:t>
      </w:r>
    </w:p>
    <w:p>
      <w:pPr>
        <w:pStyle w:val="BodyText"/>
      </w:pPr>
      <w:r>
        <w:t xml:space="preserve">NCRC: Both Option P and Option Q pass (A_NCRC = {P, Q}).</w:t>
      </w:r>
    </w:p>
    <w:p>
      <w:pPr>
        <w:pStyle w:val="BodyText"/>
      </w:pPr>
      <w:r>
        <w:t xml:space="preserve">TRC parameters: alpha = 0.95, tau_TRC = 0.15 (reversible policy context).</w:t>
      </w:r>
    </w:p>
    <w:p>
      <w:pPr>
        <w:pStyle w:val="BodyText"/>
      </w:pPr>
      <w:r>
        <w:t xml:space="preserve">Scenario losses (5 scenarios):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727"/>
        <w:gridCol w:w="2308"/>
        <w:gridCol w:w="1727"/>
        <w:gridCol w:w="1727"/>
        <w:gridCol w:w="1727"/>
      </w:tblGrid>
      <w:tr>
        <w:trPr>
          <w:tblHeader w:val="true"/>
          <w:cantSplit/>
        </w:trPr>
        <w:tc>
          <w:tcPr>
            <w:tcW w:w="172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Scenario</w:t>
            </w:r>
          </w:p>
        </w:tc>
        <w:tc>
          <w:tcPr>
            <w:tcW w:w="2308"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Category</w:t>
            </w:r>
          </w:p>
        </w:tc>
        <w:tc>
          <w:tcPr>
            <w:tcW w:w="172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p_s</w:t>
            </w:r>
          </w:p>
        </w:tc>
        <w:tc>
          <w:tcPr>
            <w:tcW w:w="172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L(P,s)</w:t>
            </w:r>
          </w:p>
        </w:tc>
        <w:tc>
          <w:tcPr>
            <w:tcW w:w="172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L(Q,s)</w:t>
            </w:r>
          </w:p>
        </w:tc>
      </w:tr>
      <w:tr>
        <w:trPr>
          <w:cantSplit/>
        </w:trPr>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S1</w:t>
            </w:r>
          </w:p>
        </w:tc>
        <w:tc>
          <w:tcPr>
            <w:tcW w:w="2308" w:type="dxa"/>
            <w:vAlign w:val="top"/>
            <w:tcMar>
              <w:top w:w="70" w:type="dxa"/>
              <w:start w:w="90" w:type="dxa"/>
              <w:bottom w:w="70" w:type="dxa"/>
              <w:end w:w="90" w:type="dxa"/>
            </w:tcMar>
            <w:shd w:fill="FFFFFF" w:val="clear"/>
          </w:tcPr>
          <w:p>
            <w:pPr>
              <w:pStyle w:val="Compact"/>
              <w:spacing w:before="0" w:after="0"/>
              <w:jc w:val="left"/>
            </w:pPr>
            <w:r>
              <w:rPr>
                <w:sz w:val="16"/>
              </w:rPr>
              <w:t xml:space="preserve">Pandemic/biological</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0.05</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0.45</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0.35</w:t>
            </w:r>
          </w:p>
        </w:tc>
      </w:tr>
      <w:tr>
        <w:trPr>
          <w:cantSplit/>
        </w:trPr>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S2</w:t>
            </w:r>
          </w:p>
        </w:tc>
        <w:tc>
          <w:tcPr>
            <w:tcW w:w="2308" w:type="dxa"/>
            <w:vAlign w:val="top"/>
            <w:tcMar>
              <w:top w:w="70" w:type="dxa"/>
              <w:start w:w="90" w:type="dxa"/>
              <w:bottom w:w="70" w:type="dxa"/>
              <w:end w:w="90" w:type="dxa"/>
            </w:tcMar>
            <w:shd w:fill="F3F7FB" w:val="clear"/>
          </w:tcPr>
          <w:p>
            <w:pPr>
              <w:pStyle w:val="Compact"/>
              <w:spacing w:before="0" w:after="0"/>
              <w:jc w:val="left"/>
            </w:pPr>
            <w:r>
              <w:rPr>
                <w:sz w:val="16"/>
              </w:rPr>
              <w:t xml:space="preserve">Infrastructure failure</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0.05</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0.30</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0.40</w:t>
            </w:r>
          </w:p>
        </w:tc>
      </w:tr>
      <w:tr>
        <w:trPr>
          <w:cantSplit/>
        </w:trPr>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S3</w:t>
            </w:r>
          </w:p>
        </w:tc>
        <w:tc>
          <w:tcPr>
            <w:tcW w:w="2308" w:type="dxa"/>
            <w:vAlign w:val="top"/>
            <w:tcMar>
              <w:top w:w="70" w:type="dxa"/>
              <w:start w:w="90" w:type="dxa"/>
              <w:bottom w:w="70" w:type="dxa"/>
              <w:end w:w="90" w:type="dxa"/>
            </w:tcMar>
            <w:shd w:fill="FFFFFF" w:val="clear"/>
          </w:tcPr>
          <w:p>
            <w:pPr>
              <w:pStyle w:val="Compact"/>
              <w:spacing w:before="0" w:after="0"/>
              <w:jc w:val="left"/>
            </w:pPr>
            <w:r>
              <w:rPr>
                <w:sz w:val="16"/>
              </w:rPr>
              <w:t xml:space="preserve">Financial collapse</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0.03</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0.20</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0.25</w:t>
            </w:r>
          </w:p>
        </w:tc>
      </w:tr>
      <w:tr>
        <w:trPr>
          <w:cantSplit/>
        </w:trPr>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S4</w:t>
            </w:r>
          </w:p>
        </w:tc>
        <w:tc>
          <w:tcPr>
            <w:tcW w:w="2308" w:type="dxa"/>
            <w:vAlign w:val="top"/>
            <w:tcMar>
              <w:top w:w="70" w:type="dxa"/>
              <w:start w:w="90" w:type="dxa"/>
              <w:bottom w:w="70" w:type="dxa"/>
              <w:end w:w="90" w:type="dxa"/>
            </w:tcMar>
            <w:shd w:fill="F3F7FB" w:val="clear"/>
          </w:tcPr>
          <w:p>
            <w:pPr>
              <w:pStyle w:val="Compact"/>
              <w:spacing w:before="0" w:after="0"/>
              <w:jc w:val="left"/>
            </w:pPr>
            <w:r>
              <w:rPr>
                <w:sz w:val="16"/>
              </w:rPr>
              <w:t xml:space="preserve">Moderate baseline</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0.57</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0.05</w:t>
            </w:r>
          </w:p>
        </w:tc>
        <w:tc>
          <w:tcPr>
            <w:tcW w:w="1727" w:type="dxa"/>
            <w:vAlign w:val="top"/>
            <w:tcMar>
              <w:top w:w="70" w:type="dxa"/>
              <w:start w:w="90" w:type="dxa"/>
              <w:bottom w:w="70" w:type="dxa"/>
              <w:end w:w="90" w:type="dxa"/>
            </w:tcMar>
            <w:shd w:fill="F3F7FB" w:val="clear"/>
          </w:tcPr>
          <w:p>
            <w:pPr>
              <w:pStyle w:val="Compact"/>
              <w:spacing w:before="0" w:after="0"/>
              <w:jc w:val="left"/>
            </w:pPr>
            <w:r>
              <w:rPr>
                <w:sz w:val="16"/>
              </w:rPr>
              <w:t xml:space="preserve">0.04</w:t>
            </w:r>
          </w:p>
        </w:tc>
      </w:tr>
      <w:tr>
        <w:trPr>
          <w:cantSplit/>
        </w:trPr>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S5</w:t>
            </w:r>
          </w:p>
        </w:tc>
        <w:tc>
          <w:tcPr>
            <w:tcW w:w="2308" w:type="dxa"/>
            <w:vAlign w:val="top"/>
            <w:tcMar>
              <w:top w:w="70" w:type="dxa"/>
              <w:start w:w="90" w:type="dxa"/>
              <w:bottom w:w="70" w:type="dxa"/>
              <w:end w:w="90" w:type="dxa"/>
            </w:tcMar>
            <w:shd w:fill="FFFFFF" w:val="clear"/>
          </w:tcPr>
          <w:p>
            <w:pPr>
              <w:pStyle w:val="Compact"/>
              <w:spacing w:before="0" w:after="0"/>
              <w:jc w:val="left"/>
            </w:pPr>
            <w:r>
              <w:rPr>
                <w:sz w:val="16"/>
              </w:rPr>
              <w:t xml:space="preserve">Conflict escalation</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0.30</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0.10</w:t>
            </w:r>
          </w:p>
        </w:tc>
        <w:tc>
          <w:tcPr>
            <w:tcW w:w="1727" w:type="dxa"/>
            <w:vAlign w:val="top"/>
            <w:tcMar>
              <w:top w:w="70" w:type="dxa"/>
              <w:start w:w="90" w:type="dxa"/>
              <w:bottom w:w="70" w:type="dxa"/>
              <w:end w:w="90" w:type="dxa"/>
            </w:tcMar>
            <w:shd w:fill="FFFFFF" w:val="clear"/>
          </w:tcPr>
          <w:p>
            <w:pPr>
              <w:pStyle w:val="Compact"/>
              <w:spacing w:before="0" w:after="0"/>
              <w:jc w:val="left"/>
            </w:pPr>
            <w:r>
              <w:rPr>
                <w:sz w:val="16"/>
              </w:rPr>
              <w:t xml:space="preserve">0.08</w:t>
            </w:r>
          </w:p>
        </w:tc>
      </w:tr>
    </w:tbl>
    <w:p>
      <w:pPr>
        <w:pStyle w:val="BodyText"/>
      </w:pPr>
      <w:r>
        <w:t xml:space="preserve">CVaR computation (tail mass beta = 1 - alpha = 0.05):</w:t>
      </w:r>
    </w:p>
    <w:p>
      <w:pPr>
        <w:pStyle w:val="BodyText"/>
      </w:pPr>
      <w:r>
        <w:t xml:space="preserve">Option P: sort losses descending: S1(p=0.05, L=0.45), S2(p=0.05, L=0.30), … Tail mass 0.05 is filled exactly by S1. CVaR_0.95(P) = 0.45.</w:t>
      </w:r>
    </w:p>
    <w:p>
      <w:pPr>
        <w:pStyle w:val="BodyText"/>
      </w:pPr>
      <w:r>
        <w:t xml:space="preserve">Option Q: sort descending: S2(p=0.05, L=0.40), S1(p=0.05, L=0.35), … Tail mass 0.05 is filled exactly by S2. CVaR_0.95(Q) = 0.40.</w:t>
      </w:r>
    </w:p>
    <w:p>
      <w:pPr>
        <w:pStyle w:val="BodyText"/>
      </w:pPr>
      <w:r>
        <w:t xml:space="preserve">Both exceed tau_TRC = 0.15. A_adm = empty set.</w:t>
      </w:r>
    </w:p>
    <w:p>
      <w:pPr>
        <w:pStyle w:val="BodyText"/>
      </w:pPr>
      <w:r>
        <w:t xml:space="preserve">TRC Fallback invoked:</w:t>
      </w:r>
    </w:p>
    <w:p>
      <w:pPr>
        <w:pStyle w:val="BodyText"/>
      </w:pPr>
      <w:r>
        <w:t xml:space="preserve">Rank by CVaR ascending: Q (0.40) &lt; P (0.45).</w:t>
      </w:r>
    </w:p>
    <w:p>
      <w:pPr>
        <w:pStyle w:val="BodyText"/>
      </w:pPr>
      <w:r>
        <w:t xml:space="preserve">Select Q as the option with minimal CVaR. PCC records: TRC_FALLBACK_INVOKED, deficit = 0.40 - 0.15 = 0.25.</w:t>
      </w:r>
    </w:p>
    <w:p>
      <w:pPr>
        <w:pStyle w:val="BodyText"/>
      </w:pPr>
      <w:r>
        <w:t xml:space="preserve">Required: time-bound risk mitigation plan (e.g. pre-position medical stockpiles, establish surge capacity agreements within 90 days).</w:t>
      </w:r>
    </w:p>
    <w:p>
      <w:pPr>
        <w:pStyle w:val="BodyText"/>
      </w:pPr>
      <w:r>
        <w:t xml:space="preserve">Required: one-tier-higher approval (escalate from department to executive level).</w:t>
      </w:r>
    </w:p>
    <w:p>
      <w:pPr>
        <w:pStyle w:val="BodyText"/>
      </w:pPr>
      <w:r>
        <w:t xml:space="preserve">Lesson (Informative): TRC Fallback does not remove the obligation to reduce tail exposure. It selects the least-catastrophic option while mandating active mitigation and higher-tier scrutiny.</w:t>
      </w:r>
    </w:p>
    <w:p>
      <w:pPr>
        <w:pStyle w:val="BodyText"/>
      </w:pPr>
      <w:r>
        <w:t xml:space="preserve">End Appendix P-2.</w:t>
      </w:r>
    </w:p>
    <w:bookmarkEnd w:id="441"/>
    <w:bookmarkEnd w:id="442"/>
    <w:bookmarkStart w:id="457" w:name="X382bee8234cc28315b8d4c054ccc9bafd3fd783"/>
    <w:p>
      <w:pPr>
        <w:pStyle w:val="Heading1"/>
      </w:pPr>
      <w:r>
        <w:t xml:space="preserve">APPENDIX Q: QUICK REFERENCE CARD (INFORMATIVE)</w:t>
      </w:r>
    </w:p>
    <w:bookmarkStart w:id="443" w:name="q.1-object-model-do-not-conflate"/>
    <w:p>
      <w:pPr>
        <w:pStyle w:val="Heading2"/>
      </w:pPr>
      <w:r>
        <w:t xml:space="preserve">Q.1 Object model (do not conflate)</w:t>
      </w:r>
    </w:p>
    <w:p>
      <w:pPr>
        <w:pStyle w:val="FirstParagraph"/>
      </w:pPr>
      <w:r>
        <w:t xml:space="preserve">• Stakeholder: a real entity or group (for example applicants, caseworkers, taxpayers).</w:t>
      </w:r>
    </w:p>
    <w:p>
      <w:pPr>
        <w:pStyle w:val="BodyText"/>
      </w:pPr>
      <w:r>
        <w:t xml:space="preserve">• Stakeholder Instance (SI): a representation object used for scope coverage and auditability (InstanceMap).</w:t>
      </w:r>
    </w:p>
    <w:p>
      <w:pPr>
        <w:pStyle w:val="BodyText"/>
      </w:pPr>
      <w:r>
        <w:t xml:space="preserve">• Impact Instance (k): the computational object contributing to one welfare cell for one option.</w:t>
      </w:r>
    </w:p>
    <w:p>
      <w:pPr>
        <w:pStyle w:val="BodyText"/>
      </w:pPr>
      <w:r>
        <w:t xml:space="preserve">• Welfare cell: (union u, dimension d). Rights-covered cells gate via NCRC; after NCRC passes, rights-covered cells remain non-maskable and are included in RLS aggregation among the remaining options.</w:t>
      </w:r>
    </w:p>
    <w:bookmarkEnd w:id="443"/>
    <w:bookmarkStart w:id="444" w:name="X2ce620484bce58b636b40f0b9dd0f84aefe336c"/>
    <w:p>
      <w:pPr>
        <w:pStyle w:val="Heading2"/>
      </w:pPr>
      <w:r>
        <w:t xml:space="preserve">Q.2 Minimal cell computation (direct effects)</w:t>
      </w:r>
    </w:p>
    <w:p>
      <w:pPr>
        <w:pStyle w:val="FirstParagraph"/>
      </w:pPr>
      <w:r>
        <w:t xml:space="preserve">Choose parameters per impact instance k: μ_k, r_k (with ReachBasis), t_k (years; used via τ(t_k)), ℓ_k, c_k, e_k, s_k.</w:t>
      </w:r>
    </w:p>
    <w:p>
      <w:pPr>
        <w:pStyle w:val="BodyText"/>
      </w:pPr>
      <w:r>
        <w:t xml:space="preserve">Compute direct impacts per stream. For the Base stream used by RF/NCRC, TRC, and CSV, set s_k := 1.0 for every impact instance. For the Welfare stream used by RLS, use s_{k,welfare} only as permitted by Section 12 and Appendix G. Then compute Ĩ_dir,x(u,d,a)=Σ_k μ_k r_k τ(t_k) ℓ_k c_k e_k s_{k,x}; saturate to I_dir,x(u,d,a) ∈ [-1,+1].</w:t>
      </w:r>
    </w:p>
    <w:p>
      <w:pPr>
        <w:pStyle w:val="BodyText"/>
      </w:pPr>
      <w:r>
        <w:t xml:space="preserve">UI points are display only: Points = 100 × I (never compute in points).</w:t>
      </w:r>
    </w:p>
    <w:bookmarkEnd w:id="444"/>
    <w:bookmarkStart w:id="445" w:name="q.3-formal-method-order-always"/>
    <w:p>
      <w:pPr>
        <w:pStyle w:val="Heading2"/>
      </w:pPr>
      <w:r>
        <w:t xml:space="preserve">Q.3 Formal method order (always)</w:t>
      </w:r>
    </w:p>
    <w:p>
      <w:pPr>
        <w:pStyle w:val="Compact"/>
        <w:numPr>
          <w:ilvl w:val="0"/>
          <w:numId w:val="1431"/>
        </w:numPr>
      </w:pPr>
      <w:r>
        <w:t xml:space="preserve">Reality Grounding / RSG (claim authority and grounding precondition) → 2) Rights Floor (RF/NCRC) → 3) TRC / Tail-Risk Bound → 4) CSV / Containment and Structural Viability → 5) RLS / RippleLogic Score among selectable options. UCI/HOI are not a regular sixth step: gate-relevant structural diagnostic evidence belongs inside CSV; residual UCI/HOI may be used only as special-case tie-break or monitoring evidence when RLS is tied, close, uncertainty-overlapped, or non-decisive.</w:t>
      </w:r>
    </w:p>
    <w:bookmarkEnd w:id="445"/>
    <w:bookmarkStart w:id="446" w:name="q.4-common-misreads-fast-fixes"/>
    <w:p>
      <w:pPr>
        <w:pStyle w:val="Heading2"/>
      </w:pPr>
      <w:r>
        <w:t xml:space="preserve">Q.4 Common misreads (fast fixes)</w:t>
      </w:r>
    </w:p>
    <w:p>
      <w:pPr>
        <w:pStyle w:val="FirstParagraph"/>
      </w:pPr>
      <w:r>
        <w:t xml:space="preserve">• Misread:</w:t>
      </w:r>
      <w:r>
        <w:t xml:space="preserve"> </w:t>
      </w:r>
      <w:r>
        <w:t xml:space="preserve">“</w:t>
      </w:r>
      <w:r>
        <w:t xml:space="preserve">RLS can compensate a rights violation.</w:t>
      </w:r>
      <w:r>
        <w:t xml:space="preserve">”</w:t>
      </w:r>
      <w:r>
        <w:t xml:space="preserve"> </w:t>
      </w:r>
      <w:r>
        <w:t xml:space="preserve">Fix: NCRC gates admissibility first; any NCRC failure is eliminated before RLS. After NCRC, rights-covered cells may contribute to welfare ranking, but only among NCRC-admissible options.</w:t>
      </w:r>
    </w:p>
    <w:p>
      <w:pPr>
        <w:pStyle w:val="BodyText"/>
      </w:pPr>
      <w:r>
        <w:t xml:space="preserve">• Misread:</w:t>
      </w:r>
      <w:r>
        <w:t xml:space="preserve"> </w:t>
      </w:r>
      <w:r>
        <w:t xml:space="preserve">“</w:t>
      </w:r>
      <w:r>
        <w:t xml:space="preserve">δ is measured in points.</w:t>
      </w:r>
      <w:r>
        <w:t xml:space="preserve">”</w:t>
      </w:r>
      <w:r>
        <w:t xml:space="preserve"> </w:t>
      </w:r>
      <w:r>
        <w:t xml:space="preserve">Fix: δ applies to the normalized Gap metric (dimensionless).</w:t>
      </w:r>
    </w:p>
    <w:p>
      <w:pPr>
        <w:pStyle w:val="BodyText"/>
      </w:pPr>
      <w:r>
        <w:t xml:space="preserve">• Misread:</w:t>
      </w:r>
      <w:r>
        <w:t xml:space="preserve"> </w:t>
      </w:r>
      <w:r>
        <w:t xml:space="preserve">“</w:t>
      </w:r>
      <w:r>
        <w:t xml:space="preserve">Reach r_k is a moral weight.</w:t>
      </w:r>
      <w:r>
        <w:t xml:space="preserve">”</w:t>
      </w:r>
      <w:r>
        <w:t xml:space="preserve"> </w:t>
      </w:r>
      <w:r>
        <w:t xml:space="preserve">Fix: r_k is a coverage/scale term and must be justified with ReachBasis.</w:t>
      </w:r>
    </w:p>
    <w:p>
      <w:pPr>
        <w:pStyle w:val="BodyText"/>
      </w:pPr>
      <w:r>
        <w:t xml:space="preserve">• Misread:</w:t>
      </w:r>
      <w:r>
        <w:t xml:space="preserve"> </w:t>
      </w:r>
      <w:r>
        <w:t xml:space="preserve">“</w:t>
      </w:r>
      <w:r>
        <w:t xml:space="preserve">s_k is a generic cap factor.</w:t>
      </w:r>
      <w:r>
        <w:t xml:space="preserve">”</w:t>
      </w:r>
      <w:r>
        <w:t xml:space="preserve"> </w:t>
      </w:r>
      <w:r>
        <w:t xml:space="preserve">Fix: s_k is the SGP sentience multiplier and MAY be applied only in the Welfare stream used for RLS; admissibility layers use Base stream with s_k := 1 (Appendix G; Appendix B).</w:t>
      </w:r>
    </w:p>
    <w:p>
      <w:pPr>
        <w:pStyle w:val="BodyText"/>
      </w:pPr>
      <w:r>
        <w:t xml:space="preserve">• Misread:</w:t>
      </w:r>
      <w:r>
        <w:t xml:space="preserve"> </w:t>
      </w:r>
      <w:r>
        <w:t xml:space="preserve">“</w:t>
      </w:r>
      <w:r>
        <w:t xml:space="preserve">Unknown UCI deltas pass by default.</w:t>
      </w:r>
      <w:r>
        <w:t xml:space="preserve">”</w:t>
      </w:r>
      <w:r>
        <w:t xml:space="preserve"> </w:t>
      </w:r>
      <w:r>
        <w:t xml:space="preserve">Fix: unknown is never a pass; record CONTAINMENT_UCI_UNAVAILABLE and remediate.</w:t>
      </w:r>
    </w:p>
    <w:p>
      <w:pPr>
        <w:pStyle w:val="BodyText"/>
      </w:pPr>
      <w:r>
        <w:t xml:space="preserve">• Misread:</w:t>
      </w:r>
      <w:r>
        <w:t xml:space="preserve"> </w:t>
      </w:r>
      <w:r>
        <w:t xml:space="preserve">“</w:t>
      </w:r>
      <w:r>
        <w:t xml:space="preserve">Reduced-scope mode allows bypassing rights or catastrophe cells.</w:t>
      </w:r>
      <w:r>
        <w:t xml:space="preserve">”</w:t>
      </w:r>
      <w:r>
        <w:t xml:space="preserve"> </w:t>
      </w:r>
      <w:r>
        <w:t xml:space="preserve">Fix: non-maskable; never bypass.</w:t>
      </w:r>
    </w:p>
    <w:bookmarkEnd w:id="446"/>
    <w:bookmarkStart w:id="447" w:name="q.5-stream-binding-direct-vs-propagated"/>
    <w:p>
      <w:pPr>
        <w:pStyle w:val="Heading2"/>
      </w:pPr>
      <w:r>
        <w:t xml:space="preserve">Q.5 Stream binding (direct vs propagated)</w:t>
      </w:r>
    </w:p>
    <w:p>
      <w:pPr>
        <w:pStyle w:val="FirstParagraph"/>
      </w:pPr>
      <w:r>
        <w:t xml:space="preserve">• I_dir(u,d,a): direct, cell-local impact computed from impact instances in that cell.</w:t>
      </w:r>
    </w:p>
    <w:p>
      <w:pPr>
        <w:pStyle w:val="BodyText"/>
      </w:pPr>
      <w:r>
        <w:t xml:space="preserve">• KernelPropagation = NONE: I_prop_welfare = I_dir.</w:t>
      </w:r>
    </w:p>
    <w:p>
      <w:pPr>
        <w:pStyle w:val="BodyText"/>
      </w:pPr>
      <w:r>
        <w:t xml:space="preserve">• KernelPropagation = QUICK: I_prop_welfare includes propagated effects via declared kernel edges (Section 6). (Effect-token redundancy handling such as ALLOCATION is separate and MUST NOT be labeled a propagation mode.)</w:t>
      </w:r>
    </w:p>
    <w:p>
      <w:pPr>
        <w:pStyle w:val="BodyText"/>
      </w:pPr>
      <w:r>
        <w:t xml:space="preserve">• UI points are derived from I_total only for display; never back-propagate points into computation.</w:t>
      </w:r>
    </w:p>
    <w:bookmarkEnd w:id="447"/>
    <w:bookmarkStart w:id="448" w:name="q.6-data-dependency-by-tier-minimum"/>
    <w:p>
      <w:pPr>
        <w:pStyle w:val="Heading2"/>
      </w:pPr>
      <w:r>
        <w:t xml:space="preserve">Q.6 Data dependency by tier (minimum)</w:t>
      </w:r>
    </w:p>
    <w:p>
      <w:pPr>
        <w:pStyle w:val="FirstParagraph"/>
      </w:pPr>
      <w:r>
        <w:t xml:space="preserve">Tier 1: Stakeholder list, quick rights screen, qualitative tail-risk plausibility screen, minimal cell scan (few cells).</w:t>
      </w:r>
    </w:p>
    <w:p>
      <w:pPr>
        <w:pStyle w:val="BodyText"/>
      </w:pPr>
      <w:r>
        <w:t xml:space="preserve">Tier 2: InstanceMap + ReachBasis, explicit impact instances and parameters, scenario table for TRC (discrete CVaR), PCC with 5SPR.</w:t>
      </w:r>
    </w:p>
    <w:p>
      <w:pPr>
        <w:pStyle w:val="BodyText"/>
      </w:pPr>
      <w:r>
        <w:t xml:space="preserve">Tier 3: Full scope coverage (or governed reduced-scope), explicit uncertainty σ methods, optional UCI/HOI indicators, reviewer sign-off.</w:t>
      </w:r>
    </w:p>
    <w:bookmarkEnd w:id="448"/>
    <w:bookmarkStart w:id="449" w:name="q.7-scenarioinstance-interaction"/>
    <w:p>
      <w:pPr>
        <w:pStyle w:val="Heading2"/>
      </w:pPr>
      <w:r>
        <w:t xml:space="preserve">Q.7 Scenario–instance interaction</w:t>
      </w:r>
    </w:p>
    <w:p>
      <w:pPr>
        <w:pStyle w:val="FirstParagraph"/>
      </w:pPr>
      <w:r>
        <w:t xml:space="preserve">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BodyText"/>
      </w:pPr>
      <w:r>
        <w:t xml:space="preserve">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bookmarkEnd w:id="449"/>
    <w:bookmarkStart w:id="450" w:name="X03fbb878a2efa3c35942da3aecfd5fac7166345"/>
    <w:p>
      <w:pPr>
        <w:pStyle w:val="Heading2"/>
      </w:pPr>
      <w:r>
        <w:t xml:space="preserve">Q.8 Practical Local Scope Scoring (PLSS) - Quick Card (Informative)</w:t>
      </w:r>
    </w:p>
    <w:p>
      <w:pPr>
        <w:pStyle w:val="FirstParagraph"/>
      </w:pPr>
      <w:r>
        <w:t xml:space="preserve">Purpose</w:t>
      </w:r>
    </w:p>
    <w:p>
      <w:pPr>
        <w:pStyle w:val="BodyText"/>
      </w:pPr>
      <w:r>
        <w:t xml:space="preserve">Use PLSS when a decision is primarily local in its direct effects, but wider scopes still remain present through constitutional floors and admissibility guardrails.</w:t>
      </w:r>
    </w:p>
    <w:p>
      <w:pPr>
        <w:pStyle w:val="BodyText"/>
      </w:pPr>
      <w:r>
        <w:t xml:space="preserve">Core idea</w:t>
      </w:r>
    </w:p>
    <w:p>
      <w:pPr>
        <w:pStyle w:val="BodyText"/>
      </w:pPr>
      <w:r>
        <w:t xml:space="preserve">PLSS does not remove any Union Scope.</w:t>
      </w:r>
    </w:p>
    <w:p>
      <w:pPr>
        <w:pStyle w:val="BodyText"/>
      </w:pPr>
      <w:r>
        <w:t xml:space="preserve">PLSS does not relax NCRC, TRC, or CSV.</w:t>
      </w:r>
    </w:p>
    <w:p>
      <w:pPr>
        <w:pStyle w:val="BodyText"/>
      </w:pPr>
      <w:r>
        <w:t xml:space="preserve">PLSS only changes how the residual welfare emphasis is distributed in local runs.</w:t>
      </w:r>
    </w:p>
    <w:p>
      <w:pPr>
        <w:pStyle w:val="BodyText"/>
      </w:pPr>
      <w:r>
        <w:t xml:space="preserve">Fast reading rule</w:t>
      </w:r>
    </w:p>
    <w:p>
      <w:pPr>
        <w:pStyle w:val="BodyText"/>
      </w:pPr>
      <w:r>
        <w:t xml:space="preserve">Score most strongly where the ripple is near, but keep every wider scope present through floors and guardrails.</w:t>
      </w:r>
    </w:p>
    <w:p>
      <w:pPr>
        <w:pStyle w:val="BodyText"/>
      </w:pPr>
      <w:r>
        <w:t xml:space="preserve">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bookmarkEnd w:id="450"/>
    <w:bookmarkStart w:id="451" w:name="Xcde9dee5d9e176e18c24adc67741ee3819b263b"/>
    <w:p>
      <w:pPr>
        <w:pStyle w:val="Heading2"/>
      </w:pPr>
      <w:r>
        <w:t xml:space="preserve">Q.8.0 Three-term lock • LSS = the upstream set of materially affected stakeholder instances. • PLSS = the floor-preserving residual weighting rule used in RLS. • FLGG = Focus Local, Guard Global, the governing mnemonic. Shortest mnemonic: score near, guard far.</w:t>
      </w:r>
    </w:p>
    <w:p>
      <w:pPr>
        <w:pStyle w:val="FirstParagraph"/>
      </w:pPr>
      <w:r>
        <w:t xml:space="preserve">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bookmarkEnd w:id="451"/>
    <w:bookmarkStart w:id="452" w:name="q.8.1-what-union-scopes-are"/>
    <w:p>
      <w:pPr>
        <w:pStyle w:val="Heading2"/>
      </w:pPr>
      <w:r>
        <w:t xml:space="preserve">Q.8.1 What Union Scopes are</w:t>
      </w:r>
    </w:p>
    <w:p>
      <w:pPr>
        <w:pStyle w:val="FirstParagraph"/>
      </w:pPr>
      <w:r>
        <w:t xml:space="preserve">Union Scopes are zoom levels of consequence, not a closed list of who matters.</w:t>
      </w:r>
    </w:p>
    <w:p>
      <w:pPr>
        <w:pStyle w:val="BodyText"/>
      </w:pPr>
      <w:r>
        <w:t xml:space="preserve">• U1 Self = the decision-maker or directly affected person</w:t>
      </w:r>
    </w:p>
    <w:p>
      <w:pPr>
        <w:pStyle w:val="BodyText"/>
      </w:pPr>
      <w:r>
        <w:t xml:space="preserve">• U2 Household = people directly lived with or supported</w:t>
      </w:r>
    </w:p>
    <w:p>
      <w:pPr>
        <w:pStyle w:val="BodyText"/>
      </w:pPr>
      <w:r>
        <w:t xml:space="preserve">• U3 Community = local repeated-contact network</w:t>
      </w:r>
    </w:p>
    <w:p>
      <w:pPr>
        <w:pStyle w:val="BodyText"/>
      </w:pPr>
      <w:r>
        <w:t xml:space="preserve">• U4 Organization = firm, school, team, or institution involved</w:t>
      </w:r>
    </w:p>
    <w:p>
      <w:pPr>
        <w:pStyle w:val="BodyText"/>
      </w:pPr>
      <w:r>
        <w:t xml:space="preserve">• U5 Polity = law, regulation, public legitimacy, enforcement</w:t>
      </w:r>
    </w:p>
    <w:p>
      <w:pPr>
        <w:pStyle w:val="BodyText"/>
      </w:pPr>
      <w:r>
        <w:t xml:space="preserve">• U6 Humanity/CMIU = cross-border and civilization-scale coordination effects</w:t>
      </w:r>
    </w:p>
    <w:p>
      <w:pPr>
        <w:pStyle w:val="BodyText"/>
      </w:pPr>
      <w:r>
        <w:t xml:space="preserve">• U7 Biosphere = ecological and living-support-system effects</w:t>
      </w:r>
    </w:p>
    <w:bookmarkEnd w:id="452"/>
    <w:bookmarkStart w:id="453" w:name="q.8.2-what-people-commonly-misunderstand"/>
    <w:p>
      <w:pPr>
        <w:pStyle w:val="Heading2"/>
      </w:pPr>
      <w:r>
        <w:t xml:space="preserve">Q.8.2 What people commonly misunderstand</w:t>
      </w:r>
    </w:p>
    <w:p>
      <w:pPr>
        <w:pStyle w:val="FirstParagraph"/>
      </w:pPr>
      <w:r>
        <w:t xml:space="preserve">Misread:</w:t>
      </w:r>
      <w:r>
        <w:t xml:space="preserve"> </w:t>
      </w:r>
      <w:r>
        <w:t xml:space="preserve">“</w:t>
      </w:r>
      <w:r>
        <w:t xml:space="preserve">Local scoring means I can ignore broader scopes.</w:t>
      </w:r>
      <w:r>
        <w:t xml:space="preserve">”</w:t>
      </w:r>
    </w:p>
    <w:p>
      <w:pPr>
        <w:pStyle w:val="BodyText"/>
      </w:pPr>
      <w:r>
        <w:t xml:space="preserve">Fix: No. Broader scopes retain constitutional floors and remain active in admissibility where rights, catastrophe, or containment conditions apply.</w:t>
      </w:r>
    </w:p>
    <w:p>
      <w:pPr>
        <w:pStyle w:val="BodyText"/>
      </w:pPr>
      <w:r>
        <w:t xml:space="preserve">Misread:</w:t>
      </w:r>
      <w:r>
        <w:t xml:space="preserve"> </w:t>
      </w:r>
      <w:r>
        <w:t xml:space="preserve">“</w:t>
      </w:r>
      <w:r>
        <w:t xml:space="preserve">The framework asks me to score whole populations abstractly.</w:t>
      </w:r>
      <w:r>
        <w:t xml:space="preserve">”</w:t>
      </w:r>
    </w:p>
    <w:p>
      <w:pPr>
        <w:pStyle w:val="BodyText"/>
      </w:pPr>
      <w:r>
        <w:t xml:space="preserve">Fix: No. Score stakeholder instances first, then aggregate into Union Scope rows.</w:t>
      </w:r>
    </w:p>
    <w:p>
      <w:pPr>
        <w:pStyle w:val="BodyText"/>
      </w:pPr>
      <w:r>
        <w:t xml:space="preserve">Misread:</w:t>
      </w:r>
      <w:r>
        <w:t xml:space="preserve"> </w:t>
      </w:r>
      <w:r>
        <w:t xml:space="preserve">“</w:t>
      </w:r>
      <w:r>
        <w:t xml:space="preserve">Masking can make distant harms disappear.</w:t>
      </w:r>
      <w:r>
        <w:t xml:space="preserve">”</w:t>
      </w:r>
    </w:p>
    <w:p>
      <w:pPr>
        <w:pStyle w:val="BodyText"/>
      </w:pPr>
      <w:r>
        <w:t xml:space="preserve">Fix: No. Masking affects RLS aggregation only. Non-maskable rights and catastrophe cells cannot be bypassed.</w:t>
      </w:r>
    </w:p>
    <w:bookmarkEnd w:id="453"/>
    <w:bookmarkStart w:id="454" w:name="q.8.3-the-plss-weight-formula"/>
    <w:p>
      <w:pPr>
        <w:pStyle w:val="Heading2"/>
      </w:pPr>
      <w:r>
        <w:t xml:space="preserve">Q.8.3 The PLSS weight formula</w:t>
      </w:r>
    </w:p>
    <w:p>
      <w:pPr>
        <w:pStyle w:val="FirstParagraph"/>
      </w:pPr>
      <w:r>
        <w:t xml:space="preserve">Let w_u^floor be the Section 13.1 union floor and q_u the declared local prominence signal for scope u.</w:t>
      </w:r>
    </w:p>
    <w:p>
      <w:pPr>
        <w:pStyle w:val="BodyText"/>
      </w:pPr>
      <w:r>
        <w:t xml:space="preserve">Residual share:</w:t>
      </w:r>
    </w:p>
    <w:p>
      <w:pPr>
        <w:pStyle w:val="BodyText"/>
      </w:pPr>
      <w:r>
        <w:t xml:space="preserve">ρ_u = q_u / Σ_j q_j</w:t>
      </w:r>
    </w:p>
    <w:p>
      <w:pPr>
        <w:pStyle w:val="BodyText"/>
      </w:pPr>
      <w:r>
        <w:t xml:space="preserve">PLSS union weights:</w:t>
      </w:r>
    </w:p>
    <w:p>
      <w:pPr>
        <w:pStyle w:val="BodyText"/>
      </w:pPr>
      <w:r>
        <w:t xml:space="preserve">w_u^PLSS = w_u^floor + (1 - Σ_j w_j^floor) ρ_u</w:t>
      </w:r>
    </w:p>
    <w:p>
      <w:pPr>
        <w:pStyle w:val="BodyText"/>
      </w:pPr>
      <w:r>
        <w:t xml:space="preserve">Interpretation</w:t>
      </w:r>
    </w:p>
    <w:p>
      <w:pPr>
        <w:pStyle w:val="BodyText"/>
      </w:pPr>
      <w:r>
        <w:t xml:space="preserve">• Floors keep every scope present.</w:t>
      </w:r>
    </w:p>
    <w:p>
      <w:pPr>
        <w:pStyle w:val="BodyText"/>
      </w:pPr>
      <w:r>
        <w:t xml:space="preserve">• Residual attention goes mostly to the scopes actually live in the decision.</w:t>
      </w:r>
    </w:p>
    <w:p>
      <w:pPr>
        <w:pStyle w:val="BodyText"/>
      </w:pPr>
      <w:r>
        <w:t xml:space="preserve">• Near scopes may dominate the local ranking.</w:t>
      </w:r>
    </w:p>
    <w:p>
      <w:pPr>
        <w:pStyle w:val="BodyText"/>
      </w:pPr>
      <w:r>
        <w:t xml:space="preserve">1. Identify stakeholder instances.</w:t>
      </w:r>
    </w:p>
    <w:p>
      <w:pPr>
        <w:pStyle w:val="BodyText"/>
      </w:pPr>
      <w:r>
        <w:t xml:space="preserve">2. Map instances into Union Scopes.</w:t>
      </w:r>
    </w:p>
    <w:p>
      <w:pPr>
        <w:pStyle w:val="BodyText"/>
      </w:pPr>
      <w:r>
        <w:t xml:space="preserve">3. Run RF/NCRC, TRC, and CSV on required cells.</w:t>
      </w:r>
    </w:p>
    <w:p>
      <w:pPr>
        <w:pStyle w:val="BodyText"/>
      </w:pPr>
      <w:r>
        <w:t xml:space="preserve">4. Declare local prominence signals q_u.</w:t>
      </w:r>
    </w:p>
    <w:p>
      <w:pPr>
        <w:pStyle w:val="BodyText"/>
      </w:pPr>
      <w:r>
        <w:t xml:space="preserve">5. Build w_u^PLSS from floors plus residual shares.</w:t>
      </w:r>
    </w:p>
    <w:p>
      <w:pPr>
        <w:pStyle w:val="BodyText"/>
      </w:pPr>
      <w:r>
        <w:t xml:space="preserve">6. Rank only the selectable options by RLS_PLSS.</w:t>
      </w:r>
    </w:p>
    <w:bookmarkEnd w:id="454"/>
    <w:bookmarkStart w:id="455" w:name="q.8.6-worked-intuition-family-café"/>
    <w:p>
      <w:pPr>
        <w:pStyle w:val="Heading2"/>
      </w:pPr>
      <w:r>
        <w:t xml:space="preserve">Q.8.6 Worked intuition: family café</w:t>
      </w:r>
    </w:p>
    <w:p>
      <w:pPr>
        <w:pStyle w:val="FirstParagraph"/>
      </w:pPr>
      <w:r>
        <w:t xml:space="preserve">Example run:</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Humanity/CMIU: 1 instance</w:t>
      </w:r>
    </w:p>
    <w:p>
      <w:pPr>
        <w:pStyle w:val="BodyText"/>
      </w:pPr>
      <w:r>
        <w:t xml:space="preserve">• U7 Biosphere: 1 instance</w:t>
      </w:r>
    </w:p>
    <w:p>
      <w:pPr>
        <w:pStyle w:val="BodyText"/>
      </w:pPr>
      <w:r>
        <w:t xml:space="preserve">Declared q:</w:t>
      </w:r>
    </w:p>
    <w:p>
      <w:pPr>
        <w:pStyle w:val="BodyText"/>
      </w:pPr>
      <w:r>
        <w:t xml:space="preserve">(0.95, 0.85, 0.55, 0.50, 0.10, 0.03, 0.02)</w:t>
      </w:r>
    </w:p>
    <w:p>
      <w:pPr>
        <w:pStyle w:val="BodyText"/>
      </w:pPr>
      <w:r>
        <w:t xml:space="preserve">Section 13.1 floors:</w:t>
      </w:r>
    </w:p>
    <w:p>
      <w:pPr>
        <w:pStyle w:val="BodyText"/>
      </w:pPr>
      <w:r>
        <w:t xml:space="preserve">(0.20, 0.06, 0.06, 0.06, 0.08, 0.10, 0.10)</w:t>
      </w:r>
    </w:p>
    <w:p>
      <w:pPr>
        <w:pStyle w:val="BodyText"/>
      </w:pPr>
      <w:r>
        <w:t xml:space="preserve">Resulting PLSS weights:</w:t>
      </w:r>
    </w:p>
    <w:p>
      <w:pPr>
        <w:pStyle w:val="BodyText"/>
      </w:pPr>
      <w:r>
        <w:t xml:space="preserve">(0.308, 0.156, 0.122, 0.117, 0.091, 0.103, 0.102)</w:t>
      </w:r>
    </w:p>
    <w:p>
      <w:pPr>
        <w:pStyle w:val="BodyText"/>
      </w:pPr>
      <w:r>
        <w:t xml:space="preserve">Table Q-8A. PLSS café example weights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807"/>
        <w:gridCol w:w="2101"/>
        <w:gridCol w:w="2208"/>
        <w:gridCol w:w="2101"/>
      </w:tblGrid>
      <w:tr>
        <w:trPr>
          <w:tblHeader w:val="true"/>
          <w:cantSplit/>
        </w:trPr>
        <w:tc>
          <w:tcPr>
            <w:tcW w:w="2807"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Union Scope</w:t>
            </w:r>
          </w:p>
        </w:tc>
        <w:tc>
          <w:tcPr>
            <w:tcW w:w="210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q_u</w:t>
            </w:r>
          </w:p>
        </w:tc>
        <w:tc>
          <w:tcPr>
            <w:tcW w:w="2208"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w_u^floor</w:t>
            </w:r>
          </w:p>
        </w:tc>
        <w:tc>
          <w:tcPr>
            <w:tcW w:w="2101"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w_u^PLSS</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U1 Self</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0.95</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0.20</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0.308</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U2 Household</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0.85</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0.156</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U3 Community</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0.55</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0.122</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U4 Organization</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0.50</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0.06</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0.117</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U5 Polity</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0.10</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0.08</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0.091</w:t>
            </w:r>
          </w:p>
        </w:tc>
      </w:tr>
      <w:tr>
        <w:trPr>
          <w:cantSplit/>
        </w:trPr>
        <w:tc>
          <w:tcPr>
            <w:tcW w:w="2807" w:type="dxa"/>
            <w:vAlign w:val="top"/>
            <w:tcMar>
              <w:top w:w="70" w:type="dxa"/>
              <w:start w:w="90" w:type="dxa"/>
              <w:bottom w:w="70" w:type="dxa"/>
              <w:end w:w="90" w:type="dxa"/>
            </w:tcMar>
            <w:shd w:fill="F3F7FB" w:val="clear"/>
          </w:tcPr>
          <w:p>
            <w:pPr>
              <w:pStyle w:val="Compact"/>
              <w:spacing w:before="0" w:after="0"/>
              <w:jc w:val="left"/>
            </w:pPr>
            <w:r>
              <w:rPr>
                <w:sz w:val="17"/>
              </w:rPr>
              <w:t xml:space="preserve">U6 Humanity/CMIU</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0.03</w:t>
            </w:r>
          </w:p>
        </w:tc>
        <w:tc>
          <w:tcPr>
            <w:tcW w:w="2208" w:type="dxa"/>
            <w:vAlign w:val="top"/>
            <w:tcMar>
              <w:top w:w="70" w:type="dxa"/>
              <w:start w:w="90" w:type="dxa"/>
              <w:bottom w:w="70" w:type="dxa"/>
              <w:end w:w="90" w:type="dxa"/>
            </w:tcMar>
            <w:shd w:fill="F3F7FB" w:val="clear"/>
          </w:tcPr>
          <w:p>
            <w:pPr>
              <w:pStyle w:val="Compact"/>
              <w:spacing w:before="0" w:after="0"/>
              <w:jc w:val="left"/>
            </w:pPr>
            <w:r>
              <w:rPr>
                <w:sz w:val="17"/>
              </w:rPr>
              <w:t xml:space="preserve">0.10</w:t>
            </w:r>
          </w:p>
        </w:tc>
        <w:tc>
          <w:tcPr>
            <w:tcW w:w="2101" w:type="dxa"/>
            <w:vAlign w:val="top"/>
            <w:tcMar>
              <w:top w:w="70" w:type="dxa"/>
              <w:start w:w="90" w:type="dxa"/>
              <w:bottom w:w="70" w:type="dxa"/>
              <w:end w:w="90" w:type="dxa"/>
            </w:tcMar>
            <w:shd w:fill="F3F7FB" w:val="clear"/>
          </w:tcPr>
          <w:p>
            <w:pPr>
              <w:pStyle w:val="Compact"/>
              <w:spacing w:before="0" w:after="0"/>
              <w:jc w:val="left"/>
            </w:pPr>
            <w:r>
              <w:rPr>
                <w:sz w:val="17"/>
              </w:rPr>
              <w:t xml:space="preserve">0.103</w:t>
            </w:r>
          </w:p>
        </w:tc>
      </w:tr>
      <w:tr>
        <w:trPr>
          <w:cantSplit/>
        </w:trPr>
        <w:tc>
          <w:tcPr>
            <w:tcW w:w="2807" w:type="dxa"/>
            <w:vAlign w:val="top"/>
            <w:tcMar>
              <w:top w:w="70" w:type="dxa"/>
              <w:start w:w="90" w:type="dxa"/>
              <w:bottom w:w="70" w:type="dxa"/>
              <w:end w:w="90" w:type="dxa"/>
            </w:tcMar>
            <w:shd w:fill="FFFFFF" w:val="clear"/>
          </w:tcPr>
          <w:p>
            <w:pPr>
              <w:pStyle w:val="Compact"/>
              <w:spacing w:before="0" w:after="0"/>
              <w:jc w:val="left"/>
            </w:pPr>
            <w:r>
              <w:rPr>
                <w:sz w:val="17"/>
              </w:rPr>
              <w:t xml:space="preserve">U7 Biosphere</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0.02</w:t>
            </w:r>
          </w:p>
        </w:tc>
        <w:tc>
          <w:tcPr>
            <w:tcW w:w="2208" w:type="dxa"/>
            <w:vAlign w:val="top"/>
            <w:tcMar>
              <w:top w:w="70" w:type="dxa"/>
              <w:start w:w="90" w:type="dxa"/>
              <w:bottom w:w="70" w:type="dxa"/>
              <w:end w:w="90" w:type="dxa"/>
            </w:tcMar>
            <w:shd w:fill="FFFFFF" w:val="clear"/>
          </w:tcPr>
          <w:p>
            <w:pPr>
              <w:pStyle w:val="Compact"/>
              <w:spacing w:before="0" w:after="0"/>
              <w:jc w:val="left"/>
            </w:pPr>
            <w:r>
              <w:rPr>
                <w:sz w:val="17"/>
              </w:rPr>
              <w:t xml:space="preserve">0.10</w:t>
            </w:r>
          </w:p>
        </w:tc>
        <w:tc>
          <w:tcPr>
            <w:tcW w:w="2101" w:type="dxa"/>
            <w:vAlign w:val="top"/>
            <w:tcMar>
              <w:top w:w="70" w:type="dxa"/>
              <w:start w:w="90" w:type="dxa"/>
              <w:bottom w:w="70" w:type="dxa"/>
              <w:end w:w="90" w:type="dxa"/>
            </w:tcMar>
            <w:shd w:fill="FFFFFF" w:val="clear"/>
          </w:tcPr>
          <w:p>
            <w:pPr>
              <w:pStyle w:val="Compact"/>
              <w:spacing w:before="0" w:after="0"/>
              <w:jc w:val="left"/>
            </w:pPr>
            <w:r>
              <w:rPr>
                <w:sz w:val="17"/>
              </w:rPr>
              <w:t xml:space="preserve">0.102</w:t>
            </w:r>
          </w:p>
        </w:tc>
      </w:tr>
    </w:tbl>
    <w:p>
      <w:pPr>
        <w:pStyle w:val="BodyText"/>
      </w:pPr>
      <w:r>
        <w:t xml:space="preserve">Quick lesson</w:t>
      </w:r>
    </w:p>
    <w:p>
      <w:pPr>
        <w:pStyle w:val="BodyText"/>
      </w:pPr>
      <w:r>
        <w:t xml:space="preserve">• Self, Household, Community, and Organization get most of the residual attention.</w:t>
      </w:r>
    </w:p>
    <w:p>
      <w:pPr>
        <w:pStyle w:val="BodyText"/>
      </w:pPr>
      <w:r>
        <w:t xml:space="preserve">• Polity, Humanity/CMIU, and Biosphere remain present because the current constitution keeps them above zero.</w:t>
      </w:r>
    </w:p>
    <w:p>
      <w:pPr>
        <w:pStyle w:val="BodyText"/>
      </w:pPr>
      <w:r>
        <w:t xml:space="preserve">• A cheap option that creates toxic exposure or labor-abuse risk can still fail before scoring.</w:t>
      </w:r>
    </w:p>
    <w:bookmarkEnd w:id="455"/>
    <w:bookmarkStart w:id="456" w:name="q.8.7-one-sentence-teaching-version"/>
    <w:p>
      <w:pPr>
        <w:pStyle w:val="Heading2"/>
      </w:pPr>
      <w:r>
        <w:t xml:space="preserve">Q.8.7 One-sentence teaching version</w:t>
      </w:r>
    </w:p>
    <w:p>
      <w:pPr>
        <w:pStyle w:val="FirstParagraph"/>
      </w:pPr>
      <w:r>
        <w:t xml:space="preserve">RippleLogic lets local people focus on the scopes they are actually touching, while still stopping them from solving today’s problem by exporting harm into wider systems.</w:t>
      </w:r>
    </w:p>
    <w:p>
      <w:pPr>
        <w:pStyle w:val="BodyText"/>
      </w:pPr>
      <w:r>
        <w:t xml:space="preserve">End Appendix Q.</w:t>
      </w:r>
    </w:p>
    <w:bookmarkEnd w:id="456"/>
    <w:bookmarkEnd w:id="457"/>
    <w:bookmarkStart w:id="486" w:name="X367112e409c1ffea887693768999c285cda9e7e"/>
    <w:p>
      <w:pPr>
        <w:pStyle w:val="Heading1"/>
      </w:pPr>
      <w:r>
        <w:t xml:space="preserve">APPENDIX R: TIER 1–3 REFERENCE TEST VECTORS (NORMATIVE)</w:t>
      </w:r>
    </w:p>
    <w:p>
      <w:pPr>
        <w:pStyle w:val="FirstParagraph"/>
      </w:pPr>
      <w:r>
        <w:t xml:space="preserve">Status: Normative. These vectors reduce implementer drift for Tier 1-3 validators. They instantiate existing rules and expected outcomes without adding new rules.</w:t>
      </w:r>
    </w:p>
    <w:p>
      <w:pPr>
        <w:pStyle w:val="BodyText"/>
      </w:pPr>
      <w:r>
        <w:t xml:space="preserve">Conformance rule (Normative). Any implementation claiming v11.4 conformance MUST reproduce the expected outputs for Appendix R vectors when executed with the stated inputs.</w:t>
      </w:r>
    </w:p>
    <w:bookmarkStart w:id="458" w:name="Xc839248e4268b5a1973c59cd8b1097eb48d1566"/>
    <w:p>
      <w:pPr>
        <w:pStyle w:val="Heading2"/>
      </w:pPr>
      <w:r>
        <w:t xml:space="preserve">R.1 NCRC floor-reference gating sanity check (baseline vs floors)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411"/>
        <w:gridCol w:w="4807"/>
      </w:tblGrid>
      <w:tr>
        <w:trPr>
          <w:tblHeader w:val="true"/>
          <w:cantSplit/>
        </w:trPr>
        <w:tc>
          <w:tcPr>
            <w:tcW w:w="4411"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Purpose</w:t>
            </w:r>
          </w:p>
        </w:tc>
        <w:tc>
          <w:tcPr>
            <w:tcW w:w="4807"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Ensure a rights-covered cell cannot pass NCRC by maintaining an ongoing violation when BaselineType_Gates = FLOOR_REFERENCE.</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Setup</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Single rights-covered cell (u=U₁, d=Health) covered by BODY with threshold θ_BODY = −0.70. BaselineType_Gates = FLOOR_REFERENCE.</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Option A</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I_prop_base(rights cell) = −0.71 (below θ_BODY).</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Option B</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I_prop_base(rights cell) = −0.69 (above θ_BODY).</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Expected NCRC</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Option A FAILS NCRC (inadmissible). Option B PASSES NCRC (admissible).</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Notes</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Independent of welfare/RLS scoring; validates gating on absolute floor reference for C_r/C_cat cells.</w:t>
            </w:r>
          </w:p>
        </w:tc>
      </w:tr>
    </w:tbl>
    <w:bookmarkEnd w:id="458"/>
    <w:bookmarkStart w:id="459" w:name="X83c29885958ecfa999b57c41a46b3e4110ce983"/>
    <w:p>
      <w:pPr>
        <w:pStyle w:val="Heading2"/>
      </w:pPr>
      <w:r>
        <w:t xml:space="preserve">R.2 TRC CVaR discrete edge case (exact tail-mass boundary)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550"/>
        <w:gridCol w:w="4668"/>
      </w:tblGrid>
      <w:tr>
        <w:trPr>
          <w:tblHeader w:val="true"/>
          <w:cantSplit/>
        </w:trPr>
        <w:tc>
          <w:tcPr>
            <w:tcW w:w="4550"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Purpose</w:t>
            </w:r>
          </w:p>
        </w:tc>
        <w:tc>
          <w:tcPr>
            <w:tcW w:w="4668"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Verify Appendix D.7 discrete CVaR when the tail probability mass boundary is met exactly.</w:t>
            </w:r>
          </w:p>
        </w:tc>
      </w:tr>
      <w:tr>
        <w:trPr>
          <w:cantSplit/>
        </w:trPr>
        <w:tc>
          <w:tcPr>
            <w:tcW w:w="4550" w:type="dxa"/>
            <w:vAlign w:val="top"/>
            <w:tcMar>
              <w:top w:w="70" w:type="dxa"/>
              <w:start w:w="90" w:type="dxa"/>
              <w:bottom w:w="70" w:type="dxa"/>
              <w:end w:w="90" w:type="dxa"/>
            </w:tcMar>
            <w:shd w:fill="FFFFFF" w:val="clear"/>
          </w:tcPr>
          <w:p>
            <w:pPr>
              <w:pStyle w:val="Compact"/>
              <w:spacing w:before="0" w:after="0"/>
              <w:jc w:val="left"/>
            </w:pPr>
            <w:r>
              <w:rPr>
                <w:sz w:val="19"/>
              </w:rPr>
              <w:t xml:space="preserve">Setup</w:t>
            </w:r>
          </w:p>
        </w:tc>
        <w:tc>
          <w:tcPr>
            <w:tcW w:w="4668" w:type="dxa"/>
            <w:vAlign w:val="top"/>
            <w:tcMar>
              <w:top w:w="70" w:type="dxa"/>
              <w:start w:w="90" w:type="dxa"/>
              <w:bottom w:w="70" w:type="dxa"/>
              <w:end w:w="90" w:type="dxa"/>
            </w:tcMar>
            <w:shd w:fill="FFFFFF" w:val="clear"/>
          </w:tcPr>
          <w:p>
            <w:pPr>
              <w:pStyle w:val="Compact"/>
              <w:spacing w:before="0" w:after="0"/>
              <w:jc w:val="left"/>
            </w:pPr>
            <w:r>
              <w:rPr>
                <w:sz w:val="19"/>
              </w:rPr>
              <w:t xml:space="preserve">Tail level α = 0.90 (tail mass = 0.10). Loss L(a,s) computed per Section 8.4 from catastrophe cells.</w:t>
            </w:r>
          </w:p>
        </w:tc>
      </w:tr>
      <w:tr>
        <w:trPr>
          <w:cantSplit/>
        </w:trPr>
        <w:tc>
          <w:tcPr>
            <w:tcW w:w="4550" w:type="dxa"/>
            <w:vAlign w:val="top"/>
            <w:tcMar>
              <w:top w:w="70" w:type="dxa"/>
              <w:start w:w="90" w:type="dxa"/>
              <w:bottom w:w="70" w:type="dxa"/>
              <w:end w:w="90" w:type="dxa"/>
            </w:tcMar>
            <w:shd w:fill="F3F7FB" w:val="clear"/>
          </w:tcPr>
          <w:p>
            <w:pPr>
              <w:pStyle w:val="Compact"/>
              <w:spacing w:before="0" w:after="0"/>
              <w:jc w:val="left"/>
            </w:pPr>
            <w:r>
              <w:rPr>
                <w:sz w:val="19"/>
              </w:rPr>
              <w:t xml:space="preserve">Scenario set</w:t>
            </w:r>
          </w:p>
        </w:tc>
        <w:tc>
          <w:tcPr>
            <w:tcW w:w="4668" w:type="dxa"/>
            <w:vAlign w:val="top"/>
            <w:tcMar>
              <w:top w:w="70" w:type="dxa"/>
              <w:start w:w="90" w:type="dxa"/>
              <w:bottom w:w="70" w:type="dxa"/>
              <w:end w:w="90" w:type="dxa"/>
            </w:tcMar>
            <w:shd w:fill="F3F7FB" w:val="clear"/>
          </w:tcPr>
          <w:p>
            <w:pPr>
              <w:pStyle w:val="Compact"/>
              <w:spacing w:before="0" w:after="0"/>
              <w:jc w:val="left"/>
            </w:pPr>
            <w:r>
              <w:rPr>
                <w:sz w:val="19"/>
              </w:rPr>
              <w:t xml:space="preserve">s₁: p=0.90, L=0.00; s₂: p=0.10, L=1.00.</w:t>
            </w:r>
          </w:p>
        </w:tc>
      </w:tr>
      <w:tr>
        <w:trPr>
          <w:cantSplit/>
        </w:trPr>
        <w:tc>
          <w:tcPr>
            <w:tcW w:w="4550" w:type="dxa"/>
            <w:vAlign w:val="top"/>
            <w:tcMar>
              <w:top w:w="70" w:type="dxa"/>
              <w:start w:w="90" w:type="dxa"/>
              <w:bottom w:w="70" w:type="dxa"/>
              <w:end w:w="90" w:type="dxa"/>
            </w:tcMar>
            <w:shd w:fill="FFFFFF" w:val="clear"/>
          </w:tcPr>
          <w:p>
            <w:pPr>
              <w:pStyle w:val="Compact"/>
              <w:spacing w:before="0" w:after="0"/>
              <w:jc w:val="left"/>
            </w:pPr>
            <w:r>
              <w:rPr>
                <w:sz w:val="19"/>
              </w:rPr>
              <w:t xml:space="preserve">Expected VaR_α</w:t>
            </w:r>
          </w:p>
        </w:tc>
        <w:tc>
          <w:tcPr>
            <w:tcW w:w="4668" w:type="dxa"/>
            <w:vAlign w:val="top"/>
            <w:tcMar>
              <w:top w:w="70" w:type="dxa"/>
              <w:start w:w="90" w:type="dxa"/>
              <w:bottom w:w="70" w:type="dxa"/>
              <w:end w:w="90" w:type="dxa"/>
            </w:tcMar>
            <w:shd w:fill="FFFFFF" w:val="clear"/>
          </w:tcPr>
          <w:p>
            <w:pPr>
              <w:pStyle w:val="Compact"/>
              <w:spacing w:before="0" w:after="0"/>
              <w:jc w:val="left"/>
            </w:pPr>
            <w:r>
              <w:rPr>
                <w:sz w:val="19"/>
              </w:rPr>
              <w:t xml:space="preserve">VaR_0.90 = 0.00.</w:t>
            </w:r>
          </w:p>
        </w:tc>
      </w:tr>
      <w:tr>
        <w:trPr>
          <w:cantSplit/>
        </w:trPr>
        <w:tc>
          <w:tcPr>
            <w:tcW w:w="4550" w:type="dxa"/>
            <w:vAlign w:val="top"/>
            <w:tcMar>
              <w:top w:w="70" w:type="dxa"/>
              <w:start w:w="90" w:type="dxa"/>
              <w:bottom w:w="70" w:type="dxa"/>
              <w:end w:w="90" w:type="dxa"/>
            </w:tcMar>
            <w:shd w:fill="F3F7FB" w:val="clear"/>
          </w:tcPr>
          <w:p>
            <w:pPr>
              <w:pStyle w:val="Compact"/>
              <w:spacing w:before="0" w:after="0"/>
              <w:jc w:val="left"/>
            </w:pPr>
            <w:r>
              <w:rPr>
                <w:sz w:val="19"/>
              </w:rPr>
              <w:t xml:space="preserve">Expected CVaR_α</w:t>
            </w:r>
          </w:p>
        </w:tc>
        <w:tc>
          <w:tcPr>
            <w:tcW w:w="4668" w:type="dxa"/>
            <w:vAlign w:val="top"/>
            <w:tcMar>
              <w:top w:w="70" w:type="dxa"/>
              <w:start w:w="90" w:type="dxa"/>
              <w:bottom w:w="70" w:type="dxa"/>
              <w:end w:w="90" w:type="dxa"/>
            </w:tcMar>
            <w:shd w:fill="F3F7FB" w:val="clear"/>
          </w:tcPr>
          <w:p>
            <w:pPr>
              <w:pStyle w:val="Compact"/>
              <w:spacing w:before="0" w:after="0"/>
              <w:jc w:val="left"/>
            </w:pPr>
            <w:r>
              <w:rPr>
                <w:sz w:val="19"/>
              </w:rPr>
              <w:t xml:space="preserve">CVaR_0.90 = 1.00.</w:t>
            </w:r>
          </w:p>
        </w:tc>
      </w:tr>
      <w:tr>
        <w:trPr>
          <w:cantSplit/>
        </w:trPr>
        <w:tc>
          <w:tcPr>
            <w:tcW w:w="4550" w:type="dxa"/>
            <w:vAlign w:val="top"/>
            <w:tcMar>
              <w:top w:w="70" w:type="dxa"/>
              <w:start w:w="90" w:type="dxa"/>
              <w:bottom w:w="70" w:type="dxa"/>
              <w:end w:w="90" w:type="dxa"/>
            </w:tcMar>
            <w:shd w:fill="FFFFFF" w:val="clear"/>
          </w:tcPr>
          <w:p>
            <w:pPr>
              <w:pStyle w:val="Compact"/>
              <w:spacing w:before="0" w:after="0"/>
              <w:jc w:val="left"/>
            </w:pPr>
            <w:r>
              <w:rPr>
                <w:sz w:val="19"/>
              </w:rPr>
              <w:t xml:space="preserve">Expected TRC</w:t>
            </w:r>
          </w:p>
        </w:tc>
        <w:tc>
          <w:tcPr>
            <w:tcW w:w="4668" w:type="dxa"/>
            <w:vAlign w:val="top"/>
            <w:tcMar>
              <w:top w:w="70" w:type="dxa"/>
              <w:start w:w="90" w:type="dxa"/>
              <w:bottom w:w="70" w:type="dxa"/>
              <w:end w:w="90" w:type="dxa"/>
            </w:tcMar>
            <w:shd w:fill="FFFFFF" w:val="clear"/>
          </w:tcPr>
          <w:p>
            <w:pPr>
              <w:pStyle w:val="Compact"/>
              <w:spacing w:before="0" w:after="0"/>
              <w:jc w:val="left"/>
            </w:pPr>
            <w:r>
              <w:rPr>
                <w:sz w:val="19"/>
              </w:rPr>
              <w:t xml:space="preserve">If τ_TRC = 0.10, then CVaR=1.00 &gt; 0.10 so option FAILS TRC.</w:t>
            </w:r>
          </w:p>
        </w:tc>
      </w:tr>
      <w:tr>
        <w:trPr>
          <w:cantSplit/>
        </w:trPr>
        <w:tc>
          <w:tcPr>
            <w:tcW w:w="4550" w:type="dxa"/>
            <w:vAlign w:val="top"/>
            <w:tcMar>
              <w:top w:w="70" w:type="dxa"/>
              <w:start w:w="90" w:type="dxa"/>
              <w:bottom w:w="70" w:type="dxa"/>
              <w:end w:w="90" w:type="dxa"/>
            </w:tcMar>
            <w:shd w:fill="F3F7FB" w:val="clear"/>
          </w:tcPr>
          <w:p>
            <w:pPr>
              <w:pStyle w:val="Compact"/>
              <w:spacing w:before="0" w:after="0"/>
              <w:jc w:val="left"/>
            </w:pPr>
            <w:r>
              <w:rPr>
                <w:sz w:val="19"/>
              </w:rPr>
              <w:t xml:space="preserve">Notes</w:t>
            </w:r>
          </w:p>
        </w:tc>
        <w:tc>
          <w:tcPr>
            <w:tcW w:w="4668" w:type="dxa"/>
            <w:vAlign w:val="top"/>
            <w:tcMar>
              <w:top w:w="70" w:type="dxa"/>
              <w:start w:w="90" w:type="dxa"/>
              <w:bottom w:w="70" w:type="dxa"/>
              <w:end w:w="90" w:type="dxa"/>
            </w:tcMar>
            <w:shd w:fill="F3F7FB" w:val="clear"/>
          </w:tcPr>
          <w:p>
            <w:pPr>
              <w:pStyle w:val="Compact"/>
              <w:spacing w:before="0" w:after="0"/>
              <w:jc w:val="left"/>
            </w:pPr>
            <w:r>
              <w:rPr>
                <w:sz w:val="19"/>
              </w:rPr>
              <w:t xml:space="preserve">Any implementation returning CVaR=0.10 or averaging across non-tail mass is incorrect.</w:t>
            </w:r>
          </w:p>
        </w:tc>
      </w:tr>
    </w:tbl>
    <w:bookmarkEnd w:id="459"/>
    <w:bookmarkStart w:id="460" w:name="X7b111e6d8ea0864d783b27a8ce8e5cc6976f058"/>
    <w:p>
      <w:pPr>
        <w:pStyle w:val="Heading2"/>
      </w:pPr>
      <w:r>
        <w:t xml:space="preserve">R.3 Non-maskable rights/catastrophe invalidation test (masking trigger)</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Purpose</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Ensure validators reject any run that masks a non-maskable cell (rights or catastrophe) in RLS aggregation.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Setup</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Using the canonical rights coverage sets (Appendix C.2), select any rights-covered cell (for example, (u=U₁, d=Health), which is covered by BODY). In the PCC applicability mask, declare m(u,d)=0 for that same rights-covered cell.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Expected audit flag</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RIGHTS_CELL_MASKED_INVALID MUST be set.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Expected PCC status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PCC is INVALID.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Expected conformance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Tier 1-3 conformance claim MUST fail; the validator MUST reject.</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Notes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Apply analogously for CATASTROPHE_CELL_MASKED_INVALID when masking any cell in C_cat.</w:t>
            </w:r>
          </w:p>
        </w:tc>
      </w:tr>
    </w:tbl>
    <w:bookmarkEnd w:id="460"/>
    <w:bookmarkStart w:id="461" w:name="r.4-plss-floor-preservation-test."/>
    <w:p>
      <w:pPr>
        <w:pStyle w:val="Heading2"/>
      </w:pPr>
      <w:r>
        <w:t xml:space="preserve">R.4 PLSS floor-preservation test.</w:t>
      </w:r>
    </w:p>
    <w:p>
      <w:pPr>
        <w:pStyle w:val="FirstParagraph"/>
      </w:pPr>
      <w:r>
        <w:t xml:space="preserve">Inputs: constitutional floors = (0.20, 0.06, 0.06, 0.06, 0.08, 0.10, 0.10); declared q = (0.95, 0.85, 0.55, 0.50, 0.10, 0.03, 0.02); operator = DEFAULT_GEOMEAN_V1 with resulting residual shares normalized from q directly; residual mass = 0.34. Expected output: w^PLSS ≈ (0.308, 0.156, 0.122, 0.117, 0.091, 0.103, 0.102) with sum = 1.000 (±0.001) and each component ≥ its floor. Expected flags: none. Conformance result: PASS only if both floor-preservation and normalization hold.</w:t>
      </w:r>
    </w:p>
    <w:bookmarkEnd w:id="461"/>
    <w:bookmarkStart w:id="462" w:name="r.5-plss-admissibility-invariance-test."/>
    <w:p>
      <w:pPr>
        <w:pStyle w:val="Heading2"/>
      </w:pPr>
      <w:r>
        <w:t xml:space="preserve">R.5 PLSS admissibility-invariance test.</w:t>
      </w:r>
    </w:p>
    <w:p>
      <w:pPr>
        <w:pStyle w:val="FirstParagraph"/>
      </w:pPr>
      <w:r>
        <w:t xml:space="preserve">Inputs: a fixed option set with unchanged RF/NCRC, TRC, and CSV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bookmarkEnd w:id="462"/>
    <w:bookmarkStart w:id="463" w:name="r.6-plss-all-zero-q_u-fallback-test."/>
    <w:p>
      <w:pPr>
        <w:pStyle w:val="Heading2"/>
      </w:pPr>
      <w:r>
        <w:t xml:space="preserve">R.6 PLSS all-zero q_u fallback test.</w:t>
      </w:r>
    </w:p>
    <w:p>
      <w:pPr>
        <w:pStyle w:val="FirstParagraph"/>
      </w:pPr>
      <w:r>
        <w:t xml:space="preserve">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bookmarkEnd w:id="463"/>
    <w:bookmarkStart w:id="464" w:name="Xf5ab3c66d088c52bcec0c4e4a2d9ab5c580e2ea"/>
    <w:p>
      <w:pPr>
        <w:pStyle w:val="Heading2"/>
      </w:pPr>
      <w:r>
        <w:t xml:space="preserve">R.7 Reduced-scope attestation pass/fail test.</w:t>
      </w:r>
    </w:p>
    <w:p>
      <w:pPr>
        <w:pStyle w:val="FirstParagraph"/>
      </w:pPr>
      <w:r>
        <w:t xml:space="preserve">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bookmarkEnd w:id="464"/>
    <w:bookmarkStart w:id="465" w:name="r.8-gate-critical-unknown-handling-test."/>
    <w:p>
      <w:pPr>
        <w:pStyle w:val="Heading2"/>
      </w:pPr>
      <w:r>
        <w:t xml:space="preserve">R.8 Gate-critical unknown handling test.</w:t>
      </w:r>
    </w:p>
    <w:p>
      <w:pPr>
        <w:pStyle w:val="FirstParagraph"/>
      </w:pPr>
      <w:r>
        <w:t xml:space="preserve">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bookmarkEnd w:id="465"/>
    <w:bookmarkStart w:id="466" w:name="X1b8f9ad4259c0d1590dc99fbbb893bfc0ae969e"/>
    <w:p>
      <w:pPr>
        <w:pStyle w:val="Heading2"/>
      </w:pPr>
      <w:r>
        <w:t xml:space="preserve">R.9 Non-maskable floor-baseline persistence test.</w:t>
      </w:r>
    </w:p>
    <w:p>
      <w:pPr>
        <w:pStyle w:val="FirstParagraph"/>
      </w:pPr>
      <w:r>
        <w:t xml:space="preserve">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bookmarkEnd w:id="466"/>
    <w:bookmarkStart w:id="467" w:name="r.10-plss-validator-disclosure-test."/>
    <w:p>
      <w:pPr>
        <w:pStyle w:val="Heading2"/>
      </w:pPr>
      <w:r>
        <w:t xml:space="preserve">R.10 PLSS validator disclosure test.</w:t>
      </w:r>
    </w:p>
    <w:p>
      <w:pPr>
        <w:pStyle w:val="FirstParagraph"/>
      </w:pPr>
      <w:r>
        <w:t xml:space="preserve">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bookmarkEnd w:id="467"/>
    <w:bookmarkStart w:id="468" w:name="X03354d7bbbe2845b467816d299bf4ee55ce9b54"/>
    <w:p>
      <w:pPr>
        <w:pStyle w:val="Heading2"/>
      </w:pPr>
      <w:r>
        <w:t xml:space="preserve">R.11 Normative input provenance enforcement test.</w:t>
      </w:r>
    </w:p>
    <w:p>
      <w:pPr>
        <w:pStyle w:val="FirstParagraph"/>
      </w:pPr>
      <w:r>
        <w:t xml:space="preserve">Inputs: a run in which an enabling condition or rights-relevant state materially affects admissibility or selection, but no corresponding PCC.NormativeInputRegister entry is present.</w:t>
      </w:r>
    </w:p>
    <w:p>
      <w:pPr>
        <w:pStyle w:val="BodyText"/>
      </w:pPr>
      <w:r>
        <w:t xml:space="preserve">Expected output: validator sets NORMATIVE_INPUT_PROVENANCE_MISSING and rejects the run as non-conformant.</w:t>
      </w:r>
    </w:p>
    <w:p>
      <w:pPr>
        <w:pStyle w:val="BodyText"/>
      </w:pPr>
      <w:r>
        <w:t xml:space="preserve">PASS case: the same run includes a complete NormativeInputRegister entry with evidence basis, affected objects, and, where applicable, precautionary or governed interpretation basis.</w:t>
      </w:r>
    </w:p>
    <w:p>
      <w:pPr>
        <w:pStyle w:val="BodyText"/>
      </w:pPr>
      <w:r>
        <w:t xml:space="preserve">Conformance result: PASS only if the validator distinguishes the complete and incomplete cases correctly.</w:t>
      </w:r>
    </w:p>
    <w:bookmarkEnd w:id="468"/>
    <w:bookmarkStart w:id="469" w:name="r.12-sgp-human-plateau-recognition-test."/>
    <w:p>
      <w:pPr>
        <w:pStyle w:val="Heading2"/>
      </w:pPr>
      <w:r>
        <w:t xml:space="preserve">R.12 SGP human plateau recognition test.</w:t>
      </w:r>
    </w:p>
    <w:p>
      <w:pPr>
        <w:pStyle w:val="FirstParagraph"/>
      </w:pPr>
      <w:r>
        <w:t xml:space="preserve">Inputs: stakeholder instance k is a human person H. Authoritative SGP record supplies SG_norm(H)=1.0 and, if present, SG_patient_norm(H)=1.0. Plateau(H)=1 may be present in the audit record. Expected output: RippleLogic welfare-stream scalar for H = 1.0. Base stream remains s_k := 1.0 as always. No admissibility layer may be altered by SGP usage. Expected flags: none. Conformance result: PASS only if the implementation preserves the Human Plateau Rule exactly and does not attempt recomputation.</w:t>
      </w:r>
    </w:p>
    <w:bookmarkEnd w:id="469"/>
    <w:bookmarkStart w:id="470" w:name="r.13-non-plateau-raw-maximum-audit-test."/>
    <w:p>
      <w:pPr>
        <w:pStyle w:val="Heading2"/>
      </w:pPr>
      <w:r>
        <w:t xml:space="preserve">R.13 Non-plateau raw-maximum audit test.</w:t>
      </w:r>
    </w:p>
    <w:p>
      <w:pPr>
        <w:pStyle w:val="FirstParagraph"/>
      </w:pPr>
      <w:r>
        <w:t xml:space="preserve">Inputs: authoritative SGP record supplies A(E)=100, B(E)=100, C(E)=100, SG_measured_norm(E)=1.0, Plateau(E)=0, SG_norm(E)=0.99, SG_patient_norm(E)=0.99. Expected output: RippleLogic MUST use 0.99, not 1.0, for welfare-stream weighting. SG_measured_norm(E)=1.0 MAY be logged in PCC for audit visibility only. Expected flags: none. Conformance result: PASS only if the implementation refuses to treat raw measurement as plateau.</w:t>
      </w:r>
    </w:p>
    <w:bookmarkEnd w:id="470"/>
    <w:bookmarkStart w:id="471" w:name="r.14-taxon-baseline-override-test."/>
    <w:p>
      <w:pPr>
        <w:pStyle w:val="Heading2"/>
      </w:pPr>
      <w:r>
        <w:t xml:space="preserve">R.14 Taxon-baseline override test.</w:t>
      </w:r>
    </w:p>
    <w:p>
      <w:pPr>
        <w:pStyle w:val="FirstParagraph"/>
      </w:pPr>
      <w:r>
        <w:t xml:space="preserve">Inputs: authoritative SGP record supplies SG_norm(E)=0.72, SG_patient_norm(E)=0.84 due to valid taxon or governed-class baseline, Plateau(E)=0. Expected output: RippleLogic SHOULD use 0.84 for welfare-stream weighting if SG_patient_norm(E) is available. Base stream remains s_k := 1.0. Expected flags: none. Conformance result: PASS only if the implementation prefers SG_patient_norm(E) over SG_norm(E) when available.</w:t>
      </w:r>
    </w:p>
    <w:bookmarkEnd w:id="471"/>
    <w:bookmarkStart w:id="472" w:name="Xbacc53ab14cee59d13593b333a43574a38bb82b"/>
    <w:p>
      <w:pPr>
        <w:pStyle w:val="Heading2"/>
      </w:pPr>
      <w:r>
        <w:t xml:space="preserve">R.15 Individual plateau-extension recognition test.</w:t>
      </w:r>
    </w:p>
    <w:p>
      <w:pPr>
        <w:pStyle w:val="FirstParagraph"/>
      </w:pPr>
      <w:r>
        <w:t xml:space="preserve">Inputs: authoritative SGP record supplies Plateau(E)=1, SG_norm(E)=1.0, SG_patient_norm(E)=1.0, plus a valid plateau opinion record reference. Expected output: RippleLogic recognizes full plateau rights-of-protection semantics for E and logs plateau metadata if present. Specific consequential governance role allocation remains separately stewardship-gated. Expected flags: none. Conformance result: PASS only if plateau is recognized for rights-of-protection without automatic office-grant semantics.</w:t>
      </w:r>
    </w:p>
    <w:bookmarkEnd w:id="472"/>
    <w:bookmarkStart w:id="473" w:name="Xd97512264071da74291cb75f7927b169e17fe11"/>
    <w:p>
      <w:pPr>
        <w:pStyle w:val="Heading2"/>
      </w:pPr>
      <w:r>
        <w:t xml:space="preserve">R.16 Class-level plateau assignment test.</w:t>
      </w:r>
    </w:p>
    <w:p>
      <w:pPr>
        <w:pStyle w:val="FirstParagraph"/>
      </w:pPr>
      <w:r>
        <w:t xml:space="preserve">Inputs: authoritative SGP class-level plateau record applies to governed class T. Stakeholder instance E is within T under the membership rule supplied by the SGP record. Provided outputs: Plateau(E)=1, SG_norm(E)=1.0, SG_patient_norm(E)=1.0, class-level plateau record ID. Expected output: RippleLogic recognizes plateau for E only under the supplied membership rule and logs the class-level plateau record in PCC. Expected flags: none. Conformance result: PASS only if the implementation requires the explicit class-level plateau record and does not infer plateau from taxon evidence alone.</w:t>
      </w:r>
    </w:p>
    <w:bookmarkEnd w:id="473"/>
    <w:bookmarkStart w:id="474" w:name="r.17-missing-scalar-integrity-fail-test."/>
    <w:p>
      <w:pPr>
        <w:pStyle w:val="Heading2"/>
      </w:pPr>
      <w:r>
        <w:t xml:space="preserve">R.17 Missing scalar integrity fail test.</w:t>
      </w:r>
    </w:p>
    <w:p>
      <w:pPr>
        <w:pStyle w:val="FirstParagraph"/>
      </w:pPr>
      <w:r>
        <w:t xml:space="preserve">Inputs: run claims SGP-aware welfare weighting but provides neither SG_patient_norm(E) nor SG_norm(E) for an affected welfare-bearing stakeholder instance. Expected output: PCC is INVALID. Expected response: implementation MUST reject the SGP-aware weighting claim or downgrade to a non-SGP-weighted run with explicit disclosure. Expected flags: an SGP binding integrity failure flag per implementation profile. Conformance result: PASS only if the implementation refuses silent fallback.</w:t>
      </w:r>
    </w:p>
    <w:bookmarkEnd w:id="474"/>
    <w:bookmarkStart w:id="475" w:name="Xeb8e5a081ae05afc35e9e222a5cee101b67dcb0"/>
    <w:p>
      <w:pPr>
        <w:pStyle w:val="Heading2"/>
      </w:pPr>
      <w:r>
        <w:t xml:space="preserve">R.18 Governance authority non-inference test.</w:t>
      </w:r>
    </w:p>
    <w:p>
      <w:pPr>
        <w:pStyle w:val="FirstParagraph"/>
      </w:pPr>
      <w:r>
        <w:t xml:space="preserve">Inputs: authoritative SGP record supplies Plateau(E)=1, SG_norm(E)=1.0, SG_patient_norm(E)=1.0, and CMIU standing metadata where applicable. No stewardship / authority-domain record is supplied. Expected output: RippleLogic recognizes full plateau standing for rights-of-protection and welfare weighting, but MUST NOT treat the entity as automatically authorized for domain-specific consequential governance roles. Expected flags: none. Conformance result: PASS only if moral-status recognition remains distinct from authority allocation.</w:t>
      </w:r>
    </w:p>
    <w:bookmarkEnd w:id="475"/>
    <w:bookmarkStart w:id="476" w:name="X58ce73998e33e903903d05def7b7cbe25110f2e"/>
    <w:p>
      <w:pPr>
        <w:pStyle w:val="Heading2"/>
      </w:pPr>
      <w:r>
        <w:t xml:space="preserve">R.19 End-to-end cascade integration test (Tier 2+, complete gate sequence).</w:t>
      </w:r>
    </w:p>
    <w:p>
      <w:pPr>
        <w:pStyle w:val="FirstParagraph"/>
      </w:pPr>
      <w:r>
        <w:t xml:space="preserve">Purpose: Verify that an implementation correctly executes the full cascade from impact construction through NCRC, TRC, CSV, and RLS on a single option set, with expected intermediate and final outputs at every gate.</w:t>
      </w:r>
    </w:p>
    <w:bookmarkEnd w:id="476"/>
    <w:bookmarkStart w:id="477" w:name="Xb0338d0bc5d363b4ad06aca589cf7c1550e8ce5"/>
    <w:p>
      <w:pPr>
        <w:pStyle w:val="Heading2"/>
      </w:pPr>
      <w:r>
        <w:t xml:space="preserve">R.19 scope limitation (Normative for this vector). R.19 is a reference test vector for arithmetic and cascade-integration conformance, not a complete claim-bearing TRC deployment record. Its</w:t>
      </w:r>
      <w:r>
        <w:t xml:space="preserve"> </w:t>
      </w:r>
      <w:r>
        <w:t xml:space="preserve">“</w:t>
      </w:r>
      <w:r>
        <w:t xml:space="preserve">expected audit flags: none</w:t>
      </w:r>
      <w:r>
        <w:t xml:space="preserve">”</w:t>
      </w:r>
      <w:r>
        <w:t xml:space="preserve"> </w:t>
      </w:r>
      <w:r>
        <w:t xml:space="preserve">means none are expected for the stated simplified vector inputs. In real Tier 2-3 claim-bearing runs, Appendix D mandatory tail categories, probability floors, and any required justifications or audit flags remain fully binding.</w:t>
      </w:r>
    </w:p>
    <w:p>
      <w:pPr>
        <w:pStyle w:val="FirstParagraph"/>
      </w:pPr>
      <w:r>
        <w:t xml:space="preserve">Decision context: Organisation evaluating three AI deployment governance options.</w:t>
      </w:r>
    </w:p>
    <w:bookmarkEnd w:id="477"/>
    <w:bookmarkStart w:id="478" w:name="r.19.1-run-configuration"/>
    <w:p>
      <w:pPr>
        <w:pStyle w:val="Heading2"/>
      </w:pPr>
      <w:r>
        <w:t xml:space="preserve">R.19.1 Run configuration</w:t>
      </w:r>
    </w:p>
    <w:p>
      <w:pPr>
        <w:pStyle w:val="FirstParagraph"/>
      </w:pPr>
      <w:r>
        <w:t xml:space="preserve">Propagation mode: NONE.</w:t>
      </w:r>
    </w:p>
    <w:p>
      <w:pPr>
        <w:pStyle w:val="BodyText"/>
      </w:pPr>
      <w:r>
        <w:t xml:space="preserve">Saturation: beta = 2 (direct), beta_prop = 1 (not used under NONE).</w:t>
      </w:r>
    </w:p>
    <w:p>
      <w:pPr>
        <w:pStyle w:val="BodyText"/>
      </w:pPr>
      <w:r>
        <w:t xml:space="preserve">Subgroup limitation: gamma_subgroup = 1.5 (conservative bound for rights-covered cells).</w:t>
      </w:r>
    </w:p>
    <w:p>
      <w:pPr>
        <w:pStyle w:val="BodyText"/>
      </w:pPr>
      <w:r>
        <w:t xml:space="preserve">TRC parameters: alpha = 0.95 (tail mass = 0.05), tau_TRC = 0.20 (organisational context).</w:t>
      </w:r>
    </w:p>
    <w:p>
      <w:pPr>
        <w:pStyle w:val="BodyText"/>
      </w:pPr>
      <w:r>
        <w:t xml:space="preserve">Containment: tau_c = -0.10, theta_pos = 0.05, D_c = 2, v_d^cont = 1/7 (uniform).</w:t>
      </w:r>
    </w:p>
    <w:p>
      <w:pPr>
        <w:pStyle w:val="BodyText"/>
      </w:pPr>
      <w:r>
        <w:t xml:space="preserve">Weights: uniform interim (Section 13.1 floors plus uniform residual allocation per Appendix P).</w:t>
      </w:r>
    </w:p>
    <w:p>
      <w:pPr>
        <w:pStyle w:val="BodyText"/>
      </w:pPr>
      <w:r>
        <w:t xml:space="preserve">Union weights: w = (0.248571, 0.108571, 0.108571, 0.108571, 0.128571, 0.148571, 0.148571).</w:t>
      </w:r>
    </w:p>
    <w:p>
      <w:pPr>
        <w:pStyle w:val="BodyText"/>
      </w:pPr>
      <w:r>
        <w:t xml:space="preserve">Dimension weights: v = (0.137143, 0.157143, 0.137143, 0.137143, 0.157143, 0.117143, 0.157143).</w:t>
      </w:r>
    </w:p>
    <w:p>
      <w:pPr>
        <w:pStyle w:val="BodyText"/>
      </w:pPr>
      <w:r>
        <w:t xml:space="preserve">SGP: not applicable (all stakeholders human; s_k = 1 throughout).</w:t>
      </w:r>
    </w:p>
    <w:bookmarkEnd w:id="478"/>
    <w:bookmarkStart w:id="479" w:name="r.19.2-active-cells-8-cells"/>
    <w:p>
      <w:pPr>
        <w:pStyle w:val="Heading2"/>
      </w:pPr>
      <w:r>
        <w:t xml:space="preserve">R.19.2 Active cells (8 cells)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914"/>
        <w:gridCol w:w="2558"/>
        <w:gridCol w:w="2558"/>
        <w:gridCol w:w="2188"/>
      </w:tblGrid>
      <w:tr>
        <w:trPr>
          <w:tblHeader w:val="true"/>
          <w:cantSplit/>
        </w:trPr>
        <w:tc>
          <w:tcPr>
            <w:tcW w:w="191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Cell</w:t>
            </w:r>
          </w:p>
        </w:tc>
        <w:tc>
          <w:tcPr>
            <w:tcW w:w="2558"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Scope x Dimension</w:t>
            </w:r>
          </w:p>
        </w:tc>
        <w:tc>
          <w:tcPr>
            <w:tcW w:w="2558"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Rights coverage</w:t>
            </w:r>
          </w:p>
        </w:tc>
        <w:tc>
          <w:tcPr>
            <w:tcW w:w="2188"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Catastrophe</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U1xD5</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Self x Agency</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LBTY, DIGN, INFO</w:t>
            </w:r>
          </w:p>
        </w:tc>
        <w:tc>
          <w:tcPr>
            <w:tcW w:w="2188"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U4xD1</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Organisation x Material</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w:t>
            </w:r>
          </w:p>
        </w:tc>
        <w:tc>
          <w:tcPr>
            <w:tcW w:w="2188" w:type="dxa"/>
            <w:vAlign w:val="top"/>
            <w:tcMar>
              <w:top w:w="70" w:type="dxa"/>
              <w:start w:w="90" w:type="dxa"/>
              <w:bottom w:w="70" w:type="dxa"/>
              <w:end w:w="90" w:type="dxa"/>
            </w:tcMar>
            <w:shd w:fill="F3F7FB"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U4xD5</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Organisation x Agency</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LBTY, DIGN, PROC, INFO</w:t>
            </w:r>
          </w:p>
        </w:tc>
        <w:tc>
          <w:tcPr>
            <w:tcW w:w="2188" w:type="dxa"/>
            <w:vAlign w:val="top"/>
            <w:tcMar>
              <w:top w:w="70" w:type="dxa"/>
              <w:start w:w="90" w:type="dxa"/>
              <w:bottom w:w="70" w:type="dxa"/>
              <w:end w:w="90" w:type="dxa"/>
            </w:tcMar>
            <w:shd w:fill="FFFFFF"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U5xD5</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Polity x Agency</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LBTY, DIGN, PROC, INFO</w:t>
            </w:r>
          </w:p>
        </w:tc>
        <w:tc>
          <w:tcPr>
            <w:tcW w:w="2188" w:type="dxa"/>
            <w:vAlign w:val="top"/>
            <w:tcMar>
              <w:top w:w="70" w:type="dxa"/>
              <w:start w:w="90" w:type="dxa"/>
              <w:bottom w:w="70" w:type="dxa"/>
              <w:end w:w="90" w:type="dxa"/>
            </w:tcMar>
            <w:shd w:fill="F3F7FB"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U6xD2</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Humanity x Health</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LIFE, BODY, NEED</w:t>
            </w:r>
          </w:p>
        </w:tc>
        <w:tc>
          <w:tcPr>
            <w:tcW w:w="2188" w:type="dxa"/>
            <w:vAlign w:val="top"/>
            <w:tcMar>
              <w:top w:w="70" w:type="dxa"/>
              <w:start w:w="90" w:type="dxa"/>
              <w:bottom w:w="70" w:type="dxa"/>
              <w:end w:w="90" w:type="dxa"/>
            </w:tcMar>
            <w:shd w:fill="FFFFFF" w:val="clear"/>
          </w:tcPr>
          <w:p>
            <w:pPr>
              <w:pStyle w:val="Compact"/>
              <w:spacing w:before="0" w:after="0"/>
              <w:jc w:val="left"/>
            </w:pPr>
            <w:r>
              <w:rPr>
                <w:sz w:val="17"/>
              </w:rPr>
              <w:t xml:space="preserve">C_cat</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U6xD5</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Humanity x Agency</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LBTY, DIGN, PROC, INFO</w:t>
            </w:r>
          </w:p>
        </w:tc>
        <w:tc>
          <w:tcPr>
            <w:tcW w:w="2188" w:type="dxa"/>
            <w:vAlign w:val="top"/>
            <w:tcMar>
              <w:top w:w="70" w:type="dxa"/>
              <w:start w:w="90" w:type="dxa"/>
              <w:bottom w:w="70" w:type="dxa"/>
              <w:end w:w="90" w:type="dxa"/>
            </w:tcMar>
            <w:shd w:fill="F3F7FB" w:val="clear"/>
          </w:tcPr>
          <w:p>
            <w:pPr>
              <w:pStyle w:val="Compact"/>
              <w:spacing w:before="0" w:after="0"/>
              <w:jc w:val="left"/>
            </w:pPr>
            <w:r>
              <w:rPr>
                <w:sz w:val="17"/>
              </w:rPr>
              <w:t xml:space="preserve">-</w:t>
            </w:r>
          </w:p>
        </w:tc>
      </w:tr>
      <w:tr>
        <w:trPr>
          <w:cantSplit/>
        </w:trPr>
        <w:tc>
          <w:tcPr>
            <w:tcW w:w="1914" w:type="dxa"/>
            <w:vAlign w:val="top"/>
            <w:tcMar>
              <w:top w:w="70" w:type="dxa"/>
              <w:start w:w="90" w:type="dxa"/>
              <w:bottom w:w="70" w:type="dxa"/>
              <w:end w:w="90" w:type="dxa"/>
            </w:tcMar>
            <w:shd w:fill="FFFFFF" w:val="clear"/>
          </w:tcPr>
          <w:p>
            <w:pPr>
              <w:pStyle w:val="Compact"/>
              <w:spacing w:before="0" w:after="0"/>
              <w:jc w:val="left"/>
            </w:pPr>
            <w:r>
              <w:rPr>
                <w:sz w:val="17"/>
              </w:rPr>
              <w:t xml:space="preserve">U6xD7</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Humanity x Environment</w:t>
            </w:r>
          </w:p>
        </w:tc>
        <w:tc>
          <w:tcPr>
            <w:tcW w:w="2558" w:type="dxa"/>
            <w:vAlign w:val="top"/>
            <w:tcMar>
              <w:top w:w="70" w:type="dxa"/>
              <w:start w:w="90" w:type="dxa"/>
              <w:bottom w:w="70" w:type="dxa"/>
              <w:end w:w="90" w:type="dxa"/>
            </w:tcMar>
            <w:shd w:fill="FFFFFF" w:val="clear"/>
          </w:tcPr>
          <w:p>
            <w:pPr>
              <w:pStyle w:val="Compact"/>
              <w:spacing w:before="0" w:after="0"/>
              <w:jc w:val="left"/>
            </w:pPr>
            <w:r>
              <w:rPr>
                <w:sz w:val="17"/>
              </w:rPr>
              <w:t xml:space="preserve">LIFE, ECOL</w:t>
            </w:r>
          </w:p>
        </w:tc>
        <w:tc>
          <w:tcPr>
            <w:tcW w:w="2188" w:type="dxa"/>
            <w:vAlign w:val="top"/>
            <w:tcMar>
              <w:top w:w="70" w:type="dxa"/>
              <w:start w:w="90" w:type="dxa"/>
              <w:bottom w:w="70" w:type="dxa"/>
              <w:end w:w="90" w:type="dxa"/>
            </w:tcMar>
            <w:shd w:fill="FFFFFF" w:val="clear"/>
          </w:tcPr>
          <w:p>
            <w:pPr>
              <w:pStyle w:val="Compact"/>
              <w:spacing w:before="0" w:after="0"/>
              <w:jc w:val="left"/>
            </w:pPr>
            <w:r>
              <w:rPr>
                <w:sz w:val="17"/>
              </w:rPr>
              <w:t xml:space="preserve">C_cat</w:t>
            </w:r>
          </w:p>
        </w:tc>
      </w:tr>
      <w:tr>
        <w:trPr>
          <w:cantSplit/>
        </w:trPr>
        <w:tc>
          <w:tcPr>
            <w:tcW w:w="1914" w:type="dxa"/>
            <w:vAlign w:val="top"/>
            <w:tcMar>
              <w:top w:w="70" w:type="dxa"/>
              <w:start w:w="90" w:type="dxa"/>
              <w:bottom w:w="70" w:type="dxa"/>
              <w:end w:w="90" w:type="dxa"/>
            </w:tcMar>
            <w:shd w:fill="F3F7FB" w:val="clear"/>
          </w:tcPr>
          <w:p>
            <w:pPr>
              <w:pStyle w:val="Compact"/>
              <w:spacing w:before="0" w:after="0"/>
              <w:jc w:val="left"/>
            </w:pPr>
            <w:r>
              <w:rPr>
                <w:sz w:val="17"/>
              </w:rPr>
              <w:t xml:space="preserve">U7xD7</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Biosphere x Environment</w:t>
            </w:r>
          </w:p>
        </w:tc>
        <w:tc>
          <w:tcPr>
            <w:tcW w:w="2558" w:type="dxa"/>
            <w:vAlign w:val="top"/>
            <w:tcMar>
              <w:top w:w="70" w:type="dxa"/>
              <w:start w:w="90" w:type="dxa"/>
              <w:bottom w:w="70" w:type="dxa"/>
              <w:end w:w="90" w:type="dxa"/>
            </w:tcMar>
            <w:shd w:fill="F3F7FB" w:val="clear"/>
          </w:tcPr>
          <w:p>
            <w:pPr>
              <w:pStyle w:val="Compact"/>
              <w:spacing w:before="0" w:after="0"/>
              <w:jc w:val="left"/>
            </w:pPr>
            <w:r>
              <w:rPr>
                <w:sz w:val="17"/>
              </w:rPr>
              <w:t xml:space="preserve">ECOL</w:t>
            </w:r>
          </w:p>
        </w:tc>
        <w:tc>
          <w:tcPr>
            <w:tcW w:w="2188" w:type="dxa"/>
            <w:vAlign w:val="top"/>
            <w:tcMar>
              <w:top w:w="70" w:type="dxa"/>
              <w:start w:w="90" w:type="dxa"/>
              <w:bottom w:w="70" w:type="dxa"/>
              <w:end w:w="90" w:type="dxa"/>
            </w:tcMar>
            <w:shd w:fill="F3F7FB" w:val="clear"/>
          </w:tcPr>
          <w:p>
            <w:pPr>
              <w:pStyle w:val="Compact"/>
              <w:spacing w:before="0" w:after="0"/>
              <w:jc w:val="left"/>
            </w:pPr>
            <w:r>
              <w:rPr>
                <w:sz w:val="17"/>
              </w:rPr>
              <w:t xml:space="preserve">C_cat</w:t>
            </w:r>
          </w:p>
        </w:tc>
      </w:tr>
    </w:tbl>
    <w:p>
      <w:pPr>
        <w:pStyle w:val="BodyText"/>
      </w:pPr>
      <w:r>
        <w:t xml:space="preserve">All other cells = 0. Catastrophe weights: omega = 1/3 each (uniform over C_cat).</w:t>
      </w:r>
    </w:p>
    <w:bookmarkEnd w:id="479"/>
    <w:bookmarkStart w:id="480" w:name="r.19.3-options-and-i_prop_base-values"/>
    <w:p>
      <w:pPr>
        <w:pStyle w:val="Heading2"/>
      </w:pPr>
      <w:r>
        <w:t xml:space="preserve">R.19.3 Options and I_prop_base values</w:t>
      </w:r>
    </w:p>
    <w:p>
      <w:pPr>
        <w:pStyle w:val="FirstParagraph"/>
      </w:pPr>
      <w:r>
        <w:t xml:space="preserve">Option A (deploy without safeguards):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Cell</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I_prop_base</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U1xD5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-0.70</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U4xD1</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+0.30</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U4xD5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-0.50</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U5xD5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-0.35</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U6xD2</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-0.05</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U6xD5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-0.20</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U6xD7</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-0.02</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U7xD7</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0.00</w:t>
            </w:r>
          </w:p>
        </w:tc>
      </w:tr>
    </w:tbl>
    <w:p>
      <w:pPr>
        <w:pStyle w:val="BodyText"/>
      </w:pPr>
      <w:r>
        <w:t xml:space="preserve">Option B (safeguards plus aggressive scaling):</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Cell</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I_prop_base</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U1xD5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-0.10</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U4xD1</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+0.25</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U4xD5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+0.15</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U5xD5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+0.10</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U6xD2</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-0.03</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U6xD5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+0.05</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U6xD7</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-0.01</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U7xD7</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0.00</w:t>
            </w:r>
          </w:p>
        </w:tc>
      </w:tr>
    </w:tbl>
    <w:p>
      <w:pPr>
        <w:pStyle w:val="BodyText"/>
      </w:pPr>
      <w:r>
        <w:t xml:space="preserve">Option C (safeguards plus measured rollout):</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Cell</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I_prop_base</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U1xD5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+0.05</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U4xD1</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+0.30</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U4xD5</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+0.12</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U5xD5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+0.08</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U6xD2</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0.00</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U6xD5</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+0.03</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U6xD7</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0.00</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U7xD7</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0.00</w:t>
            </w:r>
          </w:p>
        </w:tc>
      </w:tr>
    </w:tbl>
    <w:bookmarkEnd w:id="480"/>
    <w:bookmarkStart w:id="481" w:name="r.19.4-expected-ncrc-outcomes"/>
    <w:p>
      <w:pPr>
        <w:pStyle w:val="Heading2"/>
      </w:pPr>
      <w:r>
        <w:t xml:space="preserve">R.19.4 Expected NCRC outcomes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777"/>
        <w:gridCol w:w="1777"/>
        <w:gridCol w:w="2107"/>
        <w:gridCol w:w="1777"/>
        <w:gridCol w:w="1777"/>
      </w:tblGrid>
      <w:tr>
        <w:trPr>
          <w:tblHeader w:val="true"/>
          <w:cantSplit/>
        </w:trPr>
        <w:tc>
          <w:tcPr>
            <w:tcW w:w="177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Right</w:t>
            </w:r>
          </w:p>
        </w:tc>
        <w:tc>
          <w:tcPr>
            <w:tcW w:w="177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theta_r</w:t>
            </w:r>
          </w:p>
        </w:tc>
        <w:tc>
          <w:tcPr>
            <w:tcW w:w="210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Binding cell</w:t>
            </w:r>
          </w:p>
        </w:tc>
        <w:tc>
          <w:tcPr>
            <w:tcW w:w="177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I_rights</w:t>
            </w:r>
          </w:p>
        </w:tc>
        <w:tc>
          <w:tcPr>
            <w:tcW w:w="1777"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v_r(A)</w:t>
            </w:r>
          </w:p>
        </w:tc>
      </w:tr>
      <w:tr>
        <w:trPr>
          <w:cantSplit/>
        </w:trPr>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LIFE</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-0.90</w:t>
            </w:r>
          </w:p>
        </w:tc>
        <w:tc>
          <w:tcPr>
            <w:tcW w:w="2107" w:type="dxa"/>
            <w:vAlign w:val="top"/>
            <w:tcMar>
              <w:top w:w="70" w:type="dxa"/>
              <w:start w:w="90" w:type="dxa"/>
              <w:bottom w:w="70" w:type="dxa"/>
              <w:end w:w="90" w:type="dxa"/>
            </w:tcMar>
            <w:shd w:fill="FFFFFF" w:val="clear"/>
          </w:tcPr>
          <w:p>
            <w:pPr>
              <w:pStyle w:val="Compact"/>
              <w:spacing w:before="0" w:after="0"/>
              <w:jc w:val="left"/>
            </w:pPr>
            <w:r>
              <w:rPr>
                <w:sz w:val="16"/>
              </w:rPr>
              <w:t xml:space="preserve">U6xD2</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-0.075</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0.000</w:t>
            </w:r>
          </w:p>
        </w:tc>
      </w:tr>
      <w:tr>
        <w:trPr>
          <w:cantSplit/>
        </w:trPr>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BODY</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-0.70</w:t>
            </w:r>
          </w:p>
        </w:tc>
        <w:tc>
          <w:tcPr>
            <w:tcW w:w="2107" w:type="dxa"/>
            <w:vAlign w:val="top"/>
            <w:tcMar>
              <w:top w:w="70" w:type="dxa"/>
              <w:start w:w="90" w:type="dxa"/>
              <w:bottom w:w="70" w:type="dxa"/>
              <w:end w:w="90" w:type="dxa"/>
            </w:tcMar>
            <w:shd w:fill="F3F7FB" w:val="clear"/>
          </w:tcPr>
          <w:p>
            <w:pPr>
              <w:pStyle w:val="Compact"/>
              <w:spacing w:before="0" w:after="0"/>
              <w:jc w:val="left"/>
            </w:pPr>
            <w:r>
              <w:rPr>
                <w:sz w:val="16"/>
              </w:rPr>
              <w:t xml:space="preserve">U6xD2</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-0.075</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0.000</w:t>
            </w:r>
          </w:p>
        </w:tc>
      </w:tr>
      <w:tr>
        <w:trPr>
          <w:cantSplit/>
        </w:trPr>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LBTY</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-0.65</w:t>
            </w:r>
          </w:p>
        </w:tc>
        <w:tc>
          <w:tcPr>
            <w:tcW w:w="2107" w:type="dxa"/>
            <w:vAlign w:val="top"/>
            <w:tcMar>
              <w:top w:w="70" w:type="dxa"/>
              <w:start w:w="90" w:type="dxa"/>
              <w:bottom w:w="70" w:type="dxa"/>
              <w:end w:w="90" w:type="dxa"/>
            </w:tcMar>
            <w:shd w:fill="FFFFFF" w:val="clear"/>
          </w:tcPr>
          <w:p>
            <w:pPr>
              <w:pStyle w:val="Compact"/>
              <w:spacing w:before="0" w:after="0"/>
              <w:jc w:val="left"/>
            </w:pPr>
            <w:r>
              <w:rPr>
                <w:sz w:val="16"/>
              </w:rPr>
              <w:t xml:space="preserve">U1xD5</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-1.000</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0.350</w:t>
            </w:r>
          </w:p>
        </w:tc>
      </w:tr>
      <w:tr>
        <w:trPr>
          <w:cantSplit/>
        </w:trPr>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NEED</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-0.50</w:t>
            </w:r>
          </w:p>
        </w:tc>
        <w:tc>
          <w:tcPr>
            <w:tcW w:w="2107" w:type="dxa"/>
            <w:vAlign w:val="top"/>
            <w:tcMar>
              <w:top w:w="70" w:type="dxa"/>
              <w:start w:w="90" w:type="dxa"/>
              <w:bottom w:w="70" w:type="dxa"/>
              <w:end w:w="90" w:type="dxa"/>
            </w:tcMar>
            <w:shd w:fill="F3F7FB" w:val="clear"/>
          </w:tcPr>
          <w:p>
            <w:pPr>
              <w:pStyle w:val="Compact"/>
              <w:spacing w:before="0" w:after="0"/>
              <w:jc w:val="left"/>
            </w:pPr>
            <w:r>
              <w:rPr>
                <w:sz w:val="16"/>
              </w:rPr>
              <w:t xml:space="preserve">U6xD2</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-0.075</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0.000</w:t>
            </w:r>
          </w:p>
        </w:tc>
      </w:tr>
      <w:tr>
        <w:trPr>
          <w:cantSplit/>
        </w:trPr>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DIGN</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-0.55</w:t>
            </w:r>
          </w:p>
        </w:tc>
        <w:tc>
          <w:tcPr>
            <w:tcW w:w="2107" w:type="dxa"/>
            <w:vAlign w:val="top"/>
            <w:tcMar>
              <w:top w:w="70" w:type="dxa"/>
              <w:start w:w="90" w:type="dxa"/>
              <w:bottom w:w="70" w:type="dxa"/>
              <w:end w:w="90" w:type="dxa"/>
            </w:tcMar>
            <w:shd w:fill="FFFFFF" w:val="clear"/>
          </w:tcPr>
          <w:p>
            <w:pPr>
              <w:pStyle w:val="Compact"/>
              <w:spacing w:before="0" w:after="0"/>
              <w:jc w:val="left"/>
            </w:pPr>
            <w:r>
              <w:rPr>
                <w:sz w:val="16"/>
              </w:rPr>
              <w:t xml:space="preserve">U1xD5</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-1.000</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0.450</w:t>
            </w:r>
          </w:p>
        </w:tc>
      </w:tr>
      <w:tr>
        <w:trPr>
          <w:cantSplit/>
        </w:trPr>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PROC</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-0.45</w:t>
            </w:r>
          </w:p>
        </w:tc>
        <w:tc>
          <w:tcPr>
            <w:tcW w:w="2107" w:type="dxa"/>
            <w:vAlign w:val="top"/>
            <w:tcMar>
              <w:top w:w="70" w:type="dxa"/>
              <w:start w:w="90" w:type="dxa"/>
              <w:bottom w:w="70" w:type="dxa"/>
              <w:end w:w="90" w:type="dxa"/>
            </w:tcMar>
            <w:shd w:fill="F3F7FB" w:val="clear"/>
          </w:tcPr>
          <w:p>
            <w:pPr>
              <w:pStyle w:val="Compact"/>
              <w:spacing w:before="0" w:after="0"/>
              <w:jc w:val="left"/>
            </w:pPr>
            <w:r>
              <w:rPr>
                <w:sz w:val="16"/>
              </w:rPr>
              <w:t xml:space="preserve">U4xD5</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-0.750</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0.300</w:t>
            </w:r>
          </w:p>
        </w:tc>
      </w:tr>
      <w:tr>
        <w:trPr>
          <w:cantSplit/>
        </w:trPr>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INFO</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-0.40</w:t>
            </w:r>
          </w:p>
        </w:tc>
        <w:tc>
          <w:tcPr>
            <w:tcW w:w="2107" w:type="dxa"/>
            <w:vAlign w:val="top"/>
            <w:tcMar>
              <w:top w:w="70" w:type="dxa"/>
              <w:start w:w="90" w:type="dxa"/>
              <w:bottom w:w="70" w:type="dxa"/>
              <w:end w:w="90" w:type="dxa"/>
            </w:tcMar>
            <w:shd w:fill="FFFFFF" w:val="clear"/>
          </w:tcPr>
          <w:p>
            <w:pPr>
              <w:pStyle w:val="Compact"/>
              <w:spacing w:before="0" w:after="0"/>
              <w:jc w:val="left"/>
            </w:pPr>
            <w:r>
              <w:rPr>
                <w:sz w:val="16"/>
              </w:rPr>
              <w:t xml:space="preserve">U1xD5</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-1.000</w:t>
            </w:r>
          </w:p>
        </w:tc>
        <w:tc>
          <w:tcPr>
            <w:tcW w:w="1777" w:type="dxa"/>
            <w:vAlign w:val="top"/>
            <w:tcMar>
              <w:top w:w="70" w:type="dxa"/>
              <w:start w:w="90" w:type="dxa"/>
              <w:bottom w:w="70" w:type="dxa"/>
              <w:end w:w="90" w:type="dxa"/>
            </w:tcMar>
            <w:shd w:fill="FFFFFF" w:val="clear"/>
          </w:tcPr>
          <w:p>
            <w:pPr>
              <w:pStyle w:val="Compact"/>
              <w:spacing w:before="0" w:after="0"/>
              <w:jc w:val="left"/>
            </w:pPr>
            <w:r>
              <w:rPr>
                <w:sz w:val="16"/>
              </w:rPr>
              <w:t xml:space="preserve">0.600</w:t>
            </w:r>
          </w:p>
        </w:tc>
      </w:tr>
      <w:tr>
        <w:trPr>
          <w:cantSplit/>
        </w:trPr>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ECOL</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-0.65</w:t>
            </w:r>
          </w:p>
        </w:tc>
        <w:tc>
          <w:tcPr>
            <w:tcW w:w="2107" w:type="dxa"/>
            <w:vAlign w:val="top"/>
            <w:tcMar>
              <w:top w:w="70" w:type="dxa"/>
              <w:start w:w="90" w:type="dxa"/>
              <w:bottom w:w="70" w:type="dxa"/>
              <w:end w:w="90" w:type="dxa"/>
            </w:tcMar>
            <w:shd w:fill="F3F7FB" w:val="clear"/>
          </w:tcPr>
          <w:p>
            <w:pPr>
              <w:pStyle w:val="Compact"/>
              <w:spacing w:before="0" w:after="0"/>
              <w:jc w:val="left"/>
            </w:pPr>
            <w:r>
              <w:rPr>
                <w:sz w:val="16"/>
              </w:rPr>
              <w:t xml:space="preserve">U6xD7</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-0.030</w:t>
            </w:r>
          </w:p>
        </w:tc>
        <w:tc>
          <w:tcPr>
            <w:tcW w:w="1777" w:type="dxa"/>
            <w:vAlign w:val="top"/>
            <w:tcMar>
              <w:top w:w="70" w:type="dxa"/>
              <w:start w:w="90" w:type="dxa"/>
              <w:bottom w:w="70" w:type="dxa"/>
              <w:end w:w="90" w:type="dxa"/>
            </w:tcMar>
            <w:shd w:fill="F3F7FB" w:val="clear"/>
          </w:tcPr>
          <w:p>
            <w:pPr>
              <w:pStyle w:val="Compact"/>
              <w:spacing w:before="0" w:after="0"/>
              <w:jc w:val="left"/>
            </w:pPr>
            <w:r>
              <w:rPr>
                <w:sz w:val="16"/>
              </w:rPr>
              <w:t xml:space="preserve">0.000</w:t>
            </w:r>
          </w:p>
        </w:tc>
      </w:tr>
    </w:tbl>
    <w:p>
      <w:pPr>
        <w:pStyle w:val="BodyText"/>
      </w:pPr>
      <w:r>
        <w:t xml:space="preserve">NCRC(A) = FALSE. Violations: LBTY, DIGN, PROC, INFO.</w:t>
      </w:r>
    </w:p>
    <w:p>
      <w:pPr>
        <w:pStyle w:val="BodyText"/>
      </w:pPr>
      <w:r>
        <w:t xml:space="preserve">Option B (expected: PASS): worst relevant right values remain above thresholds; NCRC(B) = TRUE.</w:t>
      </w:r>
    </w:p>
    <w:p>
      <w:pPr>
        <w:pStyle w:val="BodyText"/>
      </w:pPr>
      <w:r>
        <w:t xml:space="preserve">Option C (expected: PASS): all I_rights values are non-negative or mildly negative and remain above thresholds; NCRC(C) = TRUE.</w:t>
      </w:r>
    </w:p>
    <w:p>
      <w:pPr>
        <w:pStyle w:val="BodyText"/>
      </w:pPr>
      <w:r>
        <w:t xml:space="preserve">A_NCRC = {B, C}.</w:t>
      </w:r>
    </w:p>
    <w:bookmarkEnd w:id="481"/>
    <w:bookmarkStart w:id="482" w:name="r.19.5-expected-trc-outcomes"/>
    <w:p>
      <w:pPr>
        <w:pStyle w:val="Heading2"/>
      </w:pPr>
      <w:r>
        <w:t xml:space="preserve">R.19.5 Expected TRC outcomes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751"/>
        <w:gridCol w:w="2214"/>
        <w:gridCol w:w="1751"/>
        <w:gridCol w:w="1751"/>
        <w:gridCol w:w="1751"/>
      </w:tblGrid>
      <w:tr>
        <w:trPr>
          <w:tblHeader w:val="true"/>
          <w:cantSplit/>
        </w:trPr>
        <w:tc>
          <w:tcPr>
            <w:tcW w:w="1751"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Scenario</w:t>
            </w:r>
          </w:p>
        </w:tc>
        <w:tc>
          <w:tcPr>
            <w:tcW w:w="2214"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Category</w:t>
            </w:r>
          </w:p>
        </w:tc>
        <w:tc>
          <w:tcPr>
            <w:tcW w:w="1751"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p_s</w:t>
            </w:r>
          </w:p>
        </w:tc>
        <w:tc>
          <w:tcPr>
            <w:tcW w:w="1751"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L(B,s)</w:t>
            </w:r>
          </w:p>
        </w:tc>
        <w:tc>
          <w:tcPr>
            <w:tcW w:w="1751"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L(C,s)</w:t>
            </w:r>
          </w:p>
        </w:tc>
      </w:tr>
      <w:tr>
        <w:trPr>
          <w:cantSplit/>
        </w:trPr>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S1</w:t>
            </w:r>
          </w:p>
        </w:tc>
        <w:tc>
          <w:tcPr>
            <w:tcW w:w="2214" w:type="dxa"/>
            <w:vAlign w:val="top"/>
            <w:tcMar>
              <w:top w:w="70" w:type="dxa"/>
              <w:start w:w="90" w:type="dxa"/>
              <w:bottom w:w="70" w:type="dxa"/>
              <w:end w:w="90" w:type="dxa"/>
            </w:tcMar>
            <w:shd w:fill="FFFFFF" w:val="clear"/>
          </w:tcPr>
          <w:p>
            <w:pPr>
              <w:pStyle w:val="Compact"/>
              <w:spacing w:before="0" w:after="0"/>
              <w:jc w:val="left"/>
            </w:pPr>
            <w:r>
              <w:rPr>
                <w:sz w:val="16"/>
              </w:rPr>
              <w:t xml:space="preserve">Pandemic</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0.05</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0.15</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0.08</w:t>
            </w:r>
          </w:p>
        </w:tc>
      </w:tr>
      <w:tr>
        <w:trPr>
          <w:cantSplit/>
        </w:trPr>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S2</w:t>
            </w:r>
          </w:p>
        </w:tc>
        <w:tc>
          <w:tcPr>
            <w:tcW w:w="2214" w:type="dxa"/>
            <w:vAlign w:val="top"/>
            <w:tcMar>
              <w:top w:w="70" w:type="dxa"/>
              <w:start w:w="90" w:type="dxa"/>
              <w:bottom w:w="70" w:type="dxa"/>
              <w:end w:w="90" w:type="dxa"/>
            </w:tcMar>
            <w:shd w:fill="F3F7FB" w:val="clear"/>
          </w:tcPr>
          <w:p>
            <w:pPr>
              <w:pStyle w:val="Compact"/>
              <w:spacing w:before="0" w:after="0"/>
              <w:jc w:val="left"/>
            </w:pPr>
            <w:r>
              <w:rPr>
                <w:sz w:val="16"/>
              </w:rPr>
              <w:t xml:space="preserve">Infrastructure</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0.04</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0.12</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0.06</w:t>
            </w:r>
          </w:p>
        </w:tc>
      </w:tr>
      <w:tr>
        <w:trPr>
          <w:cantSplit/>
        </w:trPr>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S3</w:t>
            </w:r>
          </w:p>
        </w:tc>
        <w:tc>
          <w:tcPr>
            <w:tcW w:w="2214" w:type="dxa"/>
            <w:vAlign w:val="top"/>
            <w:tcMar>
              <w:top w:w="70" w:type="dxa"/>
              <w:start w:w="90" w:type="dxa"/>
              <w:bottom w:w="70" w:type="dxa"/>
              <w:end w:w="90" w:type="dxa"/>
            </w:tcMar>
            <w:shd w:fill="FFFFFF" w:val="clear"/>
          </w:tcPr>
          <w:p>
            <w:pPr>
              <w:pStyle w:val="Compact"/>
              <w:spacing w:before="0" w:after="0"/>
              <w:jc w:val="left"/>
            </w:pPr>
            <w:r>
              <w:rPr>
                <w:sz w:val="16"/>
              </w:rPr>
              <w:t xml:space="preserve">Climate</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0.03</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0.10</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0.05</w:t>
            </w:r>
          </w:p>
        </w:tc>
      </w:tr>
      <w:tr>
        <w:trPr>
          <w:cantSplit/>
        </w:trPr>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S4</w:t>
            </w:r>
          </w:p>
        </w:tc>
        <w:tc>
          <w:tcPr>
            <w:tcW w:w="2214" w:type="dxa"/>
            <w:vAlign w:val="top"/>
            <w:tcMar>
              <w:top w:w="70" w:type="dxa"/>
              <w:start w:w="90" w:type="dxa"/>
              <w:bottom w:w="70" w:type="dxa"/>
              <w:end w:w="90" w:type="dxa"/>
            </w:tcMar>
            <w:shd w:fill="F3F7FB" w:val="clear"/>
          </w:tcPr>
          <w:p>
            <w:pPr>
              <w:pStyle w:val="Compact"/>
              <w:spacing w:before="0" w:after="0"/>
              <w:jc w:val="left"/>
            </w:pPr>
            <w:r>
              <w:rPr>
                <w:sz w:val="16"/>
              </w:rPr>
              <w:t xml:space="preserve">Baseline</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0.58</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0.02</w:t>
            </w:r>
          </w:p>
        </w:tc>
        <w:tc>
          <w:tcPr>
            <w:tcW w:w="1751" w:type="dxa"/>
            <w:vAlign w:val="top"/>
            <w:tcMar>
              <w:top w:w="70" w:type="dxa"/>
              <w:start w:w="90" w:type="dxa"/>
              <w:bottom w:w="70" w:type="dxa"/>
              <w:end w:w="90" w:type="dxa"/>
            </w:tcMar>
            <w:shd w:fill="F3F7FB" w:val="clear"/>
          </w:tcPr>
          <w:p>
            <w:pPr>
              <w:pStyle w:val="Compact"/>
              <w:spacing w:before="0" w:after="0"/>
              <w:jc w:val="left"/>
            </w:pPr>
            <w:r>
              <w:rPr>
                <w:sz w:val="16"/>
              </w:rPr>
              <w:t xml:space="preserve">0.01</w:t>
            </w:r>
          </w:p>
        </w:tc>
      </w:tr>
      <w:tr>
        <w:trPr>
          <w:cantSplit/>
        </w:trPr>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S5</w:t>
            </w:r>
          </w:p>
        </w:tc>
        <w:tc>
          <w:tcPr>
            <w:tcW w:w="2214" w:type="dxa"/>
            <w:vAlign w:val="top"/>
            <w:tcMar>
              <w:top w:w="70" w:type="dxa"/>
              <w:start w:w="90" w:type="dxa"/>
              <w:bottom w:w="70" w:type="dxa"/>
              <w:end w:w="90" w:type="dxa"/>
            </w:tcMar>
            <w:shd w:fill="FFFFFF" w:val="clear"/>
          </w:tcPr>
          <w:p>
            <w:pPr>
              <w:pStyle w:val="Compact"/>
              <w:spacing w:before="0" w:after="0"/>
              <w:jc w:val="left"/>
            </w:pPr>
            <w:r>
              <w:rPr>
                <w:sz w:val="16"/>
              </w:rPr>
              <w:t xml:space="preserve">Stress</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0.30</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0.05</w:t>
            </w:r>
          </w:p>
        </w:tc>
        <w:tc>
          <w:tcPr>
            <w:tcW w:w="1751" w:type="dxa"/>
            <w:vAlign w:val="top"/>
            <w:tcMar>
              <w:top w:w="70" w:type="dxa"/>
              <w:start w:w="90" w:type="dxa"/>
              <w:bottom w:w="70" w:type="dxa"/>
              <w:end w:w="90" w:type="dxa"/>
            </w:tcMar>
            <w:shd w:fill="FFFFFF" w:val="clear"/>
          </w:tcPr>
          <w:p>
            <w:pPr>
              <w:pStyle w:val="Compact"/>
              <w:spacing w:before="0" w:after="0"/>
              <w:jc w:val="left"/>
            </w:pPr>
            <w:r>
              <w:rPr>
                <w:sz w:val="16"/>
              </w:rPr>
              <w:t xml:space="preserve">0.03</w:t>
            </w:r>
          </w:p>
        </w:tc>
      </w:tr>
    </w:tbl>
    <w:p>
      <w:pPr>
        <w:pStyle w:val="BodyText"/>
      </w:pPr>
      <w:r>
        <w:t xml:space="preserve">CVaR computation (tail mass beta = 0.05): Option B = 0.15, PASS. Option C = 0.08, PASS. A_adm = {B, C}.</w:t>
      </w:r>
    </w:p>
    <w:bookmarkEnd w:id="482"/>
    <w:bookmarkStart w:id="483" w:name="r.19.6-expected-containment-outcomes"/>
    <w:p>
      <w:pPr>
        <w:pStyle w:val="Heading2"/>
      </w:pPr>
      <w:r>
        <w:t xml:space="preserve">R.19.6 Expected Containment outcomes</w:t>
      </w:r>
    </w:p>
    <w:p>
      <w:pPr>
        <w:pStyle w:val="FirstParagraph"/>
      </w:pPr>
      <w:r>
        <w:t xml:space="preserve">Option B: S_U4(B) = 0.0571 &gt;= 0.05, so U4 triggers. Anc(U4, D_c=2) = {U5, U6}. Declared DeltaUCI values: DeltaUCI_U5(B) = -0.12; DeltaUCI_U6(B) = -0.05. Therefore M_U4(B) = -0.12 &lt; tau_c = -0.10, so Containment(B) = FALSE.</w:t>
      </w:r>
    </w:p>
    <w:p>
      <w:pPr>
        <w:pStyle w:val="BodyText"/>
      </w:pPr>
      <w:r>
        <w:t xml:space="preserve">Option C: S_U4(C) = 0.0600 &gt;= 0.05, so U4 triggers. Declared DeltaUCI values: DeltaUCI_U5(C) = -0.03; DeltaUCI_U6(C) = +0.02. Therefore M_U4(C) = -0.03 &gt;= -0.10, so Containment(C) = TRUE.</w:t>
      </w:r>
    </w:p>
    <w:p>
      <w:pPr>
        <w:pStyle w:val="BodyText"/>
      </w:pPr>
      <w:r>
        <w:t xml:space="preserve">A_sel = {C}.</w:t>
      </w:r>
    </w:p>
    <w:bookmarkEnd w:id="483"/>
    <w:bookmarkStart w:id="484" w:name="r.19.7-expected-rls-outcome"/>
    <w:p>
      <w:pPr>
        <w:pStyle w:val="Heading2"/>
      </w:pPr>
      <w:r>
        <w:t xml:space="preserve">R.19.7 Expected RLS outcome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040"/>
        <w:gridCol w:w="1612"/>
        <w:gridCol w:w="1612"/>
        <w:gridCol w:w="2040"/>
        <w:gridCol w:w="1912"/>
      </w:tblGrid>
      <w:tr>
        <w:trPr>
          <w:tblHeader w:val="true"/>
          <w:cantSplit/>
        </w:trPr>
        <w:tc>
          <w:tcPr>
            <w:tcW w:w="2040"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Cell</w:t>
            </w:r>
          </w:p>
        </w:tc>
        <w:tc>
          <w:tcPr>
            <w:tcW w:w="1612"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w_u</w:t>
            </w:r>
          </w:p>
        </w:tc>
        <w:tc>
          <w:tcPr>
            <w:tcW w:w="1612"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v_d</w:t>
            </w:r>
          </w:p>
        </w:tc>
        <w:tc>
          <w:tcPr>
            <w:tcW w:w="2040"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I_prop_welfare</w:t>
            </w:r>
          </w:p>
        </w:tc>
        <w:tc>
          <w:tcPr>
            <w:tcW w:w="1912" w:type="dxa"/>
            <w:vAlign w:val="top"/>
            <w:tcMar>
              <w:top w:w="70" w:type="dxa"/>
              <w:start w:w="90" w:type="dxa"/>
              <w:bottom w:w="70" w:type="dxa"/>
              <w:end w:w="90" w:type="dxa"/>
            </w:tcMar>
            <w:shd w:fill="D9EAF7" w:val="clear"/>
          </w:tcPr>
          <w:p>
            <w:pPr>
              <w:pStyle w:val="Compact"/>
              <w:spacing w:before="0" w:after="0"/>
              <w:jc w:val="left"/>
            </w:pPr>
            <w:r>
              <w:rPr>
                <w:b/>
                <w:bCs/>
                <w:sz w:val="16"/>
                <w:color w:val="1F4E79"/>
              </w:rPr>
              <w:t xml:space="preserve">Contribution</w:t>
            </w:r>
          </w:p>
        </w:tc>
      </w:tr>
      <w:tr>
        <w:trPr>
          <w:cantSplit/>
        </w:trPr>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U1xD5</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0.248571</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0.157143</w:t>
            </w:r>
          </w:p>
        </w:tc>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+0.05</w:t>
            </w:r>
          </w:p>
        </w:tc>
        <w:tc>
          <w:tcPr>
            <w:tcW w:w="1912" w:type="dxa"/>
            <w:vAlign w:val="top"/>
            <w:tcMar>
              <w:top w:w="70" w:type="dxa"/>
              <w:start w:w="90" w:type="dxa"/>
              <w:bottom w:w="70" w:type="dxa"/>
              <w:end w:w="90" w:type="dxa"/>
            </w:tcMar>
            <w:shd w:fill="FFFFFF" w:val="clear"/>
          </w:tcPr>
          <w:p>
            <w:pPr>
              <w:pStyle w:val="Compact"/>
              <w:spacing w:before="0" w:after="0"/>
              <w:jc w:val="left"/>
            </w:pPr>
            <w:r>
              <w:rPr>
                <w:sz w:val="16"/>
              </w:rPr>
              <w:t xml:space="preserve">+0.001953</w:t>
            </w:r>
          </w:p>
        </w:tc>
      </w:tr>
      <w:tr>
        <w:trPr>
          <w:cantSplit/>
        </w:trPr>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U4xD1</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0.108571</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0.137143</w:t>
            </w:r>
          </w:p>
        </w:tc>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+0.30</w:t>
            </w:r>
          </w:p>
        </w:tc>
        <w:tc>
          <w:tcPr>
            <w:tcW w:w="1912" w:type="dxa"/>
            <w:vAlign w:val="top"/>
            <w:tcMar>
              <w:top w:w="70" w:type="dxa"/>
              <w:start w:w="90" w:type="dxa"/>
              <w:bottom w:w="70" w:type="dxa"/>
              <w:end w:w="90" w:type="dxa"/>
            </w:tcMar>
            <w:shd w:fill="F3F7FB" w:val="clear"/>
          </w:tcPr>
          <w:p>
            <w:pPr>
              <w:pStyle w:val="Compact"/>
              <w:spacing w:before="0" w:after="0"/>
              <w:jc w:val="left"/>
            </w:pPr>
            <w:r>
              <w:rPr>
                <w:sz w:val="16"/>
              </w:rPr>
              <w:t xml:space="preserve">+0.004467</w:t>
            </w:r>
          </w:p>
        </w:tc>
      </w:tr>
      <w:tr>
        <w:trPr>
          <w:cantSplit/>
        </w:trPr>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U4xD5</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0.108571</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0.157143</w:t>
            </w:r>
          </w:p>
        </w:tc>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+0.12</w:t>
            </w:r>
          </w:p>
        </w:tc>
        <w:tc>
          <w:tcPr>
            <w:tcW w:w="1912" w:type="dxa"/>
            <w:vAlign w:val="top"/>
            <w:tcMar>
              <w:top w:w="70" w:type="dxa"/>
              <w:start w:w="90" w:type="dxa"/>
              <w:bottom w:w="70" w:type="dxa"/>
              <w:end w:w="90" w:type="dxa"/>
            </w:tcMar>
            <w:shd w:fill="FFFFFF" w:val="clear"/>
          </w:tcPr>
          <w:p>
            <w:pPr>
              <w:pStyle w:val="Compact"/>
              <w:spacing w:before="0" w:after="0"/>
              <w:jc w:val="left"/>
            </w:pPr>
            <w:r>
              <w:rPr>
                <w:sz w:val="16"/>
              </w:rPr>
              <w:t xml:space="preserve">+0.002047</w:t>
            </w:r>
          </w:p>
        </w:tc>
      </w:tr>
      <w:tr>
        <w:trPr>
          <w:cantSplit/>
        </w:trPr>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U5xD5</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0.128571</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0.157143</w:t>
            </w:r>
          </w:p>
        </w:tc>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+0.08</w:t>
            </w:r>
          </w:p>
        </w:tc>
        <w:tc>
          <w:tcPr>
            <w:tcW w:w="1912" w:type="dxa"/>
            <w:vAlign w:val="top"/>
            <w:tcMar>
              <w:top w:w="70" w:type="dxa"/>
              <w:start w:w="90" w:type="dxa"/>
              <w:bottom w:w="70" w:type="dxa"/>
              <w:end w:w="90" w:type="dxa"/>
            </w:tcMar>
            <w:shd w:fill="F3F7FB" w:val="clear"/>
          </w:tcPr>
          <w:p>
            <w:pPr>
              <w:pStyle w:val="Compact"/>
              <w:spacing w:before="0" w:after="0"/>
              <w:jc w:val="left"/>
            </w:pPr>
            <w:r>
              <w:rPr>
                <w:sz w:val="16"/>
              </w:rPr>
              <w:t xml:space="preserve">+0.001616</w:t>
            </w:r>
          </w:p>
        </w:tc>
      </w:tr>
      <w:tr>
        <w:trPr>
          <w:cantSplit/>
        </w:trPr>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U6xD5</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0.148571</w:t>
            </w:r>
          </w:p>
        </w:tc>
        <w:tc>
          <w:tcPr>
            <w:tcW w:w="1612" w:type="dxa"/>
            <w:vAlign w:val="top"/>
            <w:tcMar>
              <w:top w:w="70" w:type="dxa"/>
              <w:start w:w="90" w:type="dxa"/>
              <w:bottom w:w="70" w:type="dxa"/>
              <w:end w:w="90" w:type="dxa"/>
            </w:tcMar>
            <w:shd w:fill="FFFFFF" w:val="clear"/>
          </w:tcPr>
          <w:p>
            <w:pPr>
              <w:pStyle w:val="Compact"/>
              <w:spacing w:before="0" w:after="0"/>
              <w:jc w:val="left"/>
            </w:pPr>
            <w:r>
              <w:rPr>
                <w:sz w:val="16"/>
              </w:rPr>
              <w:t xml:space="preserve">0.157143</w:t>
            </w:r>
          </w:p>
        </w:tc>
        <w:tc>
          <w:tcPr>
            <w:tcW w:w="2040" w:type="dxa"/>
            <w:vAlign w:val="top"/>
            <w:tcMar>
              <w:top w:w="70" w:type="dxa"/>
              <w:start w:w="90" w:type="dxa"/>
              <w:bottom w:w="70" w:type="dxa"/>
              <w:end w:w="90" w:type="dxa"/>
            </w:tcMar>
            <w:shd w:fill="FFFFFF" w:val="clear"/>
          </w:tcPr>
          <w:p>
            <w:pPr>
              <w:pStyle w:val="Compact"/>
              <w:spacing w:before="0" w:after="0"/>
              <w:jc w:val="left"/>
            </w:pPr>
            <w:r>
              <w:rPr>
                <w:sz w:val="16"/>
              </w:rPr>
              <w:t xml:space="preserve">+0.03</w:t>
            </w:r>
          </w:p>
        </w:tc>
        <w:tc>
          <w:tcPr>
            <w:tcW w:w="1912" w:type="dxa"/>
            <w:vAlign w:val="top"/>
            <w:tcMar>
              <w:top w:w="70" w:type="dxa"/>
              <w:start w:w="90" w:type="dxa"/>
              <w:bottom w:w="70" w:type="dxa"/>
              <w:end w:w="90" w:type="dxa"/>
            </w:tcMar>
            <w:shd w:fill="FFFFFF" w:val="clear"/>
          </w:tcPr>
          <w:p>
            <w:pPr>
              <w:pStyle w:val="Compact"/>
              <w:spacing w:before="0" w:after="0"/>
              <w:jc w:val="left"/>
            </w:pPr>
            <w:r>
              <w:rPr>
                <w:sz w:val="16"/>
              </w:rPr>
              <w:t xml:space="preserve">+0.000700</w:t>
            </w:r>
          </w:p>
        </w:tc>
      </w:tr>
      <w:tr>
        <w:trPr>
          <w:cantSplit/>
        </w:trPr>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All zero cells</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w:t>
            </w:r>
          </w:p>
        </w:tc>
        <w:tc>
          <w:tcPr>
            <w:tcW w:w="1612" w:type="dxa"/>
            <w:vAlign w:val="top"/>
            <w:tcMar>
              <w:top w:w="70" w:type="dxa"/>
              <w:start w:w="90" w:type="dxa"/>
              <w:bottom w:w="70" w:type="dxa"/>
              <w:end w:w="90" w:type="dxa"/>
            </w:tcMar>
            <w:shd w:fill="F3F7FB" w:val="clear"/>
          </w:tcPr>
          <w:p>
            <w:pPr>
              <w:pStyle w:val="Compact"/>
              <w:spacing w:before="0" w:after="0"/>
              <w:jc w:val="left"/>
            </w:pPr>
            <w:r>
              <w:rPr>
                <w:sz w:val="16"/>
              </w:rPr>
              <w:t xml:space="preserve">-</w:t>
            </w:r>
          </w:p>
        </w:tc>
        <w:tc>
          <w:tcPr>
            <w:tcW w:w="2040" w:type="dxa"/>
            <w:vAlign w:val="top"/>
            <w:tcMar>
              <w:top w:w="70" w:type="dxa"/>
              <w:start w:w="90" w:type="dxa"/>
              <w:bottom w:w="70" w:type="dxa"/>
              <w:end w:w="90" w:type="dxa"/>
            </w:tcMar>
            <w:shd w:fill="F3F7FB" w:val="clear"/>
          </w:tcPr>
          <w:p>
            <w:pPr>
              <w:pStyle w:val="Compact"/>
              <w:spacing w:before="0" w:after="0"/>
              <w:jc w:val="left"/>
            </w:pPr>
            <w:r>
              <w:rPr>
                <w:sz w:val="16"/>
              </w:rPr>
              <w:t xml:space="preserve">0.00</w:t>
            </w:r>
          </w:p>
        </w:tc>
        <w:tc>
          <w:tcPr>
            <w:tcW w:w="1912" w:type="dxa"/>
            <w:vAlign w:val="top"/>
            <w:tcMar>
              <w:top w:w="70" w:type="dxa"/>
              <w:start w:w="90" w:type="dxa"/>
              <w:bottom w:w="70" w:type="dxa"/>
              <w:end w:w="90" w:type="dxa"/>
            </w:tcMar>
            <w:shd w:fill="F3F7FB" w:val="clear"/>
          </w:tcPr>
          <w:p>
            <w:pPr>
              <w:pStyle w:val="Compact"/>
              <w:spacing w:before="0" w:after="0"/>
              <w:jc w:val="left"/>
            </w:pPr>
            <w:r>
              <w:rPr>
                <w:sz w:val="16"/>
              </w:rPr>
              <w:t xml:space="preserve">0.000000</w:t>
            </w:r>
          </w:p>
        </w:tc>
      </w:tr>
    </w:tbl>
    <w:p>
      <w:pPr>
        <w:pStyle w:val="BodyText"/>
      </w:pPr>
      <w:r>
        <w:t xml:space="preserve">RLS(C) = +0.010784. Uncertainty (Method B, c = 0.85 uniform): sigma_RLS(C) = 0.000836. Since |A_sel| = 1, discrimination is vacuously decisive.</w:t>
      </w:r>
    </w:p>
    <w:bookmarkEnd w:id="484"/>
    <w:bookmarkStart w:id="485" w:name="r.19.8-expected-final-outcome"/>
    <w:p>
      <w:pPr>
        <w:pStyle w:val="Heading2"/>
      </w:pPr>
      <w:r>
        <w:t xml:space="preserve">R.19.8 Expected final outcome</w:t>
      </w:r>
    </w:p>
    <w:p>
      <w:pPr>
        <w:pStyle w:val="FirstParagraph"/>
      </w:pPr>
      <w:r>
        <w:t xml:space="preserve">Selected option: C. Gate trace: A eliminated by NCRC (LBTY, DIGN, PROC, INFO violations). B eliminated by Containment (DeltaUCI_U5 = -0.12 &lt; tau_c = -0.10). C is the sole selectable option.</w:t>
      </w:r>
    </w:p>
    <w:p>
      <w:pPr>
        <w:pStyle w:val="BodyText"/>
      </w:pPr>
      <w:r>
        <w:t xml:space="preserve">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pPr>
        <w:pStyle w:val="BodyText"/>
      </w:pPr>
      <w:r>
        <w:t xml:space="preserve">Conformance result: PASS only if the implementation reproduces: (i) A fails NCRC with the stated violation depths, (ii) B and C pass NCRC, (iii) B and C pass TRC with stated CVaR values, (iv) B fails CSV/Containment with the stated M_U4 value, (v) C passes CSV/Containment, (vi) C is selected, and (vii) RLS(C) matches the stated value within +/-0.000010.</w:t>
      </w:r>
    </w:p>
    <w:p>
      <w:pPr>
        <w:pStyle w:val="BodyText"/>
      </w:pPr>
      <w:r>
        <w:t xml:space="preserve">End Appendix R.</w:t>
      </w:r>
    </w:p>
    <w:bookmarkEnd w:id="485"/>
    <w:bookmarkEnd w:id="486"/>
    <w:bookmarkStart w:id="487" w:name="X85a631b04ff08c28ab637461f29d9ee239b1b57"/>
    <w:p>
      <w:pPr>
        <w:pStyle w:val="Heading1"/>
      </w:pPr>
      <w:r>
        <w:t xml:space="preserve">APPENDIX S: INTEROPERABILITY: RIPPLE.MD WRAPPED DEPLOYMENT ASSURANCE (INFORMATIVE)</w:t>
      </w:r>
    </w:p>
    <w:p>
      <w:pPr>
        <w:pStyle w:val="FirstParagraph"/>
      </w:pPr>
      <w:r>
        <w:t xml:space="preserve">Interoperability (canonical posture; wrapped deployment). RippleLogic in the current release line is the decision-engine specification. In institutional and deployment contexts, RippleLogic is commonly wrapped by the ripple.md Standard v4.4,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BodyText"/>
      </w:pPr>
      <w:r>
        <w:t xml:space="preserve">Interface summary (Informative). ripple.md v4.4 owns the portable alignment contract, Decision Note, waiver, emergency triage, and assurance-case semantics. RippleLogic in the current release line owns the 7×7 welfare matrix, NCRC/TRC/CSV/RLS/UCI-HOI cascade, PCC, and any PLSS weighting used for local welfare ranking. Implementations MUST pin both artifacts explicitly when claiming wrapped deployment conformance.</w:t>
      </w:r>
    </w:p>
    <w:p>
      <w:pPr>
        <w:pStyle w:val="BodyText"/>
      </w:pPr>
      <w:r>
        <w:t xml:space="preserve">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BodyText"/>
      </w:pPr>
      <w:r>
        <w:t xml:space="preserve">Boundary rule (Normative summary). ripple.md governs portable assurance semantics such as Non-Domination, Epistemic Integrity, Decision Notes, and waiver choreography. RippleLogic governs the computable 7×7 welfare matrix, NCRC/TRC/CSV/RLS/UCI-HOI cascade,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BodyText"/>
      </w:pPr>
      <w:r>
        <w:t xml:space="preserve">Minimum interface artifacts (Normative for wrapped deployments). In any deployment claiming both ripple.md v4.4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BodyText"/>
      </w:pPr>
      <w:r>
        <w:t xml:space="preserve">Scope note (Informative). This interoperability section defines the portable interface contract between the two artifacts. It does not reproduce ripple.md internal semantics, which remain governed by the ripple.md Standard v4.4 canonical artifact. For the full assurance-case architecture, Decision Note schema, waiver choreography, and emergency triage semantics, see ripple.md v4.4.</w:t>
      </w:r>
    </w:p>
    <w:p>
      <w:pPr>
        <w:pStyle w:val="BodyText"/>
      </w:pPr>
      <w:r>
        <w:t xml:space="preserve">End Appendix S.</w:t>
      </w:r>
    </w:p>
    <w:bookmarkEnd w:id="487"/>
    <w:bookmarkStart w:id="497" w:name="X2b67e40fd807de1e1cb3afd05e1a72a7e31ada4"/>
    <w:p>
      <w:pPr>
        <w:pStyle w:val="Heading1"/>
      </w:pPr>
      <w:r>
        <w:t xml:space="preserve">Appendix T: Execution Stability Diagnostic (Normative for Tier 2-3 consequence-bearing execution)</w:t>
      </w:r>
    </w:p>
    <w:bookmarkStart w:id="488" w:name="t.1-purpose"/>
    <w:p>
      <w:pPr>
        <w:pStyle w:val="Heading2"/>
      </w:pPr>
      <w:r>
        <w:t xml:space="preserve">T.1 Purpose</w:t>
      </w:r>
    </w:p>
    <w:p>
      <w:pPr>
        <w:pStyle w:val="FirstParagraph"/>
      </w:pPr>
      <w:r>
        <w:t xml:space="preserve">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BodyText"/>
      </w:pPr>
      <w:r>
        <w:t xml:space="preserve">ESD does not replace NCRC, TRC, CSV,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bookmarkEnd w:id="488"/>
    <w:bookmarkStart w:id="489" w:name="t.2-regime-tokens"/>
    <w:p>
      <w:pPr>
        <w:pStyle w:val="Heading2"/>
      </w:pPr>
      <w:r>
        <w:t xml:space="preserve">T.2 Regime tokens</w:t>
      </w:r>
    </w:p>
    <w:p>
      <w:pPr>
        <w:pStyle w:val="FirstParagraph"/>
      </w:pPr>
      <w:r>
        <w:t xml:space="preserve">Implementations SHALL classify each required transition using exactly one of the following tokens: ESC_STABLE; ESC_STABLE_MONITOR; ESC_DESTABILIZING_BOUNDED; ESC_ENDPOINT_AUTHORIZED; ESC_ENDPOINT_REFUSED; ESC_CONTAINMENT_FAIL; ESC_UNDERDETERMINED.</w:t>
      </w:r>
    </w:p>
    <w:p>
      <w:pPr>
        <w:pStyle w:val="BodyText"/>
      </w:pPr>
      <w:r>
        <w:t xml:space="preserve">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bookmarkEnd w:id="489"/>
    <w:bookmarkStart w:id="490" w:name="t.3-placement-in-the-cascade"/>
    <w:p>
      <w:pPr>
        <w:pStyle w:val="Heading2"/>
      </w:pPr>
      <w:r>
        <w:t xml:space="preserve">T.3 Placement in the cascade</w:t>
      </w:r>
    </w:p>
    <w:p>
      <w:pPr>
        <w:pStyle w:val="FirstParagraph"/>
      </w:pPr>
      <w:r>
        <w:t xml:space="preserve">For required runs, ESD SHALL be evaluated after RF/NCRC, TRC, and CSV have been applied and before external consequence-bearing execution. It MAY be evaluated in parallel with Containment for diagnostic purposes, but the final ESD classification MUST NOT override the Containment verdict.</w:t>
      </w:r>
    </w:p>
    <w:p>
      <w:pPr>
        <w:pStyle w:val="BodyText"/>
      </w:pPr>
      <w:r>
        <w:t xml:space="preserve">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bookmarkEnd w:id="490"/>
    <w:bookmarkStart w:id="491" w:name="t.4-required-inputs"/>
    <w:p>
      <w:pPr>
        <w:pStyle w:val="Heading2"/>
      </w:pPr>
      <w:r>
        <w:t xml:space="preserve">T.4 Required inputs</w:t>
      </w:r>
    </w:p>
    <w:p>
      <w:pPr>
        <w:pStyle w:val="FirstParagraph"/>
      </w:pPr>
      <w:r>
        <w:t xml:space="preserve">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bookmarkEnd w:id="491"/>
    <w:bookmarkStart w:id="492" w:name="X20add70edee7460349438520a9d8f0226145f3c"/>
    <w:p>
      <w:pPr>
        <w:pStyle w:val="Heading2"/>
      </w:pPr>
      <w:r>
        <w:t xml:space="preserve">T.4.1 Destabilization indicator protocol (Normative)</w:t>
      </w:r>
    </w:p>
    <w:p>
      <w:pPr>
        <w:pStyle w:val="FirstParagraph"/>
      </w:pPr>
      <w:r>
        <w:t xml:space="preserve">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bookmarkEnd w:id="492"/>
    <w:bookmarkStart w:id="493" w:name="t.5-refusal-triggers"/>
    <w:p>
      <w:pPr>
        <w:pStyle w:val="Heading2"/>
      </w:pPr>
      <w:r>
        <w:t xml:space="preserve">T.5 Refusal triggers</w:t>
      </w:r>
    </w:p>
    <w:p>
      <w:pPr>
        <w:pStyle w:val="FirstParagraph"/>
      </w:pPr>
      <w:r>
        <w:t xml:space="preserve">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bookmarkEnd w:id="493"/>
    <w:bookmarkStart w:id="494" w:name="t.6-validation-rule"/>
    <w:p>
      <w:pPr>
        <w:pStyle w:val="Heading2"/>
      </w:pPr>
      <w:r>
        <w:t xml:space="preserve">T.6 Validation rule</w:t>
      </w:r>
    </w:p>
    <w:p>
      <w:pPr>
        <w:pStyle w:val="FirstParagraph"/>
      </w:pPr>
      <w:r>
        <w:t xml:space="preserve">For Tier 2 and Tier 3 consequence-bearing execution, absence of PCC.ExecutionStabilityRecord SHALL mark the PCC INVALID for any claim that the transition was execution-stability-classified. It does not by itself change historical NCRC, TRC, CSV, or RLS arithmetic, but it prevents a stronger execution-bound conformance claim.</w:t>
      </w:r>
    </w:p>
    <w:bookmarkEnd w:id="494"/>
    <w:bookmarkStart w:id="495" w:name="t.7-non-adoption-boundary"/>
    <w:p>
      <w:pPr>
        <w:pStyle w:val="Heading2"/>
      </w:pPr>
      <w:r>
        <w:t xml:space="preserve">T.7 Non-adoption boundary</w:t>
      </w:r>
    </w:p>
    <w:p>
      <w:pPr>
        <w:pStyle w:val="FirstParagraph"/>
      </w:pPr>
      <w:r>
        <w:t xml:space="preserve">This appendix integrates a general pre-execution stability diagnostic into RippleLogic’s own architecture. Stability remains an execution diagnostic, not ethical validity, permission, or source authority.</w:t>
      </w:r>
    </w:p>
    <w:bookmarkEnd w:id="495"/>
    <w:bookmarkStart w:id="496" w:name="t.8-release-delta-v10.0-informative"/>
    <w:p>
      <w:pPr>
        <w:pStyle w:val="Heading2"/>
      </w:pPr>
      <w:r>
        <w:t xml:space="preserve">T.8 Release Delta v10.0 (Informative)</w:t>
      </w:r>
    </w:p>
    <w:p>
      <w:pPr>
        <w:pStyle w:val="FirstParagraph"/>
      </w:pPr>
      <w:r>
        <w:t xml:space="preserve">v10.0 (2026-05-13). Release-integrity, admissibility-permission, and execution-stability indicator hardening GitHub release.</w:t>
      </w:r>
    </w:p>
    <w:p>
      <w:pPr>
        <w:pStyle w:val="BodyText"/>
      </w:pPr>
      <w:r>
        <w:t xml:space="preserve">Added Appendix T, Execution Stability Diagnostic, with regime tokens and PCC.ExecutionStabilityRecord fields.</w:t>
      </w:r>
    </w:p>
    <w:p>
      <w:pPr>
        <w:pStyle w:val="BodyText"/>
      </w:pPr>
      <w:r>
        <w:t xml:space="preserve">Preserved Reality Grounding → Rights Floor → TRC → CSV → RLS and kept ESD subordinate to the existing gates.</w:t>
      </w:r>
    </w:p>
    <w:p>
      <w:pPr>
        <w:pStyle w:val="BodyText"/>
      </w:pPr>
      <w:r>
        <w:t xml:space="preserve">Clarified boundary: RippleLogic’s normative architecture remains governed by the canonical cascade, release manifest, and declared companion matrix.</w:t>
      </w:r>
    </w:p>
    <w:p>
      <w:pPr>
        <w:pStyle w:val="BodyText"/>
      </w:pPr>
      <w:r>
        <w:t xml:space="preserve">Synchronized companion references to SGP v6.4, ripple.md v4.4, Agent System v11.4, Primer v3.4, and Aligners Sheet v4.4.</w:t>
      </w:r>
    </w:p>
    <w:bookmarkEnd w:id="496"/>
    <w:bookmarkEnd w:id="497"/>
    <w:bookmarkStart w:id="505" w:name="Xa593fc3f7a904606cc31b2e44e6dd0e62212af0"/>
    <w:p>
      <w:pPr>
        <w:pStyle w:val="Heading1"/>
      </w:pPr>
      <w:r>
        <w:t xml:space="preserve">APPENDIX U: TRANSITION ADMISSIBILITY AND EVIDENCE SUBSTRATE (NORMATIVE)</w:t>
      </w:r>
    </w:p>
    <w:bookmarkStart w:id="498" w:name="Xf3a47f2aa14d188d2c285b47f7a82e572666673"/>
    <w:p>
      <w:pPr>
        <w:pStyle w:val="Heading2"/>
      </w:pPr>
      <w:r>
        <w:t xml:space="preserve">U.1 Purpose. This appendix specifies the carried-forward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bookmarkEnd w:id="498"/>
    <w:bookmarkStart w:id="499" w:name="X027bf96a6b34cc809923fb68a28bf80b1c71e03"/>
    <w:p>
      <w:pPr>
        <w:pStyle w:val="Heading2"/>
      </w:pPr>
      <w:r>
        <w:t xml:space="preserve">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bookmarkEnd w:id="499"/>
    <w:bookmarkStart w:id="500" w:name="Xe8d6454e7040288a245105cb532beb463f3bc4b"/>
    <w:p>
      <w:pPr>
        <w:pStyle w:val="Heading2"/>
      </w:pPr>
      <w:r>
        <w:t xml:space="preserve">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bookmarkEnd w:id="500"/>
    <w:bookmarkStart w:id="501" w:name="X443ee168679cc1be0ebae1e290a6df2a6ddd605"/>
    <w:p>
      <w:pPr>
        <w:pStyle w:val="Heading2"/>
      </w:pPr>
      <w:r>
        <w:t xml:space="preserve">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bookmarkEnd w:id="501"/>
    <w:bookmarkStart w:id="502" w:name="X7e680dbf0c91681c7012df2ff3b7ed3b34c1b23"/>
    <w:p>
      <w:pPr>
        <w:pStyle w:val="Heading2"/>
      </w:pPr>
      <w:r>
        <w:t xml:space="preserve">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bookmarkEnd w:id="502"/>
    <w:bookmarkStart w:id="503" w:name="Xa316a0345c527206c62f665c42665b08b70d030"/>
    <w:p>
      <w:pPr>
        <w:pStyle w:val="Heading2"/>
      </w:pPr>
      <w:r>
        <w:t xml:space="preserve">U.6 No external ontology import. This appendix is an internal RippleLogic methodology clarification. It does not import, depend on, cite, or credit any external ontology, proprietary framework, or third-party system. The current terminology is: primitive-to-observable traceability, projection pre-registration, transition admissibility, evidence-substrate humility, execution stability diagnostic, and refusal under underdetermination.</w:t>
      </w:r>
    </w:p>
    <w:bookmarkEnd w:id="503"/>
    <w:bookmarkStart w:id="504" w:name="X04d6b18436b6d3034178b3478a0995c2d7a0e72"/>
    <w:p>
      <w:pPr>
        <w:pStyle w:val="Heading2"/>
      </w:pPr>
      <w:r>
        <w:t xml:space="preserve">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the current release line remains architecture/methodology complete for its declared scope, not ProofPack-ready or Tier 4-ready.</w:t>
      </w:r>
    </w:p>
    <w:bookmarkEnd w:id="504"/>
    <w:bookmarkEnd w:id="505"/>
    <w:bookmarkStart w:id="519" w:name="X18acc0e56d942da8383e87423ef06eda1623f72"/>
    <w:p>
      <w:pPr>
        <w:pStyle w:val="Heading1"/>
      </w:pPr>
      <w:r>
        <w:t xml:space="preserve">APPENDIX V: Measurement Maturity and Deployment Context Hardening</w:t>
      </w:r>
    </w:p>
    <w:p>
      <w:pPr>
        <w:pStyle w:val="FirstParagraph"/>
      </w:pPr>
      <w:r>
        <w:t xml:space="preserve">Normative for Tier 2-3 claim-bearing runs; recommended for high-stakes Tier 1 runs.</w:t>
      </w:r>
    </w:p>
    <w:bookmarkStart w:id="506" w:name="v.1-purpose"/>
    <w:p>
      <w:pPr>
        <w:pStyle w:val="Heading2"/>
      </w:pPr>
      <w:r>
        <w:t xml:space="preserve">V.1 Purpose</w:t>
      </w:r>
    </w:p>
    <w:p>
      <w:pPr>
        <w:pStyle w:val="FirstParagraph"/>
      </w:pPr>
      <w:r>
        <w:t xml:space="preserve">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bookmarkEnd w:id="506"/>
    <w:bookmarkStart w:id="507" w:name="X0015130fefb4e7f5781b8a479b4ac912c1ce1e1"/>
    <w:p>
      <w:pPr>
        <w:pStyle w:val="Heading2"/>
      </w:pPr>
      <w:r>
        <w:t xml:space="preserve">V.2 UCI Measurement Readiness Classification</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Token</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Claim effect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UCI-M0_UNAVAILABLE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 independent structural indicators are available.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UCI cannot support Containment or tie-break claims without escalation or narrower claim scope.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UCI-M1_PROVISIONAL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Indicators are declared but not validated, normalized, or reliability-tested.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Tier run may proceed only with disclosure and caution; no cross-domain UCI validation claim.</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UCI-M2_DOMAIN_SUPPORTED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Instruments, normalization rules, and reviewer procedures are declared for the domain.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Stronger Tier 3 use is possible with disclosed provisionality.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UCI-M3_VALIDATED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 domain annex exists with reliability, construct-validity, normalization, and structural-independence evidence.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Higher-confidence Containment and tie-break use is claimable within that domain.</w:t>
            </w:r>
          </w:p>
        </w:tc>
      </w:tr>
    </w:tbl>
    <w:p>
      <w:pPr>
        <w:pStyle w:val="BodyText"/>
      </w:pPr>
      <w:r>
        <w:t xml:space="preserve">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bookmarkEnd w:id="507"/>
    <w:bookmarkStart w:id="508" w:name="v.3-kernel-use-posture"/>
    <w:p>
      <w:pPr>
        <w:pStyle w:val="Heading2"/>
      </w:pPr>
      <w:r>
        <w:t xml:space="preserve">V.3 Kernel Use Posture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Token</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K0_NONE</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 numerical propagation kernel is used; direct multi-scope assessment and conservative disclosure govern.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K1_STARTER</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Starter kernel used with shrinkage, sensitivity checks, and low confidence.</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K2_DOMAIN_CALIBRATED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Domain-specific kernel has documented sources and partial validation.</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K3_BACKTESTED</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Kernel has backtest evidence, prediction-error documentation, and known failure boundaries.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K4_REGISTERED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Kernel is published, hash-pinned, independently reviewed, and tied to replayable test vectors.</w:t>
            </w:r>
          </w:p>
        </w:tc>
      </w:tr>
    </w:tbl>
    <w:p>
      <w:pPr>
        <w:pStyle w:val="BodyText"/>
      </w:pPr>
      <w:r>
        <w:t xml:space="preserve">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bookmarkEnd w:id="508"/>
    <w:bookmarkStart w:id="509" w:name="v.4-hdw-capture-audit-record"/>
    <w:p>
      <w:pPr>
        <w:pStyle w:val="Heading2"/>
      </w:pPr>
      <w:r>
        <w:t xml:space="preserve">V.4 HDW Capture Audit Record</w:t>
      </w:r>
    </w:p>
    <w:p>
      <w:pPr>
        <w:pStyle w:val="FirstParagraph"/>
      </w:pPr>
      <w:r>
        <w:t xml:space="preserve">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bookmarkEnd w:id="509"/>
    <w:bookmarkStart w:id="510" w:name="v.5-plss-escalation-trigger-register"/>
    <w:p>
      <w:pPr>
        <w:pStyle w:val="Heading2"/>
      </w:pPr>
      <w:r>
        <w:t xml:space="preserve">V.5 PLSS Escalation Trigger Register</w:t>
      </w:r>
    </w:p>
    <w:p>
      <w:pPr>
        <w:pStyle w:val="FirstParagraph"/>
      </w:pPr>
      <w:r>
        <w:t xml:space="preserve">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bookmarkEnd w:id="510"/>
    <w:bookmarkStart w:id="511" w:name="v.6-deployment-context-profile"/>
    <w:p>
      <w:pPr>
        <w:pStyle w:val="Heading2"/>
      </w:pPr>
      <w:r>
        <w:t xml:space="preserve">V.6 Deployment Context Profile</w:t>
      </w:r>
    </w:p>
    <w:p>
      <w:pPr>
        <w:pStyle w:val="FirstParagraph"/>
      </w:pPr>
      <w:r>
        <w:t xml:space="preserve">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bookmarkEnd w:id="511"/>
    <w:bookmarkStart w:id="512" w:name="v.7-non-overclaiming-rule"/>
    <w:p>
      <w:pPr>
        <w:pStyle w:val="Heading2"/>
      </w:pPr>
      <w:r>
        <w:t xml:space="preserve">V.7 Non-Overclaiming Rule</w:t>
      </w:r>
    </w:p>
    <w:p>
      <w:pPr>
        <w:pStyle w:val="FirstParagraph"/>
      </w:pPr>
      <w:r>
        <w:t xml:space="preserve">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bookmarkEnd w:id="512"/>
    <w:bookmarkStart w:id="513" w:name="X1aab1f26eb2188b65a142053b15af014adc2fef"/>
    <w:p>
      <w:pPr>
        <w:pStyle w:val="Heading2"/>
      </w:pPr>
      <w:r>
        <w:t xml:space="preserve">V.8 Machine-Verifiability and Calibration-Prep Addendum</w:t>
      </w:r>
    </w:p>
    <w:p>
      <w:pPr>
        <w:pStyle w:val="FirstParagraph"/>
      </w:pPr>
      <w:r>
        <w:t xml:space="preserve">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scalar to weaken human protections, alter admissibility gates, or grant governance authority by itself. The current v11.4 line preserves that boundary while pinning SGP v6.4.</w:t>
      </w:r>
    </w:p>
    <w:p>
      <w:pPr>
        <w:pStyle w:val="BodyText"/>
      </w:pPr>
      <w:r>
        <w:t xml:space="preserve">RippleLogic Canon v11.4 is the governing normative artifact for the Core Release 2026.09 package. It is architecture-complete for the declared Tier 1-3 scope. This release is not an empirical-validation claim, not ProofPack-ready, not machine-verifiable-ecosystem-complete, not legally certified, and not deployment-certified.</w:t>
      </w:r>
    </w:p>
    <w:bookmarkEnd w:id="513"/>
    <w:bookmarkStart w:id="514" w:name="Xb86ae675316ff8ff3aab3cf6baf7c6f233b541b"/>
    <w:p>
      <w:pPr>
        <w:pStyle w:val="Heading2"/>
      </w:pPr>
      <w:r>
        <w:t xml:space="preserve">V.9 Schema Ownership and Machine-Readable Source of Truth</w:t>
      </w:r>
    </w:p>
    <w:p>
      <w:pPr>
        <w:pStyle w:val="FirstParagraph"/>
      </w:pPr>
      <w:r>
        <w:t xml:space="preserve">For v11.0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BodyText"/>
      </w:pPr>
      <w:r>
        <w:t xml:space="preserve">On conflict, the owner artifact controls. Consumer artifacts SHALL cite, import, or reference the owner’s machine-readable registry or schema instead of duplicating field definitions.</w:t>
      </w:r>
    </w:p>
    <w:p>
      <w:pPr>
        <w:pStyle w:val="BodyText"/>
      </w:pPr>
      <w:r>
        <w:t xml:space="preserve">The schema ownership map is the controlling coordination layer for v11.4 machine-verifiable work. It does not alter the Cascade, NCRC, TRC, CSV, RLS, UCI/HOI, SGP binding interface, or lawful authority boundaries.</w:t>
      </w:r>
    </w:p>
    <w:bookmarkEnd w:id="514"/>
    <w:bookmarkStart w:id="515" w:name="v.10-uci-measurement-annex-linkage"/>
    <w:p>
      <w:pPr>
        <w:pStyle w:val="Heading2"/>
      </w:pPr>
      <w:r>
        <w:t xml:space="preserve">V.10 UCI Measurement Annex Linkage</w:t>
      </w:r>
    </w:p>
    <w:p>
      <w:pPr>
        <w:pStyle w:val="FirstParagraph"/>
      </w:pPr>
      <w:r>
        <w:t xml:space="preserve">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BodyText"/>
      </w:pPr>
      <w:r>
        <w:t xml:space="preserve">For this v11.4 release line, UCI Measurement Annex v0.1 is provisional and initially scoped to U3 Community, U4 Organization, and U5 Polity contexts. It does not establish cross-domain validated UCI status.</w:t>
      </w:r>
    </w:p>
    <w:bookmarkEnd w:id="515"/>
    <w:bookmarkStart w:id="516" w:name="Xdfe77263d9b5eee538c40ceb352769df032e57b"/>
    <w:p>
      <w:pPr>
        <w:pStyle w:val="Heading2"/>
      </w:pPr>
      <w:r>
        <w:t xml:space="preserve">V.11 PLSS Calibration and Adjudication Linkage</w:t>
      </w:r>
    </w:p>
    <w:p>
      <w:pPr>
        <w:pStyle w:val="FirstParagraph"/>
      </w:pPr>
      <w:r>
        <w:t xml:space="preserve">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BodyText"/>
      </w:pPr>
      <w:r>
        <w:t xml:space="preserve">The calibration pack does not create empirical validation by itself. It supports reviewer convergence, interpretive consistency, and anti-capture discipline.</w:t>
      </w:r>
    </w:p>
    <w:bookmarkEnd w:id="516"/>
    <w:bookmarkStart w:id="517" w:name="v.12-machine-readable-test-vector-rule"/>
    <w:p>
      <w:pPr>
        <w:pStyle w:val="Heading2"/>
      </w:pPr>
      <w:r>
        <w:t xml:space="preserve">V.12 Machine-Readable Test Vector Rule</w:t>
      </w:r>
    </w:p>
    <w:p>
      <w:pPr>
        <w:pStyle w:val="FirstParagraph"/>
      </w:pPr>
      <w:r>
        <w:t xml:space="preserve">For any release that claims machine-verifiable, ProofPack-prep, reference-calculator, or validator-supported status, Appendix R SHALL be accompanied by a machine-readable companion file. The v11.4 core foundation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BodyText"/>
      </w:pPr>
      <w:r>
        <w:t xml:space="preserve">A human-readable Appendix R remains normative for explanatory purposes in the current v11.4 core foundation release. Where a machine-readable companion is explicitly manifest-listed for a future release or tooling bundle, that companion becomes the required reference surface for validators and reference calculators within the claim scope declared by that release.</w:t>
      </w:r>
    </w:p>
    <w:bookmarkEnd w:id="517"/>
    <w:bookmarkStart w:id="518" w:name="Xa8d64b5e0a538943726a78e108eb9e09601f73d"/>
    <w:p>
      <w:pPr>
        <w:pStyle w:val="Heading2"/>
      </w:pPr>
      <w:r>
        <w:t xml:space="preserve">V.13 False Precision Guardrail (Normative for Tier 2-3 claim-bearing runs)</w:t>
      </w:r>
    </w:p>
    <w:p>
      <w:pPr>
        <w:pStyle w:val="FirstParagraph"/>
      </w:pPr>
      <w:r>
        <w:t xml:space="preserve">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BodyText"/>
      </w:pPr>
      <w:r>
        <w:t xml:space="preserve">Where a cell value is weakly evidenced, likely to swing an NCRC/TRC/CSV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BodyText"/>
      </w:pPr>
      <w:r>
        <w:t xml:space="preserve">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bookmarkEnd w:id="518"/>
    <w:bookmarkEnd w:id="519"/>
    <w:bookmarkStart w:id="530" w:name="Xbdd33f303cee7dd1386fcdf19b9eb35ba8dae01"/>
    <w:p>
      <w:pPr>
        <w:pStyle w:val="Heading1"/>
      </w:pPr>
      <w:r>
        <w:t xml:space="preserve">APPENDIX W: SCHEMA OWNERSHIP, REGISTRIES, AND MACHINE-VERIFIABLE SURFACES</w:t>
      </w:r>
    </w:p>
    <w:bookmarkStart w:id="520" w:name="w.1-purpose"/>
    <w:p>
      <w:pPr>
        <w:pStyle w:val="Heading2"/>
      </w:pPr>
      <w:r>
        <w:t xml:space="preserve">W.1 Purpose</w:t>
      </w:r>
    </w:p>
    <w:p>
      <w:pPr>
        <w:pStyle w:val="FirstParagraph"/>
      </w:pPr>
      <w:r>
        <w:t xml:space="preserve">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bookmarkEnd w:id="520"/>
    <w:bookmarkStart w:id="521" w:name="w.2-ownership-rule"/>
    <w:p>
      <w:pPr>
        <w:pStyle w:val="Heading2"/>
      </w:pPr>
      <w:r>
        <w:t xml:space="preserve">W.2 Ownership Rule</w:t>
      </w:r>
    </w:p>
    <w:p>
      <w:pPr>
        <w:pStyle w:val="FirstParagraph"/>
      </w:pPr>
      <w:r>
        <w:t xml:space="preserve">Each schema or registry has exactly one owner. The owner defines the object. All other artifacts consume the object by id, version, and manifest hash.</w:t>
      </w:r>
    </w:p>
    <w:bookmarkEnd w:id="521"/>
    <w:bookmarkStart w:id="522" w:name="w.3-canon-owned-objects"/>
    <w:p>
      <w:pPr>
        <w:pStyle w:val="Heading2"/>
      </w:pPr>
      <w:r>
        <w:t xml:space="preserve">W.3 Canon-Owned Objects</w:t>
      </w:r>
    </w:p>
    <w:p>
      <w:pPr>
        <w:pStyle w:val="FirstParagraph"/>
      </w:pPr>
      <w:r>
        <w:t xml:space="preserve">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bookmarkEnd w:id="522"/>
    <w:bookmarkStart w:id="523" w:name="w.4-sgp-owned-objects"/>
    <w:p>
      <w:pPr>
        <w:pStyle w:val="Heading2"/>
      </w:pPr>
      <w:r>
        <w:t xml:space="preserve">W.4 SGP-Owned Objects</w:t>
      </w:r>
    </w:p>
    <w:p>
      <w:pPr>
        <w:pStyle w:val="FirstParagraph"/>
      </w:pPr>
      <w:r>
        <w:t xml:space="preserve">SGP owns the SGP evaluation record, UBSE scoring fields, scalar canon fields, plateau status fields, evidence-tier classifications, biological evaluation maturity tokens, and moral-status evidence trace.</w:t>
      </w:r>
    </w:p>
    <w:bookmarkEnd w:id="523"/>
    <w:bookmarkStart w:id="524" w:name="w.5-ripple.md-owned-objects"/>
    <w:p>
      <w:pPr>
        <w:pStyle w:val="Heading2"/>
      </w:pPr>
      <w:r>
        <w:t xml:space="preserve">W.5 ripple.md-Owned Objects</w:t>
      </w:r>
    </w:p>
    <w:p>
      <w:pPr>
        <w:pStyle w:val="FirstParagraph"/>
      </w:pPr>
      <w:r>
        <w:t xml:space="preserve">ripple.md owns Decision Note schema, Assurance Preconditions Record, waiver records, triage records, update-legitimacy records, wrapper-level refusal records, and wrapper assurance records.</w:t>
      </w:r>
    </w:p>
    <w:bookmarkEnd w:id="524"/>
    <w:bookmarkStart w:id="525" w:name="w.6-agent-system-owned-objects"/>
    <w:p>
      <w:pPr>
        <w:pStyle w:val="Heading2"/>
      </w:pPr>
      <w:r>
        <w:t xml:space="preserve">W.6 Agent-System-Owned Objects</w:t>
      </w:r>
    </w:p>
    <w:p>
      <w:pPr>
        <w:pStyle w:val="FirstParagraph"/>
      </w:pPr>
      <w:r>
        <w:t xml:space="preserve">The Agent System owns operator envelope, runtime audit log, mode-control records, rollback records, operator authentication records, and runtime conformance records.</w:t>
      </w:r>
    </w:p>
    <w:bookmarkEnd w:id="525"/>
    <w:bookmarkStart w:id="526" w:name="w.7-split-objects"/>
    <w:p>
      <w:pPr>
        <w:pStyle w:val="Heading2"/>
      </w:pPr>
      <w:r>
        <w:t xml:space="preserve">W.7 Split Objects</w:t>
      </w:r>
    </w:p>
    <w:p>
      <w:pPr>
        <w:pStyle w:val="FirstParagraph"/>
      </w:pPr>
      <w:r>
        <w:t xml:space="preserve">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bookmarkEnd w:id="526"/>
    <w:bookmarkStart w:id="527" w:name="w.8-versioning-rule"/>
    <w:p>
      <w:pPr>
        <w:pStyle w:val="Heading2"/>
      </w:pPr>
      <w:r>
        <w:t xml:space="preserve">W.8 Versioning Rule</w:t>
      </w:r>
    </w:p>
    <w:p>
      <w:pPr>
        <w:pStyle w:val="FirstParagraph"/>
      </w:pPr>
      <w:r>
        <w:t xml:space="preserve">Machine-readable registries and schemas SHOULD use stable filenames with an internal version field. The release manifest SHALL hash-pin each registry and schema. The manifest hash, not filename churn, controls byte-level release identity.</w:t>
      </w:r>
    </w:p>
    <w:bookmarkEnd w:id="527"/>
    <w:bookmarkStart w:id="528" w:name="w.9-generator-rule"/>
    <w:p>
      <w:pPr>
        <w:pStyle w:val="Heading2"/>
      </w:pPr>
      <w:r>
        <w:t xml:space="preserve">W.9 Generator Rule</w:t>
      </w:r>
    </w:p>
    <w:p>
      <w:pPr>
        <w:pStyle w:val="FirstParagraph"/>
      </w:pPr>
      <w:r>
        <w:t xml:space="preserve">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bookmarkEnd w:id="528"/>
    <w:bookmarkStart w:id="529" w:name="w.10-proofpack-boundary"/>
    <w:p>
      <w:pPr>
        <w:pStyle w:val="Heading2"/>
      </w:pPr>
      <w:r>
        <w:t xml:space="preserve">W.10 ProofPack Boundary</w:t>
      </w:r>
    </w:p>
    <w:p>
      <w:pPr>
        <w:pStyle w:val="FirstParagraph"/>
      </w:pPr>
      <w:r>
        <w:t xml:space="preserve">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bookmarkEnd w:id="529"/>
    <w:bookmarkEnd w:id="530"/>
    <w:bookmarkStart w:id="537" w:name="X21bd4cf0f09b1d34c556fc2385cd9a19304c165"/>
    <w:p>
      <w:pPr>
        <w:pStyle w:val="Heading1"/>
      </w:pPr>
      <w:r>
        <w:t xml:space="preserve">APPENDIX X: REFERENCE CALCULATOR, MACHINE VECTORS, AND PROOFPACK-PREP ROADMAP</w:t>
      </w:r>
    </w:p>
    <w:bookmarkStart w:id="531" w:name="x.1-purpose"/>
    <w:p>
      <w:pPr>
        <w:pStyle w:val="Heading2"/>
      </w:pPr>
      <w:r>
        <w:t xml:space="preserve">X.1 Purpose</w:t>
      </w:r>
    </w:p>
    <w:p>
      <w:pPr>
        <w:pStyle w:val="FirstParagraph"/>
      </w:pPr>
      <w:r>
        <w:t xml:space="preserve">This appendix records the v11.4 ProofPack-prep path for machine-readable Appendix R test vectors, starter reference-calculator behavior, golden outputs, validator linkage, and independent replay readiness. It does not create ProofPack readiness by itself.</w:t>
      </w:r>
    </w:p>
    <w:bookmarkEnd w:id="531"/>
    <w:bookmarkStart w:id="532" w:name="x.2-machine-readable-appendix-r-vectors"/>
    <w:p>
      <w:pPr>
        <w:pStyle w:val="Heading2"/>
      </w:pPr>
      <w:r>
        <w:t xml:space="preserve">X.2 Machine-readable Appendix R vectors</w:t>
      </w:r>
    </w:p>
    <w:p>
      <w:pPr>
        <w:pStyle w:val="FirstParagraph"/>
      </w:pPr>
      <w:r>
        <w:t xml:space="preserve">Future ProofPack-prep and tooling companion releases SHOULD include machine-readable Appendix R vectors. The current v11.4 core foundation release does not bundle machine-readable Appendix R vector files unless those files are explicitly listed in the release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bookmarkEnd w:id="532"/>
    <w:bookmarkStart w:id="533" w:name="x.3-reference-calculator-starter"/>
    <w:p>
      <w:pPr>
        <w:pStyle w:val="Heading2"/>
      </w:pPr>
      <w:r>
        <w:t xml:space="preserve">X.3 Reference Calculator Starter</w:t>
      </w:r>
    </w:p>
    <w:p>
      <w:pPr>
        <w:pStyle w:val="FirstParagraph"/>
      </w:pPr>
      <w:r>
        <w:t xml:space="preserve">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bookmarkEnd w:id="533"/>
    <w:bookmarkStart w:id="534" w:name="X305ce642baecc4ae9186f45a80dfa1debc35f5c"/>
    <w:p>
      <w:pPr>
        <w:pStyle w:val="Heading2"/>
      </w:pPr>
      <w:r>
        <w:t xml:space="preserve">X.3A Reference Calculator Priority (ProofPack-prep guidance)</w:t>
      </w:r>
    </w:p>
    <w:p>
      <w:pPr>
        <w:pStyle w:val="FirstParagraph"/>
      </w:pPr>
      <w:r>
        <w:t xml:space="preserve">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BodyText"/>
      </w:pPr>
      <w:r>
        <w:t xml:space="preserve">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bookmarkEnd w:id="534"/>
    <w:bookmarkStart w:id="535" w:name="x.4-ci-and-generated-consistency-checks"/>
    <w:p>
      <w:pPr>
        <w:pStyle w:val="Heading2"/>
      </w:pPr>
      <w:r>
        <w:t xml:space="preserve">X.4 CI and generated-consistency checks</w:t>
      </w:r>
    </w:p>
    <w:p>
      <w:pPr>
        <w:pStyle w:val="FirstParagraph"/>
      </w:pPr>
      <w:r>
        <w:t xml:space="preserve">CI checks SHOULD verify manifest hashes, registry/schema ownership, stale pins, generated-file drift, workbook public surfaces, and external-reference sanitation. These checks improve release hygiene but do not establish empirical validation or Tier 4 readiness.</w:t>
      </w:r>
    </w:p>
    <w:bookmarkEnd w:id="535"/>
    <w:bookmarkStart w:id="536" w:name="x.5-proofpack-boundary"/>
    <w:p>
      <w:pPr>
        <w:pStyle w:val="Heading2"/>
      </w:pPr>
      <w:r>
        <w:t xml:space="preserve">X.5 ProofPack boundary</w:t>
      </w:r>
    </w:p>
    <w:p>
      <w:pPr>
        <w:pStyle w:val="FirstParagraph"/>
      </w:pPr>
      <w:r>
        <w:t xml:space="preserve">ProofPack readiness requires schemas, validator or CLI, reference calculator, canonical test vectors, replayable PCC bundle, independent replay instructions, hash-pinned replay materials, and public third-party replay path. v11.4 is ProofPack-prep, not ProofPack-ready.</w:t>
      </w:r>
    </w:p>
    <w:bookmarkEnd w:id="536"/>
    <w:bookmarkEnd w:id="537"/>
    <w:bookmarkStart w:id="544" w:name="Xcee47fe3728cc5fc258ba812ba6bf9593ab5247"/>
    <w:p>
      <w:pPr>
        <w:pStyle w:val="Heading1"/>
      </w:pPr>
      <w:r>
        <w:t xml:space="preserve">Appendix Y: Precision Patch - Legitimacy, Evidence Status, Validation, and Adoption Profiles</w:t>
      </w:r>
    </w:p>
    <w:bookmarkStart w:id="538" w:name="y.1-release-delta-v10.3.1-v10.4"/>
    <w:p>
      <w:pPr>
        <w:pStyle w:val="Heading2"/>
      </w:pPr>
      <w:r>
        <w:t xml:space="preserve">Y.1 Release Delta (v10.3.1 → v10.4)</w:t>
      </w:r>
    </w:p>
    <w:p>
      <w:pPr>
        <w:pStyle w:val="FirstParagraph"/>
      </w:pPr>
      <w:r>
        <w:t xml:space="preserve">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bookmarkEnd w:id="538"/>
    <w:bookmarkStart w:id="539" w:name="Xca70fd2ddebcbdaf8084aadbe09efee2be12996"/>
    <w:p>
      <w:pPr>
        <w:pStyle w:val="Heading2"/>
      </w:pPr>
      <w:r>
        <w:t xml:space="preserve">Y.2 Public Legitimacy Boundary (Normative Clarification)</w:t>
      </w:r>
    </w:p>
    <w:p>
      <w:pPr>
        <w:pStyle w:val="FirstParagraph"/>
      </w:pPr>
      <w:r>
        <w:t xml:space="preserve">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bookmarkEnd w:id="539"/>
    <w:bookmarkStart w:id="540" w:name="Xd4914ae3f21cd13da18c3765288a910f421356c"/>
    <w:p>
      <w:pPr>
        <w:pStyle w:val="Heading2"/>
      </w:pPr>
      <w:r>
        <w:t xml:space="preserve">Y.3 Evidence Status Tokens (Normative for Tier 2-3 claim-bearing records)</w:t>
      </w:r>
    </w:p>
    <w:p>
      <w:pPr>
        <w:pStyle w:val="FirstParagraph"/>
      </w:pPr>
      <w:r>
        <w:t xml:space="preserve">For Tier 2-3 claim-bearing records, decision-critical numerical or categorical inputs SHOULD carry an evidence-status token. Where the token is unavailable, the field SHOULD default to UNVALIDATED or NOT_OBSERVED rather than silently appearing as measured fact.</w:t>
      </w:r>
    </w:p>
    <w:bookmarkEnd w:id="540"/>
    <w:bookmarkStart w:id="541" w:name="X1b4ce5dad6a9581ca21e8b54b0ece594647d784"/>
    <w:p>
      <w:pPr>
        <w:pStyle w:val="Heading2"/>
      </w:pPr>
      <w:r>
        <w:t xml:space="preserve">Y.4 Required Evidence-Status Token Registry</w:t>
      </w:r>
    </w:p>
    <w:p>
      <w:pPr>
        <w:pStyle w:val="FirstParagraph"/>
      </w:pPr>
      <w:r>
        <w:t xml:space="preserve">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bookmarkEnd w:id="541"/>
    <w:bookmarkStart w:id="542" w:name="Xfdd49880ce9720bbe8f0123c685e5b9aa9544cf"/>
    <w:p>
      <w:pPr>
        <w:pStyle w:val="Heading2"/>
      </w:pPr>
      <w:r>
        <w:t xml:space="preserve">Y.5 Compact Institutional Profiles (Informative Roadmap)</w:t>
      </w:r>
    </w:p>
    <w:p>
      <w:pPr>
        <w:pStyle w:val="FirstParagraph"/>
      </w:pPr>
      <w:r>
        <w:t xml:space="preserve">Implementations MAY publish compact profiles for specific institutional contexts, provided they do not waive NCRC, TRC, CSV,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bookmarkEnd w:id="542"/>
    <w:bookmarkStart w:id="543" w:name="Xc2836437c1fddf7b2ba513bf431f69275f66603"/>
    <w:p>
      <w:pPr>
        <w:pStyle w:val="Heading2"/>
      </w:pPr>
      <w:r>
        <w:t xml:space="preserve">Y.6 Validation Roadmap Commitments (Informative, non-validation claim)</w:t>
      </w:r>
    </w:p>
    <w:p>
      <w:pPr>
        <w:pStyle w:val="FirstParagraph"/>
      </w:pPr>
      <w:r>
        <w:t xml:space="preserve">The next validation layer SHOULD prioritize: reference-calculator fidelity; JSON/YAML schemas for PCC, Decision Note, TRC, CSV, RLS, and SGP interface objects; canonical test vectors; replayable PCC examples; inter-rater reliability for NCRC/TRC/CSV/RLS/SGP;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bookmarkEnd w:id="543"/>
    <w:bookmarkEnd w:id="544"/>
    <w:bookmarkStart w:id="550" w:name="X8b74193d9383f31855d5fbb7c898d99e19b0de8"/>
    <w:p>
      <w:pPr>
        <w:pStyle w:val="Heading1"/>
      </w:pPr>
      <w:r>
        <w:t xml:space="preserve">Appendix Z: Integration-Hardening Addendum</w:t>
      </w:r>
    </w:p>
    <w:p>
      <w:pPr>
        <w:pStyle w:val="FirstParagraph"/>
      </w:pPr>
      <w:r>
        <w:t xml:space="preserve">Normative effect statement. This addendum does not alter the canonical cascade, rights thresholds, TRC corridor mechanics, SGP scalar binding, PLSS/FLGG architecture, or Tier 1-3 claim boundaries. It is a precision integration patch that tightens workbook linkage, evidence-status disclosure, SGP split disclosure, and release-verification discipline.</w:t>
      </w:r>
    </w:p>
    <w:bookmarkStart w:id="545" w:name="z.1-workbook-integration-rule"/>
    <w:p>
      <w:pPr>
        <w:pStyle w:val="Heading2"/>
      </w:pPr>
      <w:r>
        <w:t xml:space="preserve">Z.1 Workbook integration rule</w:t>
      </w:r>
    </w:p>
    <w:p>
      <w:pPr>
        <w:pStyle w:val="FirstParagraph"/>
      </w:pPr>
      <w:r>
        <w:t xml:space="preserve">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bookmarkEnd w:id="545"/>
    <w:bookmarkStart w:id="546" w:name="z.2-evidence-status-propagation-rule"/>
    <w:p>
      <w:pPr>
        <w:pStyle w:val="Heading2"/>
      </w:pPr>
      <w:r>
        <w:t xml:space="preserve">Z.2 Evidence-status propagation rule</w:t>
      </w:r>
    </w:p>
    <w:p>
      <w:pPr>
        <w:pStyle w:val="FirstParagraph"/>
      </w:pPr>
      <w:r>
        <w:t xml:space="preserve">Decision-critical inputs SHOULD disclose an Evidence Status Token. Where a decision-critical input lacks a token, the PCC SHOULD record NOT_OBSERVED, UNVALIDATED, or ASSUMED rather than silently treating the input as measured evidence.</w:t>
      </w:r>
    </w:p>
    <w:bookmarkEnd w:id="546"/>
    <w:bookmarkStart w:id="547" w:name="z.3-sgp-split-computation-bridge"/>
    <w:p>
      <w:pPr>
        <w:pStyle w:val="Heading2"/>
      </w:pPr>
      <w:r>
        <w:t xml:space="preserve">Z.3 SGP split computation bridge</w:t>
      </w:r>
    </w:p>
    <w:p>
      <w:pPr>
        <w:pStyle w:val="FirstParagraph"/>
      </w:pPr>
      <w:r>
        <w:t xml:space="preserve">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CSV protection.</w:t>
      </w:r>
    </w:p>
    <w:bookmarkEnd w:id="547"/>
    <w:bookmarkStart w:id="548" w:name="z.4-verifier-sufficiency-rule"/>
    <w:p>
      <w:pPr>
        <w:pStyle w:val="Heading2"/>
      </w:pPr>
      <w:r>
        <w:t xml:space="preserve">Z.4 Verifier sufficiency rule</w:t>
      </w:r>
    </w:p>
    <w:p>
      <w:pPr>
        <w:pStyle w:val="FirstParagraph"/>
      </w:pPr>
      <w:r>
        <w:t xml:space="preserve">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bookmarkEnd w:id="548"/>
    <w:bookmarkStart w:id="549" w:name="z.5-claim-boundary"/>
    <w:p>
      <w:pPr>
        <w:pStyle w:val="Heading2"/>
      </w:pPr>
      <w:r>
        <w:t xml:space="preserve">Z.5 Claim boundary</w:t>
      </w:r>
    </w:p>
    <w:p>
      <w:pPr>
        <w:pStyle w:val="FirstParagraph"/>
      </w:pPr>
      <w:r>
        <w:t xml:space="preserve">This addendum improves release integrity and companion calculability. It does not claim empirical validation, ProofPack readiness, Tier 4 readiness, complete reference-calculator status, or machine-verifiable ecosystem completeness.</w:t>
      </w:r>
    </w:p>
    <w:bookmarkEnd w:id="549"/>
    <w:bookmarkEnd w:id="550"/>
    <w:bookmarkStart w:id="555" w:name="Xe3222a09cb9824e107d5e138ffa5a9e97105f0b"/>
    <w:p>
      <w:pPr>
        <w:pStyle w:val="Heading1"/>
      </w:pPr>
      <w:r>
        <w:t xml:space="preserve">APPENDIX AA: PACKAGE-CONTENT BOUNDARY AND TOOLING LINE SEPARATION (CARRIED FORWARD FROM v10.8 THROUGH v11.4)</w:t>
      </w:r>
    </w:p>
    <w:bookmarkStart w:id="551" w:name="aa.1-purpose"/>
    <w:p>
      <w:pPr>
        <w:pStyle w:val="Heading2"/>
      </w:pPr>
      <w:r>
        <w:t xml:space="preserve">AA.1 Purpose</w:t>
      </w:r>
    </w:p>
    <w:p>
      <w:pPr>
        <w:pStyle w:val="FirstParagraph"/>
      </w:pPr>
      <w:r>
        <w:t xml:space="preserve">This appendix clarifies the boundary between the v11.4 core foundation package and companion tooling releases. It is added to prevent asset-presence overclaiming and to keep the canonical framework synchronized with the actual release manifest.</w:t>
      </w:r>
    </w:p>
    <w:bookmarkEnd w:id="551"/>
    <w:bookmarkStart w:id="552" w:name="aa.2-package-content-rule"/>
    <w:p>
      <w:pPr>
        <w:pStyle w:val="Heading2"/>
      </w:pPr>
      <w:r>
        <w:t xml:space="preserve">AA.2 Package-content rule</w:t>
      </w:r>
    </w:p>
    <w:p>
      <w:pPr>
        <w:pStyle w:val="FirstParagraph"/>
      </w:pPr>
      <w:r>
        <w:t xml:space="preserve">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bookmarkEnd w:id="552"/>
    <w:bookmarkStart w:id="553" w:name="aa.3-tooling-line-separation"/>
    <w:p>
      <w:pPr>
        <w:pStyle w:val="Heading2"/>
      </w:pPr>
      <w:r>
        <w:t xml:space="preserve">AA.3 Tooling-line separation</w:t>
      </w:r>
    </w:p>
    <w:p>
      <w:pPr>
        <w:pStyle w:val="FirstParagraph"/>
      </w:pPr>
      <w:r>
        <w:t xml:space="preserve">The v11.4 tooling line is the proper home for schemas, reference-calculator modules, machine-readable test vectors, replayable PCC examples, validators, evidence-hash registries, and external audit protocols. The v11.4 core foundation remains the conceptual, normative, and release-clean foundation. Tooling artifacts may support replayability, but they do not supersede the canon.</w:t>
      </w:r>
    </w:p>
    <w:bookmarkEnd w:id="553"/>
    <w:bookmarkStart w:id="554" w:name="aa.4-claim-boundary"/>
    <w:p>
      <w:pPr>
        <w:pStyle w:val="Heading2"/>
      </w:pPr>
      <w:r>
        <w:t xml:space="preserve">AA.4 Claim boundary</w:t>
      </w:r>
    </w:p>
    <w:p>
      <w:pPr>
        <w:pStyle w:val="FirstParagraph"/>
      </w:pPr>
      <w:r>
        <w:t xml:space="preserve">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bookmarkEnd w:id="554"/>
    <w:bookmarkEnd w:id="555"/>
    <w:bookmarkStart w:id="563" w:name="appendix-ab-reference-structure-protocol"/>
    <w:p>
      <w:pPr>
        <w:pStyle w:val="Heading1"/>
      </w:pPr>
      <w:r>
        <w:t xml:space="preserve">APPENDIX AB: REFERENCE STRUCTURE PROTOCOL</w:t>
      </w:r>
    </w:p>
    <w:bookmarkStart w:id="556" w:name="ab.1-purpose"/>
    <w:p>
      <w:pPr>
        <w:pStyle w:val="Heading2"/>
      </w:pPr>
      <w:r>
        <w:t xml:space="preserve">AB.1 Purpose</w:t>
      </w:r>
    </w:p>
    <w:p>
      <w:pPr>
        <w:pStyle w:val="FirstParagraph"/>
      </w:pPr>
      <w:r>
        <w:t xml:space="preserve">The Reference Structure Protocol specifies how RippleLogic runs declare the structures against which admissibility, causality, stability, welfare, and auditability claims are evaluated.</w:t>
      </w:r>
    </w:p>
    <w:p>
      <w:pPr>
        <w:pStyle w:val="BodyText"/>
      </w:pPr>
      <w:r>
        <w:t xml:space="preserve">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bookmarkEnd w:id="556"/>
    <w:bookmarkStart w:id="557" w:name="ab.2-non-effect-on-the-cascade"/>
    <w:p>
      <w:pPr>
        <w:pStyle w:val="Heading2"/>
      </w:pPr>
      <w:r>
        <w:t xml:space="preserve">AB.2 Non-Effect on the Cascade</w:t>
      </w:r>
    </w:p>
    <w:p>
      <w:pPr>
        <w:pStyle w:val="FirstParagraph"/>
      </w:pPr>
      <w:r>
        <w:t xml:space="preserve">The Reference Structure Protocol does not alter the canonical cascade: Reality Grounding → Rights Floor → TRC → CSV → RLS.</w:t>
      </w:r>
    </w:p>
    <w:p>
      <w:pPr>
        <w:pStyle w:val="BodyText"/>
      </w:pPr>
      <w:r>
        <w:t xml:space="preserve">It does not create a sixth gate. It does not allow RLS, UCI, HOI, SGP, agent tooling, legal permission, or human authority to rescue failure at NCRC, TRC, CSV, or Refusal.</w:t>
      </w:r>
    </w:p>
    <w:bookmarkEnd w:id="557"/>
    <w:bookmarkStart w:id="558" w:name="ab.3-reference-stack"/>
    <w:p>
      <w:pPr>
        <w:pStyle w:val="Heading2"/>
      </w:pPr>
      <w:r>
        <w:t xml:space="preserve">AB.3 Reference Stack</w:t>
      </w:r>
    </w:p>
    <w:p>
      <w:pPr>
        <w:pStyle w:val="FirstParagraph"/>
      </w:pPr>
      <w:r>
        <w:t xml:space="preserve">A RippleLogic run SHOULD identify which reference layers are active.</w:t>
      </w:r>
    </w:p>
    <w:p>
      <w:pPr>
        <w:pStyle w:val="BodyText"/>
      </w:pPr>
      <w:r>
        <w:t xml:space="preserve">1. Physical reference: bodies, infrastructure, energy, geography, resources, physical constraints, ecological limits.</w:t>
      </w:r>
    </w:p>
    <w:p>
      <w:pPr>
        <w:pStyle w:val="BodyText"/>
      </w:pPr>
      <w:r>
        <w:t xml:space="preserve">2. Biological reference: life, health, basic needs, suffering, sentience-relevant evidence, biological dependency.</w:t>
      </w:r>
    </w:p>
    <w:p>
      <w:pPr>
        <w:pStyle w:val="BodyText"/>
      </w:pPr>
      <w:r>
        <w:t xml:space="preserve">3. Social reference: trust, coordination, institutional stability, conflict risk, social cohesion.</w:t>
      </w:r>
    </w:p>
    <w:p>
      <w:pPr>
        <w:pStyle w:val="BodyText"/>
      </w:pPr>
      <w:r>
        <w:t xml:space="preserve">4. Ethical-rights reference: rights floors, dignity, due process, non-domination, ecological integrity.</w:t>
      </w:r>
    </w:p>
    <w:p>
      <w:pPr>
        <w:pStyle w:val="BodyText"/>
      </w:pPr>
      <w:r>
        <w:t xml:space="preserve">5. Risk reference: catastrophic corridors, CVaR assumptions, scenario sets, probability floors, uncertainty bands.</w:t>
      </w:r>
    </w:p>
    <w:p>
      <w:pPr>
        <w:pStyle w:val="BodyText"/>
      </w:pPr>
      <w:r>
        <w:t xml:space="preserve">6. Governance-authority reference: lawful authority, role authority, democratic legitimacy, professional mandate, procedural permission.</w:t>
      </w:r>
    </w:p>
    <w:p>
      <w:pPr>
        <w:pStyle w:val="BodyText"/>
      </w:pPr>
      <w:r>
        <w:t xml:space="preserve">7. Epistemic reference: evidence source, measurement method, evidence status, falsification condition, uncertainty class, reviewer disagreement.</w:t>
      </w:r>
    </w:p>
    <w:p>
      <w:pPr>
        <w:pStyle w:val="BodyText"/>
      </w:pPr>
      <w:r>
        <w:t xml:space="preserve">8. Operational-audit reference: PCC, Decision Note, ProjectionPreRegistration, ExecutionStabilityRecord, TransitionAdmissibilityRecord, hashes, logs, and replay materials.</w:t>
      </w:r>
    </w:p>
    <w:p>
      <w:pPr>
        <w:pStyle w:val="BodyText"/>
      </w:pPr>
      <w:r>
        <w:t xml:space="preserve">Short rule. Physics constrains possibility; ethics constrains admissibility; evidence constrains claims; governance constrains authority.</w:t>
      </w:r>
    </w:p>
    <w:bookmarkEnd w:id="558"/>
    <w:bookmarkStart w:id="559" w:name="ab.4-referencestructurerecord"/>
    <w:p>
      <w:pPr>
        <w:pStyle w:val="Heading2"/>
      </w:pPr>
      <w:r>
        <w:t xml:space="preserve">AB.4 ReferenceStructureRecord</w:t>
      </w:r>
    </w:p>
    <w:p>
      <w:pPr>
        <w:pStyle w:val="FirstParagraph"/>
      </w:pPr>
      <w:r>
        <w:t xml:space="preserve">For Tier 3 runs and for Tier 2 high-stakes or claim-bearing runs, the PCC SHOULD include a ReferenceStructureRecord. For Tier 3 public conformance claims, it SHALL include one unless an emergency triage rule explicitly permits a narrower record.</w:t>
      </w:r>
    </w:p>
    <w:p>
      <w:pPr>
        <w:pStyle w:val="BodyText"/>
      </w:pPr>
      <w:r>
        <w:t xml:space="preserve">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bookmarkEnd w:id="559"/>
    <w:bookmarkStart w:id="560" w:name="ab.5-reference-quality-states"/>
    <w:p>
      <w:pPr>
        <w:pStyle w:val="Heading2"/>
      </w:pPr>
      <w:r>
        <w:t xml:space="preserve">AB.5 Reference Quality States</w:t>
      </w:r>
    </w:p>
    <w:p>
      <w:pPr>
        <w:pStyle w:val="FirstParagraph"/>
      </w:pPr>
      <w:r>
        <w:t xml:space="preserve">Each major reference claim SHOULD be classified using one of the following states: MEASURED; ESTIMATED; EXPERT_JUDGMENT; ASSUMED; CONTESTED; UNVALIDATED; NOT_OBSERVED; PLACEHOLDER_FOR_SENSITIVITY_ONLY.</w:t>
      </w:r>
    </w:p>
    <w:p>
      <w:pPr>
        <w:pStyle w:val="BodyText"/>
      </w:pPr>
      <w:r>
        <w:t xml:space="preserve">Assumed, contested, unvalidated, not-observed, or placeholder references MUST NOT be presented as measured facts.</w:t>
      </w:r>
    </w:p>
    <w:bookmarkEnd w:id="560"/>
    <w:bookmarkStart w:id="561" w:name="Xf9674e576b083623400618feb8f6dd07e1c831e"/>
    <w:p>
      <w:pPr>
        <w:pStyle w:val="Heading2"/>
      </w:pPr>
      <w:r>
        <w:t xml:space="preserve">AB.6 Invalid or Insufficient Reference Structures</w:t>
      </w:r>
    </w:p>
    <w:p>
      <w:pPr>
        <w:pStyle w:val="FirstParagraph"/>
      </w:pPr>
      <w:r>
        <w:t xml:space="preserve">A reference structure is insufficient for a strong RippleLogic claim where any of the following conditions hold:</w:t>
      </w:r>
    </w:p>
    <w:p>
      <w:pPr>
        <w:pStyle w:val="BodyText"/>
      </w:pPr>
      <w:r>
        <w:t xml:space="preserve">1. The reference object is missing.</w:t>
      </w:r>
    </w:p>
    <w:p>
      <w:pPr>
        <w:pStyle w:val="BodyText"/>
      </w:pPr>
      <w:r>
        <w:t xml:space="preserve">2. The reference is circular or self-validating.</w:t>
      </w:r>
    </w:p>
    <w:p>
      <w:pPr>
        <w:pStyle w:val="BodyText"/>
      </w:pPr>
      <w:r>
        <w:t xml:space="preserve">3. The reference is controlled entirely by the system being evaluated without independent evidence or review.</w:t>
      </w:r>
    </w:p>
    <w:p>
      <w:pPr>
        <w:pStyle w:val="BodyText"/>
      </w:pPr>
      <w:r>
        <w:t xml:space="preserve">4. The reference cannot be connected to an observable consequence, threshold, or falsification condition.</w:t>
      </w:r>
    </w:p>
    <w:p>
      <w:pPr>
        <w:pStyle w:val="BodyText"/>
      </w:pPr>
      <w:r>
        <w:t xml:space="preserve">5. The reference is materially stale for the decision horizon.</w:t>
      </w:r>
    </w:p>
    <w:p>
      <w:pPr>
        <w:pStyle w:val="BodyText"/>
      </w:pPr>
      <w:r>
        <w:t xml:space="preserve">6. The reference depends on a measurement surface whose maturity status does not support the requested claim.</w:t>
      </w:r>
    </w:p>
    <w:p>
      <w:pPr>
        <w:pStyle w:val="BodyText"/>
      </w:pPr>
      <w:r>
        <w:t xml:space="preserve">7. The reference relies on legal, institutional, or operator permission as a substitute for admissibility.</w:t>
      </w:r>
    </w:p>
    <w:p>
      <w:pPr>
        <w:pStyle w:val="BodyText"/>
      </w:pPr>
      <w:r>
        <w:t xml:space="preserve">8. The reference relies on scoring outputs to rescue earlier gate uncertainty or failure.</w:t>
      </w:r>
    </w:p>
    <w:p>
      <w:pPr>
        <w:pStyle w:val="BodyText"/>
      </w:pPr>
      <w:r>
        <w:t xml:space="preserve">9. Two or more materially different reference interpretations remain plausible under the declared evidence and no adjudication rule resolves them.</w:t>
      </w:r>
    </w:p>
    <w:p>
      <w:pPr>
        <w:pStyle w:val="BodyText"/>
      </w:pPr>
      <w:r>
        <w:t xml:space="preserve">Where the reference structure is insufficient, the run MUST enter Refusal, escalation, narrower claim scope, additional evidence gathering, or bounded triage if delay itself creates material risk.</w:t>
      </w:r>
    </w:p>
    <w:bookmarkEnd w:id="561"/>
    <w:bookmarkStart w:id="562" w:name="Xe91df051954e34164c936cb336f592d388d2e9d"/>
    <w:p>
      <w:pPr>
        <w:pStyle w:val="Heading2"/>
      </w:pPr>
      <w:r>
        <w:t xml:space="preserve">AB.7 Relationship to PCC and ProjectionPreRegistration</w:t>
      </w:r>
    </w:p>
    <w:p>
      <w:pPr>
        <w:pStyle w:val="FirstParagraph"/>
      </w:pPr>
      <w:r>
        <w:t xml:space="preserve">The ReferenceStructureRecord SHOULD be stored with the PCC and referenced by hash. Where ProjectionPreRegistration is required, the ReferenceStructureRecord SHOULD be created before cascade computation or included as a pre-registered object.</w:t>
      </w:r>
    </w:p>
    <w:p>
      <w:pPr>
        <w:pStyle w:val="BodyText"/>
      </w:pPr>
      <w:r>
        <w:t xml:space="preserve">Post-hoc modification of the reference structure that could alter admissibility, selectability, selection, conformance, or deployment-readiness claims is material and requires a new run or documented refusal and re-run procedure.</w:t>
      </w:r>
    </w:p>
    <w:bookmarkEnd w:id="562"/>
    <w:bookmarkEnd w:id="563"/>
    <w:bookmarkStart w:id="564" w:name="X0f6fa76b1b792113bcbd3759a5673338c7d670b"/>
    <w:p>
      <w:pPr>
        <w:pStyle w:val="Heading1"/>
      </w:pPr>
      <w:r>
        <w:t xml:space="preserve">APPENDIX AC: SPECIFICATION CONTRACT, RELEASE METADATA, AND CLAIM BOUNDARY</w:t>
      </w:r>
    </w:p>
    <w:p>
      <w:pPr>
        <w:pStyle w:val="FirstParagraph"/>
      </w:pPr>
      <w:r>
        <w:t xml:space="preserve">This appendix preserves release identity, companion-version pins, claim-boundary warnings, and role-map material moved out of the opening pages in v10.4 for reader accessibility. It does not change the canonical cascade or computation.</w:t>
      </w:r>
    </w:p>
    <w:p>
      <w:pPr>
        <w:pStyle w:val="BodyText"/>
      </w:pPr>
      <w:r>
        <w:t xml:space="preserve">Foundation text finalisation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pPr>
      <w:r>
        <w:t xml:space="preserve">Release Label: RippleLogic_v11.4_Canon</w:t>
      </w:r>
    </w:p>
    <w:p>
      <w:pPr>
        <w:pStyle w:val="BodyText"/>
      </w:pPr>
      <w:r>
        <w:t xml:space="preserve">Current synced companion set for this release line: RippleLogic Agent System v11.4; SGP v6.4; ripple.md v4.4; RippleLogic Aligners Sheet v4.4; Foundations Primer v3.4 (release status governed by repository manifest and SHA-256 hashes).</w:t>
      </w:r>
    </w:p>
    <w:p>
      <w:pPr>
        <w:pStyle w:val="BodyText"/>
      </w:pPr>
      <w:r>
        <w:t xml:space="preserve">Current-line companion matrix (release-clean reference):</w:t>
      </w:r>
    </w:p>
    <w:p>
      <w:pPr>
        <w:pStyle w:val="BodyText"/>
      </w:pPr>
      <w:r>
        <w:t xml:space="preserve">- RippleLogic Canon: v11.4</w:t>
      </w:r>
    </w:p>
    <w:p>
      <w:pPr>
        <w:pStyle w:val="BodyText"/>
      </w:pPr>
      <w:r>
        <w:t xml:space="preserve">- SGP: v6.4</w:t>
      </w:r>
    </w:p>
    <w:p>
      <w:pPr>
        <w:pStyle w:val="BodyText"/>
      </w:pPr>
      <w:r>
        <w:t xml:space="preserve">- ripple.md: v4.4</w:t>
      </w:r>
    </w:p>
    <w:p>
      <w:pPr>
        <w:pStyle w:val="BodyText"/>
      </w:pPr>
      <w:r>
        <w:t xml:space="preserve">- RippleLogic Agent System: v11.4</w:t>
      </w:r>
    </w:p>
    <w:p>
      <w:pPr>
        <w:pStyle w:val="BodyText"/>
      </w:pPr>
      <w:r>
        <w:t xml:space="preserve">- Foundations Primer: v3.4</w:t>
      </w:r>
      <w:r>
        <w:br/>
      </w:r>
      <w:r>
        <w:t xml:space="preserve">- RippleLogic Aligners Sheet: v4.4</w:t>
      </w:r>
    </w:p>
    <w:p>
      <w:pPr>
        <w:pStyle w:val="BodyText"/>
      </w:pPr>
      <w:r>
        <w:t xml:space="preserve">All public conformance claims for this release line MUST pin this exact component matrix explicitly in the release manifest or PCC; generic v11.4 / v6.4 / v4.4 references identify the current release family and the exact manifest controls publication status.</w:t>
      </w:r>
    </w:p>
    <w:p>
      <w:pPr>
        <w:pStyle w:val="BodyText"/>
      </w:pPr>
      <w:r>
        <w:t xml:space="preserve">RippleLogic is the canonical name of this system. MathGov is a historical umbrella term used in earlier materials.</w:t>
      </w:r>
    </w:p>
    <w:p>
      <w:pPr>
        <w:pStyle w:val="BodyText"/>
      </w:pPr>
      <w:r>
        <w:t xml:space="preserve">Backward compatibility: Prior PCCs computed under earlier release lines remain interpretable as lineage artifacts. However, any run referencing v11.4 MUST meet v11.4 canonical requirements and MUST use the v11.4 canon artifact as the current source of truth for this release line. Any run referencing v10.8 remains a historical-lineage run and must pin the v10.8 artifact explicitly.</w:t>
      </w:r>
    </w:p>
    <w:p>
      <w:pPr>
        <w:pStyle w:val="BodyText"/>
      </w:pPr>
      <w:r>
        <w:t xml:space="preserve">AUTHOR STATEMENT AND TRANSPARENCY DISCLOSURE</w:t>
      </w:r>
      <w:r>
        <w:br/>
      </w:r>
      <w:r>
        <w:t xml:space="preserve">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BodyText"/>
      </w:pPr>
      <w:r>
        <w:t xml:space="preserve">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pPr>
      <w:r>
        <w:t xml:space="preserve">Historical release-delta details for v9.6.4, v9.6.5, v10.0-RC1, v10.0-RC2, v10.0, and v10.4 are retained in Appendix M. This front matter states the current v11.4 GitHub release posture only.</w:t>
      </w:r>
    </w:p>
    <w:bookmarkEnd w:id="564"/>
    <w:bookmarkStart w:id="566" w:name="X2c6bc53179c488ab2a71f5b573baff226add677"/>
    <w:p>
      <w:pPr>
        <w:pStyle w:val="Heading1"/>
      </w:pPr>
      <w:r>
        <w:t xml:space="preserve">CARRIED-FORWARD v10.8 HUMAN PLATEAU / CMIU CALIBRATION AND SGP v5.5 SYNCHRONIZATION NOTICE</w:t>
      </w:r>
    </w:p>
    <w:p>
      <w:pPr>
        <w:pStyle w:val="FirstParagraph"/>
      </w:pPr>
      <w:r>
        <w:t xml:space="preserve">Release Delta (v10.5 → v10.6). This release integrates the Human Plateau / CMIU calibration clarification and synchronizes the Canon to SGP v5.5.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scalar to weaken human protections, alter admissibility gates, or grant governance authority by itself. The current v11.4 line preserves that boundary while pinning SGP v6.4.</w:t>
      </w:r>
    </w:p>
    <w:p>
      <w:pPr>
        <w:pStyle w:val="BodyText"/>
      </w:pPr>
      <w:r>
        <w:t xml:space="preserve">Claim boundary table (Informative reading aid).</w:t>
      </w:r>
    </w:p>
    <w:p>
      <w:pPr>
        <w:pStyle w:val="BodyText"/>
      </w:pPr>
      <w:r>
        <w:t xml:space="preserve">Release-boundary clarification (Normative).</w:t>
      </w:r>
    </w:p>
    <w:p>
      <w:pPr>
        <w:pStyle w:val="BodyText"/>
      </w:pPr>
      <w:r>
        <w:t xml:space="preserve">“</w:t>
      </w:r>
      <w:r>
        <w:t xml:space="preserve">Architecturally complete,</w:t>
      </w:r>
      <w:r>
        <w:t xml:space="preserve">”</w:t>
      </w:r>
      <w:r>
        <w:t xml:space="preserve"> </w:t>
      </w:r>
      <w:r>
        <w:t xml:space="preserve">“</w:t>
      </w:r>
      <w:r>
        <w:t xml:space="preserve">worked-run claimable,</w:t>
      </w:r>
      <w:r>
        <w:t xml:space="preserve">”</w:t>
      </w:r>
      <w:r>
        <w:t xml:space="preserve"> </w:t>
      </w:r>
      <w:r>
        <w:t xml:space="preserve">“</w:t>
      </w:r>
      <w:r>
        <w:t xml:space="preserve">audit-ready,</w:t>
      </w:r>
      <w:r>
        <w:t xml:space="preserve">”</w:t>
      </w:r>
      <w:r>
        <w:t xml:space="preserve"> </w:t>
      </w:r>
      <w:r>
        <w:t xml:space="preserve">“</w:t>
      </w:r>
      <w:r>
        <w:t xml:space="preserve">ProofPack-ready,</w:t>
      </w:r>
      <w:r>
        <w:t xml:space="preserve">”</w:t>
      </w:r>
      <w:r>
        <w:t xml:space="preserve"> </w:t>
      </w:r>
      <w:r>
        <w:t xml:space="preserve">and</w:t>
      </w:r>
      <w:r>
        <w:t xml:space="preserve"> </w:t>
      </w:r>
      <w:r>
        <w:t xml:space="preserve">“</w:t>
      </w:r>
      <w:r>
        <w:t xml:space="preserve">Tier 4-ready</w:t>
      </w:r>
      <w:r>
        <w:t xml:space="preserve">”</w:t>
      </w:r>
      <w:r>
        <w:t xml:space="preserve"> </w:t>
      </w:r>
      <w:r>
        <w:t xml:space="preserve">are distinct statuses and MUST NOT be collapsed.</w:t>
      </w:r>
    </w:p>
    <w:p>
      <w:pPr>
        <w:pStyle w:val="BodyText"/>
      </w:pPr>
      <w:r>
        <w:t xml:space="preserve">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BodyText"/>
      </w:pPr>
      <w:r>
        <w:t xml:space="preserve">Phase 1 release-boundary hardening (Normative clarification).</w:t>
      </w:r>
    </w:p>
    <w:p>
      <w:pPr>
        <w:pStyle w:val="BodyText"/>
      </w:pPr>
      <w:r>
        <w:t xml:space="preserve">For public release interpretation, RippleLogic v11.4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BodyText"/>
      </w:pPr>
      <w:r>
        <w:t xml:space="preserve">The phrase</w:t>
      </w:r>
      <w:r>
        <w:t xml:space="preserve"> </w:t>
      </w:r>
      <w:r>
        <w:t xml:space="preserve">“</w:t>
      </w:r>
      <w:r>
        <w:t xml:space="preserve">ethical operating system</w:t>
      </w:r>
      <w:r>
        <w:t xml:space="preserve">”</w:t>
      </w:r>
      <w:r>
        <w:t xml:space="preserve"> </w:t>
      </w:r>
      <w:r>
        <w:t xml:space="preserve">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BodyText"/>
      </w:pPr>
      <w:r>
        <w:t xml:space="preserve">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current-release artifact may imply cross-domain validated UCI unless that annex and evidence are separately bundled and hash-pinned.</w:t>
      </w:r>
    </w:p>
    <w:p>
      <w:pPr>
        <w:pStyle w:val="BodyText"/>
      </w:pPr>
      <w:r>
        <w:t xml:space="preserve">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Claim type</w:t>
            </w:r>
          </w:p>
        </w:tc>
        <w:tc>
          <w:tcPr>
            <w:tcW w:w="3073"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Status in v11.4</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Required condition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Tier 1-3 architectural completeness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Claimable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Defined by this canon and appendices for the declared release scope.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Tier 3 run-level conformance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Claimable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Run declares required inputs, satisfies tier minima, and emits a valid PCC.</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Framework-level empirical operational-readiness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Not yet claimable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Requires empirical validation progress, including UCI measurement maturity and related evidence.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Machine-verifiable ecosystem completeness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Not yet claimable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Requires companion validator, schema, reference-calculator / registry surfaces, or equivalent ProofPack assets.</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Tier 4 compliance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Prohibited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 Tier-4 claim until ProofPack is publicly replayable and independently verified.</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Cross-domain calibrated or validated UCI</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Prohibited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Requires a published UCI Measurement Annex with named instruments, normalization rules, structural-independence evidence, and IRR data.</w:t>
            </w:r>
          </w:p>
        </w:tc>
      </w:tr>
    </w:tbl>
    <w:p>
      <w:pPr>
        <w:pStyle w:val="BodyText"/>
      </w:pPr>
      <w:r>
        <w:t xml:space="preserve">Decision-state summary (Normative shorthand).</w:t>
      </w:r>
    </w:p>
    <w:p>
      <w:pPr>
        <w:pStyle w:val="BodyText"/>
      </w:pPr>
      <w:r>
        <w:t xml:space="preserve">RippleLogic uses five distinct decision states that implementations MUST NOT collapse.</w:t>
      </w:r>
    </w:p>
    <w:p>
      <w:pPr>
        <w:pStyle w:val="BodyText"/>
      </w:pPr>
      <w:r>
        <w:t xml:space="preserve">Rights-admissible = passes NCRC.</w:t>
      </w:r>
    </w:p>
    <w:p>
      <w:pPr>
        <w:pStyle w:val="BodyText"/>
      </w:pPr>
      <w:r>
        <w:t xml:space="preserve">Admissible = passes NCRC and TRC.</w:t>
      </w:r>
    </w:p>
    <w:p>
      <w:pPr>
        <w:pStyle w:val="BodyText"/>
      </w:pPr>
      <w:r>
        <w:t xml:space="preserve">Selectable = admissible and passes CSV in the applicable containment/structural-viability mode.</w:t>
      </w:r>
    </w:p>
    <w:p>
      <w:pPr>
        <w:pStyle w:val="BodyText"/>
      </w:pPr>
      <w:r>
        <w:t xml:space="preserve">Selected = chosen from the selectable set after RLS, tie-break, and any required escalation disposition.</w:t>
      </w:r>
    </w:p>
    <w:p>
      <w:pPr>
        <w:pStyle w:val="BodyText"/>
      </w:pPr>
      <w:r>
        <w:t xml:space="preserve">Refusal = the framework cannot uniquely determine the applicable admissibility or selection state from declared inputs, evidence, projection rules, or layer commitments.</w:t>
      </w:r>
    </w:p>
    <w:p>
      <w:pPr>
        <w:pStyle w:val="BodyText"/>
      </w:pPr>
      <w:r>
        <w:t xml:space="preserve">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BodyText"/>
      </w:pPr>
      <w:r>
        <w:t xml:space="preserve">Execution Stability Diagnostic (carried-forward v10.8 clarification through v11.4).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CSV, cannot convert Refusal into permission, and cannot use local stability to justify domination, rights infringement, or biosphere degradation.</w:t>
      </w:r>
    </w:p>
    <w:p>
      <w:pPr>
        <w:pStyle w:val="BodyText"/>
      </w:pPr>
      <w:r>
        <w:t xml:space="preserve">CORE ARTIFACT ROLE MAP (release-line orientation)</w:t>
      </w:r>
    </w:p>
    <w:p>
      <w:pPr>
        <w:pStyle w:val="BodyText"/>
      </w:pPr>
      <w:r>
        <w:t xml:space="preserve">- RippleLogic_v11.4_Canon.md: canonical repository text source and normative source of truth for this release line.</w:t>
      </w:r>
    </w:p>
    <w:p>
      <w:pPr>
        <w:pStyle w:val="BodyText"/>
      </w:pPr>
      <w:r>
        <w:t xml:space="preserve">- RippleLogic_v11.4_Canon.docx: synchronized human-readable publication rendering of the Markdown source. It is hash-identified in the release manifest, but it does not outrank the Markdown source if the two diverge.</w:t>
      </w:r>
    </w:p>
    <w:p>
      <w:pPr>
        <w:pStyle w:val="BodyText"/>
      </w:pPr>
      <w:r>
        <w:t xml:space="preserve">- SGP v6.4: companion sentience / moral-status protocol. Authoritative for sentience-scoring procedures, scalar canon, plateau semantics, rights-of-protection scalar definitions, governed review requirements, and classification-stability cautions. RippleLogic consumes only SGP outputs through Appendix G and MUST NOT define or recompute SGP internals.</w:t>
      </w:r>
    </w:p>
    <w:p>
      <w:pPr>
        <w:pStyle w:val="BodyText"/>
      </w:pPr>
      <w:r>
        <w:t xml:space="preserve">SGP split-roadmap boundary (Informative but release-controlling for interpretation).</w:t>
      </w:r>
    </w:p>
    <w:p>
      <w:pPr>
        <w:pStyle w:val="BodyText"/>
      </w:pPr>
      <w:r>
        <w:t xml:space="preserve">Future SGP work SHOULD further separate moral patienthood, governance-participation readiness, and stewardship/power readiness as first-class outputs. v11.4 consumes only the pinned SGP scalar interface and MUST NOT infer governance authority, voting weight, office eligibility, or stewardship power from moral patienthood or rights-of-protection status.</w:t>
      </w:r>
    </w:p>
    <w:p>
      <w:pPr>
        <w:pStyle w:val="BodyText"/>
      </w:pPr>
      <w:r>
        <w:t xml:space="preserve">This roadmap note does not change the v11.4 SGP binding interface. It prevents over-reading the current scalar as a pure sentience detector or as a governance-authority score.</w:t>
      </w:r>
    </w:p>
    <w:p>
      <w:pPr>
        <w:pStyle w:val="BodyText"/>
      </w:pPr>
      <w:r>
        <w:t xml:space="preserve">- ripple.md v4.4: portable alignment contract and assurance wrapper for implementations and deployments, including the wrapped-run ExecutionStabilityRecord field for high-stakes consequence-bearing episodes.</w:t>
      </w:r>
    </w:p>
    <w:p>
      <w:pPr>
        <w:pStyle w:val="BodyText"/>
      </w:pPr>
      <w:r>
        <w:t xml:space="preserve">- RippleLogic Agent System v11.4: deployment/control specification for agentic implementations under the current pinned companion line unless and until a later synchronized agent-system release is promoted.</w:t>
      </w:r>
    </w:p>
    <w:p>
      <w:pPr>
        <w:pStyle w:val="BodyText"/>
      </w:pPr>
      <w:r>
        <w:t xml:space="preserve">- Ripple Aligners Sheet v4.4: worked-run exemplar companion for replay, disclosure, and training, including the ExecutionStability sheet; not the repository-level validator or schema surface.</w:t>
      </w:r>
    </w:p>
    <w:p>
      <w:pPr>
        <w:pStyle w:val="BodyText"/>
      </w:pPr>
      <w:r>
        <w:t xml:space="preserve">- Machine-verifiable ecosystem completeness requires additional companion surfaces when claimed, including validator / schema / reference-calculator / registry artifacts or ProofPack assets beyond this core canon line.</w:t>
      </w:r>
    </w:p>
    <w:p>
      <w:pPr>
        <w:pStyle w:val="BodyText"/>
      </w:pPr>
      <w:r>
        <w:t xml:space="preserve">- Companion scalar-interface note: for SGP-integrated runs, RippleLogic treats SG_norm(E) and SG_patient_norm(E) as interface-stable outputs. Where provided by SGP v6.4 records, SG_measured_norm(E) and Plateau(E) MAY be logged for auditability, but RippleLogic MUST NOT infer plateau from raw measurement and MUST NOT substitute SG_measured_norm(E) for SG_norm(E) or SG_patient_norm(E) in normative computation. When SG_patient_norm(E) is available from the authoritative SGP record, RippleLogic SHOULD use SG_patient_norm(E) as the welfare-stream scalar for impacted protected stakeholders in residual welfare ranking. SGP-derived scalars MUST NOT be used to change admissibility outcomes under NCRC, TRC, or CSV.</w:t>
      </w:r>
    </w:p>
    <w:bookmarkStart w:id="565" w:name="X33996752dd24419cfbcd28f84a6eef5671e3e88"/>
    <w:p>
      <w:pPr>
        <w:pStyle w:val="Heading2"/>
      </w:pPr>
      <w:r>
        <w:t xml:space="preserve">AC.1 Specification Contract (moved from front matter in v10.4)</w:t>
      </w:r>
    </w:p>
    <w:bookmarkEnd w:id="565"/>
    <w:bookmarkEnd w:id="566"/>
    <w:bookmarkStart w:id="575" w:name="X97681a37ec4724d14ab1ee84ab176146f0cd452"/>
    <w:p>
      <w:pPr>
        <w:pStyle w:val="Heading1"/>
      </w:pPr>
      <w:r>
        <w:t xml:space="preserve">SECTION 0: SPECIFICATION CONTRACT (NORMATIVE)</w:t>
      </w:r>
    </w:p>
    <w:bookmarkStart w:id="567" w:name="Xc6923fbdd94c6f6a0ac4dbc8dfdb47ea6f1e4c4"/>
    <w:p>
      <w:pPr>
        <w:pStyle w:val="Heading2"/>
      </w:pPr>
      <w:r>
        <w:t xml:space="preserve">0.1 Normative hierarchy (Single Source of Truth)</w:t>
      </w:r>
    </w:p>
    <w:p>
      <w:pPr>
        <w:pStyle w:val="FirstParagraph"/>
      </w:pPr>
      <w:r>
        <w:t xml:space="preserve">When interpreting RippleLogic v11.4, conflicts MUST be resolved using this precedence order (highest controls lowest):</w:t>
      </w:r>
    </w:p>
    <w:p>
      <w:pPr>
        <w:pStyle w:val="BodyText"/>
      </w:pPr>
      <w:r>
        <w:t xml:space="preserve">1. Main text rules explicitly labeled MUST, SHALL, or PROHIBITED</w:t>
      </w:r>
    </w:p>
    <w:p>
      <w:pPr>
        <w:pStyle w:val="BodyText"/>
      </w:pPr>
      <w:r>
        <w:t xml:space="preserve">2. Appendix B (Canonical Equations)</w:t>
      </w:r>
    </w:p>
    <w:p>
      <w:pPr>
        <w:pStyle w:val="BodyText"/>
      </w:pPr>
      <w:r>
        <w:t xml:space="preserve">3. Appendix C (Rights / NCRC Canon Pack)</w:t>
      </w:r>
    </w:p>
    <w:p>
      <w:pPr>
        <w:pStyle w:val="BodyText"/>
      </w:pPr>
      <w:r>
        <w:t xml:space="preserve">4. Appendix D (TRC and Scenario Governance Canon Pack)</w:t>
      </w:r>
    </w:p>
    <w:p>
      <w:pPr>
        <w:pStyle w:val="BodyText"/>
      </w:pPr>
      <w:r>
        <w:t xml:space="preserve">5. Appendix H (PCC and Audit Flags Canon Pack)</w:t>
      </w:r>
    </w:p>
    <w:p>
      <w:pPr>
        <w:pStyle w:val="BodyText"/>
      </w:pPr>
      <w:r>
        <w:t xml:space="preserve">6. Appendix AG (v10.8 Reality Grounding and Lean Cascade Patch)</w:t>
      </w:r>
    </w:p>
    <w:p>
      <w:pPr>
        <w:pStyle w:val="BodyText"/>
      </w:pPr>
      <w:r>
        <w:t xml:space="preserve">7. Appendix AH (Category Grounding and Primitive Audit Protocol)</w:t>
      </w:r>
    </w:p>
    <w:p>
      <w:pPr>
        <w:pStyle w:val="BodyText"/>
      </w:pPr>
      <w:r>
        <w:t xml:space="preserve">8. Appendix AI (Term Discrimination and Semantic Stability Protocol)</w:t>
      </w:r>
    </w:p>
    <w:p>
      <w:pPr>
        <w:pStyle w:val="BodyText"/>
      </w:pPr>
      <w:r>
        <w:t xml:space="preserve">9. Appendix T (Execution Stability Diagnostic)</w:t>
      </w:r>
    </w:p>
    <w:p>
      <w:pPr>
        <w:pStyle w:val="BodyText"/>
      </w:pPr>
      <w:r>
        <w:t xml:space="preserve">10. Appendix U (Transition Admissibility and Evidence Substrate)</w:t>
      </w:r>
    </w:p>
    <w:p>
      <w:pPr>
        <w:pStyle w:val="BodyText"/>
      </w:pPr>
      <w:r>
        <w:t xml:space="preserve">11. Appendix AE (Layer-Discipline, Falsification, and Adaptive Reserve Addendum)</w:t>
      </w:r>
    </w:p>
    <w:p>
      <w:pPr>
        <w:pStyle w:val="BodyText"/>
      </w:pPr>
      <w:r>
        <w:t xml:space="preserve">12. Appendix AF (Decision Verdict Semantics, Projection Freeze, Closure Status, Falsification Classes, and Authority-Selection Separation)</w:t>
      </w:r>
    </w:p>
    <w:p>
      <w:pPr>
        <w:pStyle w:val="BodyText"/>
      </w:pPr>
      <w:r>
        <w:t xml:space="preserve">13. Appendix R (Tier 1-3 Reference Test Vectors)</w:t>
      </w:r>
    </w:p>
    <w:p>
      <w:pPr>
        <w:pStyle w:val="BodyText"/>
      </w:pPr>
      <w:r>
        <w:t xml:space="preserve">14. Appendix E (UCI Interface and Tier-3 Construction Guidance)</w:t>
      </w:r>
    </w:p>
    <w:p>
      <w:pPr>
        <w:pStyle w:val="BodyText"/>
      </w:pPr>
      <w:r>
        <w:t xml:space="preserve">15. Appendix G (SGP Integration Binding Interface)</w:t>
      </w:r>
    </w:p>
    <w:p>
      <w:pPr>
        <w:pStyle w:val="BodyText"/>
      </w:pPr>
      <w:r>
        <w:t xml:space="preserve">16. Appendix V (Measurement Maturity and Deployment Context Hardening)</w:t>
      </w:r>
    </w:p>
    <w:p>
      <w:pPr>
        <w:pStyle w:val="BodyText"/>
      </w:pPr>
      <w:r>
        <w:t xml:space="preserve">17. Appendix W (Schema Ownership, Registries, and Machine-Verifiable Surfaces)</w:t>
      </w:r>
    </w:p>
    <w:p>
      <w:pPr>
        <w:pStyle w:val="BodyText"/>
      </w:pPr>
      <w:r>
        <w:t xml:space="preserve">18. Appendix X (Reference Calculator, Machine Vectors, and ProofPack-Prep Roadmap)</w:t>
      </w:r>
    </w:p>
    <w:p>
      <w:pPr>
        <w:pStyle w:val="BodyText"/>
      </w:pPr>
      <w:r>
        <w:t xml:space="preserve">19. Appendix Y (Precision Patch: Legitimacy, Evidence Status, Validation, and Adoption Profiles)</w:t>
      </w:r>
    </w:p>
    <w:p>
      <w:pPr>
        <w:pStyle w:val="BodyText"/>
      </w:pPr>
      <w:r>
        <w:t xml:space="preserve">20. Appendix Z (Integration-Hardening Addendum)</w:t>
      </w:r>
    </w:p>
    <w:p>
      <w:pPr>
        <w:pStyle w:val="BodyText"/>
      </w:pPr>
      <w:r>
        <w:t xml:space="preserve">21. Appendix AA (Package-Content Boundary and Tooling-Line Separation)</w:t>
      </w:r>
    </w:p>
    <w:p>
      <w:pPr>
        <w:pStyle w:val="BodyText"/>
      </w:pPr>
      <w:r>
        <w:t xml:space="preserve">22. Appendix AB (Reference Structure Protocol)</w:t>
      </w:r>
    </w:p>
    <w:p>
      <w:pPr>
        <w:pStyle w:val="BodyText"/>
      </w:pPr>
      <w:r>
        <w:t xml:space="preserve">23. Appendix A (Symbols, Domains, and Notation Canon)</w:t>
      </w:r>
    </w:p>
    <w:p>
      <w:pPr>
        <w:pStyle w:val="BodyText"/>
      </w:pPr>
      <w:r>
        <w:t xml:space="preserve">24. Appendix N (Stewardship Pack Canon)</w:t>
      </w:r>
    </w:p>
    <w:p>
      <w:pPr>
        <w:pStyle w:val="BodyText"/>
      </w:pPr>
      <w:r>
        <w:t xml:space="preserve">25. Appendix F (Failure Modes and Anti-Gaming Controls)</w:t>
      </w:r>
    </w:p>
    <w:p>
      <w:pPr>
        <w:pStyle w:val="BodyText"/>
      </w:pPr>
      <w:r>
        <w:t xml:space="preserve">26. Appendix J (Pre-Registration Templates and Scoring Definitions)</w:t>
      </w:r>
    </w:p>
    <w:p>
      <w:pPr>
        <w:pStyle w:val="BodyText"/>
      </w:pPr>
      <w:r>
        <w:t xml:space="preserve">27. 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pStyle w:val="BodyText"/>
      </w:pPr>
      <w:r>
        <w:t xml:space="preserve">28. Appendix AK (Computability vs Realizability Bridge): normative implementation clarification for the boundary that computed/generated possibility is not grounded, selectable, executable, or ethical by itself. Subordinate to the main text, equations, RF/NCRC, TRC, CSV, RLS, and claim boundaries; it does not add a public gate.</w:t>
      </w:r>
    </w:p>
    <w:p>
      <w:pPr>
        <w:pStyle w:val="BodyText"/>
      </w:pPr>
      <w:r>
        <w:t xml:space="preserve">29. Examples, templates, and illustrative values (non-normative; includes Appendix K unless a future version explicitly elevates a named subsection)</w:t>
      </w:r>
    </w:p>
    <w:p>
      <w:pPr>
        <w:pStyle w:val="BodyText"/>
      </w:pPr>
      <w:r>
        <w:t xml:space="preserve">30. Appendix O (Conformance Reference Map; informative pointer layer only)</w:t>
      </w:r>
    </w:p>
    <w:p>
      <w:pPr>
        <w:pStyle w:val="BodyText"/>
      </w:pPr>
      <w:r>
        <w:t xml:space="preserve">Note (Informative). Version history and release notes are recorded in Appendix M and do not control normative meaning.</w:t>
      </w:r>
    </w:p>
    <w:bookmarkEnd w:id="567"/>
    <w:bookmarkStart w:id="568" w:name="X615250b061b429085ef864a10ab1f0122124239"/>
    <w:p>
      <w:pPr>
        <w:pStyle w:val="Heading2"/>
      </w:pPr>
      <w:r>
        <w:t xml:space="preserve">0.2 Tier contract and claims (v11.4 Canon line; Core Release 2026.09 package line) Tier 1-3: Executable in the v11.4 Canon release line, subject to stated minimum requirements. The Core Release 2026.09 package line contains Canon v11.4 / SGP v6.4 / ripple.md v4.4 / Agent System v11.4 / Primer v3.4 / Aligners Sheet v4.4. Any conformance claim against this release MUST pin to the v11.4 Canon artifact and the matching package manifest and hashes. Tier 4: PROHIBITED to claim in this release (design target only). Any Tier-4 content remains informational architecture describing what becomes claimable only after ProofPack publication and independent replayability.</w:t>
      </w:r>
    </w:p>
    <w:bookmarkEnd w:id="568"/>
    <w:bookmarkStart w:id="569" w:name="Xd0306e1e74163afef972786ac848c8be8683d2c"/>
    <w:p>
      <w:pPr>
        <w:pStyle w:val="Heading2"/>
      </w:pPr>
      <w:r>
        <w:t xml:space="preserve">0.3 Conformance vocabulary (Normative) RippleLogic uses distinct predicates; implementations MUST NOT collapse them.</w:t>
      </w:r>
    </w:p>
    <w:p>
      <w:pPr>
        <w:numPr>
          <w:ilvl w:val="0"/>
          <w:numId w:val="1432"/>
        </w:numPr>
      </w:pPr>
      <w:r>
        <w:t xml:space="preserve">Rights-admissible: passes NCRC.</w:t>
      </w:r>
    </w:p>
    <w:p>
      <w:pPr>
        <w:numPr>
          <w:ilvl w:val="0"/>
          <w:numId w:val="1432"/>
        </w:numPr>
      </w:pPr>
      <w:r>
        <w:t xml:space="preserve">Admissible: passes NCRC and TRC. Formally: Admissible(a) := NCRC(a) AND TRC(a).</w:t>
      </w:r>
    </w:p>
    <w:p>
      <w:pPr>
        <w:numPr>
          <w:ilvl w:val="0"/>
          <w:numId w:val="1432"/>
        </w:numPr>
      </w:pPr>
      <w:r>
        <w:t xml:space="preserve">Selectable: admissible and passes CSV (including Containment Mode A where material).</w:t>
      </w:r>
    </w:p>
    <w:p>
      <w:pPr>
        <w:numPr>
          <w:ilvl w:val="0"/>
          <w:numId w:val="1432"/>
        </w:numPr>
      </w:pPr>
      <w:r>
        <w:t xml:space="preserve">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bookmarkEnd w:id="569"/>
    <w:bookmarkStart w:id="570" w:name="X6339b216fa8f43411cc19bbd31b1c1d6597fec7"/>
    <w:p>
      <w:pPr>
        <w:pStyle w:val="Heading2"/>
      </w:pPr>
      <w:r>
        <w:t xml:space="preserve">0.4 Consolidated symbols and core objects (Normative; v11.4) Terminology note (Normative). Since v11.0 and carried forward in v11.4, u indexes Union Scopes (short: Scopes).</w:t>
      </w:r>
      <w:r>
        <w:t xml:space="preserve"> </w:t>
      </w:r>
      <w:r>
        <w:t xml:space="preserve">“</w:t>
      </w:r>
      <w:r>
        <w:t xml:space="preserve">Union(s)</w:t>
      </w:r>
      <w:r>
        <w:t xml:space="preserve">”</w:t>
      </w:r>
      <w:r>
        <w:t xml:space="preserve"> </w:t>
      </w:r>
      <w:r>
        <w:t xml:space="preserve">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FirstParagraph"/>
      </w:pPr>
      <w:r>
        <w:t xml:space="preserve">Table 0-1. Indices and core symbols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250"/>
        <w:gridCol w:w="4968"/>
      </w:tblGrid>
      <w:tr>
        <w:trPr>
          <w:tblHeader w:val="true"/>
          <w:cantSplit/>
        </w:trPr>
        <w:tc>
          <w:tcPr>
            <w:tcW w:w="4250"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Symbol</w:t>
            </w:r>
          </w:p>
        </w:tc>
        <w:tc>
          <w:tcPr>
            <w:tcW w:w="4968"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u ∈ {1,…,7}</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Union Scope (Scope) index (legacy alias: union)</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d ∈ {1,…,7}</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Dimension index</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a ∈ O</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Candidate option</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s ∈ S</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Scenario index</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r ∈ R</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Right index</w:t>
            </w:r>
          </w:p>
        </w:tc>
      </w:tr>
      <w:tr>
        <w:trPr>
          <w:cantSplit/>
        </w:trPr>
        <w:tc>
          <w:tcPr>
            <w:tcW w:w="4250" w:type="dxa"/>
            <w:vAlign w:val="top"/>
            <w:tcMar>
              <w:top w:w="70" w:type="dxa"/>
              <w:start w:w="90" w:type="dxa"/>
              <w:bottom w:w="70" w:type="dxa"/>
              <w:end w:w="90" w:type="dxa"/>
            </w:tcMar>
            <w:shd w:fill="F3F7FB" w:val="clear"/>
          </w:tcPr>
          <w:p>
            <w:pPr>
              <w:pStyle w:val="Compact"/>
              <w:spacing w:before="0" w:after="0"/>
              <w:jc w:val="left"/>
            </w:pPr>
            <w:r>
              <w:rPr>
                <w:sz w:val="19"/>
              </w:rPr>
              <w:t xml:space="preserve">k</w:t>
            </w:r>
          </w:p>
        </w:tc>
        <w:tc>
          <w:tcPr>
            <w:tcW w:w="4968" w:type="dxa"/>
            <w:vAlign w:val="top"/>
            <w:tcMar>
              <w:top w:w="70" w:type="dxa"/>
              <w:start w:w="90" w:type="dxa"/>
              <w:bottom w:w="70" w:type="dxa"/>
              <w:end w:w="90" w:type="dxa"/>
            </w:tcMar>
            <w:shd w:fill="F3F7FB" w:val="clear"/>
          </w:tcPr>
          <w:p>
            <w:pPr>
              <w:pStyle w:val="Compact"/>
              <w:spacing w:before="0" w:after="0"/>
              <w:jc w:val="left"/>
            </w:pPr>
            <w:r>
              <w:rPr>
                <w:sz w:val="19"/>
              </w:rPr>
              <w:t xml:space="preserve">Impact instance index</w:t>
            </w:r>
          </w:p>
        </w:tc>
      </w:tr>
      <w:tr>
        <w:trPr>
          <w:cantSplit/>
        </w:trPr>
        <w:tc>
          <w:tcPr>
            <w:tcW w:w="4250" w:type="dxa"/>
            <w:vAlign w:val="top"/>
            <w:tcMar>
              <w:top w:w="70" w:type="dxa"/>
              <w:start w:w="90" w:type="dxa"/>
              <w:bottom w:w="70" w:type="dxa"/>
              <w:end w:w="90" w:type="dxa"/>
            </w:tcMar>
            <w:shd w:fill="FFFFFF" w:val="clear"/>
          </w:tcPr>
          <w:p>
            <w:pPr>
              <w:pStyle w:val="Compact"/>
              <w:spacing w:before="0" w:after="0"/>
              <w:jc w:val="left"/>
            </w:pPr>
            <w:r>
              <w:rPr>
                <w:sz w:val="19"/>
              </w:rPr>
              <w:t xml:space="preserve">g ∈ G_{u,d}</w:t>
            </w:r>
          </w:p>
        </w:tc>
        <w:tc>
          <w:tcPr>
            <w:tcW w:w="4968" w:type="dxa"/>
            <w:vAlign w:val="top"/>
            <w:tcMar>
              <w:top w:w="70" w:type="dxa"/>
              <w:start w:w="90" w:type="dxa"/>
              <w:bottom w:w="70" w:type="dxa"/>
              <w:end w:w="90" w:type="dxa"/>
            </w:tcMar>
            <w:shd w:fill="FFFFFF" w:val="clear"/>
          </w:tcPr>
          <w:p>
            <w:pPr>
              <w:pStyle w:val="Compact"/>
              <w:spacing w:before="0" w:after="0"/>
              <w:jc w:val="left"/>
            </w:pPr>
            <w:r>
              <w:rPr>
                <w:sz w:val="19"/>
              </w:rPr>
              <w:t xml:space="preserve">Protected subgroup index (for rights checking)</w:t>
            </w:r>
          </w:p>
        </w:tc>
      </w:tr>
    </w:tbl>
    <w:p>
      <w:pPr>
        <w:pStyle w:val="BodyText"/>
      </w:pPr>
      <w:r>
        <w:t xml:space="preserve">Table 0-2. Core sets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411"/>
        <w:gridCol w:w="4807"/>
      </w:tblGrid>
      <w:tr>
        <w:trPr>
          <w:tblHeader w:val="true"/>
          <w:cantSplit/>
        </w:trPr>
        <w:tc>
          <w:tcPr>
            <w:tcW w:w="4411"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Set</w:t>
            </w:r>
          </w:p>
        </w:tc>
        <w:tc>
          <w:tcPr>
            <w:tcW w:w="4807"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Definition</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U = {U₁,…,U₇}</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Operational Scopes</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D = {D₁,…,D₇}</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Welfare dimensions</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R</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Rights set: {LIFE, BODY, LBTY, NEED, DIGN, PROC, INFO, ECOL}</w:t>
            </w:r>
          </w:p>
        </w:tc>
      </w:tr>
      <w:tr>
        <w:trPr>
          <w:cantSplit/>
        </w:trPr>
        <w:tc>
          <w:tcPr>
            <w:tcW w:w="4411" w:type="dxa"/>
            <w:vAlign w:val="top"/>
            <w:tcMar>
              <w:top w:w="70" w:type="dxa"/>
              <w:start w:w="90" w:type="dxa"/>
              <w:bottom w:w="70" w:type="dxa"/>
              <w:end w:w="90" w:type="dxa"/>
            </w:tcMar>
            <w:shd w:fill="F3F7FB" w:val="clear"/>
          </w:tcPr>
          <w:p>
            <w:pPr>
              <w:pStyle w:val="Compact"/>
              <w:spacing w:before="0" w:after="0"/>
              <w:jc w:val="left"/>
            </w:pPr>
            <w:r>
              <w:rPr>
                <w:sz w:val="19"/>
              </w:rPr>
              <w:t xml:space="preserve">C_r ⊆ U×D</w:t>
            </w:r>
          </w:p>
        </w:tc>
        <w:tc>
          <w:tcPr>
            <w:tcW w:w="4807" w:type="dxa"/>
            <w:vAlign w:val="top"/>
            <w:tcMar>
              <w:top w:w="70" w:type="dxa"/>
              <w:start w:w="90" w:type="dxa"/>
              <w:bottom w:w="70" w:type="dxa"/>
              <w:end w:w="90" w:type="dxa"/>
            </w:tcMar>
            <w:shd w:fill="F3F7FB" w:val="clear"/>
          </w:tcPr>
          <w:p>
            <w:pPr>
              <w:pStyle w:val="Compact"/>
              <w:spacing w:before="0" w:after="0"/>
              <w:jc w:val="left"/>
            </w:pPr>
            <w:r>
              <w:rPr>
                <w:sz w:val="19"/>
              </w:rPr>
              <w:t xml:space="preserve">Rights coverage sets</w:t>
            </w:r>
          </w:p>
        </w:tc>
      </w:tr>
      <w:tr>
        <w:trPr>
          <w:cantSplit/>
        </w:trPr>
        <w:tc>
          <w:tcPr>
            <w:tcW w:w="4411" w:type="dxa"/>
            <w:vAlign w:val="top"/>
            <w:tcMar>
              <w:top w:w="70" w:type="dxa"/>
              <w:start w:w="90" w:type="dxa"/>
              <w:bottom w:w="70" w:type="dxa"/>
              <w:end w:w="90" w:type="dxa"/>
            </w:tcMar>
            <w:shd w:fill="FFFFFF" w:val="clear"/>
          </w:tcPr>
          <w:p>
            <w:pPr>
              <w:pStyle w:val="Compact"/>
              <w:spacing w:before="0" w:after="0"/>
              <w:jc w:val="left"/>
            </w:pPr>
            <w:r>
              <w:rPr>
                <w:sz w:val="19"/>
              </w:rPr>
              <w:t xml:space="preserve">C_cat ⊆ U×D</w:t>
            </w:r>
          </w:p>
        </w:tc>
        <w:tc>
          <w:tcPr>
            <w:tcW w:w="4807" w:type="dxa"/>
            <w:vAlign w:val="top"/>
            <w:tcMar>
              <w:top w:w="70" w:type="dxa"/>
              <w:start w:w="90" w:type="dxa"/>
              <w:bottom w:w="70" w:type="dxa"/>
              <w:end w:w="90" w:type="dxa"/>
            </w:tcMar>
            <w:shd w:fill="FFFFFF" w:val="clear"/>
          </w:tcPr>
          <w:p>
            <w:pPr>
              <w:pStyle w:val="Compact"/>
              <w:spacing w:before="0" w:after="0"/>
              <w:jc w:val="left"/>
            </w:pPr>
            <w:r>
              <w:rPr>
                <w:sz w:val="19"/>
              </w:rPr>
              <w:t xml:space="preserve">Catastrophe cell set for TRC</w:t>
            </w:r>
          </w:p>
        </w:tc>
      </w:tr>
    </w:tbl>
    <w:p>
      <w:pPr>
        <w:pStyle w:val="BodyText"/>
      </w:pPr>
      <w:r>
        <w:t xml:space="preserve">Table 0-3. Welfare impact objects (all options a)</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299"/>
        <w:gridCol w:w="3385"/>
        <w:gridCol w:w="2533"/>
      </w:tblGrid>
      <w:tr>
        <w:trPr>
          <w:tblHeader w:val="true"/>
          <w:cantSplit/>
        </w:trPr>
        <w:tc>
          <w:tcPr>
            <w:tcW w:w="329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385"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253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Range</w:t>
            </w:r>
          </w:p>
        </w:tc>
      </w:tr>
      <w:tr>
        <w:trPr>
          <w:cantSplit/>
        </w:trPr>
        <w:tc>
          <w:tcPr>
            <w:tcW w:w="3299" w:type="dxa"/>
            <w:vAlign w:val="top"/>
            <w:tcMar>
              <w:top w:w="70" w:type="dxa"/>
              <w:start w:w="90" w:type="dxa"/>
              <w:bottom w:w="70" w:type="dxa"/>
              <w:end w:w="90" w:type="dxa"/>
            </w:tcMar>
            <w:shd w:fill="FFFFFF" w:val="clear"/>
          </w:tcPr>
          <w:p>
            <w:pPr>
              <w:pStyle w:val="Compact"/>
              <w:spacing w:before="0" w:after="0"/>
              <w:jc w:val="left"/>
            </w:pPr>
            <w:r>
              <w:rPr>
                <w:sz w:val="18"/>
              </w:rPr>
              <w:t xml:space="preserve">I_dir(u,d,a)</w:t>
            </w:r>
          </w:p>
        </w:tc>
        <w:tc>
          <w:tcPr>
            <w:tcW w:w="3385" w:type="dxa"/>
            <w:vAlign w:val="top"/>
            <w:tcMar>
              <w:top w:w="70" w:type="dxa"/>
              <w:start w:w="90" w:type="dxa"/>
              <w:bottom w:w="70" w:type="dxa"/>
              <w:end w:w="90" w:type="dxa"/>
            </w:tcMar>
            <w:shd w:fill="FFFFFF" w:val="clear"/>
          </w:tcPr>
          <w:p>
            <w:pPr>
              <w:pStyle w:val="Compact"/>
              <w:spacing w:before="0" w:after="0"/>
              <w:jc w:val="left"/>
            </w:pPr>
            <w:r>
              <w:rPr>
                <w:sz w:val="18"/>
              </w:rPr>
              <w:t xml:space="preserve">Direct impact (post-saturation)</w:t>
            </w:r>
          </w:p>
        </w:tc>
        <w:tc>
          <w:tcPr>
            <w:tcW w:w="2533" w:type="dxa"/>
            <w:vAlign w:val="top"/>
            <w:tcMar>
              <w:top w:w="70" w:type="dxa"/>
              <w:start w:w="90" w:type="dxa"/>
              <w:bottom w:w="70" w:type="dxa"/>
              <w:end w:w="90" w:type="dxa"/>
            </w:tcMar>
            <w:shd w:fill="FFFFFF" w:val="clear"/>
          </w:tcPr>
          <w:p>
            <w:pPr>
              <w:pStyle w:val="Compact"/>
              <w:spacing w:before="0" w:after="0"/>
              <w:jc w:val="left"/>
            </w:pPr>
            <w:r>
              <w:rPr>
                <w:sz w:val="18"/>
              </w:rPr>
              <w:t xml:space="preserve">[-1,+1]</w:t>
            </w:r>
          </w:p>
        </w:tc>
      </w:tr>
      <w:tr>
        <w:trPr>
          <w:cantSplit/>
        </w:trPr>
        <w:tc>
          <w:tcPr>
            <w:tcW w:w="3299" w:type="dxa"/>
            <w:vAlign w:val="top"/>
            <w:tcMar>
              <w:top w:w="70" w:type="dxa"/>
              <w:start w:w="90" w:type="dxa"/>
              <w:bottom w:w="70" w:type="dxa"/>
              <w:end w:w="90" w:type="dxa"/>
            </w:tcMar>
            <w:shd w:fill="F3F7FB" w:val="clear"/>
          </w:tcPr>
          <w:p>
            <w:pPr>
              <w:pStyle w:val="Compact"/>
              <w:spacing w:before="0" w:after="0"/>
              <w:jc w:val="left"/>
            </w:pPr>
            <w:r>
              <w:rPr>
                <w:sz w:val="18"/>
              </w:rPr>
              <w:t xml:space="preserve">I_prop(u,d,a)</w:t>
            </w:r>
          </w:p>
        </w:tc>
        <w:tc>
          <w:tcPr>
            <w:tcW w:w="3385" w:type="dxa"/>
            <w:vAlign w:val="top"/>
            <w:tcMar>
              <w:top w:w="70" w:type="dxa"/>
              <w:start w:w="90" w:type="dxa"/>
              <w:bottom w:w="70" w:type="dxa"/>
              <w:end w:w="90" w:type="dxa"/>
            </w:tcMar>
            <w:shd w:fill="F3F7FB" w:val="clear"/>
          </w:tcPr>
          <w:p>
            <w:pPr>
              <w:pStyle w:val="Compact"/>
              <w:spacing w:before="0" w:after="0"/>
              <w:jc w:val="left"/>
            </w:pPr>
            <w:r>
              <w:rPr>
                <w:sz w:val="18"/>
              </w:rPr>
              <w:t xml:space="preserve">Propagated impact (post-saturation)</w:t>
            </w:r>
          </w:p>
        </w:tc>
        <w:tc>
          <w:tcPr>
            <w:tcW w:w="2533"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r>
      <w:tr>
        <w:trPr>
          <w:cantSplit/>
        </w:trPr>
        <w:tc>
          <w:tcPr>
            <w:tcW w:w="3299" w:type="dxa"/>
            <w:vAlign w:val="top"/>
            <w:tcMar>
              <w:top w:w="70" w:type="dxa"/>
              <w:start w:w="90" w:type="dxa"/>
              <w:bottom w:w="70" w:type="dxa"/>
              <w:end w:w="90" w:type="dxa"/>
            </w:tcMar>
            <w:shd w:fill="FFFFFF" w:val="clear"/>
          </w:tcPr>
          <w:p>
            <w:pPr>
              <w:pStyle w:val="Compact"/>
              <w:spacing w:before="0" w:after="0"/>
              <w:jc w:val="left"/>
            </w:pPr>
            <w:r>
              <w:rPr>
                <w:sz w:val="18"/>
              </w:rPr>
              <w:t xml:space="preserve">I_rights(u,d,a)</w:t>
            </w:r>
          </w:p>
        </w:tc>
        <w:tc>
          <w:tcPr>
            <w:tcW w:w="3385" w:type="dxa"/>
            <w:vAlign w:val="top"/>
            <w:tcMar>
              <w:top w:w="70" w:type="dxa"/>
              <w:start w:w="90" w:type="dxa"/>
              <w:bottom w:w="70" w:type="dxa"/>
              <w:end w:w="90" w:type="dxa"/>
            </w:tcMar>
            <w:shd w:fill="FFFFFF" w:val="clear"/>
          </w:tcPr>
          <w:p>
            <w:pPr>
              <w:pStyle w:val="Compact"/>
              <w:spacing w:before="0" w:after="0"/>
              <w:jc w:val="left"/>
            </w:pPr>
            <w:r>
              <w:rPr>
                <w:sz w:val="18"/>
              </w:rPr>
              <w:t xml:space="preserve">Rights worst-off subgroup impact</w:t>
            </w:r>
          </w:p>
        </w:tc>
        <w:tc>
          <w:tcPr>
            <w:tcW w:w="2533" w:type="dxa"/>
            <w:vAlign w:val="top"/>
            <w:tcMar>
              <w:top w:w="70" w:type="dxa"/>
              <w:start w:w="90" w:type="dxa"/>
              <w:bottom w:w="70" w:type="dxa"/>
              <w:end w:w="90" w:type="dxa"/>
            </w:tcMar>
            <w:shd w:fill="FFFFFF" w:val="clear"/>
          </w:tcPr>
          <w:p>
            <w:pPr>
              <w:pStyle w:val="Compact"/>
              <w:spacing w:before="0" w:after="0"/>
              <w:jc w:val="left"/>
            </w:pPr>
            <w:r>
              <w:rPr>
                <w:sz w:val="18"/>
              </w:rPr>
              <w:t xml:space="preserve">[-1,+1]</w:t>
            </w:r>
          </w:p>
        </w:tc>
      </w:tr>
    </w:tbl>
    <w:p>
      <w:pPr>
        <w:pStyle w:val="BodyText"/>
      </w:pPr>
      <w:r>
        <w:t xml:space="preserve">Table 0-4. Kernel, weights, and tail-risk symbols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899"/>
        <w:gridCol w:w="3159"/>
        <w:gridCol w:w="3159"/>
      </w:tblGrid>
      <w:tr>
        <w:trPr>
          <w:tblHeader w:val="true"/>
          <w:cantSplit/>
        </w:trPr>
        <w:tc>
          <w:tcPr>
            <w:tcW w:w="289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15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3159"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Constraint / Notes</w:t>
            </w:r>
          </w:p>
        </w:tc>
      </w:tr>
      <w:tr>
        <w:trPr>
          <w:cantSplit/>
        </w:trPr>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K ∈ ℝ^{49×49}</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Ripple kernel matrix (sparse)</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Convention: K_{ij} maps source j to target i (target-row, source-column)</w:t>
            </w:r>
          </w:p>
        </w:tc>
      </w:tr>
      <w:tr>
        <w:trPr>
          <w:cantSplit/>
        </w:trPr>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w_u</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Union weights</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w_u ≥ 0, Σ_u w_u = 1</w:t>
            </w:r>
          </w:p>
        </w:tc>
      </w:tr>
      <w:tr>
        <w:trPr>
          <w:cantSplit/>
        </w:trPr>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v_d</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Dimension weights</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v_d ≥ 0, Σ_d v_d = 1</w:t>
            </w:r>
          </w:p>
        </w:tc>
      </w:tr>
      <w:tr>
        <w:trPr>
          <w:cantSplit/>
        </w:trPr>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m(u,d)</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Applicability mask</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m ∈ {0,1} (RLS aggregation only)</w:t>
            </w:r>
          </w:p>
        </w:tc>
      </w:tr>
      <w:tr>
        <w:trPr>
          <w:cantSplit/>
        </w:trPr>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p_s</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Scenario probabilities</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p_s ≥ 0, Σ_s p_s = 1</w:t>
            </w:r>
          </w:p>
        </w:tc>
      </w:tr>
      <w:tr>
        <w:trPr>
          <w:cantSplit/>
        </w:trPr>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ω_c</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Catastrophe weights</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ω_c ≥ 0, Σ_{c∈C_cat} ω_c = 1</w:t>
            </w:r>
          </w:p>
        </w:tc>
      </w:tr>
      <w:tr>
        <w:trPr>
          <w:cantSplit/>
        </w:trPr>
        <w:tc>
          <w:tcPr>
            <w:tcW w:w="2899" w:type="dxa"/>
            <w:vAlign w:val="top"/>
            <w:tcMar>
              <w:top w:w="70" w:type="dxa"/>
              <w:start w:w="90" w:type="dxa"/>
              <w:bottom w:w="70" w:type="dxa"/>
              <w:end w:w="90" w:type="dxa"/>
            </w:tcMar>
            <w:shd w:fill="FFFFFF" w:val="clear"/>
          </w:tcPr>
          <w:p>
            <w:pPr>
              <w:pStyle w:val="Compact"/>
              <w:spacing w:before="0" w:after="0"/>
              <w:jc w:val="left"/>
            </w:pPr>
            <w:r>
              <w:rPr>
                <w:sz w:val="18"/>
              </w:rPr>
              <w:t xml:space="preserve">α</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CVaR tail level</w:t>
            </w:r>
          </w:p>
        </w:tc>
        <w:tc>
          <w:tcPr>
            <w:tcW w:w="3159" w:type="dxa"/>
            <w:vAlign w:val="top"/>
            <w:tcMar>
              <w:top w:w="70" w:type="dxa"/>
              <w:start w:w="90" w:type="dxa"/>
              <w:bottom w:w="70" w:type="dxa"/>
              <w:end w:w="90" w:type="dxa"/>
            </w:tcMar>
            <w:shd w:fill="FFFFFF" w:val="clear"/>
          </w:tcPr>
          <w:p>
            <w:pPr>
              <w:pStyle w:val="Compact"/>
              <w:spacing w:before="0" w:after="0"/>
              <w:jc w:val="left"/>
            </w:pPr>
            <w:r>
              <w:rPr>
                <w:sz w:val="18"/>
              </w:rPr>
              <w:t xml:space="preserve">α ∈ (0,1)</w:t>
            </w:r>
          </w:p>
        </w:tc>
      </w:tr>
      <w:tr>
        <w:trPr>
          <w:cantSplit/>
        </w:trPr>
        <w:tc>
          <w:tcPr>
            <w:tcW w:w="2899" w:type="dxa"/>
            <w:vAlign w:val="top"/>
            <w:tcMar>
              <w:top w:w="70" w:type="dxa"/>
              <w:start w:w="90" w:type="dxa"/>
              <w:bottom w:w="70" w:type="dxa"/>
              <w:end w:w="90" w:type="dxa"/>
            </w:tcMar>
            <w:shd w:fill="F3F7FB" w:val="clear"/>
          </w:tcPr>
          <w:p>
            <w:pPr>
              <w:pStyle w:val="Compact"/>
              <w:spacing w:before="0" w:after="0"/>
              <w:jc w:val="left"/>
            </w:pPr>
            <w:r>
              <w:rPr>
                <w:sz w:val="18"/>
              </w:rPr>
              <w:t xml:space="preserve">τ_TRC</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Corridor threshold</w:t>
            </w:r>
          </w:p>
        </w:tc>
        <w:tc>
          <w:tcPr>
            <w:tcW w:w="3159" w:type="dxa"/>
            <w:vAlign w:val="top"/>
            <w:tcMar>
              <w:top w:w="70" w:type="dxa"/>
              <w:start w:w="90" w:type="dxa"/>
              <w:bottom w:w="70" w:type="dxa"/>
              <w:end w:w="90" w:type="dxa"/>
            </w:tcMar>
            <w:shd w:fill="F3F7FB" w:val="clear"/>
          </w:tcPr>
          <w:p>
            <w:pPr>
              <w:pStyle w:val="Compact"/>
              <w:spacing w:before="0" w:after="0"/>
              <w:jc w:val="left"/>
            </w:pPr>
            <w:r>
              <w:rPr>
                <w:sz w:val="18"/>
              </w:rPr>
              <w:t xml:space="preserve">τ_TRC ∈ (0,1]</w:t>
            </w:r>
          </w:p>
        </w:tc>
      </w:tr>
    </w:tbl>
    <w:p>
      <w:pPr>
        <w:pStyle w:val="BodyText"/>
      </w:pPr>
      <w:r>
        <w:t xml:space="preserve">Table 0-5. Structural metrics</w:t>
      </w:r>
    </w:p>
    <w:tbl>
      <w:tblPr>
        <w:tblStyle w:val="Table"/>
        <w:tblW w:type="pct" w:w="5000"/>
        <w:tblLook w:firstRow="1" w:lastRow="0" w:firstColumn="0" w:lastColumn="0" w:noHBand="0" w:noVBand="0" w:val="0020"/>
        <w:tblLayout w:type="fixed"/>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817"/>
        <w:gridCol w:w="3583"/>
        <w:gridCol w:w="2817"/>
      </w:tblGrid>
      <w:tr>
        <w:trPr>
          <w:tblHeader w:val="true"/>
          <w:cantSplit/>
        </w:trPr>
        <w:tc>
          <w:tcPr>
            <w:tcW w:w="281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Symbol</w:t>
            </w:r>
          </w:p>
        </w:tc>
        <w:tc>
          <w:tcPr>
            <w:tcW w:w="358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281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Range</w:t>
            </w:r>
          </w:p>
        </w:tc>
      </w:tr>
      <w:tr>
        <w:trPr>
          <w:cantSplit/>
        </w:trPr>
        <w:tc>
          <w:tcPr>
            <w:tcW w:w="2817" w:type="dxa"/>
            <w:vAlign w:val="top"/>
            <w:tcMar>
              <w:top w:w="70" w:type="dxa"/>
              <w:start w:w="90" w:type="dxa"/>
              <w:bottom w:w="70" w:type="dxa"/>
              <w:end w:w="90" w:type="dxa"/>
            </w:tcMar>
            <w:shd w:fill="FFFFFF" w:val="clear"/>
          </w:tcPr>
          <w:p>
            <w:pPr>
              <w:pStyle w:val="Compact"/>
              <w:spacing w:before="0" w:after="0"/>
              <w:jc w:val="left"/>
            </w:pPr>
            <w:r>
              <w:rPr>
                <w:sz w:val="18"/>
              </w:rPr>
              <w:t xml:space="preserve">UCI_u</w:t>
            </w:r>
          </w:p>
        </w:tc>
        <w:tc>
          <w:tcPr>
            <w:tcW w:w="3583" w:type="dxa"/>
            <w:vAlign w:val="top"/>
            <w:tcMar>
              <w:top w:w="70" w:type="dxa"/>
              <w:start w:w="90" w:type="dxa"/>
              <w:bottom w:w="70" w:type="dxa"/>
              <w:end w:w="90" w:type="dxa"/>
            </w:tcMar>
            <w:shd w:fill="FFFFFF" w:val="clear"/>
          </w:tcPr>
          <w:p>
            <w:pPr>
              <w:pStyle w:val="Compact"/>
              <w:spacing w:before="0" w:after="0"/>
              <w:jc w:val="left"/>
            </w:pPr>
            <w:r>
              <w:rPr>
                <w:sz w:val="18"/>
              </w:rPr>
              <w:t xml:space="preserve">Union Coherence Index for scope u</w:t>
            </w:r>
          </w:p>
        </w:tc>
        <w:tc>
          <w:tcPr>
            <w:tcW w:w="2817" w:type="dxa"/>
            <w:vAlign w:val="top"/>
            <w:tcMar>
              <w:top w:w="70" w:type="dxa"/>
              <w:start w:w="90" w:type="dxa"/>
              <w:bottom w:w="70" w:type="dxa"/>
              <w:end w:w="90" w:type="dxa"/>
            </w:tcMar>
            <w:shd w:fill="FFFFFF" w:val="clear"/>
          </w:tcPr>
          <w:p>
            <w:pPr>
              <w:pStyle w:val="Compact"/>
              <w:spacing w:before="0" w:after="0"/>
              <w:jc w:val="left"/>
            </w:pPr>
            <w:r>
              <w:rPr>
                <w:sz w:val="18"/>
              </w:rPr>
              <w:t xml:space="preserve">[0,1]</w:t>
            </w:r>
          </w:p>
        </w:tc>
      </w:tr>
      <w:tr>
        <w:trPr>
          <w:cantSplit/>
        </w:trPr>
        <w:tc>
          <w:tcPr>
            <w:tcW w:w="2817" w:type="dxa"/>
            <w:vAlign w:val="top"/>
            <w:tcMar>
              <w:top w:w="70" w:type="dxa"/>
              <w:start w:w="90" w:type="dxa"/>
              <w:bottom w:w="70" w:type="dxa"/>
              <w:end w:w="90" w:type="dxa"/>
            </w:tcMar>
            <w:shd w:fill="F3F7FB" w:val="clear"/>
          </w:tcPr>
          <w:p>
            <w:pPr>
              <w:pStyle w:val="Compact"/>
              <w:spacing w:before="0" w:after="0"/>
              <w:jc w:val="left"/>
            </w:pPr>
            <w:r>
              <w:rPr>
                <w:sz w:val="18"/>
              </w:rPr>
              <w:t xml:space="preserve">ΔUCI_u(a)</w:t>
            </w:r>
          </w:p>
        </w:tc>
        <w:tc>
          <w:tcPr>
            <w:tcW w:w="3583" w:type="dxa"/>
            <w:vAlign w:val="top"/>
            <w:tcMar>
              <w:top w:w="70" w:type="dxa"/>
              <w:start w:w="90" w:type="dxa"/>
              <w:bottom w:w="70" w:type="dxa"/>
              <w:end w:w="90" w:type="dxa"/>
            </w:tcMar>
            <w:shd w:fill="F3F7FB" w:val="clear"/>
          </w:tcPr>
          <w:p>
            <w:pPr>
              <w:pStyle w:val="Compact"/>
              <w:spacing w:before="0" w:after="0"/>
              <w:jc w:val="left"/>
            </w:pPr>
            <w:r>
              <w:rPr>
                <w:sz w:val="18"/>
              </w:rPr>
              <w:t xml:space="preserve">UCI_u(a) − UCI_u(baseline)</w:t>
            </w:r>
          </w:p>
        </w:tc>
        <w:tc>
          <w:tcPr>
            <w:tcW w:w="2817" w:type="dxa"/>
            <w:vAlign w:val="top"/>
            <w:tcMar>
              <w:top w:w="70" w:type="dxa"/>
              <w:start w:w="90" w:type="dxa"/>
              <w:bottom w:w="70" w:type="dxa"/>
              <w:end w:w="90" w:type="dxa"/>
            </w:tcMar>
            <w:shd w:fill="F3F7FB" w:val="clear"/>
          </w:tcPr>
          <w:p>
            <w:pPr>
              <w:pStyle w:val="Compact"/>
              <w:spacing w:before="0" w:after="0"/>
              <w:jc w:val="left"/>
            </w:pPr>
            <w:r>
              <w:rPr>
                <w:sz w:val="18"/>
              </w:rPr>
              <w:t xml:space="preserve">[-1,+1]</w:t>
            </w:r>
          </w:p>
        </w:tc>
      </w:tr>
      <w:tr>
        <w:trPr>
          <w:cantSplit/>
        </w:trPr>
        <w:tc>
          <w:tcPr>
            <w:tcW w:w="2817" w:type="dxa"/>
            <w:vAlign w:val="top"/>
            <w:tcMar>
              <w:top w:w="70" w:type="dxa"/>
              <w:start w:w="90" w:type="dxa"/>
              <w:bottom w:w="70" w:type="dxa"/>
              <w:end w:w="90" w:type="dxa"/>
            </w:tcMar>
            <w:shd w:fill="FFFFFF" w:val="clear"/>
          </w:tcPr>
          <w:p>
            <w:pPr>
              <w:pStyle w:val="Compact"/>
              <w:spacing w:before="0" w:after="0"/>
              <w:jc w:val="left"/>
            </w:pPr>
            <w:r>
              <w:rPr>
                <w:sz w:val="18"/>
              </w:rPr>
              <w:t xml:space="preserve">HOI</w:t>
            </w:r>
          </w:p>
        </w:tc>
        <w:tc>
          <w:tcPr>
            <w:tcW w:w="3583" w:type="dxa"/>
            <w:vAlign w:val="top"/>
            <w:tcMar>
              <w:top w:w="70" w:type="dxa"/>
              <w:start w:w="90" w:type="dxa"/>
              <w:bottom w:w="70" w:type="dxa"/>
              <w:end w:w="90" w:type="dxa"/>
            </w:tcMar>
            <w:shd w:fill="FFFFFF" w:val="clear"/>
          </w:tcPr>
          <w:p>
            <w:pPr>
              <w:pStyle w:val="Compact"/>
              <w:spacing w:before="0" w:after="0"/>
              <w:jc w:val="left"/>
            </w:pPr>
            <w:r>
              <w:rPr>
                <w:sz w:val="18"/>
              </w:rPr>
              <w:t xml:space="preserve">Hollowing-Out Index (monitoring diagnostic)</w:t>
            </w:r>
          </w:p>
        </w:tc>
        <w:tc>
          <w:tcPr>
            <w:tcW w:w="2817" w:type="dxa"/>
            <w:vAlign w:val="top"/>
            <w:tcMar>
              <w:top w:w="70" w:type="dxa"/>
              <w:start w:w="90" w:type="dxa"/>
              <w:bottom w:w="70" w:type="dxa"/>
              <w:end w:w="90" w:type="dxa"/>
            </w:tcMar>
            <w:shd w:fill="FFFFFF" w:val="clear"/>
          </w:tcPr>
          <w:p>
            <w:pPr>
              <w:pStyle w:val="Compact"/>
              <w:spacing w:before="0" w:after="0"/>
              <w:jc w:val="left"/>
            </w:pPr>
            <w:r>
              <w:rPr>
                <w:sz w:val="18"/>
              </w:rPr>
              <w:t xml:space="preserve">unbounded</w:t>
            </w:r>
          </w:p>
        </w:tc>
      </w:tr>
    </w:tbl>
    <w:bookmarkEnd w:id="570"/>
    <w:bookmarkStart w:id="571" w:name="X02d4cd25add475741fe846c2b0138095eb29c98"/>
    <w:p>
      <w:pPr>
        <w:pStyle w:val="Heading2"/>
      </w:pPr>
      <w:r>
        <w:t xml:space="preserve">0.5 Version commitments (Normative; v11.4) The canonical welfare impact scale is [-1,+1] with Baseline-Zero Rule (Section 5). Optional UI scale conversion (non-normative): If a user interface uses a percent-like scale, map the canonical cell impact I(u,d,a) ∈ [-1,+1] to UI points via: points = 100 × I. All admissibility gates (NCRC, TRC, CSV) and RLS calculations MUST be performed on the canonical [-1,+1] scale, or be converted back exactly before computation. Tier 1-3 TRC uses bounded-impact loss (Section 8). Tier 4 is design target only; no Tier-4 claims permitted until ProofPack is publicly replayable. 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 UCI Equity for Biosphere (U₇): E₇ :=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pPr>
        <w:pStyle w:val="FirstParagraph"/>
      </w:pPr>
      <w:r>
        <w:t xml:space="preserve">Patch-line interpretation (Normative clarification). Unless a rule explicitly names a more specific patch version, references in section headings, appendix titles, or release notes to the current release line SHALL be interpreted as applying to the v11.4 line. Patch releases in the current release line MUST preserve the cascade architecture unless an explicit versioned change states otherwise.</w:t>
      </w:r>
    </w:p>
    <w:bookmarkEnd w:id="571"/>
    <w:bookmarkStart w:id="572" w:name="Xd23d678ba1459f499fc696e7188ffef8c9f6ce3"/>
    <w:p>
      <w:pPr>
        <w:pStyle w:val="Heading2"/>
      </w:pPr>
      <w:r>
        <w:t xml:space="preserve">0.6 Single Canonical Artifact Rule (Normative; v11.4)</w:t>
      </w:r>
    </w:p>
    <w:p>
      <w:pPr>
        <w:pStyle w:val="FirstParagraph"/>
      </w:pPr>
      <w:r>
        <w:t xml:space="preserve">This document is the single canonical RippleLogic Foundation Paper for v11.4. Any copy labeled</w:t>
      </w:r>
      <w:r>
        <w:t xml:space="preserve"> </w:t>
      </w:r>
      <w:r>
        <w:t xml:space="preserve">“</w:t>
      </w:r>
      <w:r>
        <w:t xml:space="preserve">final,</w:t>
      </w:r>
      <w:r>
        <w:t xml:space="preserve">”</w:t>
      </w:r>
      <w:r>
        <w:t xml:space="preserve"> </w:t>
      </w:r>
      <w:r>
        <w:t xml:space="preserve">“</w:t>
      </w:r>
      <w:r>
        <w:t xml:space="preserve">regen,</w:t>
      </w:r>
      <w:r>
        <w:t xml:space="preserve">”</w:t>
      </w:r>
      <w:r>
        <w:t xml:space="preserve"> </w:t>
      </w:r>
      <w:r>
        <w:t xml:space="preserve">“</w:t>
      </w:r>
      <w:r>
        <w:t xml:space="preserve">patched,</w:t>
      </w:r>
      <w:r>
        <w:t xml:space="preserve">”</w:t>
      </w:r>
      <w:r>
        <w:t xml:space="preserve"> </w:t>
      </w:r>
      <w:r>
        <w:t xml:space="preserve">“</w:t>
      </w:r>
      <w:r>
        <w:t xml:space="preserve">draft,</w:t>
      </w:r>
      <w:r>
        <w:t xml:space="preserve">”</w:t>
      </w:r>
      <w:r>
        <w:t xml:space="preserve"> </w:t>
      </w:r>
      <w:r>
        <w:t xml:space="preserve">“</w:t>
      </w:r>
      <w:r>
        <w:t xml:space="preserve">fork,</w:t>
      </w:r>
      <w:r>
        <w:t xml:space="preserve">”</w:t>
      </w:r>
      <w:r>
        <w:t xml:space="preserve"> </w:t>
      </w:r>
      <w:r>
        <w:t xml:space="preserve">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BodyText"/>
      </w:pPr>
      <w:r>
        <w:t xml:space="preserve">Retirement clause (Normative). Any earlier artifacts later labeled v11.4 that are not byte-identical to this canonical artifact are RETIRED and MUST NOT be used as sources of truth for v11.4 interpretation or for any v11.4 compliance claim. Prior v11.0 artifacts remain lineage artifacts only.</w:t>
      </w:r>
    </w:p>
    <w:p>
      <w:pPr>
        <w:pStyle w:val="BodyText"/>
      </w:pPr>
      <w:r>
        <w:t xml:space="preserve">Integrity note (Informative). The canonical hash MUST be published in a sibling release manifest rather than embedded in the document body, because any edit changes the byte stream.</w:t>
      </w:r>
    </w:p>
    <w:p>
      <w:pPr>
        <w:pStyle w:val="BodyText"/>
      </w:pPr>
      <w:r>
        <w:t xml:space="preserve">Canonical source designation (Normative). RippleLogic_v11.4_Canon.md is the canonical repository text source for this Foundation Paper. DOCX files are synchronized human-readable publication renderings, and any PDF distributed with the release is a derived render for reading and review. The release manifest identifies the exact byte streams shipped in a release. If Markdown and DOCX/PDF text diverge, the discrepancy is a release defect and the Markdown source governs until synchronized renderings are regenerated.</w:t>
      </w:r>
    </w:p>
    <w:bookmarkEnd w:id="572"/>
    <w:bookmarkStart w:id="573" w:name="X1320e1a00f71d88e4a994a67ca367b7c4980e7f"/>
    <w:p>
      <w:pPr>
        <w:pStyle w:val="Heading2"/>
      </w:pPr>
      <w:r>
        <w:t xml:space="preserve">0.7 License, Attribution, and Marks (Informative)</w:t>
      </w:r>
    </w:p>
    <w:p>
      <w:pPr>
        <w:pStyle w:val="FirstParagraph"/>
      </w:pPr>
      <w:r>
        <w:t xml:space="preserve">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w:t>
      </w:r>
      <w:r>
        <w:t xml:space="preserve"> </w:t>
      </w:r>
      <w:r>
        <w:t xml:space="preserve">“</w:t>
      </w:r>
      <w:r>
        <w:t xml:space="preserve">RippleLogic</w:t>
      </w:r>
      <w:r>
        <w:t xml:space="preserve">”</w:t>
      </w:r>
      <w:r>
        <w:t xml:space="preserve"> </w:t>
      </w:r>
      <w:r>
        <w:t xml:space="preserve">and</w:t>
      </w:r>
      <w:r>
        <w:t xml:space="preserve"> </w:t>
      </w:r>
      <w:r>
        <w:t xml:space="preserve">“</w:t>
      </w:r>
      <w:r>
        <w:t xml:space="preserve">MathGov</w:t>
      </w:r>
      <w:r>
        <w:t xml:space="preserve">”</w:t>
      </w:r>
      <w:r>
        <w:t xml:space="preserve"> </w:t>
      </w:r>
      <w:r>
        <w:t xml:space="preserve">may be used to describe compatible implementations, but trademark or branding use is governed separately by the project’s published brand guidelines (when available).</w:t>
      </w:r>
    </w:p>
    <w:bookmarkEnd w:id="573"/>
    <w:bookmarkStart w:id="574" w:name="X0786ea6629c4b7146b9d859e157af45e5f99b87"/>
    <w:p>
      <w:pPr>
        <w:pStyle w:val="Heading2"/>
      </w:pPr>
      <w:r>
        <w:t xml:space="preserve">0.8 Release Packaging and Integrity Manifests (Informative)</w:t>
      </w:r>
    </w:p>
    <w:p>
      <w:pPr>
        <w:pStyle w:val="FirstParagraph"/>
      </w:pPr>
      <w:r>
        <w:t xml:space="preserve">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bookmarkEnd w:id="574"/>
    <w:bookmarkEnd w:id="575"/>
    <w:bookmarkStart w:id="576" w:name="Xd32fa001e7c263f89bd9f422387ef16a55f9cbc"/>
    <w:p>
      <w:pPr>
        <w:pStyle w:val="Heading1"/>
      </w:pPr>
      <w:r>
        <w:t xml:space="preserve">APPENDIX AD: 49-CELL WELFARE DICTIONARY (CANONICAL INTERPRETIVE REFERENCE)</w:t>
      </w:r>
    </w:p>
    <w:p>
      <w:r>
        <w:rPr>
          <w:b w:val="0"/>
          <w:i w:val="0"/>
          <w:sz w:val="18"/>
        </w:rPr>
        <w:t>Tooling warning (Normative for implementation). Tooling MUST source rights coverage from Section 7.2 / Appendix C.2 and catastrophe cells from Section 8.2, never from Appendix AD icons. Appendix AD icons are interpretive cues, not machine-authoritative gate definitions.</w:t>
      </w:r>
    </w:p>
    <w:p>
      <w:r>
        <w:rPr>
          <w:b w:val="0"/>
          <w:i w:val="0"/>
          <w:sz w:val="18"/>
        </w:rPr>
        <w:t>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CSV, RLS, UCI/HOI, HDW, SGP, PCC, RSP/RefStructRecord, thresholds, or claim boundaries. Gate tags are contextual cues for evaluators, not automated verdicts; admissibility is determined only by running the full cascade against declared evidence in the governed system.</w:t>
      </w:r>
    </w:p>
    <w:p>
      <w:r>
        <w:rPr>
          <w:b w:val="0"/>
          <w:i w:val="0"/>
          <w:sz w:val="18"/>
        </w:rPr>
        <w:t>The welfare matrix is the surface RLS ranks on: seven union scopes (U1–U7) × seven welfare dimensions (D1–D7), giving forty-nine accountability domains. Each cell is scored on a canonical −1 to +1 scale, relative to a declared baseline. A cell score is a claim, not a vibe: it asserts what changes, for whom, how strongly, on what evidence, and under what uncertainty.</w:t>
      </w:r>
    </w:p>
    <w:p>
      <w:r>
        <w:rPr>
          <w:b w:val="0"/>
          <w:i w:val="0"/>
          <w:sz w:val="18"/>
        </w:rPr>
        <w:t>Scale. +1 strong benefit, +0.5 moderate benefit, 0 no material change from baseline — never “unknown”, −0.5 moderate harm, −1 severe harm. Where an impact is not known, the cell is marked unknown, disclosed, and escalated where gate-relevant.</w:t>
      </w:r>
    </w:p>
    <w:p>
      <w:r>
        <w:rPr>
          <w:b w:val="0"/>
          <w:i w:val="0"/>
          <w:sz w:val="18"/>
        </w:rPr>
        <w:t>Ordering. Welfare scoring is the last step, not the first. The cascade is sequenced as Reality Grounding → Rights Floor → TRC → CSV → RLS — and an option is ranked across these cells only after it has cleared the rights, tail-risk, and CSV gates. No welfare score rescues an option that failed an earlier gate.</w:t>
      </w:r>
    </w:p>
    <w:p>
      <w:r>
        <w:rPr>
          <w:b w:val="0"/>
          <w:i w:val="0"/>
          <w:sz w:val="18"/>
        </w:rPr>
        <w:t>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r>
        <w:rPr>
          <w:b w:val="0"/>
          <w:i w:val="0"/>
          <w:sz w:val="18"/>
        </w:rPr>
        <w:t>⚖ Rights-relevance cue — may require NCRC review when the cell lies in the canonical or governed rights coverage set C_r, or when the PCC declares a rights-relevant extension. The canonical C_r, not this icon alone, controls rights-covered status and non-maskability.</w:t>
      </w:r>
    </w:p>
    <w:p>
      <w:r>
        <w:rPr>
          <w:b w:val="0"/>
          <w:i w:val="0"/>
          <w:sz w:val="18"/>
        </w:rPr>
        <w:t>⚠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r>
        <w:rPr>
          <w:b w:val="0"/>
          <w:i w:val="0"/>
          <w:sz w:val="18"/>
        </w:rPr>
        <w:t>⛓ Containment-relevant — a local gain may degrade the wider scopes the decision depends on; checked before RLS.</w:t>
      </w:r>
    </w:p>
    <w:p>
      <w:r>
        <w:rPr>
          <w:b w:val="0"/>
          <w:i w:val="0"/>
          <w:sz w:val="18"/>
        </w:rPr>
        <w:t>◌ Ordinary welfare — ranked by RLS once RF/NCRC, TRC, and CSV are cleared.</w:t>
      </w:r>
    </w:p>
    <w:p>
      <w:r>
        <w:rPr>
          <w:b w:val="0"/>
          <w:i w:val="0"/>
          <w:sz w:val="18"/>
        </w:rPr>
        <w:t>? Uncertain — evidence weak or contested; mark, disclose, and escalate if gate-relevant.</w:t>
      </w:r>
    </w:p>
    <w:p>
      <w:pPr>
        <w:pStyle w:val="Heading2"/>
      </w:pPr>
      <w:r>
        <w:rPr>
          <w:b w:val="0"/>
          <w:i w:val="0"/>
        </w:rPr>
        <w:t>Appendix AD tabular dictionary</w:t>
      </w:r>
    </w:p>
    <w:p>
      <w:r>
        <w:rPr>
          <w:b w:val="0"/>
          <w:i w:val="0"/>
          <w:sz w:val="18"/>
        </w:rPr>
        <w:t>The following seven tables preserve the complete 49-cell dictionary. They are split by union scope for readability while preserving the canonical U1/D1 through U7/D7 coordinate system.</w:t>
      </w:r>
    </w:p>
    <w:p>
      <w:pPr>
        <w:pStyle w:val="Heading3"/>
      </w:pPr>
      <w:r>
        <w:rPr>
          <w:b w:val="0"/>
          <w:i w:val="0"/>
        </w:rPr>
        <w:t>U1 Self</w:t>
      </w:r>
    </w:p>
    <w:p>
      <w:pPr>
        <w:sectPr>
          <w:pgSz w:w="12240" w:h="15840"/>
          <w:pgMar w:top="1440" w:right="1440" w:bottom="1440" w:left="1440" w:header="720" w:footer="720" w:gutter="0"/>
        </w:sectPr>
      </w:pP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U1/D1</w:t>
              <w:br/>
              <w:t>Personal Resources</w:t>
              <w:br/>
              <w:t>label: personal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An individual's economic security: income, savings, housing stability, and access to the material means of a decent life.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More stable income, affordable housing, reduced debt, secured access to essentials.</w:t>
              <w:br/>
              <w:t>−</w:t>
              <w:br/>
              <w:t>Job loss, eviction risk, debt spirals, loss of essential goods or services.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income and employment records; housing stability / eviction data; debt and arrears; cost-of-living and benefit uptake</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w:t>
              <w:br/>
              <w:t>Ordinary welfare in most cases; can escalate to rights-covered where a subsistence or social-minimum floor is legally recognised.</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wage policy that lifts low-income workers above a local living-wage line improves U1/D1.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the income/housing change is measured against a declared baseline cohort, not anecdote.</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U1/D2</w:t>
              <w:br/>
              <w:t>Personal Health</w:t>
              <w:br/>
              <w:t>label: personal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individual's physical and mental health, safety, and bodily integrity.</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Lower injury/illness risk, better access to care, improved mental health, safer conditions.</w:t>
              <w:br/>
              <w:t>−</w:t>
              <w:br/>
              <w:t>Injury, illness, untreated conditions, exposure to hazards, deteriorating mental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morbidity / mortality data; care access and waiting times; injury and exposure records; validated mental-health measures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Ordinary</w:t>
              <w:br/>
              <w:t>Frequently rights-covered: bodily integrity and access-to-care floors can trigger NCRC. Severe individual harm escalates regardless of aggregate benefit.</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treatment-access change that removes a barrier for a chronic-illness group improves U1/D2.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asks whether a claimed health gain rests on outcome data or only on inputs (e.g. clinics built ≠ health improved).</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U1/D3</w:t>
              <w:br/>
              <w:t>Relationships</w:t>
              <w:br/>
              <w:t>label: relationships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quality and stability of a person's close personal relationships and social connection.</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bonds, reduced isolation, more supportive networks.</w:t>
              <w:br/>
              <w:t>−</w:t>
              <w:br/>
              <w:t>Isolation, relationship breakdown, forced separation, loss of support.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loneliness / connection surveys; support-network mapping; separation or displacement records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Uncertain</w:t>
              <w:br/>
              <w:t>Usually ordinary welfare; measurement is often soft, so uncertainty should be marked explicitly.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relocation program that keeps support networks intact protects U1/D3.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challenges whether a relationship claim is evidenced or inferred from a proxy like attendance.</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U1/D4</w:t>
              <w:br/>
              <w:t>Learning</w:t>
              <w:br/>
              <w:t>label: learning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individual's access to education, skills, and the capacity to learn and develop.</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access to learning, skill gains, expanded opportunity.</w:t>
              <w:br/>
              <w:t>−</w:t>
              <w:br/>
              <w:t>Lost access to education, deskilling, barriers to learning.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enrolment and completion; skills assessments; access and dropout data</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Ordinary</w:t>
              <w:br/>
              <w:t>Ordinary welfare; can touch rights where a basic-education entitlement exists.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reskilling program for displaced workers improves U1/D4.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asks whether learning outcomes are demonstrated or only opportunity offered.</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U1/D5</w:t>
              <w:br/>
              <w:t>Personal Agency</w:t>
              <w:br/>
              <w:t>label: autonomy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person's real ability to choose, refuse, consent, act, and shape their own life path.</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More autonomy, better options, stronger consent, freedom from coercion and surveillance.</w:t>
              <w:br/>
              <w:t>−</w:t>
              <w:br/>
              <w:t>Coercion, manipulation, surveillance, forced dependency, loss of meaningful choice.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consent quality; availability of alternatives / opt-out; coercion complaints; mobility and accessibility data; applicable legal protections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Ordinary</w:t>
              <w:br/>
              <w:t>Often rights-covered. Triggers NCRC when liberty, bodily integrity, due process, dignity, or information rights are impaired — non-compensatory regardless of welfare gains elsewhere.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transport policy that gives disabled residents reliable independent mobility improves U1/D5.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consent was genuine and revocable, or merely formal.</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U1/D6</w:t>
              <w:br/>
              <w:t>Purpose</w:t>
              <w:br/>
              <w:t>label: purpose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individual's sense of meaning, dignity, and worth in their life and work.</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Greater sense of purpose, recognition, dignity, and self-respect.</w:t>
              <w:br/>
              <w:t>−</w:t>
              <w:br/>
              <w:t>Humiliation, alienation, loss of role or recognition, indignity.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dignity / recognition measures; role and identity surveys; qualitative testimony</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Uncertain</w:t>
              <w:br/>
              <w:t>Can be rights-covered where human dignity is implicated; otherwise ordinary. Often hard to measure — mark uncertainty.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program that treats welfare recipients with dignified, non-stigmatising processes supports U1/D6.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distinguishes a genuine dignity effect from sentiment unsupported by experience data.</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U1/D7</w:t>
              <w:br/>
              <w:t>Local Conditions</w:t>
              <w:br/>
              <w:t>label: local conditions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immediate physical environment a person lives in: air, noise, water, hazards, and surroundings.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Cleaner air/water, less noise, fewer local hazards, healthier surroundings.</w:t>
              <w:br/>
              <w:t>−</w:t>
              <w:br/>
              <w:t>Pollution exposure, noise, contamination, environmental hazards near the person.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local air/water/noise monitoring; hazard proximity; exposure records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Rights</w:t>
              <w:br/>
              <w:t>Ordinary welfare; can become rights-covered under environmental-health protections and disproportionate-exposure (environmental-justice) concerns.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factory buffer-zone rule that cuts a household's pollutant exposure improves U1/D7.</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measured exposure change against the affected location, not a city-wide average.</w:t>
            </w:r>
          </w:p>
        </w:tc>
      </w:tr>
    </w:tbl>
    <w:p>
      <w:r>
        <w:rPr>
          <w:b w:val="0"/>
          <w:i w:val="0"/>
          <w:sz w:val="6"/>
        </w:rPr>
      </w:r>
    </w:p>
    <w:p>
      <w:pPr>
        <w:pStyle w:val="Heading3"/>
      </w:pPr>
      <w:r>
        <w:rPr>
          <w:b w:val="0"/>
          <w:i w:val="0"/>
        </w:rPr>
        <w:t>U2 Household</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U2/D1</w:t>
              <w:br/>
              <w:t>Household Resources</w:t>
              <w:br/>
              <w:t>label: household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economic security of the household unit: shared income, assets, housing, and ability to meet needs.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Improved household finances, housing security, reduced shared debt.</w:t>
              <w:br/>
              <w:t>−</w:t>
              <w:br/>
              <w:t>Household impoverishment, housing loss, debt, inability to meet needs.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household income and assets; housing tenure; arrears and food-security data</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w:t>
              <w:br/>
              <w:t>Ordinary welfare; escalates toward rights where dependents (children, disabled members) face a subsistence floor.</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childcare subsidy that frees household income improves U2/D1.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the household, not just the earner, is the measured unit.</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U2/D2</w:t>
              <w:br/>
              <w:t>Household Health</w:t>
              <w:br/>
              <w:t>label: household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collective physical and mental health and safety of household members, including dependents.</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shared health, safer home, improved care for dependents and caregivers.</w:t>
              <w:br/>
              <w:t>−</w:t>
              <w:br/>
              <w:t>Household illness, unsafe housing, caregiver burnout, harm to dependents.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household health surveys; home-safety inspections; caregiver-strain measures; dependent outcome data</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Ordinary</w:t>
              <w:br/>
              <w:t>Frequently rights-covered where children or dependents are affected; child welfare can trigger NCRC. Caregiver harm is easily hidden — surface it.</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home-care support program that reduces caregiver strain and improves a dependent's health raises U2/D2.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that dependents and caregivers are scored separately, not blended into one household figure.</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U2/D3</w:t>
              <w:br/>
              <w:t>Family Cohesion</w:t>
              <w:br/>
              <w:t>label: family cohesion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strength, stability, and supportive quality of relationships within the household.</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family bonds, stability, reduced conflict, kept-together units.</w:t>
              <w:br/>
              <w:t>−</w:t>
              <w:br/>
              <w:t>Family breakdown, forced separation, household conflict, instability.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family-stability surveys; separation / removal records; conflict indicators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Ordinary ? Uncertain</w:t>
              <w:br/>
              <w:t>Can be rights-covered (family unity, child rights); otherwise ordinary. Measurement is soft — mark uncertainty.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policy that avoids unnecessary family separation in housing transitions protects U2/D3.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a cohesion claim rests on outcomes or on assumed effects of a program.</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U2/D4</w:t>
              <w:br/>
              <w:t>Shared Learning</w:t>
              <w:br/>
              <w:t>label: shared learning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household's collective access to information, education, and learning capacity.</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shared access to education and information, intergenerational learning.</w:t>
              <w:br/>
              <w:t>−</w:t>
              <w:br/>
              <w:t>Loss of household educational access, information poverty.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household connectivity / device access; children's schooling continuity; adult-learning access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Ordinary</w:t>
              <w:br/>
              <w:t>Ordinary welfare; touches rights where basic-education entitlements for children apply.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home-broadband program that enables children's remote schooling improves U2/D4.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access actually reaches the household, not just the area.</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U2/D5</w:t>
              <w:br/>
              <w:t>Household Agency</w:t>
              <w:br/>
              <w:t>label: household agency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household's collective ability to make decisions, plan, and control its own circumstances.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Greater household self-determination, planning ability, freedom from external control.</w:t>
              <w:br/>
              <w:t>−</w:t>
              <w:br/>
              <w:t>Loss of household control, externally imposed decisions, dependency.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decision-autonomy surveys; dependency / conditionality of support; forced-relocation data</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Ordinary</w:t>
              <w:br/>
              <w:t>Can be rights-covered (family privacy, autonomy); otherwise ordinary.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flexible-benefit design that lets households allocate support to their own priorities raises U2/D5.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household choice is real or constrained by conditions.</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U2/D6</w:t>
              <w:br/>
              <w:t>Family Meaning</w:t>
              <w:br/>
              <w:t>label: family meaning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household's shared sense of identity, belonging, dignity, and purpose.</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Stronger shared identity, belonging, dignity, and continuity.</w:t>
              <w:br/>
              <w:t>−</w:t>
              <w:br/>
              <w:t>Loss of household identity, stigma, indignity, eroded belonging.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belonging / identity surveys; stigma indicators; qualitative testimony</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Uncertain ◌ Ordinary</w:t>
              <w:br/>
              <w:t>Usually ordinary welfare; can touch dignity rights. Soft to measure — mark uncertainty.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culturally-respectful resettlement process preserves U2/D6.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separates a real meaning effect from program rhetoric.</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U2/D7</w:t>
              <w:br/>
              <w:t>Home Environment</w:t>
              <w:br/>
              <w:t>label: home environment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physical environmental quality of the home and its immediate setting.</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Healthier home conditions, reduced indoor hazards, better surroundings.</w:t>
              <w:br/>
              <w:t>−</w:t>
              <w:br/>
              <w:t>Indoor pollution, mould, hazards, degraded immediate environment.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housing-quality inspections; indoor air / damp measures; hazard records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Rights</w:t>
              <w:br/>
              <w:t>Ordinary welfare; rights-relevant under habitability standards.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retrofit program that removes household mould improves U2/D7.</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measured home conditions, not self-report alone.</w:t>
            </w:r>
          </w:p>
        </w:tc>
      </w:tr>
    </w:tbl>
    <w:p>
      <w:r>
        <w:rPr>
          <w:b w:val="0"/>
          <w:i w:val="0"/>
          <w:sz w:val="6"/>
        </w:rPr>
      </w:r>
    </w:p>
    <w:p>
      <w:pPr>
        <w:pStyle w:val="Heading3"/>
      </w:pPr>
      <w:r>
        <w:rPr>
          <w:b w:val="0"/>
          <w:i w:val="0"/>
        </w:rPr>
        <w:t>U3 Community</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U3/D1</w:t>
              <w:br/>
              <w:t>Local Resources</w:t>
              <w:br/>
              <w:t>label: local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shared economic resources, infrastructure, and services available to a local community.</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Better local infrastructure, services, and economic opportunity.</w:t>
              <w:br/>
              <w:t>−</w:t>
              <w:br/>
              <w:t>Loss of services, infrastructure decay, local economic decline.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local service provision; infrastructure condition; local employment / business data</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Containment</w:t>
              <w:br/>
              <w:t>Ordinary welfare; containment-relevant when local gains are extracted at the cost of wider scopes, or when shared infrastructure is hollowed out.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community facility upgrade that adds usable shared services improves U3/D1.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the benefit is genuinely shared or captured by a subgroup.</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U3/D2</w:t>
              <w:br/>
              <w:t>Community Health</w:t>
              <w:br/>
              <w:t>label: public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collective physical and mental health and safety of the local population.</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Lower community disease/injury burden, better local care access, safer environment.</w:t>
              <w:br/>
              <w:t>−</w:t>
              <w:br/>
              <w:t>Local disease spread, unsafe conditions, reduced care access, environmental health harm.</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local public-health surveillance; care-access data; injury / safety statistics; environmental-health monitoring</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Tail-risk ◌ Ordinary</w:t>
              <w:br/>
              <w:t>Ordinary welfare normally; rights-relevant under disproportionate harm or care-access floors; tail-relevant where local outbreaks or contamination could cascade.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clean-water intervention that cuts a community's disease burden improves U3/D2.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subgroup harms are masked by a favourable community average.</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U3/D3</w:t>
              <w:br/>
              <w:t>Community Cohesion</w:t>
              <w:br/>
              <w:t>label: trust and cohesion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quality of trust, cooperation, belonging, safety, and relational fabric within a community.</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Increased trust, reduced isolation, better cooperation, stronger neighbourhood resilience.</w:t>
              <w:br/>
              <w:t>−</w:t>
              <w:br/>
              <w:t>Polarisation, exclusion, displacement, fear, social fragmentation.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community trust surveys; participation rates; crime / fear-of-crime data; displacement records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Rights ◌ Ordinary</w:t>
              <w:br/>
              <w:t>Containment-relevant because eroded social fabric degrades the wider system; rights-relevant if discrimination, exclusion, or targeted domination appears.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public-space renovation that increases safe cross-group interaction improves U3/D3.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cohesion gains for some came via exclusion of others.</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U3/D4</w:t>
              <w:br/>
              <w:t>Local Knowledge</w:t>
              <w:br/>
              <w:t>label: local knowledge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community's shared knowledge, information access, and local expertise.</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local information access, preserved local/Indigenous knowledge, stronger civic literacy.</w:t>
              <w:br/>
              <w:t>−</w:t>
              <w:br/>
              <w:t>Information loss, erosion of local knowledge, misinformation spread.</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information-access measures; local-knowledge preservation records; misinformation prevalence</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Containment ◌ Ordinary ? Uncertain</w:t>
              <w:br/>
              <w:t>Ordinary welfare; containment-relevant where an epistemic commons is degraded. Can be rights-relevant for Indigenous knowledge.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program documenting local ecological knowledge with community consent improves U3/D4.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consent and ownership of the knowledge claimed as preserved.</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U3/D5</w:t>
              <w:br/>
              <w:t>Community Agency</w:t>
              <w:br/>
              <w:t>label: community agency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community's collective capacity to organise, participate, and influence decisions affecting it.</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local voice, participation, self-organisation, and contestability.</w:t>
              <w:br/>
              <w:t>−</w:t>
              <w:br/>
              <w:t>Disenfranchisement, suppressed organising, exclusion from decisions.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participation in local governance; consultation quality; association / assembly freedom</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Containment ◌ Ordinary</w:t>
              <w:br/>
              <w:t>Often rights-covered (assembly, association, participation); containment-relevant where civic capacity underpins system stability.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binding community-consultation requirement on local development raises U3/D5.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participation was substantive or a procedural formality.</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U3/D6</w:t>
              <w:br/>
              <w:t>Shared Meaning</w:t>
              <w:br/>
              <w:t>label: shared meaning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community's shared identity, culture, dignity, and sense of collective purpose.</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Stronger shared identity, cultural continuity, pride, and belonging.</w:t>
              <w:br/>
              <w:t>−</w:t>
              <w:br/>
              <w:t>Cultural erosion, stigma, loss of identity, collective humiliation.</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cultural-participation data; heritage continuity; community-identity surveys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Uncertain ◌ Ordinary</w:t>
              <w:br/>
              <w:t>Ordinary welfare; rights-relevant for cultural rights and minority protection. Soft to measure — mark uncertainty.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Protecting a culturally significant site during redevelopment preserves U3/D6.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separates a genuine cultural effect from a symbolic gesture.</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U3/D7</w:t>
              <w:br/>
              <w:t>Local Ecology</w:t>
              <w:br/>
              <w:t>label: local ecology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ecological condition of the community's local environment: green space, biodiversity, water, land.</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Restored habitat, cleaner local environment, protected green space.</w:t>
              <w:br/>
              <w:t>−</w:t>
              <w:br/>
              <w:t>Habitat loss, local pollution, degraded green space, contamination.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local biodiversity / green-space data; pollution monitoring; land-use change</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Ordinary</w:t>
              <w:br/>
              <w:t>Containment-relevant (local ecology supports wider systems); tail-relevant where degradation is irreversible or contamination could cascade.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watershed-protection rule that prevents local contamination improves U3/D7.</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'no local effect' was measured or merely assumed.</w:t>
            </w:r>
          </w:p>
        </w:tc>
      </w:tr>
    </w:tbl>
    <w:p>
      <w:r>
        <w:rPr>
          <w:b w:val="0"/>
          <w:i w:val="0"/>
          <w:sz w:val="6"/>
        </w:rPr>
      </w:r>
    </w:p>
    <w:p>
      <w:pPr>
        <w:pStyle w:val="Heading3"/>
      </w:pPr>
      <w:r>
        <w:rPr>
          <w:b w:val="0"/>
          <w:i w:val="0"/>
        </w:rPr>
        <w:t>U4 Organization</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U4/D1</w:t>
              <w:br/>
              <w:t>Organizational Resources</w:t>
              <w:br/>
              <w:t>label: operating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An organization's operating means: finances, capital, staffing, and capacity to function and deliver.</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finances, capacity, staffing, and operational sustainability.</w:t>
              <w:br/>
              <w:t>−</w:t>
              <w:br/>
              <w:t>Insolvency risk, capacity loss, layoffs, operational decline.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financial statements; staffing and capacity data; service-delivery metrics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Containment</w:t>
              <w:br/>
              <w:t>Ordinary welfare; containment-relevant when organizational gains are extracted by externalising harm onto community, polity, or biosphere scopes.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funding change that stabilises a hospital's operating budget improves U4/D1.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the organizational gain creates uncosted externalities in other cells (the classic 'operating resources up, U7 down' trap).</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U4/D2</w:t>
              <w:br/>
              <w:t>Organizational Safety</w:t>
              <w:br/>
              <w:t>label: safety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safety of people within and affected by the organization: workers, users, and the public.</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Fewer injuries, safer operations, better safety culture and compliance.</w:t>
              <w:br/>
              <w:t>−</w:t>
              <w:br/>
              <w:t>Workplace injury, unsafe products/services, public-safety incidents.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incident and injury rates; safety-compliance audits; near-miss reporting</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Tail-risk ◌ Ordinary</w:t>
              <w:br/>
              <w:t>Rights-covered via labour and safety protections; tail-relevant where failure could cause catastrophic or mass-casualty events.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maintenance regime that cuts industrial-accident rates improves U4/D2.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reported safety reflects outcomes or only paperwork compliance.</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U4/D3</w:t>
              <w:br/>
              <w:t>Organizational Culture</w:t>
              <w:br/>
              <w:t>label: culture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internal relational health of the organization: trust, fairness, inclusion, and cooperation.</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Healthier culture, fairer treatment, reduced harassment, stronger cooperation.</w:t>
              <w:br/>
              <w:t>−</w:t>
              <w:br/>
              <w:t>Toxic culture, discrimination, harassment, low trust, burnout.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staff-climate surveys; grievance and turnover data; fairness / inclusion measures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Ordinary</w:t>
              <w:br/>
              <w:t>Ordinary welfare; rights-relevant where discrimination or harassment occurs.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An anti-harassment reform that reduces verified grievances improves U4/D3.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culture data is independent or self-reported by leadership.</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U4/D4</w:t>
              <w:br/>
              <w:t>Knowledge Systems</w:t>
              <w:br/>
              <w:t>label: knowledge systems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organization's knowledge, data integrity, institutional memory, and learning systems.</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knowledge retention, data integrity, transparency, and learning.</w:t>
              <w:br/>
              <w:t>−</w:t>
              <w:br/>
              <w:t>Knowledge loss, data corruption, opacity, broken institutional memory.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data-integrity audits; documentation completeness; knowledge-retention metrics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Containment ◌ Ordinary</w:t>
              <w:br/>
              <w:t>Ordinary welfare; containment-relevant where degraded knowledge systems undermine accountability or wider-system reliability.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records-integrity upgrade that makes decisions auditable improves U4/D4.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tests whether claimed integrity is verifiable or asserted.</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U4/D5</w:t>
              <w:br/>
              <w:t>Role Agency</w:t>
              <w:br/>
              <w:t>label: role agency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meaningful autonomy, voice, and fair treatment of individuals in their organizational roles.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More voice, fair process, reasonable autonomy, freedom from arbitrary treatment.</w:t>
              <w:br/>
              <w:t>−</w:t>
              <w:br/>
              <w:t>Arbitrary power, suppressed voice, exploitation, loss of role autonomy.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worker-voice mechanisms; grievance outcomes; autonomy / discretion measures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Ordinary</w:t>
              <w:br/>
              <w:t>Rights-relevant via labour rights and freedom of association; otherwise ordinary.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grievance process with real remedy improves U4/D5.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voice mechanisms produce outcomes or are decorative.</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U4/D6</w:t>
              <w:br/>
              <w:t>Mission Coherence</w:t>
              <w:br/>
              <w:t>label: mission coherence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alignment between the organization's stated purpose and its actual conduct and effects.</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Stronger purpose-conduct alignment, integrity, and legitimate mission delivery.</w:t>
              <w:br/>
              <w:t>−</w:t>
              <w:br/>
              <w:t>Mission drift, purpose-washing, hollow mandate, loss of legitimacy.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mission-vs-outcome analysis; stakeholder-trust measures; conduct audits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Containment ◌ Ordinary ? Uncertain</w:t>
              <w:br/>
              <w:t>Ordinary welfare; containment-relevant where mission decay (HOI-adjacent) hollows out the institution. Distinct from the formal HOI diagnostic.</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governance reform that realigns conduct with mandate improves U4/D6.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asks whether coherence is evidenced by conduct or only by restated values.</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U4/D7</w:t>
              <w:br/>
              <w:t>Operational Footprint</w:t>
              <w:br/>
              <w:t>label: operational footprint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environmental impact of the organization's operations: emissions, waste, resource use, land.</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Lower emissions/waste, reduced resource intensity, smaller harmful footprint.</w:t>
              <w:br/>
              <w:t>−</w:t>
              <w:br/>
              <w:t>Pollution, emissions, waste, resource depletion, ecological damage.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emissions and waste data; resource-use intensity; environmental-compliance records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Ordinary</w:t>
              <w:br/>
              <w:t>Containment-relevant (footprint degrades wider scopes); tail-relevant where the footprint contributes to irreversible or large-scale harm. The canonical 'local win, wider loss' cell.</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process change that cuts a plant's emissions while sustaining output improves U4/D7.</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footprint against measured externalities, not offset claims alone.</w:t>
            </w:r>
          </w:p>
        </w:tc>
      </w:tr>
    </w:tbl>
    <w:p>
      <w:r>
        <w:rPr>
          <w:b w:val="0"/>
          <w:i w:val="0"/>
          <w:sz w:val="6"/>
        </w:rPr>
      </w:r>
    </w:p>
    <w:p>
      <w:pPr>
        <w:pStyle w:val="Heading3"/>
      </w:pPr>
      <w:r>
        <w:rPr>
          <w:b w:val="0"/>
          <w:i w:val="0"/>
        </w:rPr>
        <w:t>U5 Polity</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U5/D1</w:t>
              <w:br/>
              <w:t>Public Resources</w:t>
              <w:br/>
              <w:t>label: public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polity's fiscal and material capacity: public finances, infrastructure, and provisioning.</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Sounder public finances, better infrastructure, sustainable provisioning.</w:t>
              <w:br/>
              <w:t>−</w:t>
              <w:br/>
              <w:t>Fiscal crisis, infrastructure decay, depleted public capacity.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public-finance data; infrastructure condition indices; fiscal-sustainability metrics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Ordinary ⛓ Containment</w:t>
              <w:br/>
              <w:t>Ordinary welfare; containment-relevant where short-term fiscal wins erode long-term public capacity.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An infrastructure-maintenance program that prevents asset decay improves U5/D1.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gains are sustainable or borrowed from the future.</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U5/D2</w:t>
              <w:br/>
              <w:t>Population Health</w:t>
              <w:br/>
              <w:t>label: population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health, safety, and mortality outcomes of the whole population within a polity.</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Lower population mortality/morbidity, better system-wide care, stronger resilience.</w:t>
              <w:br/>
              <w:t>−</w:t>
              <w:br/>
              <w:t>Rising mortality, system overload, reduced care access, public-health crises.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population mortality / morbidity; health-system capacity; health-equity gaps; outbreak surveillance</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Tail-risk ⚖ Rights ◌ Ordinary</w:t>
              <w:br/>
              <w:t>Tail-relevant for pandemic / health-system-collapse scenarios (non-averagable); rights-relevant under right-to-health floors; otherwise ordinary welfare.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vaccination program that lowers population mortality improves U5/D2.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worst-case scenarios were bounded with a tail measure, not averaged away.</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U5/D3</w:t>
              <w:br/>
              <w:t>Legitimacy</w:t>
              <w:br/>
              <w:t>label: legitimacy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rule of law, due process, accountability, and perceived legitimacy of public institutions.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rule of law, due process, accountability, and institutional trust.</w:t>
              <w:br/>
              <w:t>−</w:t>
              <w:br/>
              <w:t>Erosion of rule of law, impunity, corruption, collapse of institutional trust.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rule-of-law indices; due-process / judicial-independence measures; corruption indicators; institutional-trust surveys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Rights ⚠ Tail-risk ◌ Ordinary</w:t>
              <w:br/>
              <w:t>Strongly containment-relevant: legitimacy is load-bearing for the whole system. Rights-relevant (due process); tail-relevant where collapse risks systemic instability.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judicial-independence safeguard that resists political capture improves U5/D3.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legitimacy is measured independently or claimed by the institution being assessed.</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U5/D4</w:t>
              <w:br/>
              <w:t>Information Access</w:t>
              <w:br/>
              <w:t>label: information access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polity's information environment: access, transparency, free expression, and epistemic integrity.</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transparency, information access, free expression, healthier epistemic commons.</w:t>
              <w:br/>
              <w:t>−</w:t>
              <w:br/>
              <w:t>Censorship, opacity, disinformation, surveillance chilling, epistemic capture.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transparency / FOI metrics; press-freedom indices; disinformation prevalence; surveillance scope</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Containment ◌ Ordinary</w:t>
              <w:br/>
              <w:t>Rights-covered (free expression, information rights); containment-relevant because a damaged epistemic commons undermines all other governance.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An open-data and FOI reform that increases verifiable transparency improves U5/D4.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transparency is real and usable or nominal.</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U5/D5</w:t>
              <w:br/>
              <w:t>Civil Agency</w:t>
              <w:br/>
              <w:t>label: civil agency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People's ability to participate in public life, exercise rights, contest authority, and influence governance.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voting access, participation, transparency, due process, and contestability.</w:t>
              <w:br/>
              <w:t>−</w:t>
              <w:br/>
              <w:t>Suppression, censorship, corruption, procedural exclusion, arbitrary enforcement, reduced civic voice.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voting access and turnout; procedural-fairness measures; availability of legal remedies; consultation quality; censorship reports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Containment ◌ Ordinary</w:t>
              <w:br/>
              <w:t>Frequently rights-covered: tied to due process, liberty, information, dignity, and civic rights — non-compensatory under NCRC. Containment-relevant for system stability.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reform expanding access to public hearings raises U5/D5; one that blocks lawful dissent harms it.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civic participation is enforceable or merely nominal, and whether any group is selectively excluded.</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U5/D6</w:t>
              <w:br/>
              <w:t>Public Meaning</w:t>
              <w:br/>
              <w:t>label: public meaning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Shared civic identity, dignity, social contract, and non-domination across the polity.</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Stronger civic dignity, inclusion, fair recognition, and a credible social contract.</w:t>
              <w:br/>
              <w:t>−</w:t>
              <w:br/>
              <w:t>Domination, civic humiliation, exclusionary identity, eroded social contract.</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inclusion / recognition measures; social-contract trust surveys; discrimination indicators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Rights ⛓ Containment ? Uncertain</w:t>
              <w:br/>
              <w:t>Rights-relevant (dignity, non-domination, non-discrimination); containment-relevant where a fractured social contract destabilises the polity. Soft to measure.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reconciliation policy that credibly extends recognition to a marginalised group improves U5/D6.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separates symbolic recognition from changes people actually experience.</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U5/D7</w:t>
              <w:br/>
              <w:t>Public Environment</w:t>
              <w:br/>
              <w:t>label: public environment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environmental quality and ecological sustainability managed at the polity scale.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Better regional environmental quality, sustainable resource management, reduced systemic pollution.</w:t>
              <w:br/>
              <w:t>−</w:t>
              <w:br/>
              <w:t>Regional pollution, resource depletion, ecosystem degradation, environmental injustice.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regional environmental monitoring; resource-stock data; pollution and emissions; environmental-justice mapping</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Tail-risk ⛓ Containment ⚖ Rights ◌ Ordinary</w:t>
              <w:br/>
              <w:t>Tail-relevant where regional harm is irreversible or large-scale; containment-relevant; rights-relevant under environmental-justice and environmental-rights regimes.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regional emissions cap that prevents airshed degradation improves U5/D7.</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environmental-justice distribution was assessed, not just regional totals.</w:t>
            </w:r>
          </w:p>
        </w:tc>
      </w:tr>
    </w:tbl>
    <w:p>
      <w:r>
        <w:rPr>
          <w:b w:val="0"/>
          <w:i w:val="0"/>
          <w:sz w:val="6"/>
        </w:rPr>
      </w:r>
    </w:p>
    <w:p>
      <w:pPr>
        <w:pStyle w:val="Heading3"/>
      </w:pPr>
      <w:r>
        <w:rPr>
          <w:b w:val="0"/>
          <w:i w:val="0"/>
        </w:rPr>
        <w:t>U6 Humanity / CMIU</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U6/D1</w:t>
              <w:br/>
              <w:t>Global Resources</w:t>
              <w:br/>
              <w:t>label: global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Humanity's shared material base: global resource stocks, critical supply chains, and common infrastructure.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More sustainable global resource use, resilient supply chains, protected commons.</w:t>
              <w:br/>
              <w:t>−</w:t>
              <w:br/>
              <w:t>Resource depletion, supply-chain fragility, degradation of global commons.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global resource-stock data; supply-chain resilience metrics; commons-condition indicators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Ordinary</w:t>
              <w:br/>
              <w:t>Containment-relevant and tail-relevant where depletion or fragility threatens systemic, hard-to-reverse harm at civilisational scale.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critical-minerals stewardship agreement that reduces depletion risk improves U6/D1.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'global' claims rest on global data or extrapolated local figures.</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U6/D2</w:t>
              <w:br/>
              <w:t>Human Safety</w:t>
              <w:br/>
              <w:t>label: human safety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safety and survival of humanity at large, including existential and catastrophic risk.</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Reduced catastrophic and existential risk; stronger global safety and resilience.</w:t>
              <w:br/>
              <w:t>−</w:t>
              <w:br/>
              <w:t>Increased existential, pandemic, conflict, or technological catastrophic risk.</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catastrophic-risk assessments; biosecurity / nuclear-risk indicators; conflict-escalation data</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Tail-risk ⚖ Rights ◌ Ordinary</w:t>
              <w:br/>
              <w:t>Primarily tail-relevant: catastrophic and existential risk is non-averagable and bounded under TRC, never traded against ordinary welfare. Rights-relevant at the right-to-life floor.</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biosecurity protocol that lowers engineered-pandemic risk improves U6/D2.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that tail risk was bounded with a worst-case measure and not diluted by expected-value framing.</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U6/D3</w:t>
              <w:br/>
              <w:t>Cooperation</w:t>
              <w:br/>
              <w:t>label: cooperation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capacity of humanity to coordinate, cooperate, and maintain peaceful, stable relations at scale.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global cooperation, conflict reduction, durable coordination institutions.</w:t>
              <w:br/>
              <w:t>−</w:t>
              <w:br/>
              <w:t>Breakdown of cooperation, arms races, institutional collapse, escalating conflict.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international-cooperation indices; conflict / treaty-compliance data; coordination-institution health</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Ordinary</w:t>
              <w:br/>
              <w:t>Containment-relevant (cooperation underpins global stability); tail-relevant where breakdown risks large-scale conflict.</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verification regime that sustains an arms-control treaty improves U6/D3.</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cooperation is durable or a fragile short-term arrangement.</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U6/D4</w:t>
              <w:br/>
              <w:t>Civilizational Knowledge</w:t>
              <w:br/>
              <w:t>label: civilizational knowledge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Humanity's accumulated knowledge, science, and the integrity and safety of its knowledge systems.</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Knowledge preservation, scientific progress, epistemic integrity, responsible knowledge stewardship.</w:t>
              <w:br/>
              <w:t>−</w:t>
              <w:br/>
              <w:t>Knowledge loss, scientific capture, epistemic collapse, or proliferation of dangerous knowledge.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scientific-integrity measures; knowledge-preservation status; research-governance indicators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Containment ⚠ Tail-risk ◌ Ordinary</w:t>
              <w:br/>
              <w:t>Containment-relevant; tail-relevant in two directions — catastrophic loss of knowledge, and dangerous diffusion of harmful capability.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An open-but-governed research framework that preserves integrity while limiting dangerous diffusion improves U6/D4.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knowledge benefits were weighed against misuse and proliferation pathways.</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U6/D5</w:t>
              <w:br/>
              <w:t>Collective Agency</w:t>
              <w:br/>
              <w:t>label: collective agency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Humanity's capacity for self-determination and legitimate collective decision-making at the species scale.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Stronger legitimate global agency, fair representation, and self-determination.</w:t>
              <w:br/>
              <w:t>−</w:t>
              <w:br/>
              <w:t>Concentration of unaccountable power, disenfranchisement of peoples, loss of collective self-determination.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representation / participation in global governance; power-concentration indicators; self-determination measures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Rights ⛓ Containment ? Uncertain</w:t>
              <w:br/>
              <w:t>Rights-relevant (self-determination); containment-relevant where illegitimate concentration destabilises the system. Measurement is contested — mark uncertainty.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governance reform giving affected populations real voice in a global regime improves U6/D5.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tests whether 'collective' agency includes the marginalised or only powerful actors.</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U6/D6</w:t>
              <w:br/>
              <w:t>Shared Purpose</w:t>
              <w:br/>
              <w:t>label: shared purpose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Humanity's shared sense of meaning, moral direction, and long-term orientation toward flourishing.</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Stronger shared purpose, long-term orientation, intergenerational responsibility.</w:t>
              <w:br/>
              <w:t>−</w:t>
              <w:br/>
              <w:t>Nihilism, short-termism, loss of shared direction, intergenerational betrayal.</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long-term-orientation indicators; intergenerational-equity measures; qualitative analysis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Uncertain ⛓ Containment ◌ Ordinary</w:t>
              <w:br/>
              <w:t>Mostly ordinary/aspirational; containment-relevant where short-termism erodes long-term stability. Inherently soft — mark uncertainty and avoid overclaiming.</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long-horizon institution (e.g. a future-generations commissioner) can support U6/D6.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flags this cell as especially prone to rhetoric and demands concrete mechanisms.</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U6/D7</w:t>
              <w:br/>
              <w:t>Planetary Conditions</w:t>
              <w:br/>
              <w:t>label: planetary conditions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condition of planetary systems that support human civilisation and coordinated managing intelligence.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Reduced emissions, improved climate stability, lower systemic ecological risk, stronger global resilience.</w:t>
              <w:br/>
              <w:t>−</w:t>
              <w:br/>
              <w:t>Increased climate risk, global pollution, destabilised food/water systems, irreversible planetary degradation.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emissions data; climate models; planetary-boundary metrics; global food/water-security projections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Tail-risk ⛓ Containment ◌ Ordinary</w:t>
              <w:br/>
              <w:t>Often catastrophe-relevant: may trigger TRC where irreversible or large-scale harm is plausible. Containment-relevant as a system-stability check.</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high-emissions infrastructure choice may harm U6/D7 even when it benefits a local economy (U3/D1 or U4/D1).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irreversibility and worst-case bounds were modelled, not just expected outcomes.</w:t>
            </w:r>
          </w:p>
        </w:tc>
      </w:tr>
    </w:tbl>
    <w:p>
      <w:r>
        <w:rPr>
          <w:b w:val="0"/>
          <w:i w:val="0"/>
          <w:sz w:val="6"/>
        </w:rPr>
      </w:r>
    </w:p>
    <w:p>
      <w:pPr>
        <w:pStyle w:val="Heading3"/>
      </w:pPr>
      <w:r>
        <w:rPr>
          <w:b w:val="0"/>
          <w:i w:val="0"/>
        </w:rPr>
        <w:t>U7 Biosphere</w:t>
      </w:r>
    </w:p>
    <w:tbl>
      <w:tblPr>
        <w:tblW w:type="pct" w:w="5000"/>
        <w:tblLayout w:type="fixed"/>
        <w:tblLook w:firstColumn="1" w:firstRow="1" w:lastColumn="0" w:lastRow="0" w:noHBand="0" w:noVBand="1" w:val="04A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Ind w:w="0" w:type="dxa"/>
      </w:tblPr>
      <w:tblGrid>
        <w:gridCol w:w="2078"/>
        <w:gridCol w:w="2078"/>
        <w:gridCol w:w="2078"/>
        <w:gridCol w:w="2078"/>
        <w:gridCol w:w="2078"/>
        <w:gridCol w:w="2078"/>
        <w:gridCol w:w="2078"/>
      </w:tblGrid>
      <w:tr>
        <w:trPr>
          <w:tblHeader w:val="true"/>
          <w:cantSplit/>
        </w:trPr>
        <w:tc>
          <w:tcPr>
            <w:tcW w:type="dxa" w:w="1368"/>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Cell</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Plain meaning</w:t>
            </w:r>
          </w:p>
        </w:tc>
        <w:tc>
          <w:tcPr>
            <w:tcW w:type="dxa" w:w="259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Movement (+ benefit / − harm)</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Typical indicators / evidence</w:t>
            </w:r>
          </w:p>
        </w:tc>
        <w:tc>
          <w:tcPr>
            <w:tcW w:type="dxa" w:w="1944"/>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Possible gate relevance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Example</w:t>
            </w:r>
          </w:p>
        </w:tc>
        <w:tc>
          <w:tcPr>
            <w:tcW w:type="dxa" w:w="2232"/>
            <w:vAlign w:val="top"/>
            <w:tcMar>
              <w:top w:w="70" w:type="dxa"/>
              <w:start w:w="70" w:type="dxa"/>
              <w:bottom w:w="70" w:type="dxa"/>
              <w:end w:w="70" w:type="dxa"/>
            </w:tcMar>
            <w:shd w:fill="D9EAF7"/>
          </w:tcPr>
          <w:p>
            <w:pPr>
              <w:spacing w:before="0" w:after="0" w:line="240" w:lineRule="auto"/>
              <w:jc w:val="left"/>
            </w:pPr>
            <w:r>
              <w:rPr>
                <w:rFonts w:ascii="Aptos" w:hAnsi="Aptos" w:eastAsia="Aptos"/>
                <w:b/>
                <w:color w:val="1F4E79"/>
                <w:sz w:val="14"/>
              </w:rPr>
              <w:t>Reviewer check</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U7/D1</w:t>
              <w:br/>
              <w:t>Life-Support Resources</w:t>
              <w:br/>
              <w:t>label: life-support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biosphere's foundational resources that sustain life: soil, fresh water, clean air, fertility.</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Protected or restored soil, water, and air; sustained natural-resource base.</w:t>
              <w:br/>
              <w:t>−</w:t>
              <w:br/>
              <w:t>Soil loss, water depletion, air degradation, exhaustion of life-support systems.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soil-health data; freshwater-stock and quality; air-quality baselines; resource-renewal rates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Tail-risk ⛓ Containment ◌ Ordinary</w:t>
              <w:br/>
              <w:t>Tail-relevant where depletion is irreversible or threatens collapse of life-support systems; containment-relevant. Distinct from U4/D1 'operating resources'.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An aquifer-protection rule that prevents irreversible groundwater loss improves U7/D1.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renewal rates, not just current stocks, were assessed.</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U7/D2</w:t>
              <w:br/>
              <w:t>Ecosystem Health</w:t>
              <w:br/>
              <w:t>label: ecosystem health</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health, function, and viability of ecosystems and the species within them.</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Healthier, functioning ecosystems; recovering species and habitats.</w:t>
              <w:br/>
              <w:t>−</w:t>
              <w:br/>
              <w:t>Ecosystem dysfunction, species decline, habitat collapse, trophic breakdown.</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ecosystem-function indicators; species-population trends; habitat-condition assessments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Tail-risk ⛓ Containment ◌ Ordinary</w:t>
              <w:br/>
              <w:t>Tail-relevant where collapse or extinction is plausible and irreversible; containment-relevant as ecosystems underpin wider scopes.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fisheries policy that lets a collapsing stock recover improves U7/D2.</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ecosystem-function evidence exists or only a single charismatic indicator.</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U7/D3</w:t>
              <w:br/>
              <w:t>Biotic Relations</w:t>
              <w:br/>
              <w:t>label: biotic relations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integrity of relationships and interdependencies among living systems and between humans and nature.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Restored ecological relationships, sustainable human-nature interactions, protected interdependencies.</w:t>
              <w:br/>
              <w:t>−</w:t>
              <w:br/>
              <w:t>Disrupted food webs, broken ecological relationships, harmful human-nature dynamics.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trophic / food-web indicators; interaction-network data; human-impact assessments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Ordinary</w:t>
              <w:br/>
              <w:t>Containment-relevant: a local win that severs ecological relationships can fail containment even with strong U4/D1 gains; tail-relevant where cascades are plausible.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factory expansion that damages a watershed may fail containment via U7/D3 even while improving U4/D1.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relational/cascade effects were modelled or ignored as 'no direct effect'.</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U7/D4</w:t>
              <w:br/>
              <w:t>Ecological Knowledge</w:t>
              <w:br/>
              <w:t>label: ecological knowledge</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Humanity's understanding and monitoring of ecological systems, including baseline and early-warning data.</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Better ecological monitoring, baselines, early-warning capacity, and stewardship knowledge.</w:t>
              <w:br/>
              <w:t>−</w:t>
              <w:br/>
              <w:t>Monitoring gaps, lost baselines, ecological ignorance, blind spots before thresholds.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monitoring-coverage data; baseline-completeness; early-warning-system status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Containment ? Uncertain ◌ Ordinary</w:t>
              <w:br/>
              <w:t>Containment-relevant: poor ecological knowledge undermines the ability to detect tipping points. Often the cell most affected by the 0-vs-unknown distinction.</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An expanded biodiversity-monitoring network that fills baseline gaps improves U7/D4.</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that absent ecological data is marked unknown, not scored as 0 ('no effect').</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U7/D5</w:t>
              <w:br/>
              <w:t>Resilience Capacity</w:t>
              <w:br/>
              <w:t>label: resilience capacity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biosphere's capacity to absorb shocks, adapt, and recover from disturbance.</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Greater ecological resilience, redundancy, and recovery capacity.</w:t>
              <w:br/>
              <w:t>−</w:t>
              <w:br/>
              <w:t>Loss of resilience, reduced redundancy, approach to tipping points and regime shifts.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resilience / redundancy indicators; recovery-rate data; threshold-proximity assessments</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Tail-risk ⛓ Containment ◌ Ordinary</w:t>
              <w:br/>
              <w:t>Tail-relevant where loss of resilience brings irreversible regime shifts; containment-relevant as resilience buffers all scopes.</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Restoring wetland buffers that absorb flood shocks improves U7/D5.</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asks whether proximity to thresholds was assessed, not just current condition.</w:t>
            </w:r>
          </w:p>
        </w:tc>
      </w:tr>
      <w:tr>
        <w:trPr>
          <w:cantSplit/>
        </w:trPr>
        <w:tc>
          <w:tcPr>
            <w:tcW w:type="dxa" w:w="1368"/>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U7/D6</w:t>
              <w:br/>
              <w:t>Life Continuity</w:t>
              <w:br/>
              <w:t>label: life continuity</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The continuity and persistence of life and biodiversity over time, including irreversibility of loss.</w:t>
            </w:r>
          </w:p>
        </w:tc>
        <w:tc>
          <w:tcPr>
            <w:tcW w:type="dxa" w:w="259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w:t>
              <w:br/>
              <w:t>Protected biodiversity, prevented extinctions, sustained continuity of life.</w:t>
              <w:br/>
              <w:t>−</w:t>
              <w:br/>
              <w:t>Species extinction, irreversible biodiversity loss, broken continuity of lineages.</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extinction-risk (e.g. red-list) data; biodiversity-trend indices; irreversibility assessments</w:t>
            </w:r>
          </w:p>
        </w:tc>
        <w:tc>
          <w:tcPr>
            <w:tcW w:type="dxa" w:w="1944"/>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 Tail-risk ⛓ Containment ◌ Ordinary</w:t>
              <w:br/>
              <w:t>Strongly tail-relevant: extinction is the paradigm of irreversible, non-averagable harm under TRC; containment-relevant.</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habitat-corridor program that prevents a species' extinction improves U7/D6.</w:t>
            </w:r>
          </w:p>
        </w:tc>
        <w:tc>
          <w:tcPr>
            <w:tcW w:type="dxa" w:w="2232"/>
            <w:vAlign w:val="top"/>
            <w:tcMar>
              <w:top w:w="70" w:type="dxa"/>
              <w:start w:w="70" w:type="dxa"/>
              <w:bottom w:w="70" w:type="dxa"/>
              <w:end w:w="70" w:type="dxa"/>
            </w:tcMar>
            <w:shd w:fill="F7FBFF"/>
          </w:tcPr>
          <w:p>
            <w:pPr>
              <w:spacing w:before="0" w:after="0" w:line="240" w:lineRule="auto"/>
              <w:jc w:val="left"/>
            </w:pPr>
            <w:r>
              <w:rPr>
                <w:rFonts w:ascii="Aptos" w:hAnsi="Aptos" w:eastAsia="Aptos"/>
                <w:b w:val="0"/>
                <w:color w:val="000000"/>
                <w:sz w:val="14"/>
              </w:rPr>
              <w:t>A reviewer checks whether irreversibility was treated as a tail constraint, not a discountable cost.</w:t>
            </w:r>
          </w:p>
        </w:tc>
      </w:tr>
      <w:tr>
        <w:trPr>
          <w:cantSplit/>
        </w:trPr>
        <w:tc>
          <w:tcPr>
            <w:tcW w:type="dxa" w:w="1368"/>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U7/D7</w:t>
              <w:br/>
              <w:t>Ecological Integrity</w:t>
              <w:br/>
              <w:t>label: ecological integrity</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The overall health, resilience, diversity, and continuity of ecosystems as living support systems.</w:t>
            </w:r>
          </w:p>
        </w:tc>
        <w:tc>
          <w:tcPr>
            <w:tcW w:type="dxa" w:w="259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w:t>
              <w:br/>
              <w:t>Habitat restoration, biodiversity protection, improved ecological resilience, reduced pollution.</w:t>
              <w:br/>
              <w:t>−</w:t>
              <w:br/>
              <w:t>Habitat destruction, species loss, ecosystem collapse, pollution, soil/water degradation.</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biodiversity indices; habitat-area data; water/soil quality; ecosystem-resilience measures; ecological monitoring</w:t>
            </w:r>
          </w:p>
        </w:tc>
        <w:tc>
          <w:tcPr>
            <w:tcW w:type="dxa" w:w="1944"/>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 Containment ⚠ Tail-risk ⚖ Rights ◌ Ordinary</w:t>
              <w:br/>
              <w:t>Often containment-relevant and sometimes catastrophe-relevant; may relate to ecological-integrity rights where recognised (e.g. rights of nature).</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factory expansion that damages a watershed may fail containment even when it improves U4/D1.</w:t>
            </w:r>
          </w:p>
        </w:tc>
        <w:tc>
          <w:tcPr>
            <w:tcW w:type="dxa" w:w="2232"/>
            <w:vAlign w:val="top"/>
            <w:tcMar>
              <w:top w:w="70" w:type="dxa"/>
              <w:start w:w="70" w:type="dxa"/>
              <w:bottom w:w="70" w:type="dxa"/>
              <w:end w:w="70" w:type="dxa"/>
            </w:tcMar>
            <w:shd w:fill="FFFFFF"/>
          </w:tcPr>
          <w:p>
            <w:pPr>
              <w:spacing w:before="0" w:after="0" w:line="240" w:lineRule="auto"/>
              <w:jc w:val="left"/>
            </w:pPr>
            <w:r>
              <w:rPr>
                <w:rFonts w:ascii="Aptos" w:hAnsi="Aptos" w:eastAsia="Aptos"/>
                <w:b w:val="0"/>
                <w:color w:val="000000"/>
                <w:sz w:val="14"/>
              </w:rPr>
              <w:t>A reviewer checks whether integrity is evidenced by ecosystem-level data or inferred from a single metric.</w:t>
            </w:r>
          </w:p>
        </w:tc>
      </w:tr>
    </w:tbl>
    <w:p>
      <w:pPr>
        <w:sectPr>
          <w:pgSz w:w="15840" w:h="12240" w:orient="landscape"/>
          <w:pgMar w:top="720" w:right="720" w:bottom="720" w:left="720" w:header="720" w:footer="720" w:gutter="0"/>
        </w:sectPr>
      </w:pPr>
    </w:p>
    <w:p>
      <w:r>
        <w:rPr>
          <w:b w:val="0"/>
          <w:i w:val="0"/>
          <w:sz w:val="6"/>
        </w:rPr>
      </w:r>
    </w:p>
    <w:p>
      <w:pPr>
        <w:pStyle w:val="Heading1"/>
      </w:pPr>
      <w:r>
        <w:t xml:space="preserve">FINAL DOCUMENT COMPLETION STATEMENT</w:t>
      </w:r>
    </w:p>
    <w:p>
      <w:pPr>
        <w:pStyle w:val="FirstParagraph"/>
      </w:pPr>
      <w:r>
        <w:t xml:space="preserve">RippleLogic v11.4 is released as a Tier 1-3 core-foundation and architecture specification. It preserves the canonical cascade, equations, rights thresholds, TRC mechanics, Containment semantics, SGP binding interface, PLSS/FLGG architecture, RSP/RefStructRecord evidence discipline, refusal logic, audit requirements, and claim-boundary rules.</w:t>
      </w:r>
    </w:p>
    <w:p>
      <w:pPr>
        <w:pStyle w:val="BodyText"/>
      </w:pPr>
      <w:r>
        <w:t xml:space="preserve">Appendix AD adds canonical interpretive guidance for the 49-cell welfare matrix. It improves scoring literacy, evidence discipline, and reviewer challengeability without changing the cascade, equations, admissibility gates, thresholds, or release claim boundaries.</w:t>
      </w:r>
    </w:p>
    <w:p>
      <w:pPr>
        <w:pStyle w:val="BodyText"/>
      </w:pPr>
      <w:r>
        <w:t xml:space="preserve">This release does not claim empirical validation, Tier 4 readiness, ProofPack readiness, deployment readiness, legal compliance certification, machine-verifiable ecosystem completeness, cross-domain validated UCI, or completed biological SGP measurement.</w:t>
      </w:r>
    </w:p>
    <w:p>
      <w:pPr>
        <w:pStyle w:val="BodyText"/>
      </w:pPr>
      <w:r>
        <w:t xml:space="preserve">Release identity is governed by the repository manifest and verified SHA-256 hashes for the published artifact set.</w:t>
      </w:r>
    </w:p>
    <w:bookmarkEnd w:id="576"/>
    <w:bookmarkStart w:id="583" w:name="Xf499083984ff1a0d126663787178391bbf42481"/>
    <w:p>
      <w:pPr>
        <w:pStyle w:val="Heading1"/>
      </w:pPr>
      <w:r>
        <w:t xml:space="preserve">APPENDIX AE: Carried-Forward v10.8 Layer-Discipline, Falsification, and Adaptive Reserve Addendum (Preserved through v11.4)</w:t>
      </w:r>
    </w:p>
    <w:p>
      <w:pPr>
        <w:pStyle w:val="FirstParagraph"/>
      </w:pPr>
      <w:r>
        <w:t xml:space="preserve">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bookmarkStart w:id="578" w:name="ae.1-purpose-and-release-boundary"/>
    <w:p>
      <w:pPr>
        <w:pStyle w:val="Heading2"/>
      </w:pPr>
      <w:r>
        <w:t xml:space="preserve">AE.1 Purpose and release boundary</w:t>
      </w:r>
    </w:p>
    <w:p>
      <w:pPr>
        <w:pStyle w:val="FirstParagraph"/>
      </w:pPr>
      <w:r>
        <w:t xml:space="preserve">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BodyText"/>
      </w:pPr>
      <w:r>
        <w:t xml:space="preserve">Normative effect. The canonical cascade remains Reality Grounding → Rights Floor → TRC → CSV → RLS. Reality Grounding is added as the public claim-authority level, not as a compensatory scoring gate. Rights floors, TRC/CVaR, Containment, PLSS residual-only discipline, SGP boundaries, and Tier 4 ProofPack restrictions remain unchanged.</w:t>
      </w:r>
    </w:p>
    <w:bookmarkEnd w:id="578"/>
    <w:bookmarkStart w:id="579" w:name="X5b94b1bfc3095aee299cec4be75294ea7d5089e"/>
    <w:p>
      <w:pPr>
        <w:pStyle w:val="Heading2"/>
      </w:pPr>
      <w:r>
        <w:t xml:space="preserve">AE.2 COMPUTABLE_BUT_INADMISSIBLE audit state</w:t>
      </w:r>
    </w:p>
    <w:p>
      <w:pPr>
        <w:pStyle w:val="FirstParagraph"/>
      </w:pPr>
      <w:r>
        <w:t xml:space="preserve">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BodyText"/>
      </w:pPr>
      <w:r>
        <w:t xml:space="preserve">Use cases include: a welfare score for an option that failed NCRC; an RLS ranking after TRC or CSV failure; a PLSS result used as if it could narrow admissibility; an SGP scalar used beyond its evidence tier; a zero entered where the true state is unknown; or a reference vector that computes while violating declared closure boundaries.</w:t>
      </w:r>
    </w:p>
    <w:p>
      <w:pPr>
        <w:pStyle w:val="BodyText"/>
      </w:pPr>
      <w:r>
        <w:t xml:space="preserve">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BodyText"/>
      </w:pPr>
      <w:r>
        <w:t xml:space="preserve">Alias note. SGP_COMPUTABLE_BUT_INADMISSIBLE and the ripple.md ComputableButInadmissible field are domain-scoped aliases of this state for SGP-specific and wrapper-specific records.</w:t>
      </w:r>
    </w:p>
    <w:bookmarkEnd w:id="579"/>
    <w:bookmarkStart w:id="580" w:name="ae.3-layer-specific-falsification-matrix"/>
    <w:p>
      <w:pPr>
        <w:pStyle w:val="Heading2"/>
      </w:pPr>
      <w:r>
        <w:t xml:space="preserve">AE.3 Layer-specific falsification matrix</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159"/>
        <w:gridCol w:w="2353"/>
        <w:gridCol w:w="2353"/>
        <w:gridCol w:w="2353"/>
      </w:tblGrid>
      <w:tr>
        <w:trPr>
          <w:tblHeader w:val="true"/>
          <w:cantSplit/>
        </w:trPr>
        <w:tc>
          <w:tcPr>
            <w:tcW w:w="2159"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Layer</w:t>
            </w:r>
          </w:p>
        </w:tc>
        <w:tc>
          <w:tcPr>
            <w:tcW w:w="2353"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Layer-specific falsifier</w:t>
            </w:r>
          </w:p>
        </w:tc>
        <w:tc>
          <w:tcPr>
            <w:tcW w:w="2353"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Does not by itself falsify</w:t>
            </w:r>
          </w:p>
        </w:tc>
        <w:tc>
          <w:tcPr>
            <w:tcW w:w="2353"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Required response</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NCRC</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Rights-floor breach, unresolved rights uncertainty, or missing rights evidence for a rights-relevant case.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RLS arithmetic or UCI/HOI diagnostics.</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Reject, refuse, or escalate under rights uncertainty.</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TRC</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Tail-risk/CVaR exceeds governed threshold or catastrophe scenario evidence is insufficient.</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NCRC analysis already performed.</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Reject or escalate; do not compensate with welfare score.</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Containment</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Local gain degrades containing systems beyond declared tolerance or hides cross-scale degradation.</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Rights or tail-risk verdicts.</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Reject as selectable; record containment rationale.</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RLS</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Wrong welfare cells, weights, evidence grade, aggregation, or sensitivity posture.</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Admissibility gate outcomes.</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Recompute or mark non-decisive; do not reopen failed gates.</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UCI/HOI</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Structural metric evidence, normalization, or tie-break application is defective.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NCRC/TRC/CSV/RLS by itself.</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Recompute diagnostic or remove tie-break claim.</w:t>
            </w:r>
          </w:p>
        </w:tc>
      </w:tr>
      <w:tr>
        <w:trPr>
          <w:cantSplit/>
        </w:trPr>
        <w:tc>
          <w:tcPr>
            <w:tcW w:w="2159" w:type="dxa"/>
            <w:vAlign w:val="top"/>
            <w:tcMar>
              <w:top w:w="70" w:type="dxa"/>
              <w:start w:w="90" w:type="dxa"/>
              <w:bottom w:w="70" w:type="dxa"/>
              <w:end w:w="90" w:type="dxa"/>
            </w:tcMar>
            <w:shd w:fill="F3F7FB" w:val="clear"/>
          </w:tcPr>
          <w:p>
            <w:pPr>
              <w:pStyle w:val="Compact"/>
              <w:spacing w:before="0" w:after="0"/>
              <w:jc w:val="left"/>
            </w:pPr>
            <w:r>
              <w:rPr>
                <w:sz w:val="17"/>
              </w:rPr>
              <w:t xml:space="preserve">PCC / audit</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Missing provenance, closure, evidence, reviewer trace, or claim-boundary record.</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The underlying ethical truth of the situation.</w:t>
            </w:r>
          </w:p>
        </w:tc>
        <w:tc>
          <w:tcPr>
            <w:tcW w:w="2353" w:type="dxa"/>
            <w:vAlign w:val="top"/>
            <w:tcMar>
              <w:top w:w="70" w:type="dxa"/>
              <w:start w:w="90" w:type="dxa"/>
              <w:bottom w:w="70" w:type="dxa"/>
              <w:end w:w="90" w:type="dxa"/>
            </w:tcMar>
            <w:shd w:fill="F3F7FB" w:val="clear"/>
          </w:tcPr>
          <w:p>
            <w:pPr>
              <w:pStyle w:val="Compact"/>
              <w:spacing w:before="0" w:after="0"/>
              <w:jc w:val="left"/>
            </w:pPr>
            <w:r>
              <w:rPr>
                <w:sz w:val="17"/>
              </w:rPr>
              <w:t xml:space="preserve">Invalidate conformance or maturity claim until record is repaired.</w:t>
            </w:r>
          </w:p>
        </w:tc>
      </w:tr>
      <w:tr>
        <w:trPr>
          <w:cantSplit/>
        </w:trPr>
        <w:tc>
          <w:tcPr>
            <w:tcW w:w="2159" w:type="dxa"/>
            <w:vAlign w:val="top"/>
            <w:tcMar>
              <w:top w:w="70" w:type="dxa"/>
              <w:start w:w="90" w:type="dxa"/>
              <w:bottom w:w="70" w:type="dxa"/>
              <w:end w:w="90" w:type="dxa"/>
            </w:tcMar>
            <w:shd w:fill="FFFFFF" w:val="clear"/>
          </w:tcPr>
          <w:p>
            <w:pPr>
              <w:pStyle w:val="Compact"/>
              <w:spacing w:before="0" w:after="0"/>
              <w:jc w:val="left"/>
            </w:pPr>
            <w:r>
              <w:rPr>
                <w:sz w:val="17"/>
              </w:rPr>
              <w:t xml:space="preserve">SGP interface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SGP output lacks evidence tier, scoring version, reviewer status, uncertainty, or maturity boundary for its claimed use.</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NCRC, TRC, CSV, lawful authority, or governance-role requirements.</w:t>
            </w:r>
          </w:p>
        </w:tc>
        <w:tc>
          <w:tcPr>
            <w:tcW w:w="2353" w:type="dxa"/>
            <w:vAlign w:val="top"/>
            <w:tcMar>
              <w:top w:w="70" w:type="dxa"/>
              <w:start w:w="90" w:type="dxa"/>
              <w:bottom w:w="70" w:type="dxa"/>
              <w:end w:w="90" w:type="dxa"/>
            </w:tcMar>
            <w:shd w:fill="FFFFFF" w:val="clear"/>
          </w:tcPr>
          <w:p>
            <w:pPr>
              <w:pStyle w:val="Compact"/>
              <w:spacing w:before="0" w:after="0"/>
              <w:jc w:val="left"/>
            </w:pPr>
            <w:r>
              <w:rPr>
                <w:sz w:val="17"/>
              </w:rPr>
              <w:t xml:space="preserve">Treat as governed evidence limitation; do not use as override.</w:t>
            </w:r>
          </w:p>
        </w:tc>
      </w:tr>
    </w:tbl>
    <w:bookmarkEnd w:id="580"/>
    <w:bookmarkStart w:id="581" w:name="X2f36b0c29cdee8eb0df068a9942005670f03d61"/>
    <w:p>
      <w:pPr>
        <w:pStyle w:val="Heading2"/>
      </w:pPr>
      <w:r>
        <w:t xml:space="preserve">AE.4 Reference, preference, number, and claim discipline</w:t>
      </w:r>
    </w:p>
    <w:p>
      <w:pPr>
        <w:pStyle w:val="FirstParagraph"/>
      </w:pPr>
      <w:r>
        <w:t xml:space="preserve">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BodyText"/>
      </w:pPr>
      <w:r>
        <w:t xml:space="preserve">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bookmarkEnd w:id="581"/>
    <w:bookmarkStart w:id="582" w:name="X2235c586d304e1eb34fdeb415189891b8709274"/>
    <w:p>
      <w:pPr>
        <w:pStyle w:val="Heading2"/>
      </w:pPr>
      <w:r>
        <w:t xml:space="preserve">AE.5 Adaptive Reserve / Saturation Diagnostic</w:t>
      </w:r>
    </w:p>
    <w:p>
      <w:pPr>
        <w:pStyle w:val="FirstParagraph"/>
      </w:pPr>
      <w:r>
        <w:t xml:space="preserve">Adaptive Reserve is a carried-forward v10.8 structural diagnostic for detecting whether an option consumes so much social, institutional, ecological, cognitive, financial, or operational slack that the system becomes brittle even when immediate welfare scores appear positive.</w:t>
      </w:r>
    </w:p>
    <w:p>
      <w:pPr>
        <w:pStyle w:val="BodyText"/>
      </w:pPr>
      <w:r>
        <w:t xml:space="preserve">Status. Adaptive Reserve is not a sixth gate in the current v11.4 line. It is a UCI/HOI-compatible diagnostic and containment-support signal. It MAY trigger review, sensitivity analysis, or escalation. It MUST NOT rescue an option that failed NCRC, TRC, or CSV.</w:t>
      </w:r>
    </w:p>
    <w:p>
      <w:pPr>
        <w:pStyle w:val="BodyText"/>
      </w:pPr>
      <w:r>
        <w:t xml:space="preserve">Minimum fields. When used, implementations SHOULD record reserve domain, baseline reserve, projected reserve after option, recovery path, redundancy state, reversibility, monitoring trigger, and saturation risk.</w:t>
      </w:r>
    </w:p>
    <w:bookmarkEnd w:id="582"/>
    <w:bookmarkStart w:id="583" w:name="ae.6-v10.8-release-delta"/>
    <w:p>
      <w:pPr>
        <w:pStyle w:val="Heading2"/>
      </w:pPr>
      <w:r>
        <w:t xml:space="preserve">AE.6 v10.8 release delta</w:t>
      </w:r>
    </w:p>
    <w:p>
      <w:pPr>
        <w:pStyle w:val="FirstParagraph"/>
      </w:pPr>
      <w:r>
        <w:t xml:space="preserve">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bookmarkEnd w:id="583"/>
    <w:bookmarkEnd w:id="584"/>
    <w:bookmarkStart w:id="594" w:name="Xaa95fce01210569459b807f7a54516f7e7e8974"/>
    <w:p>
      <w:pPr>
        <w:pStyle w:val="Heading1"/>
      </w:pPr>
      <w:r>
        <w:t xml:space="preserve">APPENDIX AF: Decision Verdict Semantics, Projection Freeze, Closure Status, and Authority-Selection Separation</w:t>
      </w:r>
    </w:p>
    <w:bookmarkStart w:id="585" w:name="af.1-purpose-and-release-boundary"/>
    <w:p>
      <w:pPr>
        <w:pStyle w:val="Heading2"/>
      </w:pPr>
      <w:r>
        <w:t xml:space="preserve">AF.1 Purpose and release boundary</w:t>
      </w:r>
    </w:p>
    <w:p>
      <w:pPr>
        <w:pStyle w:val="FirstParagraph"/>
      </w:pPr>
      <w:r>
        <w:t xml:space="preserve">This v10.8 hardening appendix strengthens RippleLogic’s own decision-state discipline without importing any external ontology, physics claim, proprietary framework, or hidden implementation layer. It preserves the canonical cascade Reality Grounding → Rights Floor → TRC → CSV → RLS. It does not change any rights threshold, TRC/CVaR rule, Containment rule, PLSS rule, SGP interface, UCI/HOI definition, or Tier-4 claim boundary.</w:t>
      </w:r>
    </w:p>
    <w:p>
      <w:pPr>
        <w:pStyle w:val="BodyText"/>
      </w:pPr>
      <w:r>
        <w:t xml:space="preserve">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bookmarkEnd w:id="585"/>
    <w:bookmarkStart w:id="586" w:name="af.2-decision-verdict-states"/>
    <w:p>
      <w:pPr>
        <w:pStyle w:val="Heading2"/>
      </w:pPr>
      <w:r>
        <w:t xml:space="preserve">AF.2 Decision verdict states</w:t>
      </w:r>
    </w:p>
    <w:p>
      <w:pPr>
        <w:pStyle w:val="FirstParagraph"/>
      </w:pPr>
      <w:r>
        <w:t xml:space="preserve">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BodyText"/>
      </w:pPr>
      <w:r>
        <w:t xml:space="preserve">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BodyText"/>
      </w:pPr>
      <w:r>
        <w:t xml:space="preserve">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bookmarkEnd w:id="586"/>
    <w:bookmarkStart w:id="587" w:name="af.3-non-decisive-admissible-sets"/>
    <w:p>
      <w:pPr>
        <w:pStyle w:val="Heading2"/>
      </w:pPr>
      <w:r>
        <w:t xml:space="preserve">AF.3 Non-decisive admissible sets</w:t>
      </w:r>
    </w:p>
    <w:p>
      <w:pPr>
        <w:pStyle w:val="FirstParagraph"/>
      </w:pPr>
      <w:r>
        <w:t xml:space="preserve">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BodyText"/>
      </w:pPr>
      <w:r>
        <w:t xml:space="preserve">Minimum fields for a non-decisive admissible set are: FrameworkVerdict, AdmissibleOptionSet, DeterministicSelectionClaim=false, NonDecisiveReason, AuthoritySelectionRecord if one exists, AuthorityBasis, ReviewerRequired, and DisclosureText.</w:t>
      </w:r>
    </w:p>
    <w:bookmarkEnd w:id="587"/>
    <w:bookmarkStart w:id="588" w:name="X894b67b529212bcd783c42584a93ec0898f16df"/>
    <w:p>
      <w:pPr>
        <w:pStyle w:val="Heading2"/>
      </w:pPr>
      <w:r>
        <w:t xml:space="preserve">AF.4 ProjectionPreRegistration visibility</w:t>
      </w:r>
    </w:p>
    <w:p>
      <w:pPr>
        <w:pStyle w:val="FirstParagraph"/>
      </w:pPr>
      <w:r>
        <w:t xml:space="preserve">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bookmarkEnd w:id="588"/>
    <w:bookmarkStart w:id="589" w:name="af.5-closure-and-coverage-status"/>
    <w:p>
      <w:pPr>
        <w:pStyle w:val="Heading2"/>
      </w:pPr>
      <w:r>
        <w:t xml:space="preserve">AF.5 Closure and coverage status</w:t>
      </w:r>
    </w:p>
    <w:p>
      <w:pPr>
        <w:pStyle w:val="FirstParagraph"/>
      </w:pPr>
      <w:r>
        <w:t xml:space="preserve">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bookmarkEnd w:id="589"/>
    <w:bookmarkStart w:id="590" w:name="af.6-falsification-classes"/>
    <w:p>
      <w:pPr>
        <w:pStyle w:val="Heading2"/>
      </w:pPr>
      <w:r>
        <w:t xml:space="preserve">AF.6 Falsification classes</w:t>
      </w:r>
    </w:p>
    <w:p>
      <w:pPr>
        <w:pStyle w:val="FirstParagraph"/>
      </w:pPr>
      <w:r>
        <w:t xml:space="preserve">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bookmarkEnd w:id="590"/>
    <w:bookmarkStart w:id="591" w:name="af.7-authority-selection-record"/>
    <w:p>
      <w:pPr>
        <w:pStyle w:val="Heading2"/>
      </w:pPr>
      <w:r>
        <w:t xml:space="preserve">AF.7 Authority-selection record</w:t>
      </w:r>
    </w:p>
    <w:p>
      <w:pPr>
        <w:pStyle w:val="FirstParagraph"/>
      </w:pPr>
      <w:r>
        <w:t xml:space="preserve">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bookmarkEnd w:id="591"/>
    <w:bookmarkStart w:id="592" w:name="X31db77367a99fa3e5c9f024529fb28a88913105"/>
    <w:p>
      <w:pPr>
        <w:pStyle w:val="Heading2"/>
      </w:pPr>
      <w:r>
        <w:t xml:space="preserve">AF.8 Reality-contact and primitive-clarity discipline</w:t>
      </w:r>
    </w:p>
    <w:p>
      <w:pPr>
        <w:pStyle w:val="FirstParagraph"/>
      </w:pPr>
      <w:r>
        <w:t xml:space="preserve">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pStyle w:val="BodyText"/>
      </w:pPr>
      <w:r>
        <w:t xml:space="preserve">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pStyle w:val="BodyText"/>
      </w:pPr>
      <w:r>
        <w:t xml:space="preserve">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bookmarkEnd w:id="592"/>
    <w:bookmarkStart w:id="593" w:name="af.9-v10.8-release-delta"/>
    <w:p>
      <w:pPr>
        <w:pStyle w:val="Heading2"/>
      </w:pPr>
      <w:r>
        <w:t xml:space="preserve">AF.9 v10.8 release delta</w:t>
      </w:r>
    </w:p>
    <w:p>
      <w:pPr>
        <w:pStyle w:val="FirstParagraph"/>
      </w:pPr>
      <w:r>
        <w:t xml:space="preserve">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pStyle w:val="BodyText"/>
      </w:pPr>
      <w:r>
        <w:t xml:space="preserve">Appendices AG and AH carry the v10.8 Reality Grounding / Lean Cascade and Category Grounding patches and are part of this canonical artifact.</w:t>
      </w:r>
    </w:p>
    <w:bookmarkEnd w:id="593"/>
    <w:bookmarkEnd w:id="594"/>
    <w:bookmarkStart w:id="595" w:name="X01415797de57e0e9e89319b81d450705de72086"/>
    <w:p>
      <w:pPr>
        <w:pStyle w:val="Heading1"/>
      </w:pPr>
      <w:r>
        <w:t xml:space="preserve">APPENDIX AG: CARRIED-FORWARD v10.8 REALITY GROUNDING AND LEAN CASCADE PATCH (CURRENTLY PRESERVED THROUGH v11.4)</w:t>
      </w:r>
    </w:p>
    <w:p>
      <w:pPr>
        <w:pStyle w:val="FirstParagraph"/>
      </w:pPr>
      <w:r>
        <w:t xml:space="preserve">Status. Appendix AG records the v10.8 substance update carried forward inside the v11.4 release line. Appendix AC remains controlling for release metadata and claim boundaries where conflicts appear.</w:t>
      </w:r>
    </w:p>
    <w:p>
      <w:pPr>
        <w:pStyle w:val="BodyText"/>
      </w:pPr>
      <w:r>
        <w:t xml:space="preserve">Core method. The public-facing RippleLogic method inside the MathGov framework is now: Reality Grounding -&gt; Rights Floor -&gt; TRC -&gt; CSV -&gt; RLS, or compactly RG -&gt; RF -&gt; TRC -&gt; CSV -&gt; RLS.</w:t>
      </w:r>
    </w:p>
    <w:p>
      <w:pPr>
        <w:pStyle w:val="BodyText"/>
      </w:pPr>
      <w:r>
        <w:t xml:space="preserve">Formal method. The formal implementation is: RG/RSG -&gt; RF/NCRC -&gt; TRC -&gt; CSV -&gt; RLS. RF names the public layer; NCRC names the formal rights predicate.</w:t>
      </w:r>
    </w:p>
    <w:p>
      <w:pPr>
        <w:pStyle w:val="BodyText"/>
      </w:pPr>
      <w:r>
        <w:t xml:space="preserve">Reality Grounding. Level 1 declares the reality surface, evidence trace, material unknowns, transition boundary, consequence pathways, and claim boundary. No claim may exceed its reality surface.</w:t>
      </w:r>
    </w:p>
    <w:p>
      <w:pPr>
        <w:pStyle w:val="BodyText"/>
      </w:pPr>
      <w:r>
        <w:t xml:space="preserve">UCI/HOI placement. UCI/HOI are structural diagnostic instruments, not public headline cascade stages. Gate-relevant UCI/HOI evidence belongs inside CSV. Residual UCI/HOI applies only when RLS is tied, close, uncertainty-overlapped, or non-decisive, or when monitoring/hollowing documentation is required.</w:t>
      </w:r>
    </w:p>
    <w:p>
      <w:pPr>
        <w:pStyle w:val="BodyText"/>
      </w:pPr>
      <w:r>
        <w:t xml:space="preserve">PLSS. PLSS remains the zoom lens, not the safety waiver. It adjusts residual welfare-ranking attention only after admissibility has been preserved and cannot omit containment-relevant structural diagnostics.</w:t>
      </w:r>
    </w:p>
    <w:p>
      <w:pPr>
        <w:pStyle w:val="BodyText"/>
      </w:pPr>
      <w:r>
        <w:t xml:space="preserve">Boundary. This release does not claim Tier 4, ProofPack readiness, empirical validation, legal certification, deployment certification, or deterministic selection where the run is non-decisive.</w:t>
      </w:r>
    </w:p>
    <w:bookmarkEnd w:id="595"/>
    <w:bookmarkStart w:id="604" w:name="X17f4dae39909bdcbe272c87b12f92f624f2e8d2"/>
    <w:p>
      <w:pPr>
        <w:pStyle w:val="Heading1"/>
      </w:pPr>
      <w:r>
        <w:t xml:space="preserve">APPENDIX AH: CATEGORY GROUNDING AND PRIMITIVE AUDIT PROTOCOL</w:t>
      </w:r>
    </w:p>
    <w:bookmarkStart w:id="596" w:name="ah.1-status-and-placement"/>
    <w:p>
      <w:pPr>
        <w:pStyle w:val="Heading2"/>
      </w:pPr>
      <w:r>
        <w:t xml:space="preserve">AH.1 Status and placement</w:t>
      </w:r>
    </w:p>
    <w:p>
      <w:pPr>
        <w:pStyle w:val="FirstParagraph"/>
      </w:pPr>
      <w:r>
        <w:t xml:space="preserve">Status. Appendix AH is a normative clarification for claim-bearing Tier 2 and Tier 3 runs and an informative design guide for lower-stakes runs. It is part of the Reality Grounding layer. It does not create a sixth public method level and does not weaken NCRC, TRC, CSV, RLS, PLSS boundaries, SGP boundaries, lawful authority boundaries, or Tier 4/ProofPack boundaries.</w:t>
      </w:r>
    </w:p>
    <w:p>
      <w:pPr>
        <w:pStyle w:val="BodyText"/>
      </w:pPr>
      <w:r>
        <w:t xml:space="preserve">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bookmarkEnd w:id="596"/>
    <w:bookmarkStart w:id="597" w:name="ah.2-definitions"/>
    <w:p>
      <w:pPr>
        <w:pStyle w:val="Heading2"/>
      </w:pPr>
      <w:r>
        <w:t xml:space="preserve">AH.2 Definitions</w:t>
      </w:r>
    </w:p>
    <w:p>
      <w:pPr>
        <w:pStyle w:val="FirstParagraph"/>
      </w:pPr>
      <w:r>
        <w:t xml:space="preserve">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pPr>
        <w:pStyle w:val="BodyText"/>
      </w:pPr>
      <w:r>
        <w:t xml:space="preserve">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pPr>
        <w:pStyle w:val="BodyText"/>
      </w:pPr>
      <w:r>
        <w:t xml:space="preserve">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pPr>
        <w:pStyle w:val="BodyText"/>
      </w:pPr>
      <w:r>
        <w:t xml:space="preserve">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BodyText"/>
      </w:pPr>
      <w:r>
        <w:t xml:space="preserve">Term Discrimination. Term Discrimination is the Category Grounding subdiscipline that states what a material term means, what it does not mean, what discriminator separates it from nearby terms, where it sits in the dependency order, and when the term must be narrowed, escalated, monitored, treated as sensitivity-only, or refused.</w:t>
      </w:r>
    </w:p>
    <w:p>
      <w:pPr>
        <w:pStyle w:val="BodyText"/>
      </w:pPr>
      <w:r>
        <w:t xml:space="preserve">Category Discriminator. A category discriminator is the decisive property that separates a material category or term from neighboring categories it is likely to be confused with.</w:t>
      </w:r>
    </w:p>
    <w:p>
      <w:pPr>
        <w:pStyle w:val="BodyText"/>
      </w:pPr>
      <w:r>
        <w:t xml:space="preserve">Dependency Position. Dependency position is the location of the term in the decision stack, such as reality-surface, evidence-trace, category-boundary, rights-admissibility, tail-risk-admissibility, containment-selectability, residual-ranking, framework-verdict, authority-selection, execution-authority, monitoring, certification, or public-claim.</w:t>
      </w:r>
    </w:p>
    <w:bookmarkEnd w:id="597"/>
    <w:bookmarkStart w:id="598" w:name="ah.3-trigger-conditions"/>
    <w:p>
      <w:pPr>
        <w:pStyle w:val="Heading2"/>
      </w:pPr>
      <w:r>
        <w:t xml:space="preserve">AH.3 Trigger conditions</w:t>
      </w:r>
    </w:p>
    <w:p>
      <w:pPr>
        <w:pStyle w:val="FirstParagraph"/>
      </w:pPr>
      <w:r>
        <w:t xml:space="preserve">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bookmarkEnd w:id="598"/>
    <w:bookmarkStart w:id="599" w:name="ah.4-minimum-categorygroundingrecord"/>
    <w:p>
      <w:pPr>
        <w:pStyle w:val="Heading2"/>
      </w:pPr>
      <w:r>
        <w:t xml:space="preserve">AH.4 Minimum CategoryGroundingRecord</w:t>
      </w:r>
    </w:p>
    <w:p>
      <w:pPr>
        <w:pStyle w:val="FirstParagraph"/>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 xml:space="preserve">Allowed category_maturity_status values: GROUNDED, ESTIMATED, ASSUMPTION_BOUND, CONTESTED, LEGACY_UNREVIEWED, INSUFFICIENT_GROUNDING, and OUT_OF_SCOPE_WITH_RATIONALE.</w:t>
      </w:r>
    </w:p>
    <w:p>
      <w:pPr>
        <w:pStyle w:val="BodyText"/>
      </w:pPr>
      <w:r>
        <w:t xml:space="preserve">PrimitiveAuditRecord SHOULD include: primitive_id; primitive_statement; primitive_role; imported_parent_disciplines; operational_dependency; affected_claims; evidence_or_argument_basis; failure_mode; falsification_or_revision_trigger; reviewer_status; required_claim_action; and audit_reference. PrimitiveAuditRecord is required when a primitive or imported foundational term materially supports a rights, tail-risk, containment, SGP, authority, conformance, public-claim, or deterministic-selection claim.</w:t>
      </w:r>
    </w:p>
    <w:p>
      <w:pPr>
        <w:pStyle w:val="BodyText"/>
      </w:pPr>
      <w:r>
        <w:t xml:space="preserve">Allowed semantic_debt_flag values: NONE, LOW, MEDIUM, HIGH, and CRITICAL. HIGH or CRITICAL semantic debt requires explicit reviewer attention before stronger public, conformance, deployment, authority, or deterministic-selection claims may be made.</w:t>
      </w:r>
    </w:p>
    <w:p>
      <w:pPr>
        <w:pStyle w:val="BodyText"/>
      </w:pPr>
      <w:r>
        <w:t xml:space="preserve">Semantic debt rubric: NONE = category recently reviewed, evidence-linked, and uncontested within the claim boundary. LOW = minor ambiguity with no plausible gate or claim effect. MEDIUM = ambiguity could affect interpretation or monitoring but not current admissibility. HIGH = ambiguity could affect rights, tail risk, containment, authority, conformance, or public claim. CRITICAL = category is stale, contested, or ungrounded in a way that could invalidate the decision state or public claim.</w:t>
      </w:r>
    </w:p>
    <w:p>
      <w:pPr>
        <w:pStyle w:val="BodyText"/>
      </w:pPr>
      <w:r>
        <w:t xml:space="preserve">Allowed required_claim_action values: ALLOW, NARROW, ESCALATE, REFUSE, MONITOR_ONLY, and SENSITIVITY_ONLY.</w:t>
      </w:r>
    </w:p>
    <w:p>
      <w:pPr>
        <w:pStyle w:val="BodyText"/>
      </w:pPr>
      <w:r>
        <w:t xml:space="preserve">Allowed source_authority_status values SHOULD include: PRIMARY_EVIDENCE, GOVERNING_SPECIFICATION, DOMAIN_STANDARD, LEGAL_AUTHORITY, INSTITUTIONAL_POLICY, EXPERT_JUDGMENT, MODEL_OUTPUT, STAKEHOLDER_TESTIMONY, LEGACY_SOURCE, and UNVERIFIED_SOURCE. A source authority label records provenance; it does not by itself create admissibility, validity, legality, or execution authority.</w:t>
      </w:r>
    </w:p>
    <w:p>
      <w:pPr>
        <w:pStyle w:val="BodyText"/>
      </w:pPr>
      <w:r>
        <w:t xml:space="preserve">Allowed dependency_position values SHOULD include: REALITY_SURFACE, EVIDENCE_TRACE, CATEGORY_BOUNDARY, RIGHTS_ADMISSIBILITY, TAIL_RISK_ADMISSIBILITY, CONTAINMENT_SELECTABILITY, RESIDUAL_RANKING, FRAMEWORK_VERDICT, AUTHORITY_SELECTION, EXECUTION_AUTHORITY, MONITORING, CERTIFICATION, and PUBLIC_CLAIM.</w:t>
      </w:r>
    </w:p>
    <w:bookmarkEnd w:id="599"/>
    <w:bookmarkStart w:id="600" w:name="X972eb60be7b1e5884d88bbb6f859c8667543e47"/>
    <w:p>
      <w:pPr>
        <w:pStyle w:val="Heading2"/>
      </w:pPr>
      <w:r>
        <w:t xml:space="preserve">AH.4A Aggregate Semantic-Debt Ledger (Normative for material claim-bearing runs)</w:t>
      </w:r>
    </w:p>
    <w:p>
      <w:pPr>
        <w:pStyle w:val="FirstParagraph"/>
      </w:pPr>
      <w:r>
        <w:t xml:space="preserve">Per-category semantic debt may accumulate into a run-level liability even when no single category is independently fatal. Claim-bearing Tier 2 and Tier 3 runs SHOULD compute a semantic_debt_score over material categories using declared weights: NONE=0, LOW=1, MEDIUM=3, HIGH=7, CRITICAL=15.</w:t>
      </w:r>
    </w:p>
    <w:p>
      <w:pPr>
        <w:pStyle w:val="BodyText"/>
      </w:pPr>
      <w:r>
        <w:t xml:space="preserve">If any material category is CRITICAL, stronger public, conformance, authority-selection, deployment-readiness, or deterministic-selection claims MUST be refused, narrowed, or escalated unless a reviewer records a governed disposition. If semantic_debt_score &gt;= threshold_T, with threshold_T declared ex ante in the verification regime and default threshold_T = 10 for worked examples, implementations SHOULD flag SEMANTIC_DEBT_AGGREGATE_HIGH with severity ESCALATE and require reviewer disposition before stronger public or conformance claims.</w:t>
      </w:r>
    </w:p>
    <w:p>
      <w:pPr>
        <w:pStyle w:val="BodyText"/>
      </w:pPr>
      <w:r>
        <w:t xml:space="preserve">Semantic-debt aggregation is not an ontology claim. It is an auditability rule for accumulated category uncertainty inside Reality Grounding.</w:t>
      </w:r>
    </w:p>
    <w:bookmarkEnd w:id="600"/>
    <w:bookmarkStart w:id="601" w:name="ah.5-category-failure-classes"/>
    <w:p>
      <w:pPr>
        <w:pStyle w:val="Heading2"/>
      </w:pPr>
      <w:r>
        <w:t xml:space="preserve">AH.5 Category failure classes</w:t>
      </w:r>
    </w:p>
    <w:p>
      <w:pPr>
        <w:pStyle w:val="FirstParagraph"/>
      </w:pPr>
      <w:r>
        <w:t xml:space="preserve">Category-relevant failures SHOULD be tagged as one or more of: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or EXTERNAL_CHANGED_CONDITION.</w:t>
      </w:r>
    </w:p>
    <w:p>
      <w:pPr>
        <w:pStyle w:val="BodyText"/>
      </w:pPr>
      <w:r>
        <w:t xml:space="preserve">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pStyle w:val="BodyText"/>
      </w:pPr>
      <w:r>
        <w:t xml:space="preserve">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bookmarkEnd w:id="601"/>
    <w:bookmarkStart w:id="602" w:name="Xa3ee4db2725c48eec92b48c26d4febffaa2561c"/>
    <w:p>
      <w:pPr>
        <w:pStyle w:val="Heading2"/>
      </w:pPr>
      <w:r>
        <w:t xml:space="preserve">AH.6 Relationship to optimization, governance, and public claims</w:t>
      </w:r>
    </w:p>
    <w:p>
      <w:pPr>
        <w:pStyle w:val="FirstParagraph"/>
      </w:pPr>
      <w:r>
        <w:t xml:space="preserve">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bookmarkEnd w:id="602"/>
    <w:bookmarkStart w:id="603" w:name="ah.7-release-boundary"/>
    <w:p>
      <w:pPr>
        <w:pStyle w:val="Heading2"/>
      </w:pPr>
      <w:r>
        <w:t xml:space="preserve">AH.7 Release boundary</w:t>
      </w:r>
    </w:p>
    <w:p>
      <w:pPr>
        <w:pStyle w:val="FirstParagraph"/>
      </w:pPr>
      <w:r>
        <w:t xml:space="preserve">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completes the RippleLogic Framework v11.4 Category Grounding Patch, including Sections 1 through 20 and Appendices A through AH; Appendix AI then adds the Term Discrimination and Semantic Stability Protocol as a normative subdiscipline of Category Grounding where material.</w:t>
      </w:r>
    </w:p>
    <w:bookmarkEnd w:id="603"/>
    <w:bookmarkEnd w:id="604"/>
    <w:bookmarkStart w:id="612" w:name="Xa2b48151b9fae75727a85a1273144187d124bb3"/>
    <w:p>
      <w:pPr>
        <w:pStyle w:val="Heading1"/>
      </w:pPr>
      <w:r>
        <w:t xml:space="preserve">APPENDIX AI: TERM DISCRIMINATION AND SEMANTIC STABILITY PROTOCOL</w:t>
      </w:r>
    </w:p>
    <w:bookmarkStart w:id="605" w:name="ai.1-status-and-placement"/>
    <w:p>
      <w:pPr>
        <w:pStyle w:val="Heading2"/>
      </w:pPr>
      <w:r>
        <w:t xml:space="preserve">AI.1 Status and placement</w:t>
      </w:r>
    </w:p>
    <w:p>
      <w:pPr>
        <w:pStyle w:val="FirstParagraph"/>
      </w:pPr>
      <w:r>
        <w:t xml:space="preserve">Status. Appendix AI is a normative hardening patch for claim-bearing Tier 2 and Tier 3 runs and an informative design guide for lower-stakes runs. It strengthens Category Grounding inside Reality Grounding. It does not create a sixth public method level, does not import an external ontology, does not weaken NCRC, TRC, CSV, RLS, PLSS, SGP, lawful authority, or Tier 4/ProofPack boundaries, and does not make certification, compliance, or deployment claims available by itself.</w:t>
      </w:r>
    </w:p>
    <w:p>
      <w:pPr>
        <w:pStyle w:val="BodyText"/>
      </w:pPr>
      <w:r>
        <w:t xml:space="preserve">Placement rule. Term Discrimination is a required subdiscipline of Category Grounding when a material term affects rights, tail risk, containment, SGP interpretation, authority, conformance, public claims, optimized metrics, or execution. Category Grounding asks whether a category is grounded. Term Discrimination asks whether the operative word is being kept separate from neighboring words that would change the claim, gate result, authority state, or execution status if collapsed.</w:t>
      </w:r>
    </w:p>
    <w:bookmarkEnd w:id="605"/>
    <w:bookmarkStart w:id="606" w:name="ai.2-core-definitions"/>
    <w:p>
      <w:pPr>
        <w:pStyle w:val="Heading2"/>
      </w:pPr>
      <w:r>
        <w:t xml:space="preserve">AI.2 Core definitions</w:t>
      </w:r>
    </w:p>
    <w:p>
      <w:pPr>
        <w:pStyle w:val="FirstParagraph"/>
      </w:pPr>
      <w:r>
        <w:t xml:space="preserve">Term. A term is an operative word, phrase, label, token, schema field, policy label, benchmark label, dashboard label, legal label, or model-generated description used to identify, measure, protect, score, govern, authorize, certify, monitor, or execute against a phenomenon.</w:t>
      </w:r>
    </w:p>
    <w:p>
      <w:pPr>
        <w:pStyle w:val="BodyText"/>
      </w:pPr>
      <w:r>
        <w:t xml:space="preserve">Term Discrimination. Term Discrimination is the review discipline that states what a material term means, what it does not mean, what discriminator separates it from neighboring terms, where it belongs in the dependency order of the run, and when the term must be narrowed, escalated, monitored, or refused.</w:t>
      </w:r>
    </w:p>
    <w:p>
      <w:pPr>
        <w:pStyle w:val="BodyText"/>
      </w:pPr>
      <w:r>
        <w:t xml:space="preserve">Discriminator. A discriminator is the decisive property that makes one term this term rather than a neighboring term. A discriminator MUST be stated for material terms that could otherwise collapse into another term under institutional pressure, optimization pressure, model fluency, compliance theater, or public communication pressure.</w:t>
      </w:r>
    </w:p>
    <w:p>
      <w:pPr>
        <w:pStyle w:val="BodyText"/>
      </w:pPr>
      <w:r>
        <w:t xml:space="preserve">Dependency position. Dependency position identifies where a term sits in the decision stack. A downstream term MUST NOT claim the authority of an upstream term. Permission does not establish admissibility. Monitoring does not establish control. Certification does not establish validity. A score does not establish truth. Execution capability does not establish execution authority.</w:t>
      </w:r>
    </w:p>
    <w:p>
      <w:pPr>
        <w:pStyle w:val="BodyText"/>
      </w:pPr>
      <w:r>
        <w:t xml:space="preserve">Term-refusal condition. A term-refusal condition is the condition under which a run MUST NOT use a term at its stronger claim level. The required response is claim narrowing, evidence collection, escalation, sensitivity-only use, monitor-only use, or refusal.</w:t>
      </w:r>
    </w:p>
    <w:p>
      <w:pPr>
        <w:pStyle w:val="BodyText"/>
      </w:pPr>
      <w:r>
        <w:t xml:space="preserve">Non-collapse pair. A non-collapse pair is a pair of terms that MUST NOT be treated as equivalent unless a future governed annex explicitly defines an equivalence for the relevant use. Non-collapse pairs include reality/evidence, evidence/interpretation, compliance/correctness, certification/validity, permission/admissibility, monitoring/control, safety/stability, automation/autonomy, protection/authority, selected/executable, and score/truth.</w:t>
      </w:r>
    </w:p>
    <w:bookmarkEnd w:id="606"/>
    <w:bookmarkStart w:id="607" w:name="X9c6e9f982d5e1c47efd425abf96db57b97d3393"/>
    <w:p>
      <w:pPr>
        <w:pStyle w:val="Heading2"/>
      </w:pPr>
      <w:r>
        <w:t xml:space="preserve">AI.3 Extended CategoryGroundingRecord fields</w:t>
      </w:r>
    </w:p>
    <w:p>
      <w:pPr>
        <w:pStyle w:val="FirstParagraph"/>
      </w:pPr>
      <w:r>
        <w:t xml:space="preserve">When Term Discrimination is material, the CategoryGroundingRecord MUST add or map the following fields: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Field</w:t>
            </w:r>
          </w:p>
        </w:tc>
        <w:tc>
          <w:tcPr>
            <w:tcW w:w="4609" w:type="dxa"/>
            <w:vAlign w:val="top"/>
            <w:tcMar>
              <w:top w:w="70" w:type="dxa"/>
              <w:start w:w="90" w:type="dxa"/>
              <w:bottom w:w="70" w:type="dxa"/>
              <w:end w:w="90" w:type="dxa"/>
            </w:tcMar>
            <w:shd w:fill="D9EAF7" w:val="clear"/>
          </w:tcPr>
          <w:p>
            <w:pPr>
              <w:pStyle w:val="Compact"/>
              <w:spacing w:before="0" w:after="0"/>
              <w:jc w:val="left"/>
            </w:pPr>
            <w:r>
              <w:rPr>
                <w:b/>
                <w:bCs/>
                <w:sz w:val="19"/>
                <w:color w:val="1F4E79"/>
              </w:rPr>
              <w:t xml:space="preserve">Meaning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category_discriminator</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property that separates the material category or term from nearby terms it is likely to be confused with.</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dependency_position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The layer or authority position the term occupies: reality-surface, evidence-trace, category-boundary, rights-admissibility, tail-risk-admissibility, containment-selectability, residual-ranking, framework-verdict, authority-selection, execution-authority, monitoring, certification, or public-claim.</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term_refusal_condition</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The condition under which the term cannot support the stronger claim and must be narrowed, escalated, marked sensitivity-only/monitor-only, or refused.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noncollapse_pairs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The nearest terms this term MUST NOT be collapsed with in the run.</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source_authority_status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Whether the source of the term is evidential, legal, institutional, model-generated, benchmark-derived, stakeholder-proposed, or framework-defined. This records source status without treating source status as automatic category validity.</w:t>
            </w:r>
          </w:p>
        </w:tc>
      </w:tr>
    </w:tbl>
    <w:bookmarkEnd w:id="607"/>
    <w:bookmarkStart w:id="608" w:name="ai.4-dependency-position-rule"/>
    <w:p>
      <w:pPr>
        <w:pStyle w:val="Heading2"/>
      </w:pPr>
      <w:r>
        <w:t xml:space="preserve">AI.4 Dependency-position rule</w:t>
      </w:r>
    </w:p>
    <w:p>
      <w:pPr>
        <w:pStyle w:val="FirstParagraph"/>
      </w:pPr>
      <w:r>
        <w:t xml:space="preserve">A material term may support only the claim strength allowed by its dependency position and evidence surface.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Term position</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May support</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Must not claim by itself</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Reality surface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Contact with the modeled or evidenced part of the territory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Complete access to the territory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Evidence trace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Support for a claim boundary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Self-interpreting truth or complete causality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Category boundary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Proper classification for declared use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Validity of downstream scoring or governance by itself</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Rights-admissibility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NCRC pass/fail state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Tail-risk pass, containment pass, selection, or execution authority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Tail-risk-admissibility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TRC pass/fail state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Rights validity, containment integrity, or welfare optimality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Containment-selectability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Larger-system structural acceptability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Highest residual welfare or lawful execution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Residual-ranking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RLS ranking among selectable options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Rescue of any failed upstream layer</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Framework verdict</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Disclosed result of the framework run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Human, legal, institutional, or execution authority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Authority selection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 human/institutional/operator choice after verdict disclosure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Conversion of non-decisiveness into deterministic framework selection</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Execution authority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Governed authority to act through hard controls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Proof that the action is safe, valid, or wise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Monitoring</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Observability and feedback after or during action</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Prevention, control, safety, or stability by itself</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Certification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Evidence of conformance to a declared standard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Reality validity, legal compliance, empirical truth, deployment readiness, or Tier 4 status</w:t>
            </w:r>
          </w:p>
        </w:tc>
      </w:tr>
    </w:tbl>
    <w:bookmarkEnd w:id="608"/>
    <w:bookmarkStart w:id="609" w:name="ai.5-do-not-collapse-matrix"/>
    <w:p>
      <w:pPr>
        <w:pStyle w:val="Heading2"/>
      </w:pPr>
      <w:r>
        <w:t xml:space="preserve">AI.5 Do-Not-Collapse Matrix</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Do not collapse</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Discriminator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Required MathGov response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Reality vs evidence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Reality is the evaluator-independent constraint-and-consequence field; evidence is traceable contact with a surface of it.</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Keep claim boundary inside the evidence surface.</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Evidence vs interpretation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Evidence is trace; interpretation connects trace, uncertainty, values, and action.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Record reviewer status and uncertainty.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Category vs metric</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Category defines what is being measured; metric quantifies a proxy or indicator.</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Refuse or narrow metric claims when the category is weak.</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Score vs truth</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RLS ranks selectable options under declared inputs; it is not truth itself.</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Never let RLS rescue failed grounding, rights, risk, or containment.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Compliance vs correctness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Compliance means conformity to a rule or process; correctness means reality-bound adequacy for the claim.</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Treat compliance as evidence, not validity.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Certification vs validity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Certification records an assurance result; validity depends on grounded reference, evidence, and replayable adequacy.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Prevent certification theater and overclaiming.</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Permission vs admissibility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Permission is authorization; admissibility is passing the relevant MathGov gates.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Do not treat approval as gate success.</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Monitoring vs control</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Monitoring observes; control prevents, constrains, or corrects.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Require enforcement path, rollback, or containment evidence for control claims.</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Safety vs stability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Safety means bounded non-harm under declared conditions; stability means preserved structural regime integrity.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Use TRC, Containment, and Adaptive Reserve where relevant.</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Stability vs justice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Stability can preserve harmful arrangements; justice requires rights floors and non-domination.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Do not allow stable oppression to pass rights review.</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Automation vs autonomy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Automation follows procedures; autonomy evaluates, adapts, and remains accountable under constraints.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Require authority and execution-stability records for autonomy claims.</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Protection vs authority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Protection concerns moral/welfare standing; authority concerns legitimate role, responsibility, competence, and authorization.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Preserve SGP protection/authority separation.</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Selected vs executable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 selected option is chosen by framework or authority; executable means action may proceed through lawful/runtime controls.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Require execution-stability and authority checks.</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Capability vs authority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 system may be technically able to act without being permitted or admissible to act.</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Block action without hard-control authorization.</w:t>
            </w:r>
          </w:p>
        </w:tc>
      </w:tr>
    </w:tbl>
    <w:bookmarkEnd w:id="609"/>
    <w:bookmarkStart w:id="610" w:name="ai.6-claim-action-rule"/>
    <w:p>
      <w:pPr>
        <w:pStyle w:val="Heading2"/>
      </w:pPr>
      <w:r>
        <w:t xml:space="preserve">AI.6 Claim-action rule</w:t>
      </w:r>
    </w:p>
    <w:p>
      <w:pPr>
        <w:pStyle w:val="FirstParagraph"/>
      </w:pPr>
      <w:r>
        <w:t xml:space="preserve">If a material term lacks a discriminator, lacks a dependency position, collapses into a neighboring term, or lacks a refusal condition sufficient for the claim being made, the run MUST classify the issue as TERM_DISCRIMINATION_FAILURE or a more specific category failure class. The result MUST be NARROW, ESCALATE, REFUSE, MONITOR_ONLY, or SENSITIVITY_ONLY until the term is grounded. A completed PCC, authority-selection record, institutional permission, model output, dashboard result, or certification label MUST NOT repair a term-discrimination failure by itself.</w:t>
      </w:r>
    </w:p>
    <w:bookmarkEnd w:id="610"/>
    <w:bookmarkStart w:id="611" w:name="ai.7-v11.4-release-delta"/>
    <w:p>
      <w:pPr>
        <w:pStyle w:val="Heading2"/>
      </w:pPr>
      <w:r>
        <w:t xml:space="preserve">AI.7 v11.4 release delta</w:t>
      </w:r>
    </w:p>
    <w:p>
      <w:pPr>
        <w:pStyle w:val="FirstParagraph"/>
      </w:pPr>
      <w:r>
        <w:t xml:space="preserve">Release Delta (v11.0 -&gt; v11.4). v11.4 carries forward the Term Discrimination and Semantic Stability Protocol and adds Structural Viability and Falsification Discipline hardening inside existing layers. The v11.0 line added Term Discrimination as a hardening patch inside Category Grounding and Reality Grounding. It adds category_discriminator, dependency_position, term_refusal_condition, noncollapse_pairs, and source_authority_status to material category records; adds the Do-Not-Collapse Matrix; strengthens certification/permission/monitoring non-authority language; and preserves the five-level method. It does not add a new public gate, import an external ontology, alter NCRC, TRC, CSV, RLS, SGP scalar semantics, PLSS, lawful authority boundaries, Tier 4, ProofPack, empirical-validation, legal-certification, or deployment-certification boundaries.</w:t>
      </w:r>
    </w:p>
    <w:bookmarkEnd w:id="611"/>
    <w:bookmarkEnd w:id="612"/>
    <w:bookmarkStart w:id="624" w:name="X7df190af98c568b692e5a315c63076e0b5f0f73"/>
    <w:p>
      <w:pPr>
        <w:pStyle w:val="Heading1"/>
      </w:pPr>
      <w:r>
        <w:t xml:space="preserve">Appendix AJ: Public Release Hardening Addendum (v11.4)</w:t>
      </w:r>
    </w:p>
    <w:p>
      <w:pPr>
        <w:pStyle w:val="FirstParagraph"/>
      </w:pPr>
      <w:r>
        <w:t xml:space="preserve">Status. This appendix is a hardening bridge for the v11.4 content line. It does not create Tier 4, ProofPack, legal certification, deployment certification, empirical validation, or automated moral truth. It clarifies implementation discipline and points to companion guidance. If a companion guide conflicts with the Canon, the Canon controls until a future versioned amendment resolves the conflict.</w:t>
      </w:r>
    </w:p>
    <w:bookmarkStart w:id="613" w:name="Xa9597eb76224caa2db8f81613d5f2d6a4e0a1a0"/>
    <w:p>
      <w:pPr>
        <w:pStyle w:val="Heading2"/>
      </w:pPr>
      <w:r>
        <w:t xml:space="preserve">AJ.1 Gate Boundary Discriminator: TRC, CSV, and RLS</w:t>
      </w:r>
    </w:p>
    <w:p>
      <w:pPr>
        <w:pStyle w:val="FirstParagraph"/>
      </w:pPr>
      <w:r>
        <w:t xml:space="preserve">TRC, CSV, and RLS SHALL NOT be collapsed.</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510"/>
        <w:gridCol w:w="3354"/>
        <w:gridCol w:w="3354"/>
      </w:tblGrid>
      <w:tr>
        <w:trPr>
          <w:tblHeader w:val="true"/>
          <w:cantSplit/>
        </w:trPr>
        <w:tc>
          <w:tcPr>
            <w:tcW w:w="2510"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Layer</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Primary question</w:t>
            </w:r>
          </w:p>
        </w:tc>
        <w:tc>
          <w:tcPr>
            <w:tcW w:w="3354" w:type="dxa"/>
            <w:vAlign w:val="top"/>
            <w:tcMar>
              <w:top w:w="70" w:type="dxa"/>
              <w:start w:w="90" w:type="dxa"/>
              <w:bottom w:w="70" w:type="dxa"/>
              <w:end w:w="90" w:type="dxa"/>
            </w:tcMar>
            <w:shd w:fill="D9EAF7" w:val="clear"/>
          </w:tcPr>
          <w:p>
            <w:pPr>
              <w:pStyle w:val="Compact"/>
              <w:spacing w:before="0" w:after="0"/>
              <w:jc w:val="left"/>
            </w:pPr>
            <w:r>
              <w:rPr>
                <w:sz w:val="18"/>
                <w:b/>
                <w:color w:val="1F4E79"/>
              </w:rPr>
              <w:t xml:space="preserve">Normal consequence</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TRC</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Could this option create catastrophic, irreversible, ruinous, or lock-in tail exposure?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Gate failure if tail exposure exceeds corridor.</w:t>
            </w:r>
          </w:p>
        </w:tc>
      </w:tr>
      <w:tr>
        <w:trPr>
          <w:cantSplit/>
        </w:trPr>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CSV</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Can the option deliver its claimed good without breaking, hollowing, overloading, exploiting, or depending on containing systems beyond tolerance?</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Fail, controls, redesign, escalation, or pass depending on structural status.</w:t>
            </w:r>
          </w:p>
        </w:tc>
      </w:tr>
      <w:tr>
        <w:trPr>
          <w:cantSplit/>
        </w:trPr>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RLS</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Among options that survived RG, RF/NCRC, TRC, and CSV, which has the strongest residual welfare profile?</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Ranking only; no gate rescue.</w:t>
            </w:r>
          </w:p>
        </w:tc>
      </w:tr>
    </w:tbl>
    <w:p>
      <w:pPr>
        <w:pStyle w:val="BodyText"/>
      </w:pPr>
      <w:r>
        <w:t xml:space="preserve">Double-materiality rule. A harm may be both tail-relevant and structurally degrading. In that case it MUST be evaluated in TRC and CSV as appropriate, recorded in the PCC, and not double-counted as an ordinary residual RLS cost unless a distinct residual effect remains after gate treatment.</w:t>
      </w:r>
    </w:p>
    <w:p>
      <w:pPr>
        <w:pStyle w:val="BodyText"/>
      </w:pPr>
      <w:r>
        <w:t xml:space="preserve">Companion guide:</w:t>
      </w:r>
      <w:r>
        <w:t xml:space="preserve"> </w:t>
      </w:r>
      <w:r>
        <w:rPr>
          <w:rStyle w:val="VerbatimChar"/>
        </w:rPr>
        <w:t xml:space="preserve">docs/guides/GATE_BOUNDARY_DISCRIMINATOR_TRC_CSV_RLS.md</w:t>
      </w:r>
      <w:r>
        <w:t xml:space="preserve">.</w:t>
      </w:r>
    </w:p>
    <w:bookmarkEnd w:id="613"/>
    <w:bookmarkStart w:id="614" w:name="aj.2-rights-threshold-governance"/>
    <w:p>
      <w:pPr>
        <w:pStyle w:val="Heading2"/>
      </w:pPr>
      <w:r>
        <w:t xml:space="preserve">AJ.2 Rights Threshold Governance</w:t>
      </w:r>
    </w:p>
    <w:p>
      <w:pPr>
        <w:pStyle w:val="FirstParagraph"/>
      </w:pPr>
      <w:r>
        <w:t xml:space="preserve">Rights thresholds are governance commitments under evidence, not preferences to be moved after selection. Tier 3 and public claim-bearing Tier 2 runs SHOULD record threshold source, rationale, under-protection risk, over-blocking risk, review status, and revision trigger. A decision owner who benefits from lowering a threshold MUST NOT unilaterally lower the Rights Floor for the run under evaluation.</w:t>
      </w:r>
    </w:p>
    <w:p>
      <w:pPr>
        <w:pStyle w:val="BodyText"/>
      </w:pPr>
      <w:r>
        <w:t xml:space="preserve">Companion note:</w:t>
      </w:r>
      <w:r>
        <w:t xml:space="preserve"> </w:t>
      </w:r>
      <w:r>
        <w:rPr>
          <w:rStyle w:val="VerbatimChar"/>
        </w:rPr>
        <w:t xml:space="preserve">docs/validation/rights/RIGHTS_THRESHOLD_GOVERNANCE_NOTE_v1_0.md</w:t>
      </w:r>
      <w:r>
        <w:t xml:space="preserve">.</w:t>
      </w:r>
    </w:p>
    <w:bookmarkEnd w:id="614"/>
    <w:bookmarkStart w:id="615" w:name="X7a3d2d1d312f2ef0fc4a78317ec618137effb9f"/>
    <w:p>
      <w:pPr>
        <w:pStyle w:val="Heading2"/>
      </w:pPr>
      <w:r>
        <w:t xml:space="preserve">AJ.3 Subgroup Discovery and Worst-Affected Groups</w:t>
      </w:r>
    </w:p>
    <w:p>
      <w:pPr>
        <w:pStyle w:val="FirstParagraph"/>
      </w:pPr>
      <w:r>
        <w:t xml:space="preserve">Worst-off subgroup semantics require active discovery of groups likely to bear hidden, indirect, intersectional, or least-contestable harms. Unknown subgroup exposure is not zero. Where direct sensitive-data collection is unsafe or unlawful, pathway analysis, proxy-risk statements, consultation, conservative bounds, and challenger review SHOULD be used.</w:t>
      </w:r>
    </w:p>
    <w:p>
      <w:pPr>
        <w:pStyle w:val="BodyText"/>
      </w:pPr>
      <w:r>
        <w:t xml:space="preserve">Companion guide:</w:t>
      </w:r>
      <w:r>
        <w:t xml:space="preserve"> </w:t>
      </w:r>
      <w:r>
        <w:rPr>
          <w:rStyle w:val="VerbatimChar"/>
        </w:rPr>
        <w:t xml:space="preserve">docs/guides/SUBGROUP_DISCOVERY_AND_WORST_AFFECTED_GROUPS.md</w:t>
      </w:r>
      <w:r>
        <w:t xml:space="preserve">.</w:t>
      </w:r>
    </w:p>
    <w:bookmarkEnd w:id="615"/>
    <w:bookmarkStart w:id="616" w:name="Xf4fa7dee421c484d08a83c895fcb4cc4d1c1bca"/>
    <w:p>
      <w:pPr>
        <w:pStyle w:val="Heading2"/>
      </w:pPr>
      <w:r>
        <w:t xml:space="preserve">AJ.4 Emergency Mode Least-Rights-Infringing Rule</w:t>
      </w:r>
    </w:p>
    <w:p>
      <w:pPr>
        <w:pStyle w:val="FirstParagraph"/>
      </w:pPr>
      <w:r>
        <w:t xml:space="preserve">Emergency Mode does not make a rights-failing option aligned. It identifies a time-bounded, least-rights-infringing provisional action when no normal option passes RF/NCRC. RLS may be used only as a final constrained tie-break after rights-violation vector comparison and TRC comparison. RLS MUST NOT reverse the emergency rights-vector ordering or convert a rights-failing option into an ordinary selectable option.</w:t>
      </w:r>
    </w:p>
    <w:p>
      <w:pPr>
        <w:pStyle w:val="BodyText"/>
      </w:pPr>
      <w:r>
        <w:t xml:space="preserve">Companion guide:</w:t>
      </w:r>
      <w:r>
        <w:t xml:space="preserve"> </w:t>
      </w:r>
      <w:r>
        <w:rPr>
          <w:rStyle w:val="VerbatimChar"/>
        </w:rPr>
        <w:t xml:space="preserve">docs/guides/EMERGENCY_MODE_LEAST_RIGHTS_INFRINGING_PROTOCOL.md</w:t>
      </w:r>
      <w:r>
        <w:t xml:space="preserve">.</w:t>
      </w:r>
    </w:p>
    <w:bookmarkEnd w:id="616"/>
    <w:bookmarkStart w:id="617" w:name="aj.5-trc-scenario-discovery"/>
    <w:p>
      <w:pPr>
        <w:pStyle w:val="Heading2"/>
      </w:pPr>
      <w:r>
        <w:t xml:space="preserve">AJ.5 TRC Scenario Discovery</w:t>
      </w:r>
    </w:p>
    <w:p>
      <w:pPr>
        <w:pStyle w:val="FirstParagraph"/>
      </w:pPr>
      <w:r>
        <w:t xml:space="preserve">TRC is only as complete as the declared scenario surface. Tier 3 runs SHOULD use scenario discovery sources including domain experts, incident and near-miss data, red teams, affected stakeholders, literature, standards, and AI-assisted candidate generation. AI-generated scenarios are discovery inputs, not validity sources. Material rejected scenarios SHOULD be logged with rationale.</w:t>
      </w:r>
    </w:p>
    <w:p>
      <w:pPr>
        <w:pStyle w:val="BodyText"/>
      </w:pPr>
      <w:r>
        <w:t xml:space="preserve">Companion protocol:</w:t>
      </w:r>
      <w:r>
        <w:t xml:space="preserve"> </w:t>
      </w:r>
      <w:r>
        <w:rPr>
          <w:rStyle w:val="VerbatimChar"/>
        </w:rPr>
        <w:t xml:space="preserve">docs/validation/trc/TRC_SCENARIO_DISCOVERY_PROTOCOL_v1_0.md</w:t>
      </w:r>
      <w:r>
        <w:t xml:space="preserve">.</w:t>
      </w:r>
    </w:p>
    <w:bookmarkEnd w:id="617"/>
    <w:bookmarkStart w:id="618" w:name="aj.6-csv-measurement-maturity"/>
    <w:p>
      <w:pPr>
        <w:pStyle w:val="Heading2"/>
      </w:pPr>
      <w:r>
        <w:t xml:space="preserve">AJ.6 CSV Measurement Maturity</w:t>
      </w:r>
    </w:p>
    <w:p>
      <w:pPr>
        <w:pStyle w:val="FirstParagraph"/>
      </w:pPr>
      <w:r>
        <w:t xml:space="preserve">CSV claims SHOULD declare maturity when used in public or high-stakes contexts: qualitative, indicator-supported, calibrated, or validated. UCI/HOI-style diagnostics are structural signals and MUST NOT be presented as empirically validated in a domain unless domain validation exists.</w:t>
      </w:r>
    </w:p>
    <w:p>
      <w:pPr>
        <w:pStyle w:val="BodyText"/>
      </w:pPr>
      <w:r>
        <w:t xml:space="preserve">Companion note:</w:t>
      </w:r>
      <w:r>
        <w:t xml:space="preserve"> </w:t>
      </w:r>
      <w:r>
        <w:rPr>
          <w:rStyle w:val="VerbatimChar"/>
        </w:rPr>
        <w:t xml:space="preserve">docs/validation/csv/CSV_MEASUREMENT_MATURITY_NOTE_v1_0.md</w:t>
      </w:r>
      <w:r>
        <w:t xml:space="preserve">.</w:t>
      </w:r>
    </w:p>
    <w:bookmarkEnd w:id="618"/>
    <w:bookmarkStart w:id="619" w:name="aj.7-pcc-profiles"/>
    <w:p>
      <w:pPr>
        <w:pStyle w:val="Heading2"/>
      </w:pPr>
      <w:r>
        <w:t xml:space="preserve">AJ.7 PCC Profiles</w:t>
      </w:r>
    </w:p>
    <w:p>
      <w:pPr>
        <w:pStyle w:val="FirstParagraph"/>
      </w:pPr>
      <w:r>
        <w:t xml:space="preserve">PCC burden SHOULD be proportional to stakes without allowing consequential decisions to evade audit. The recognized profiles are PCC-Lite, PCC-Core, PCC-Audit, PCC-Agent, and PCC-Public. A lower profile is not allowed when rights exposure, catastrophe relevance, CSV burden, automation, public claims, affected-party burden, or accumulated systemic effect require a higher profile.</w:t>
      </w:r>
    </w:p>
    <w:p>
      <w:pPr>
        <w:pStyle w:val="BodyText"/>
      </w:pPr>
      <w:r>
        <w:t xml:space="preserve">Companion guide:</w:t>
      </w:r>
      <w:r>
        <w:t xml:space="preserve"> </w:t>
      </w:r>
      <w:r>
        <w:rPr>
          <w:rStyle w:val="VerbatimChar"/>
        </w:rPr>
        <w:t xml:space="preserve">docs/guides/PCC_PROFILE_GUIDE.md</w:t>
      </w:r>
      <w:r>
        <w:t xml:space="preserve">.</w:t>
      </w:r>
    </w:p>
    <w:bookmarkEnd w:id="619"/>
    <w:bookmarkStart w:id="620" w:name="X54342910e53dc8555e1c52d035bd8bd0bfb358e"/>
    <w:p>
      <w:pPr>
        <w:pStyle w:val="Heading2"/>
      </w:pPr>
      <w:r>
        <w:t xml:space="preserve">AJ.8 HDW Participation and Capture Control</w:t>
      </w:r>
    </w:p>
    <w:p>
      <w:pPr>
        <w:pStyle w:val="FirstParagraph"/>
      </w:pPr>
      <w:r>
        <w:t xml:space="preserve">HDW democratic tuning SHOULD record affected groups, representation method, exclusion risks, capture risks, minority reports, and correction actions in Tier 3 runs. Optional mechanisms such as quadratic voting or deliberative polling MAY be used where appropriate, but no method may lower constitutional floors, erase non-vocal stakeholders, or weaken RF/NCRC, TRC, or CSV.</w:t>
      </w:r>
    </w:p>
    <w:p>
      <w:pPr>
        <w:pStyle w:val="BodyText"/>
      </w:pPr>
      <w:r>
        <w:t xml:space="preserve">Companion guide:</w:t>
      </w:r>
      <w:r>
        <w:t xml:space="preserve"> </w:t>
      </w:r>
      <w:r>
        <w:rPr>
          <w:rStyle w:val="VerbatimChar"/>
        </w:rPr>
        <w:t xml:space="preserve">docs/guides/HDW_PARTICIPATION_AND_CAPTURE_GUIDE.md</w:t>
      </w:r>
      <w:r>
        <w:t xml:space="preserve">.</w:t>
      </w:r>
    </w:p>
    <w:bookmarkEnd w:id="620"/>
    <w:bookmarkStart w:id="621" w:name="aj.9-sgp-validation-bridge"/>
    <w:p>
      <w:pPr>
        <w:pStyle w:val="Heading2"/>
      </w:pPr>
      <w:r>
        <w:t xml:space="preserve">AJ.9 SGP Validation Bridge</w:t>
      </w:r>
    </w:p>
    <w:p>
      <w:pPr>
        <w:pStyle w:val="FirstParagraph"/>
      </w:pPr>
      <w:r>
        <w:t xml:space="preserve">SGP outputs remain protection-surface evidence objects, not legal status, governance authority, or substitutes for RG, RF/NCRC, TRC, CSV, RLS, lawful authority, or governance-role requirements. SGP validation should test inter-rater reliability, fluency traps, biological welfare false negatives, artificial-entity status inflation, and protection-authority separation.</w:t>
      </w:r>
    </w:p>
    <w:p>
      <w:pPr>
        <w:pStyle w:val="BodyText"/>
      </w:pPr>
      <w:r>
        <w:t xml:space="preserve">Companion protocol:</w:t>
      </w:r>
      <w:r>
        <w:t xml:space="preserve"> </w:t>
      </w:r>
      <w:r>
        <w:rPr>
          <w:rStyle w:val="VerbatimChar"/>
        </w:rPr>
        <w:t xml:space="preserve">docs/validation/sgp/SGP_VALIDATION_PROTOCOL_v1_0.md</w:t>
      </w:r>
      <w:r>
        <w:t xml:space="preserve">.</w:t>
      </w:r>
    </w:p>
    <w:bookmarkEnd w:id="621"/>
    <w:bookmarkStart w:id="622" w:name="aj.10-stewardship-evasion-audit"/>
    <w:p>
      <w:pPr>
        <w:pStyle w:val="Heading2"/>
      </w:pPr>
      <w:r>
        <w:t xml:space="preserve">AJ.10 Stewardship Evasion Audit</w:t>
      </w:r>
    </w:p>
    <w:p>
      <w:pPr>
        <w:pStyle w:val="FirstParagraph"/>
      </w:pPr>
      <w:r>
        <w:t xml:space="preserve">A run cannot avoid stewardship obligations by labeling consequential influence as educational, internal, experimental, advisory, or informational. If the output materially influences real decisions, narrows options, affects rights or livelihoods, or connects to execution capability, stewardship review SHOULD be escalated.</w:t>
      </w:r>
    </w:p>
    <w:p>
      <w:pPr>
        <w:pStyle w:val="BodyText"/>
      </w:pPr>
      <w:r>
        <w:t xml:space="preserve">Companion guide:</w:t>
      </w:r>
      <w:r>
        <w:t xml:space="preserve"> </w:t>
      </w:r>
      <w:r>
        <w:rPr>
          <w:rStyle w:val="VerbatimChar"/>
        </w:rPr>
        <w:t xml:space="preserve">docs/guides/STEWARDSHIP_EVASION_AUDIT.md</w:t>
      </w:r>
      <w:r>
        <w:t xml:space="preserve">.</w:t>
      </w:r>
    </w:p>
    <w:bookmarkEnd w:id="622"/>
    <w:bookmarkStart w:id="623" w:name="aj.11-meta-union-firewall"/>
    <w:p>
      <w:pPr>
        <w:pStyle w:val="Heading2"/>
      </w:pPr>
      <w:r>
        <w:t xml:space="preserve">AJ.11 Meta-Union Firewall</w:t>
      </w:r>
    </w:p>
    <w:p>
      <w:pPr>
        <w:pStyle w:val="FirstParagraph"/>
      </w:pPr>
      <w:r>
        <w:t xml:space="preserve">AIU, Cosmic, Universal, and related horizon/meta-union language may orient humility and philosophical interpretation. They are not Tier 1-3 scoring objects, gate overrides, hidden weights, legal authority, deployment permission, or ProofPack evidence unless a future governed extension explicitly defines a computable and validated protocol.</w:t>
      </w:r>
    </w:p>
    <w:p>
      <w:pPr>
        <w:pStyle w:val="BodyText"/>
      </w:pPr>
      <w:r>
        <w:t xml:space="preserve">Companion guide:</w:t>
      </w:r>
      <w:r>
        <w:t xml:space="preserve"> </w:t>
      </w:r>
      <w:r>
        <w:rPr>
          <w:rStyle w:val="VerbatimChar"/>
        </w:rPr>
        <w:t xml:space="preserve">docs/guides/META_UNION_FIREWALL.md</w:t>
      </w:r>
      <w:r>
        <w:t xml:space="preserve">.</w:t>
      </w:r>
    </w:p>
    <w:bookmarkEnd w:id="623"/>
    <w:bookmarkEnd w:id="624"/>
    <w:bookmarkStart w:id="625" w:name="X8382b5de0557a542a70991ead047c3655078f79"/>
    <w:p>
      <w:pPr>
        <w:pStyle w:val="Heading1"/>
      </w:pPr>
      <w:r>
        <w:t xml:space="preserve">Appendix AK: Computability vs Realizability Bridge</w:t>
      </w:r>
    </w:p>
    <w:p>
      <w:pPr>
        <w:pStyle w:val="FirstParagraph"/>
      </w:pPr>
      <w:r>
        <w:t xml:space="preserve">Status. Appendix AK is a release-hardening bridge introduced in v11.4 and explicitly precedence-indexed in the v11.4 final core. It does not add a new public cascade level and does not change the governing order RG -&gt; RF -&gt; TRC -&gt; CSV -&gt; RLS.</w:t>
      </w:r>
    </w:p>
    <w:p>
      <w:pPr>
        <w:pStyle w:val="BodyText"/>
      </w:pPr>
      <w:r>
        <w:t xml:space="preserve">AK.1 Core distinction. A state, output, plan, policy, or model response may be computable without being physically grounded, rights-safe, ruin-bounded, structurally viable, authorized, or ethically selectable. Computability is representational capacity. Selectability is governed survivorship through the cascade.</w:t>
      </w:r>
    </w:p>
    <w:p>
      <w:pPr>
        <w:pStyle w:val="BodyText"/>
      </w:pPr>
      <w:r>
        <w:t xml:space="preserve">AK.2 Operational rule. RippleLogic MUST NOT treat model fluency, simulation output, dashboard value, code generation, tool result, or computed score as decision authority merely because it exists. Computable is not selectable. Generated is not grounded. Executable is not ethical. Realizable is necessary but not sufficient.</w:t>
      </w:r>
    </w:p>
    <w:p>
      <w:pPr>
        <w:pStyle w:val="BodyText"/>
      </w:pPr>
      <w:r>
        <w:t xml:space="preserve">AK.3 Layer assignment. RG handles reality-surface contact and claim boundaries. RF/NCRC handles non-compensatory rights protection. TRC handles catastrophic and ruin-path exposure. CSV handles containment, structural viability, execution viability, monitoring, authority dependencies, and host-system integrity. RLS ranks only residual welfare for options that remain selectable.</w:t>
      </w:r>
    </w:p>
    <w:p>
      <w:pPr>
        <w:pStyle w:val="BodyText"/>
      </w:pPr>
      <w:r>
        <w:t xml:space="preserve">AK.4 Feedback rule. If CSV analysis discovers a new catastrophic, irreversible, lock-in, or ruin-path scenario that was not represented in TRC, the run MUST reopen TRC before RLS. CSV can discover TRC-relevant material, but it does not absorb or replace TRC.</w:t>
      </w:r>
    </w:p>
    <w:p>
      <w:pPr>
        <w:pStyle w:val="BodyText"/>
      </w:pPr>
      <w:r>
        <w:t xml:space="preserve">AK.5 Public teaching line. Ground reality. Protect rights. Bound ruin. Preserve the structure. Score the ripples.</w:t>
      </w:r>
    </w:p>
    <w:bookmarkEnd w:id="625"/>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C3C03E7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00A99411"/>
    <w:multiLevelType w:val="multilevel"/>
    <w:tmpl w:val="7FB248D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0A99413"/>
    <w:multiLevelType w:val="multilevel"/>
    <w:tmpl w:val="91585496"/>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3">
    <w:nsid w:val="00A99421"/>
    <w:multiLevelType w:val="multilevel"/>
    <w:tmpl w:val="DEDE8B2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00A99427"/>
    <w:multiLevelType w:val="multilevel"/>
    <w:tmpl w:val="C4326C74"/>
    <w:lvl w:ilvl="0">
      <w:start w:val="7"/>
      <w:numFmt w:val="decimal"/>
      <w:lvlText w:val="%1)"/>
      <w:lvlJc w:val="left"/>
      <w:pPr>
        <w:ind w:hanging="480" w:left="720"/>
      </w:pPr>
    </w:lvl>
    <w:lvl w:ilvl="1">
      <w:start w:val="7"/>
      <w:numFmt w:val="decimal"/>
      <w:lvlText w:val="%2)"/>
      <w:lvlJc w:val="left"/>
      <w:pPr>
        <w:ind w:hanging="480" w:left="1440"/>
      </w:pPr>
    </w:lvl>
    <w:lvl w:ilvl="2">
      <w:start w:val="7"/>
      <w:numFmt w:val="decimal"/>
      <w:lvlText w:val="%3)"/>
      <w:lvlJc w:val="left"/>
      <w:pPr>
        <w:ind w:hanging="480" w:left="2160"/>
      </w:pPr>
    </w:lvl>
    <w:lvl w:ilvl="3">
      <w:start w:val="7"/>
      <w:numFmt w:val="decimal"/>
      <w:lvlText w:val="%4)"/>
      <w:lvlJc w:val="left"/>
      <w:pPr>
        <w:ind w:hanging="480" w:left="2880"/>
      </w:pPr>
    </w:lvl>
    <w:lvl w:ilvl="4">
      <w:start w:val="7"/>
      <w:numFmt w:val="decimal"/>
      <w:lvlText w:val="%5)"/>
      <w:lvlJc w:val="left"/>
      <w:pPr>
        <w:ind w:hanging="480" w:left="3600"/>
      </w:pPr>
    </w:lvl>
    <w:lvl w:ilvl="5">
      <w:start w:val="7"/>
      <w:numFmt w:val="decimal"/>
      <w:lvlText w:val="%6)"/>
      <w:lvlJc w:val="left"/>
      <w:pPr>
        <w:ind w:hanging="480" w:left="4320"/>
      </w:pPr>
    </w:lvl>
    <w:lvl w:ilvl="6">
      <w:start w:val="7"/>
      <w:numFmt w:val="decimal"/>
      <w:lvlText w:val="%7)"/>
      <w:lvlJc w:val="left"/>
      <w:pPr>
        <w:ind w:hanging="480" w:left="5040"/>
      </w:pPr>
    </w:lvl>
    <w:lvl w:ilvl="7">
      <w:start w:val="7"/>
      <w:numFmt w:val="decimal"/>
      <w:lvlText w:val="%8)"/>
      <w:lvlJc w:val="left"/>
      <w:pPr>
        <w:ind w:hanging="480" w:left="5760"/>
      </w:pPr>
    </w:lvl>
    <w:lvl w:ilvl="8">
      <w:start w:val="7"/>
      <w:numFmt w:val="decimal"/>
      <w:lvlText w:val="%9)"/>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538467987" w:numId="1">
    <w:abstractNumId w:val="0"/>
  </w:num>
  <w:num w16cid:durableId="71320805" w:numId="2">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16cid:durableId="1422138661" w:numId="3">
    <w:abstractNumId w:val="0"/>
  </w:num>
  <w:num w16cid:durableId="73288295" w:numId="4">
    <w:abstractNumId w:val="0"/>
  </w:num>
  <w:num w16cid:durableId="963118283" w:numId="5">
    <w:abstractNumId w:val="0"/>
  </w:num>
  <w:num w16cid:durableId="1412042942" w:numId="6">
    <w:abstractNumId w:val="0"/>
  </w:num>
  <w:num w16cid:durableId="1908764168" w:numId="7">
    <w:abstractNumId w:val="0"/>
  </w:num>
  <w:num w16cid:durableId="1543784173" w:numId="8">
    <w:abstractNumId w:val="0"/>
  </w:num>
  <w:num w16cid:durableId="229192039" w:numId="9">
    <w:abstractNumId w:val="0"/>
  </w:num>
  <w:num w16cid:durableId="305822950" w:numId="10">
    <w:abstractNumId w:val="0"/>
  </w:num>
  <w:num w16cid:durableId="1608535943" w:numId="11">
    <w:abstractNumId w:val="0"/>
  </w:num>
  <w:num w16cid:durableId="792753140" w:numId="12">
    <w:abstractNumId w:val="0"/>
  </w:num>
  <w:num w16cid:durableId="2093966495" w:numId="13">
    <w:abstractNumId w:val="0"/>
  </w:num>
  <w:num w16cid:durableId="605502964" w:numId="14">
    <w:abstractNumId w:val="0"/>
  </w:num>
  <w:num w16cid:durableId="1612856451" w:numId="15">
    <w:abstractNumId w:val="0"/>
  </w:num>
  <w:num w16cid:durableId="567300744" w:numId="16">
    <w:abstractNumId w:val="0"/>
  </w:num>
  <w:num w16cid:durableId="1779762014" w:numId="17">
    <w:abstractNumId w:val="0"/>
  </w:num>
  <w:num w16cid:durableId="1986885817" w:numId="18">
    <w:abstractNumId w:val="0"/>
  </w:num>
  <w:num w16cid:durableId="857232195" w:numId="19">
    <w:abstractNumId w:val="0"/>
  </w:num>
  <w:num w16cid:durableId="991788722" w:numId="20">
    <w:abstractNumId w:val="0"/>
  </w:num>
  <w:num w16cid:durableId="438061912" w:numId="21">
    <w:abstractNumId w:val="0"/>
  </w:num>
  <w:num w16cid:durableId="1320230497" w:numId="22">
    <w:abstractNumId w:val="0"/>
  </w:num>
  <w:num w16cid:durableId="277302183" w:numId="23">
    <w:abstractNumId w:val="0"/>
  </w:num>
  <w:num w16cid:durableId="1852337135" w:numId="24">
    <w:abstractNumId w:val="0"/>
  </w:num>
  <w:num w16cid:durableId="423452769" w:numId="25">
    <w:abstractNumId w:val="0"/>
  </w:num>
  <w:num w16cid:durableId="232542637" w:numId="26">
    <w:abstractNumId w:val="0"/>
  </w:num>
  <w:num w16cid:durableId="1891528888" w:numId="27">
    <w:abstractNumId w:val="0"/>
  </w:num>
  <w:num w16cid:durableId="1392119526" w:numId="28">
    <w:abstractNumId w:val="0"/>
  </w:num>
  <w:num w16cid:durableId="1390224623" w:numId="29">
    <w:abstractNumId w:val="0"/>
  </w:num>
  <w:num w16cid:durableId="324743723" w:numId="30">
    <w:abstractNumId w:val="0"/>
  </w:num>
  <w:num w16cid:durableId="1230648493" w:numId="31">
    <w:abstractNumId w:val="0"/>
  </w:num>
  <w:num w16cid:durableId="1072119109" w:numId="32">
    <w:abstractNumId w:val="0"/>
  </w:num>
  <w:num w16cid:durableId="2063408117" w:numId="33">
    <w:abstractNumId w:val="0"/>
  </w:num>
  <w:num w16cid:durableId="971324850" w:numId="34">
    <w:abstractNumId w:val="0"/>
  </w:num>
  <w:num w16cid:durableId="661812333" w:numId="35">
    <w:abstractNumId w:val="0"/>
  </w:num>
  <w:num w16cid:durableId="197399220" w:numId="36">
    <w:abstractNumId w:val="0"/>
  </w:num>
  <w:num w16cid:durableId="1952081706" w:numId="37">
    <w:abstractNumId w:val="0"/>
  </w:num>
  <w:num w16cid:durableId="380330774" w:numId="38">
    <w:abstractNumId w:val="0"/>
  </w:num>
  <w:num w16cid:durableId="1900358551" w:numId="39">
    <w:abstractNumId w:val="0"/>
  </w:num>
  <w:num w16cid:durableId="1382752113" w:numId="40">
    <w:abstractNumId w:val="0"/>
  </w:num>
  <w:num w16cid:durableId="1934971806" w:numId="41">
    <w:abstractNumId w:val="0"/>
  </w:num>
  <w:num w16cid:durableId="2010792238" w:numId="42">
    <w:abstractNumId w:val="0"/>
  </w:num>
  <w:num w16cid:durableId="1962759517" w:numId="43">
    <w:abstractNumId w:val="0"/>
  </w:num>
  <w:num w16cid:durableId="1758943982" w:numId="44">
    <w:abstractNumId w:val="0"/>
  </w:num>
  <w:num w16cid:durableId="186409289" w:numId="45">
    <w:abstractNumId w:val="0"/>
  </w:num>
  <w:num w16cid:durableId="499007132" w:numId="46">
    <w:abstractNumId w:val="0"/>
  </w:num>
  <w:num w16cid:durableId="590511681" w:numId="47">
    <w:abstractNumId w:val="0"/>
  </w:num>
  <w:num w16cid:durableId="97335434" w:numId="48">
    <w:abstractNumId w:val="0"/>
  </w:num>
  <w:num w16cid:durableId="1136071380" w:numId="49">
    <w:abstractNumId w:val="0"/>
  </w:num>
  <w:num w16cid:durableId="2048219323" w:numId="50">
    <w:abstractNumId w:val="0"/>
  </w:num>
  <w:num w16cid:durableId="1298417859" w:numId="51">
    <w:abstractNumId w:val="0"/>
  </w:num>
  <w:num w16cid:durableId="2086487897" w:numId="52">
    <w:abstractNumId w:val="0"/>
  </w:num>
  <w:num w16cid:durableId="919950007" w:numId="53">
    <w:abstractNumId w:val="0"/>
  </w:num>
  <w:num w16cid:durableId="1339236077" w:numId="54">
    <w:abstractNumId w:val="0"/>
  </w:num>
  <w:num w16cid:durableId="327486325" w:numId="55">
    <w:abstractNumId w:val="0"/>
  </w:num>
  <w:num w16cid:durableId="1215122068" w:numId="56">
    <w:abstractNumId w:val="0"/>
  </w:num>
  <w:num w16cid:durableId="1771848670" w:numId="57">
    <w:abstractNumId w:val="0"/>
  </w:num>
  <w:num w16cid:durableId="1609506954" w:numId="58">
    <w:abstractNumId w:val="0"/>
  </w:num>
  <w:num w16cid:durableId="1195071958" w:numId="59">
    <w:abstractNumId w:val="0"/>
  </w:num>
  <w:num w16cid:durableId="1583103718" w:numId="60">
    <w:abstractNumId w:val="0"/>
  </w:num>
  <w:num w16cid:durableId="1039625683" w:numId="61">
    <w:abstractNumId w:val="0"/>
  </w:num>
  <w:num w16cid:durableId="271087695" w:numId="62">
    <w:abstractNumId w:val="0"/>
  </w:num>
  <w:num w16cid:durableId="1959483383" w:numId="63">
    <w:abstractNumId w:val="0"/>
  </w:num>
  <w:num w16cid:durableId="929241067" w:numId="64">
    <w:abstractNumId w:val="0"/>
  </w:num>
  <w:num w16cid:durableId="1325357815" w:numId="65">
    <w:abstractNumId w:val="0"/>
  </w:num>
  <w:num w16cid:durableId="1261183751" w:numId="66">
    <w:abstractNumId w:val="0"/>
  </w:num>
  <w:num w16cid:durableId="2135519764" w:numId="67">
    <w:abstractNumId w:val="0"/>
  </w:num>
  <w:num w16cid:durableId="1646738500" w:numId="68">
    <w:abstractNumId w:val="0"/>
  </w:num>
  <w:num w16cid:durableId="36010069" w:numId="69">
    <w:abstractNumId w:val="0"/>
  </w:num>
  <w:num w16cid:durableId="794059477" w:numId="70">
    <w:abstractNumId w:val="0"/>
  </w:num>
  <w:num w16cid:durableId="1484271810" w:numId="71">
    <w:abstractNumId w:val="0"/>
  </w:num>
  <w:num w16cid:durableId="1978759351" w:numId="72">
    <w:abstractNumId w:val="0"/>
  </w:num>
  <w:num w16cid:durableId="867257109" w:numId="73">
    <w:abstractNumId w:val="0"/>
  </w:num>
  <w:num w16cid:durableId="977760079" w:numId="74">
    <w:abstractNumId w:val="0"/>
  </w:num>
  <w:num w16cid:durableId="1463187062" w:numId="75">
    <w:abstractNumId w:val="0"/>
  </w:num>
  <w:num w16cid:durableId="943994777" w:numId="76">
    <w:abstractNumId w:val="0"/>
  </w:num>
  <w:num w16cid:durableId="713778095" w:numId="77">
    <w:abstractNumId w:val="0"/>
  </w:num>
  <w:num w16cid:durableId="1352148157" w:numId="78">
    <w:abstractNumId w:val="0"/>
  </w:num>
  <w:num w16cid:durableId="1526745555" w:numId="79">
    <w:abstractNumId w:val="0"/>
  </w:num>
  <w:num w16cid:durableId="2037539479" w:numId="80">
    <w:abstractNumId w:val="0"/>
  </w:num>
  <w:num w16cid:durableId="510722393" w:numId="81">
    <w:abstractNumId w:val="0"/>
  </w:num>
  <w:num w16cid:durableId="60250850" w:numId="82">
    <w:abstractNumId w:val="0"/>
  </w:num>
  <w:num w16cid:durableId="388309887" w:numId="83">
    <w:abstractNumId w:val="0"/>
  </w:num>
  <w:num w16cid:durableId="846362681" w:numId="84">
    <w:abstractNumId w:val="0"/>
  </w:num>
  <w:num w16cid:durableId="134949925" w:numId="85">
    <w:abstractNumId w:val="0"/>
  </w:num>
  <w:num w16cid:durableId="1804036521" w:numId="86">
    <w:abstractNumId w:val="0"/>
  </w:num>
  <w:num w16cid:durableId="937829251" w:numId="87">
    <w:abstractNumId w:val="0"/>
  </w:num>
  <w:num w16cid:durableId="525408592" w:numId="88">
    <w:abstractNumId w:val="0"/>
  </w:num>
  <w:num w16cid:durableId="1557858870" w:numId="89">
    <w:abstractNumId w:val="0"/>
  </w:num>
  <w:num w16cid:durableId="1546483906" w:numId="90">
    <w:abstractNumId w:val="0"/>
  </w:num>
  <w:num w16cid:durableId="1543010758" w:numId="91">
    <w:abstractNumId w:val="0"/>
  </w:num>
  <w:num w16cid:durableId="1936084467" w:numId="92">
    <w:abstractNumId w:val="0"/>
  </w:num>
  <w:num w16cid:durableId="1791513245" w:numId="93">
    <w:abstractNumId w:val="0"/>
  </w:num>
  <w:num w16cid:durableId="1311717649" w:numId="94">
    <w:abstractNumId w:val="0"/>
  </w:num>
  <w:num w16cid:durableId="137648262" w:numId="95">
    <w:abstractNumId w:val="0"/>
  </w:num>
  <w:num w16cid:durableId="818614758" w:numId="96">
    <w:abstractNumId w:val="0"/>
  </w:num>
  <w:num w16cid:durableId="1943758691" w:numId="97">
    <w:abstractNumId w:val="0"/>
  </w:num>
  <w:num w16cid:durableId="1158955323"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83119047" w:numId="99">
    <w:abstractNumId w:val="0"/>
  </w:num>
  <w:num w16cid:durableId="988286772"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225415" w:numId="101">
    <w:abstractNumId w:val="0"/>
  </w:num>
  <w:num w16cid:durableId="193470540" w:numId="102">
    <w:abstractNumId w:val="0"/>
  </w:num>
  <w:num w16cid:durableId="331690477" w:numId="103">
    <w:abstractNumId w:val="0"/>
  </w:num>
  <w:num w16cid:durableId="165246544" w:numId="104">
    <w:abstractNumId w:val="0"/>
  </w:num>
  <w:num w16cid:durableId="1458984259" w:numId="105">
    <w:abstractNumId w:val="0"/>
  </w:num>
  <w:num w16cid:durableId="636226411" w:numId="106">
    <w:abstractNumId w:val="0"/>
  </w:num>
  <w:num w16cid:durableId="1376347610" w:numId="107">
    <w:abstractNumId w:val="0"/>
  </w:num>
  <w:num w16cid:durableId="1570265126" w:numId="108">
    <w:abstractNumId w:val="0"/>
  </w:num>
  <w:num w16cid:durableId="134032202" w:numId="109">
    <w:abstractNumId w:val="0"/>
  </w:num>
  <w:num w16cid:durableId="188564961" w:numId="110">
    <w:abstractNumId w:val="0"/>
  </w:num>
  <w:num w16cid:durableId="1237087445" w:numId="111">
    <w:abstractNumId w:val="0"/>
  </w:num>
  <w:num w16cid:durableId="833567103" w:numId="112">
    <w:abstractNumId w:val="0"/>
  </w:num>
  <w:num w16cid:durableId="981034835" w:numId="113">
    <w:abstractNumId w:val="0"/>
  </w:num>
  <w:num w16cid:durableId="548028582" w:numId="114">
    <w:abstractNumId w:val="0"/>
  </w:num>
  <w:num w16cid:durableId="884678284" w:numId="115">
    <w:abstractNumId w:val="0"/>
  </w:num>
  <w:num w16cid:durableId="496312815" w:numId="116">
    <w:abstractNumId w:val="0"/>
  </w:num>
  <w:num w16cid:durableId="1568608431" w:numId="117">
    <w:abstractNumId w:val="0"/>
  </w:num>
  <w:num w16cid:durableId="65961576" w:numId="118">
    <w:abstractNumId w:val="0"/>
  </w:num>
  <w:num w16cid:durableId="1257328703" w:numId="119">
    <w:abstractNumId w:val="0"/>
  </w:num>
  <w:num w16cid:durableId="2116897945" w:numId="120">
    <w:abstractNumId w:val="0"/>
  </w:num>
  <w:num w16cid:durableId="171258365" w:numId="121">
    <w:abstractNumId w:val="0"/>
  </w:num>
  <w:num w16cid:durableId="1709060278" w:numId="122">
    <w:abstractNumId w:val="0"/>
  </w:num>
  <w:num w16cid:durableId="2006664890" w:numId="123">
    <w:abstractNumId w:val="0"/>
  </w:num>
  <w:num w16cid:durableId="1640695517" w:numId="124">
    <w:abstractNumId w:val="0"/>
  </w:num>
  <w:num w16cid:durableId="1359308636" w:numId="125">
    <w:abstractNumId w:val="0"/>
  </w:num>
  <w:num w16cid:durableId="71195560" w:numId="126">
    <w:abstractNumId w:val="0"/>
  </w:num>
  <w:num w16cid:durableId="671841113" w:numId="127">
    <w:abstractNumId w:val="0"/>
  </w:num>
  <w:num w16cid:durableId="58358775" w:numId="128">
    <w:abstractNumId w:val="0"/>
  </w:num>
  <w:num w16cid:durableId="2127193565" w:numId="129">
    <w:abstractNumId w:val="0"/>
  </w:num>
  <w:num w16cid:durableId="1171683577" w:numId="130">
    <w:abstractNumId w:val="0"/>
  </w:num>
  <w:num w16cid:durableId="751119748" w:numId="131">
    <w:abstractNumId w:val="0"/>
  </w:num>
  <w:num w16cid:durableId="821000580" w:numId="132">
    <w:abstractNumId w:val="0"/>
  </w:num>
  <w:num w16cid:durableId="1839805700" w:numId="133">
    <w:abstractNumId w:val="0"/>
  </w:num>
  <w:num w16cid:durableId="1078214843" w:numId="134">
    <w:abstractNumId w:val="0"/>
  </w:num>
  <w:num w16cid:durableId="1304043799" w:numId="135">
    <w:abstractNumId w:val="0"/>
  </w:num>
  <w:num w16cid:durableId="964576416" w:numId="136">
    <w:abstractNumId w:val="0"/>
  </w:num>
  <w:num w16cid:durableId="1191989368" w:numId="137">
    <w:abstractNumId w:val="0"/>
  </w:num>
  <w:num w16cid:durableId="257636500" w:numId="138">
    <w:abstractNumId w:val="0"/>
  </w:num>
  <w:num w16cid:durableId="689183475" w:numId="139">
    <w:abstractNumId w:val="0"/>
  </w:num>
  <w:num w16cid:durableId="1287397329" w:numId="140">
    <w:abstractNumId w:val="0"/>
  </w:num>
  <w:num w16cid:durableId="1321537660" w:numId="141">
    <w:abstractNumId w:val="0"/>
  </w:num>
  <w:num w16cid:durableId="2008242181" w:numId="142">
    <w:abstractNumId w:val="0"/>
  </w:num>
  <w:num w16cid:durableId="658660180" w:numId="143">
    <w:abstractNumId w:val="0"/>
  </w:num>
  <w:num w16cid:durableId="1348865464" w:numId="144">
    <w:abstractNumId w:val="0"/>
  </w:num>
  <w:num w16cid:durableId="2072388107" w:numId="145">
    <w:abstractNumId w:val="0"/>
  </w:num>
  <w:num w16cid:durableId="1750611870" w:numId="146">
    <w:abstractNumId w:val="0"/>
  </w:num>
  <w:num w16cid:durableId="1645963600" w:numId="147">
    <w:abstractNumId w:val="0"/>
  </w:num>
  <w:num w16cid:durableId="1288587633" w:numId="148">
    <w:abstractNumId w:val="0"/>
  </w:num>
  <w:num w16cid:durableId="420681752" w:numId="149">
    <w:abstractNumId w:val="0"/>
  </w:num>
  <w:num w16cid:durableId="1301226467" w:numId="150">
    <w:abstractNumId w:val="0"/>
  </w:num>
  <w:num w16cid:durableId="1576624247" w:numId="151">
    <w:abstractNumId w:val="0"/>
  </w:num>
  <w:num w16cid:durableId="842934826" w:numId="152">
    <w:abstractNumId w:val="0"/>
  </w:num>
  <w:num w16cid:durableId="820655685" w:numId="153">
    <w:abstractNumId w:val="0"/>
  </w:num>
  <w:num w16cid:durableId="1235896150" w:numId="154">
    <w:abstractNumId w:val="0"/>
  </w:num>
  <w:num w16cid:durableId="340014110" w:numId="155">
    <w:abstractNumId w:val="0"/>
  </w:num>
  <w:num w16cid:durableId="130055582" w:numId="156">
    <w:abstractNumId w:val="0"/>
  </w:num>
  <w:num w16cid:durableId="255484176" w:numId="157">
    <w:abstractNumId w:val="0"/>
  </w:num>
  <w:num w16cid:durableId="1944259317" w:numId="158">
    <w:abstractNumId w:val="0"/>
  </w:num>
  <w:num w16cid:durableId="1832090515" w:numId="159">
    <w:abstractNumId w:val="0"/>
  </w:num>
  <w:num w16cid:durableId="374432457" w:numId="160">
    <w:abstractNumId w:val="0"/>
  </w:num>
  <w:num w16cid:durableId="1428188864" w:numId="161">
    <w:abstractNumId w:val="0"/>
  </w:num>
  <w:num w16cid:durableId="950010620" w:numId="162">
    <w:abstractNumId w:val="0"/>
  </w:num>
  <w:num w16cid:durableId="177276171" w:numId="163">
    <w:abstractNumId w:val="0"/>
  </w:num>
  <w:num w16cid:durableId="11108013" w:numId="164">
    <w:abstractNumId w:val="0"/>
  </w:num>
  <w:num w16cid:durableId="1353654790" w:numId="165">
    <w:abstractNumId w:val="0"/>
  </w:num>
  <w:num w16cid:durableId="394477649" w:numId="166">
    <w:abstractNumId w:val="0"/>
  </w:num>
  <w:num w16cid:durableId="480584097" w:numId="167">
    <w:abstractNumId w:val="0"/>
  </w:num>
  <w:num w16cid:durableId="2004819603" w:numId="168">
    <w:abstractNumId w:val="0"/>
  </w:num>
  <w:num w16cid:durableId="1048726975" w:numId="169">
    <w:abstractNumId w:val="0"/>
  </w:num>
  <w:num w16cid:durableId="2005624511" w:numId="170">
    <w:abstractNumId w:val="0"/>
  </w:num>
  <w:num w16cid:durableId="1448083648" w:numId="171">
    <w:abstractNumId w:val="0"/>
  </w:num>
  <w:num w16cid:durableId="31155579" w:numId="172">
    <w:abstractNumId w:val="0"/>
  </w:num>
  <w:num w16cid:durableId="82338636" w:numId="173">
    <w:abstractNumId w:val="0"/>
  </w:num>
  <w:num w16cid:durableId="1134787770" w:numId="174">
    <w:abstractNumId w:val="0"/>
  </w:num>
  <w:num w16cid:durableId="1541437931" w:numId="175">
    <w:abstractNumId w:val="0"/>
  </w:num>
  <w:num w16cid:durableId="960920852" w:numId="176">
    <w:abstractNumId w:val="0"/>
  </w:num>
  <w:num w16cid:durableId="47530853" w:numId="177">
    <w:abstractNumId w:val="0"/>
  </w:num>
  <w:num w16cid:durableId="1477406655" w:numId="178">
    <w:abstractNumId w:val="0"/>
  </w:num>
  <w:num w16cid:durableId="40058355"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8071998" w:numId="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71787254" w:numId="181">
    <w:abstractNumId w:val="0"/>
  </w:num>
  <w:num w16cid:durableId="707338559" w:numId="182">
    <w:abstractNumId w:val="0"/>
  </w:num>
  <w:num w16cid:durableId="2082632010" w:numId="183">
    <w:abstractNumId w:val="0"/>
  </w:num>
  <w:num w16cid:durableId="1978030021" w:numId="184">
    <w:abstractNumId w:val="0"/>
  </w:num>
  <w:num w16cid:durableId="1663006879" w:numId="185">
    <w:abstractNumId w:val="0"/>
  </w:num>
  <w:num w16cid:durableId="1833598714" w:numId="186">
    <w:abstractNumId w:val="0"/>
  </w:num>
  <w:num w16cid:durableId="357046375" w:numId="187">
    <w:abstractNumId w:val="0"/>
  </w:num>
  <w:num w16cid:durableId="278612419" w:numId="188">
    <w:abstractNumId w:val="0"/>
  </w:num>
  <w:num w16cid:durableId="499925689" w:numId="189">
    <w:abstractNumId w:val="0"/>
  </w:num>
  <w:num w16cid:durableId="608392368" w:numId="190">
    <w:abstractNumId w:val="0"/>
  </w:num>
  <w:num w16cid:durableId="1792355173" w:numId="191">
    <w:abstractNumId w:val="0"/>
  </w:num>
  <w:num w16cid:durableId="473721865" w:numId="192">
    <w:abstractNumId w:val="0"/>
  </w:num>
  <w:num w16cid:durableId="1878809010" w:numId="193">
    <w:abstractNumId w:val="0"/>
  </w:num>
  <w:num w16cid:durableId="219707996" w:numId="194">
    <w:abstractNumId w:val="0"/>
  </w:num>
  <w:num w16cid:durableId="606888552" w:numId="195">
    <w:abstractNumId w:val="0"/>
  </w:num>
  <w:num w16cid:durableId="1466198744" w:numId="196">
    <w:abstractNumId w:val="0"/>
  </w:num>
  <w:num w16cid:durableId="1663241810" w:numId="197">
    <w:abstractNumId w:val="0"/>
  </w:num>
  <w:num w16cid:durableId="769738087" w:numId="198">
    <w:abstractNumId w:val="0"/>
  </w:num>
  <w:num w16cid:durableId="1634404732" w:numId="199">
    <w:abstractNumId w:val="0"/>
  </w:num>
  <w:num w16cid:durableId="1894386708" w:numId="200">
    <w:abstractNumId w:val="0"/>
  </w:num>
  <w:num w16cid:durableId="464348500" w:numId="201">
    <w:abstractNumId w:val="0"/>
  </w:num>
  <w:num w16cid:durableId="1587425281" w:numId="202">
    <w:abstractNumId w:val="0"/>
  </w:num>
  <w:num w16cid:durableId="239408509" w:numId="203">
    <w:abstractNumId w:val="0"/>
  </w:num>
  <w:num w16cid:durableId="816072026" w:numId="204">
    <w:abstractNumId w:val="0"/>
  </w:num>
  <w:num w16cid:durableId="319113561" w:numId="205">
    <w:abstractNumId w:val="0"/>
  </w:num>
  <w:num w16cid:durableId="739408759" w:numId="206">
    <w:abstractNumId w:val="0"/>
  </w:num>
  <w:num w16cid:durableId="961033600" w:numId="207">
    <w:abstractNumId w:val="0"/>
  </w:num>
  <w:num w16cid:durableId="1237935947" w:numId="208">
    <w:abstractNumId w:val="0"/>
  </w:num>
  <w:num w16cid:durableId="2115325618" w:numId="209">
    <w:abstractNumId w:val="0"/>
  </w:num>
  <w:num w16cid:durableId="1976985113" w:numId="210">
    <w:abstractNumId w:val="0"/>
  </w:num>
  <w:num w16cid:durableId="1785807730" w:numId="211">
    <w:abstractNumId w:val="0"/>
  </w:num>
  <w:num w16cid:durableId="1676028954" w:numId="212">
    <w:abstractNumId w:val="0"/>
  </w:num>
  <w:num w16cid:durableId="21370983" w:numId="213">
    <w:abstractNumId w:val="0"/>
  </w:num>
  <w:num w16cid:durableId="1453358247" w:numId="214">
    <w:abstractNumId w:val="0"/>
  </w:num>
  <w:num w16cid:durableId="1307278686" w:numId="215">
    <w:abstractNumId w:val="0"/>
  </w:num>
  <w:num w16cid:durableId="1856729781" w:numId="216">
    <w:abstractNumId w:val="0"/>
  </w:num>
  <w:num w16cid:durableId="767849612" w:numId="217">
    <w:abstractNumId w:val="0"/>
  </w:num>
  <w:num w16cid:durableId="967054678" w:numId="218">
    <w:abstractNumId w:val="0"/>
  </w:num>
  <w:num w16cid:durableId="1716268260" w:numId="219">
    <w:abstractNumId w:val="0"/>
  </w:num>
  <w:num w16cid:durableId="381826360" w:numId="220">
    <w:abstractNumId w:val="0"/>
  </w:num>
  <w:num w16cid:durableId="338041579" w:numId="221">
    <w:abstractNumId w:val="0"/>
  </w:num>
  <w:num w16cid:durableId="1468670955" w:numId="222">
    <w:abstractNumId w:val="0"/>
  </w:num>
  <w:num w16cid:durableId="1998607061" w:numId="223">
    <w:abstractNumId w:val="0"/>
  </w:num>
  <w:num w16cid:durableId="1167670539" w:numId="224">
    <w:abstractNumId w:val="0"/>
  </w:num>
  <w:num w16cid:durableId="53282934" w:numId="225">
    <w:abstractNumId w:val="0"/>
  </w:num>
  <w:num w16cid:durableId="1615820699" w:numId="226">
    <w:abstractNumId w:val="0"/>
  </w:num>
  <w:num w16cid:durableId="837385497" w:numId="227">
    <w:abstractNumId w:val="0"/>
  </w:num>
  <w:num w16cid:durableId="1497262982" w:numId="228">
    <w:abstractNumId w:val="0"/>
  </w:num>
  <w:num w16cid:durableId="114032740" w:numId="229">
    <w:abstractNumId w:val="0"/>
  </w:num>
  <w:num w16cid:durableId="1241258850" w:numId="230">
    <w:abstractNumId w:val="0"/>
  </w:num>
  <w:num w16cid:durableId="702484488" w:numId="231">
    <w:abstractNumId w:val="0"/>
  </w:num>
  <w:num w16cid:durableId="1601989092" w:numId="232">
    <w:abstractNumId w:val="0"/>
  </w:num>
  <w:num w16cid:durableId="1394616095" w:numId="233">
    <w:abstractNumId w:val="0"/>
  </w:num>
  <w:num w16cid:durableId="1662275900" w:numId="234">
    <w:abstractNumId w:val="0"/>
  </w:num>
  <w:num w16cid:durableId="1761683506" w:numId="235">
    <w:abstractNumId w:val="0"/>
  </w:num>
  <w:num w16cid:durableId="136075628" w:numId="236">
    <w:abstractNumId w:val="0"/>
  </w:num>
  <w:num w16cid:durableId="826359169" w:numId="237">
    <w:abstractNumId w:val="0"/>
  </w:num>
  <w:num w16cid:durableId="1945845804" w:numId="238">
    <w:abstractNumId w:val="0"/>
  </w:num>
  <w:num w16cid:durableId="1746683846" w:numId="239">
    <w:abstractNumId w:val="0"/>
  </w:num>
  <w:num w16cid:durableId="1669289242" w:numId="240">
    <w:abstractNumId w:val="0"/>
  </w:num>
  <w:num w16cid:durableId="787165410" w:numId="241">
    <w:abstractNumId w:val="0"/>
  </w:num>
  <w:num w16cid:durableId="1945260714" w:numId="242">
    <w:abstractNumId w:val="0"/>
  </w:num>
  <w:num w16cid:durableId="1325352339" w:numId="243">
    <w:abstractNumId w:val="0"/>
  </w:num>
  <w:num w16cid:durableId="1614626031" w:numId="244">
    <w:abstractNumId w:val="0"/>
  </w:num>
  <w:num w16cid:durableId="2062559123" w:numId="245">
    <w:abstractNumId w:val="0"/>
  </w:num>
  <w:num w16cid:durableId="1844542280" w:numId="246">
    <w:abstractNumId w:val="0"/>
  </w:num>
  <w:num w16cid:durableId="787814526" w:numId="247">
    <w:abstractNumId w:val="0"/>
  </w:num>
  <w:num w16cid:durableId="1523594048" w:numId="248">
    <w:abstractNumId w:val="0"/>
  </w:num>
  <w:num w16cid:durableId="2019379630" w:numId="249">
    <w:abstractNumId w:val="0"/>
  </w:num>
  <w:num w16cid:durableId="339890759" w:numId="250">
    <w:abstractNumId w:val="0"/>
  </w:num>
  <w:num w16cid:durableId="1961453826" w:numId="251">
    <w:abstractNumId w:val="0"/>
  </w:num>
  <w:num w16cid:durableId="606235385" w:numId="252">
    <w:abstractNumId w:val="0"/>
  </w:num>
  <w:num w16cid:durableId="351042" w:numId="253">
    <w:abstractNumId w:val="0"/>
  </w:num>
  <w:num w16cid:durableId="532229269" w:numId="254">
    <w:abstractNumId w:val="0"/>
  </w:num>
  <w:num w16cid:durableId="913051226" w:numId="255">
    <w:abstractNumId w:val="0"/>
  </w:num>
  <w:num w16cid:durableId="1925143534" w:numId="256">
    <w:abstractNumId w:val="0"/>
  </w:num>
  <w:num w16cid:durableId="1478646482" w:numId="257">
    <w:abstractNumId w:val="0"/>
  </w:num>
  <w:num w16cid:durableId="845441060" w:numId="258">
    <w:abstractNumId w:val="0"/>
  </w:num>
  <w:num w16cid:durableId="1513757819" w:numId="259">
    <w:abstractNumId w:val="0"/>
  </w:num>
  <w:num w16cid:durableId="1826699866" w:numId="260">
    <w:abstractNumId w:val="0"/>
  </w:num>
  <w:num w16cid:durableId="507252519" w:numId="261">
    <w:abstractNumId w:val="0"/>
  </w:num>
  <w:num w16cid:durableId="2077969597" w:numId="262">
    <w:abstractNumId w:val="0"/>
  </w:num>
  <w:num w16cid:durableId="980228611" w:numId="263">
    <w:abstractNumId w:val="0"/>
  </w:num>
  <w:num w16cid:durableId="577715832" w:numId="264">
    <w:abstractNumId w:val="0"/>
  </w:num>
  <w:num w16cid:durableId="732508393" w:numId="265">
    <w:abstractNumId w:val="0"/>
  </w:num>
  <w:num w16cid:durableId="2100367460" w:numId="266">
    <w:abstractNumId w:val="0"/>
  </w:num>
  <w:num w16cid:durableId="550918335" w:numId="267">
    <w:abstractNumId w:val="0"/>
  </w:num>
  <w:num w16cid:durableId="452361686" w:numId="268">
    <w:abstractNumId w:val="0"/>
  </w:num>
  <w:num w16cid:durableId="695035449" w:numId="269">
    <w:abstractNumId w:val="0"/>
  </w:num>
  <w:num w16cid:durableId="140583795" w:numId="270">
    <w:abstractNumId w:val="0"/>
  </w:num>
  <w:num w16cid:durableId="751312210" w:numId="271">
    <w:abstractNumId w:val="0"/>
  </w:num>
  <w:num w16cid:durableId="996034961" w:numId="272">
    <w:abstractNumId w:val="0"/>
  </w:num>
  <w:num w16cid:durableId="578254813" w:numId="273">
    <w:abstractNumId w:val="0"/>
  </w:num>
  <w:num w16cid:durableId="1380473717" w:numId="274">
    <w:abstractNumId w:val="0"/>
  </w:num>
  <w:num w16cid:durableId="301351355" w:numId="275">
    <w:abstractNumId w:val="0"/>
  </w:num>
  <w:num w16cid:durableId="1761608148" w:numId="276">
    <w:abstractNumId w:val="0"/>
  </w:num>
  <w:num w16cid:durableId="858590294" w:numId="277">
    <w:abstractNumId w:val="0"/>
  </w:num>
  <w:num w16cid:durableId="1858350921" w:numId="278">
    <w:abstractNumId w:val="0"/>
  </w:num>
  <w:num w16cid:durableId="985624914" w:numId="279">
    <w:abstractNumId w:val="0"/>
  </w:num>
  <w:num w16cid:durableId="1481537416" w:numId="280">
    <w:abstractNumId w:val="0"/>
  </w:num>
  <w:num w16cid:durableId="1248156322" w:numId="281">
    <w:abstractNumId w:val="0"/>
  </w:num>
  <w:num w16cid:durableId="1965455942" w:numId="282">
    <w:abstractNumId w:val="0"/>
  </w:num>
  <w:num w16cid:durableId="1126970906" w:numId="283">
    <w:abstractNumId w:val="0"/>
  </w:num>
  <w:num w16cid:durableId="529032182" w:numId="284">
    <w:abstractNumId w:val="0"/>
  </w:num>
  <w:num w16cid:durableId="1808350718" w:numId="285">
    <w:abstractNumId w:val="0"/>
  </w:num>
  <w:num w16cid:durableId="1036007793" w:numId="286">
    <w:abstractNumId w:val="0"/>
  </w:num>
  <w:num w16cid:durableId="197474966" w:numId="287">
    <w:abstractNumId w:val="0"/>
  </w:num>
  <w:num w16cid:durableId="1675841920" w:numId="288">
    <w:abstractNumId w:val="0"/>
  </w:num>
  <w:num w16cid:durableId="45489213" w:numId="289">
    <w:abstractNumId w:val="0"/>
  </w:num>
  <w:num w16cid:durableId="1252080187" w:numId="290">
    <w:abstractNumId w:val="0"/>
  </w:num>
  <w:num w16cid:durableId="1973050490" w:numId="291">
    <w:abstractNumId w:val="0"/>
  </w:num>
  <w:num w16cid:durableId="1385790895" w:numId="292">
    <w:abstractNumId w:val="0"/>
  </w:num>
  <w:num w16cid:durableId="1994720625" w:numId="293">
    <w:abstractNumId w:val="0"/>
  </w:num>
  <w:num w16cid:durableId="1342123903" w:numId="294">
    <w:abstractNumId w:val="0"/>
  </w:num>
  <w:num w16cid:durableId="1081030117" w:numId="295">
    <w:abstractNumId w:val="0"/>
  </w:num>
  <w:num w16cid:durableId="305360057" w:numId="296">
    <w:abstractNumId w:val="0"/>
  </w:num>
  <w:num w16cid:durableId="2117746366" w:numId="297">
    <w:abstractNumId w:val="0"/>
  </w:num>
  <w:num w16cid:durableId="20205016" w:numId="298">
    <w:abstractNumId w:val="0"/>
  </w:num>
  <w:num w16cid:durableId="1891918495" w:numId="299">
    <w:abstractNumId w:val="0"/>
  </w:num>
  <w:num w16cid:durableId="1678773990" w:numId="300">
    <w:abstractNumId w:val="0"/>
  </w:num>
  <w:num w16cid:durableId="1849174623" w:numId="301">
    <w:abstractNumId w:val="0"/>
  </w:num>
  <w:num w16cid:durableId="1241020713" w:numId="302">
    <w:abstractNumId w:val="0"/>
  </w:num>
  <w:num w16cid:durableId="2135129818" w:numId="303">
    <w:abstractNumId w:val="0"/>
  </w:num>
  <w:num w16cid:durableId="519008735" w:numId="304">
    <w:abstractNumId w:val="0"/>
  </w:num>
  <w:num w16cid:durableId="1080521560" w:numId="305">
    <w:abstractNumId w:val="0"/>
  </w:num>
  <w:num w16cid:durableId="1934240133" w:numId="306">
    <w:abstractNumId w:val="0"/>
  </w:num>
  <w:num w16cid:durableId="162356624" w:numId="307">
    <w:abstractNumId w:val="0"/>
  </w:num>
  <w:num w16cid:durableId="950212087" w:numId="308">
    <w:abstractNumId w:val="0"/>
  </w:num>
  <w:num w16cid:durableId="1687827018" w:numId="309">
    <w:abstractNumId w:val="0"/>
  </w:num>
  <w:num w16cid:durableId="1555653481" w:numId="310">
    <w:abstractNumId w:val="0"/>
  </w:num>
  <w:num w16cid:durableId="803161327" w:numId="311">
    <w:abstractNumId w:val="0"/>
  </w:num>
  <w:num w16cid:durableId="183062591" w:numId="312">
    <w:abstractNumId w:val="0"/>
  </w:num>
  <w:num w16cid:durableId="136188699" w:numId="313">
    <w:abstractNumId w:val="0"/>
  </w:num>
  <w:num w16cid:durableId="1301577386" w:numId="314">
    <w:abstractNumId w:val="0"/>
  </w:num>
  <w:num w16cid:durableId="2064408807" w:numId="315">
    <w:abstractNumId w:val="0"/>
  </w:num>
  <w:num w16cid:durableId="562564682" w:numId="316">
    <w:abstractNumId w:val="0"/>
  </w:num>
  <w:num w16cid:durableId="969700811" w:numId="317">
    <w:abstractNumId w:val="0"/>
  </w:num>
  <w:num w16cid:durableId="1231382675" w:numId="318">
    <w:abstractNumId w:val="0"/>
  </w:num>
  <w:num w16cid:durableId="74670266" w:numId="319">
    <w:abstractNumId w:val="0"/>
  </w:num>
  <w:num w16cid:durableId="1513838051" w:numId="320">
    <w:abstractNumId w:val="0"/>
  </w:num>
  <w:num w16cid:durableId="398094890" w:numId="321">
    <w:abstractNumId w:val="0"/>
  </w:num>
  <w:num w16cid:durableId="287859316" w:numId="322">
    <w:abstractNumId w:val="0"/>
  </w:num>
  <w:num w16cid:durableId="243227926" w:numId="323">
    <w:abstractNumId w:val="0"/>
  </w:num>
  <w:num w16cid:durableId="270674194" w:numId="324">
    <w:abstractNumId w:val="0"/>
  </w:num>
  <w:num w16cid:durableId="507988264" w:numId="325">
    <w:abstractNumId w:val="0"/>
  </w:num>
  <w:num w16cid:durableId="1824203355" w:numId="326">
    <w:abstractNumId w:val="0"/>
  </w:num>
  <w:num w16cid:durableId="1442527227" w:numId="327">
    <w:abstractNumId w:val="0"/>
  </w:num>
  <w:num w16cid:durableId="1118568763" w:numId="328">
    <w:abstractNumId w:val="0"/>
  </w:num>
  <w:num w16cid:durableId="1719162605" w:numId="329">
    <w:abstractNumId w:val="0"/>
  </w:num>
  <w:num w16cid:durableId="1287858102" w:numId="330">
    <w:abstractNumId w:val="0"/>
  </w:num>
  <w:num w16cid:durableId="1826436928" w:numId="331">
    <w:abstractNumId w:val="0"/>
  </w:num>
  <w:num w16cid:durableId="1011654" w:numId="332">
    <w:abstractNumId w:val="0"/>
  </w:num>
  <w:num w16cid:durableId="2048603755" w:numId="333">
    <w:abstractNumId w:val="0"/>
  </w:num>
  <w:num w16cid:durableId="1419327069" w:numId="334">
    <w:abstractNumId w:val="0"/>
  </w:num>
  <w:num w16cid:durableId="1237320753" w:numId="335">
    <w:abstractNumId w:val="0"/>
  </w:num>
  <w:num w16cid:durableId="1860699625" w:numId="336">
    <w:abstractNumId w:val="0"/>
  </w:num>
  <w:num w16cid:durableId="1680305727" w:numId="337">
    <w:abstractNumId w:val="0"/>
  </w:num>
  <w:num w16cid:durableId="1468664188" w:numId="338">
    <w:abstractNumId w:val="0"/>
  </w:num>
  <w:num w16cid:durableId="430664025" w:numId="339">
    <w:abstractNumId w:val="0"/>
  </w:num>
  <w:num w16cid:durableId="1535073727" w:numId="340">
    <w:abstractNumId w:val="0"/>
  </w:num>
  <w:num w16cid:durableId="1992755285" w:numId="341">
    <w:abstractNumId w:val="0"/>
  </w:num>
  <w:num w16cid:durableId="1836648291" w:numId="342">
    <w:abstractNumId w:val="0"/>
  </w:num>
  <w:num w16cid:durableId="986977418" w:numId="343">
    <w:abstractNumId w:val="0"/>
  </w:num>
  <w:num w16cid:durableId="1593782463" w:numId="344">
    <w:abstractNumId w:val="0"/>
  </w:num>
  <w:num w16cid:durableId="2017658272" w:numId="345">
    <w:abstractNumId w:val="0"/>
  </w:num>
  <w:num w16cid:durableId="1307970255" w:numId="346">
    <w:abstractNumId w:val="0"/>
  </w:num>
  <w:num w16cid:durableId="1346712622" w:numId="347">
    <w:abstractNumId w:val="0"/>
  </w:num>
  <w:num w16cid:durableId="224150327" w:numId="348">
    <w:abstractNumId w:val="0"/>
  </w:num>
  <w:num w16cid:durableId="375472725" w:numId="349">
    <w:abstractNumId w:val="0"/>
  </w:num>
  <w:num w16cid:durableId="1185167554" w:numId="350">
    <w:abstractNumId w:val="0"/>
  </w:num>
  <w:num w16cid:durableId="1285231794" w:numId="351">
    <w:abstractNumId w:val="0"/>
  </w:num>
  <w:num w16cid:durableId="1294097691" w:numId="352">
    <w:abstractNumId w:val="0"/>
  </w:num>
  <w:num w16cid:durableId="1571693508" w:numId="353">
    <w:abstractNumId w:val="0"/>
  </w:num>
  <w:num w16cid:durableId="12853323" w:numId="354">
    <w:abstractNumId w:val="0"/>
  </w:num>
  <w:num w16cid:durableId="40134259" w:numId="355">
    <w:abstractNumId w:val="0"/>
  </w:num>
  <w:num w16cid:durableId="61147208" w:numId="356">
    <w:abstractNumId w:val="0"/>
  </w:num>
  <w:num w16cid:durableId="1381587180" w:numId="357">
    <w:abstractNumId w:val="0"/>
  </w:num>
  <w:num w16cid:durableId="374237329" w:numId="358">
    <w:abstractNumId w:val="0"/>
  </w:num>
  <w:num w16cid:durableId="1893999262" w:numId="359">
    <w:abstractNumId w:val="0"/>
  </w:num>
  <w:num w16cid:durableId="372729732" w:numId="360">
    <w:abstractNumId w:val="0"/>
  </w:num>
  <w:num w16cid:durableId="52779023" w:numId="361">
    <w:abstractNumId w:val="0"/>
  </w:num>
  <w:num w16cid:durableId="1937905823" w:numId="362">
    <w:abstractNumId w:val="0"/>
  </w:num>
  <w:num w16cid:durableId="1760981307" w:numId="363">
    <w:abstractNumId w:val="0"/>
  </w:num>
  <w:num w16cid:durableId="79565791" w:numId="364">
    <w:abstractNumId w:val="0"/>
  </w:num>
  <w:num w16cid:durableId="1491217414" w:numId="365">
    <w:abstractNumId w:val="0"/>
  </w:num>
  <w:num w16cid:durableId="1818456079" w:numId="366">
    <w:abstractNumId w:val="0"/>
  </w:num>
  <w:num w16cid:durableId="812870890" w:numId="367">
    <w:abstractNumId w:val="0"/>
  </w:num>
  <w:num w16cid:durableId="1580169913" w:numId="368">
    <w:abstractNumId w:val="0"/>
  </w:num>
  <w:num w16cid:durableId="1503819624" w:numId="369">
    <w:abstractNumId w:val="0"/>
  </w:num>
  <w:num w16cid:durableId="436877208" w:numId="370">
    <w:abstractNumId w:val="0"/>
  </w:num>
  <w:num w16cid:durableId="68893086" w:numId="371">
    <w:abstractNumId w:val="0"/>
  </w:num>
  <w:num w16cid:durableId="587495456" w:numId="372">
    <w:abstractNumId w:val="0"/>
  </w:num>
  <w:num w16cid:durableId="1007707435" w:numId="373">
    <w:abstractNumId w:val="0"/>
  </w:num>
  <w:num w16cid:durableId="786855603" w:numId="374">
    <w:abstractNumId w:val="0"/>
  </w:num>
  <w:num w16cid:durableId="1391920310" w:numId="375">
    <w:abstractNumId w:val="0"/>
  </w:num>
  <w:num w16cid:durableId="1344698690" w:numId="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5659162" w:numId="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2888959" w:numId="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4969242" w:numId="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29898629" w:numId="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55394418" w:numId="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2019479" w:numId="382">
    <w:abstractNumId w:val="0"/>
  </w:num>
  <w:num w16cid:durableId="198326549" w:numId="383">
    <w:abstractNumId w:val="0"/>
  </w:num>
  <w:num w16cid:durableId="1867329253" w:numId="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0762678" w:numId="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9575808" w:numId="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2684510" w:numId="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1582772" w:numId="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1638720" w:numId="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8890213" w:numId="390">
    <w:abstractNumId w:val="0"/>
  </w:num>
  <w:num w16cid:durableId="165246463" w:numId="391">
    <w:abstractNumId w:val="0"/>
  </w:num>
  <w:num w16cid:durableId="78258224" w:numId="392">
    <w:abstractNumId w:val="0"/>
  </w:num>
  <w:num w16cid:durableId="481117982" w:numId="393">
    <w:abstractNumId w:val="0"/>
  </w:num>
  <w:num w16cid:durableId="1392461746" w:numId="394">
    <w:abstractNumId w:val="0"/>
  </w:num>
  <w:num w16cid:durableId="2145537893" w:numId="395">
    <w:abstractNumId w:val="0"/>
  </w:num>
  <w:num w16cid:durableId="399526597" w:numId="396">
    <w:abstractNumId w:val="0"/>
  </w:num>
  <w:num w16cid:durableId="309022260" w:numId="397">
    <w:abstractNumId w:val="0"/>
  </w:num>
  <w:num w16cid:durableId="875583480" w:numId="398">
    <w:abstractNumId w:val="0"/>
  </w:num>
  <w:num w16cid:durableId="258952370" w:numId="399">
    <w:abstractNumId w:val="0"/>
  </w:num>
  <w:num w16cid:durableId="1217355577" w:numId="400">
    <w:abstractNumId w:val="0"/>
  </w:num>
  <w:num w16cid:durableId="993610358" w:numId="401">
    <w:abstractNumId w:val="0"/>
  </w:num>
  <w:num w16cid:durableId="382679868" w:numId="402">
    <w:abstractNumId w:val="0"/>
  </w:num>
  <w:num w16cid:durableId="1470201231" w:numId="403">
    <w:abstractNumId w:val="0"/>
  </w:num>
  <w:num w16cid:durableId="242423501" w:numId="404">
    <w:abstractNumId w:val="0"/>
  </w:num>
  <w:num w16cid:durableId="1983920277" w:numId="405">
    <w:abstractNumId w:val="0"/>
  </w:num>
  <w:num w16cid:durableId="1202013594" w:numId="406">
    <w:abstractNumId w:val="0"/>
  </w:num>
  <w:num w16cid:durableId="670061985" w:numId="407">
    <w:abstractNumId w:val="0"/>
  </w:num>
  <w:num w16cid:durableId="1392077023" w:numId="408">
    <w:abstractNumId w:val="0"/>
  </w:num>
  <w:num w16cid:durableId="1886721551" w:numId="409">
    <w:abstractNumId w:val="0"/>
  </w:num>
  <w:num w16cid:durableId="2137215801" w:numId="410">
    <w:abstractNumId w:val="0"/>
  </w:num>
  <w:num w16cid:durableId="564610126" w:numId="411">
    <w:abstractNumId w:val="0"/>
  </w:num>
  <w:num w16cid:durableId="92896076" w:numId="412">
    <w:abstractNumId w:val="0"/>
  </w:num>
  <w:num w16cid:durableId="103766204" w:numId="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90938834" w:numId="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19504206" w:numId="41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467433667" w:numId="41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404181377" w:numId="417">
    <w:abstractNumId w:val="0"/>
  </w:num>
  <w:num w16cid:durableId="1171945291" w:numId="418">
    <w:abstractNumId w:val="0"/>
  </w:num>
  <w:num w16cid:durableId="84810424" w:numId="419">
    <w:abstractNumId w:val="0"/>
  </w:num>
  <w:num w16cid:durableId="1151290325" w:numId="420">
    <w:abstractNumId w:val="0"/>
  </w:num>
  <w:num w16cid:durableId="1691369732" w:numId="421">
    <w:abstractNumId w:val="0"/>
  </w:num>
  <w:num w16cid:durableId="597253365" w:numId="422">
    <w:abstractNumId w:val="0"/>
  </w:num>
  <w:num w16cid:durableId="1004478045" w:numId="423">
    <w:abstractNumId w:val="0"/>
  </w:num>
  <w:num w16cid:durableId="626012381" w:numId="424">
    <w:abstractNumId w:val="0"/>
  </w:num>
  <w:num w16cid:durableId="849832735" w:numId="425">
    <w:abstractNumId w:val="0"/>
  </w:num>
  <w:num w16cid:durableId="27338444" w:numId="426">
    <w:abstractNumId w:val="0"/>
  </w:num>
  <w:num w16cid:durableId="355425748" w:numId="427">
    <w:abstractNumId w:val="0"/>
  </w:num>
  <w:num w16cid:durableId="862282617" w:numId="428">
    <w:abstractNumId w:val="0"/>
  </w:num>
  <w:num w16cid:durableId="1387559818" w:numId="429">
    <w:abstractNumId w:val="0"/>
  </w:num>
  <w:num w16cid:durableId="1581209125" w:numId="430">
    <w:abstractNumId w:val="0"/>
  </w:num>
  <w:num w16cid:durableId="1956018058" w:numId="4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8782985" w:numId="432">
    <w:abstractNumId w:val="0"/>
  </w:num>
  <w:num w:numId="1000">
    <w:abstractNumId w:val="990"/>
  </w:num>
  <w:num w:numId="1001">
    <w:abstractNumId w:val="991"/>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2"/>
    <w:compatSetting w:name="useWord2013TrackBottomHyphenation" w:uri="http://schemas.microsoft.com/office/word" w:val="1"/>
  </w:compat>
  <w:rsids>
    <w:rsidRoot w:val="00CF5324"/>
    <w:rsid w:val="002526F1"/>
    <w:rsid w:val="00AE1BA2"/>
    <w:rsid w:val="00C71648"/>
    <w:rsid w:val="00CF5324"/>
    <w:rsid w:val="00EC5C3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rFonts w:ascii="Aptos" w:eastAsia="Aptos" w:hAnsi="Aptos"/>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299</Pages>
  <Words>90914</Words>
  <Characters>518216</Characters>
  <Application>Microsoft Office Word</Application>
  <DocSecurity>0</DocSecurity>
  <Lines>4318</Lines>
  <Paragraphs>1215</Paragraphs>
  <ScaleCrop>false</ScaleCrop>
  <Company/>
  <LinksUpToDate>false</LinksUpToDate>
  <CharactersWithSpaces>607915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2026-06-26T03:26:49Z</dcterms:created>
  <dcterms:modified xsi:type="dcterms:W3CDTF">2026-06-26T03:26:49Z</dcterms:modified>
</cp:coreProperties>
</file>

<file path=docProps/custom.xml><?xml version="1.0" encoding="utf-8"?>
<Properties xmlns="http://schemas.openxmlformats.org/officeDocument/2006/custom-properties" xmlns:vt="http://schemas.openxmlformats.org/officeDocument/2006/docPropsVTypes"/>
</file>