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GPTPro Feedback Disposition and Release-Lock Report</w:t>
      </w:r>
    </w:p>
    <w:p>
      <w:pPr>
        <w:jc w:val="center"/>
      </w:pPr>
      <w:r>
        <w:rPr>
          <w:b/>
          <w:color w:val="2F5597"/>
        </w:rPr>
        <w:t>MathGov Core Release 2026.09 v12.4 / SGP v8.3</w:t>
      </w:r>
    </w:p>
    <w:p>
      <w:pPr>
        <w:pStyle w:val="Subtitle"/>
        <w:jc w:val="center"/>
      </w:pPr>
      <w:r>
        <w:t>19 July 2026 | Pre-publication release-lock correction | Complete supplied ZIP</w:t>
      </w:r>
    </w:p>
    <w:p>
      <w:pPr>
        <w:pStyle w:val="Heading1"/>
      </w:pPr>
      <w:r>
        <w:t>Executive verdict</w:t>
      </w:r>
    </w:p>
    <w:p>
      <w:r>
        <w:t>The feedback contained genuine defects and major false positives caused by auditing an incomplete or transformed evidence surface rather than the supplied release ZIP. The five-stage architecture remains sound and unchanged:</w:t>
      </w:r>
    </w:p>
    <w:p>
      <w:pPr>
        <w:jc w:val="center"/>
      </w:pPr>
      <w:r>
        <w:rPr>
          <w:b/>
          <w:color w:val="1F4E78"/>
          <w:sz w:val="28"/>
        </w:rPr>
        <w:t>RG -&gt; RF/NCRC -&gt; TRC -&gt; CSV -&gt; RLS</w:t>
      </w:r>
    </w:p>
    <w:p>
      <w:r>
        <w:t>No sixth gate, eighth welfare dimension, new moral-status hierarchy, capacity-to-authority inference, or empirical-certification claim was added. Accepted corrections improve calculability, version identity, record-schema clarity, navigation, and release portability. Unsupported suggestions were rejected.</w:t>
      </w:r>
    </w:p>
    <w:p>
      <w:pPr>
        <w:pStyle w:val="Heading1"/>
      </w:pPr>
      <w:r>
        <w:t>Disposition summary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1F4E78"/>
            <w:vAlign w:val="center"/>
            <w:tcMar>
              <w:top w:w="70" w:type="dxa"/>
              <w:start w:w="90" w:type="dxa"/>
              <w:bottom w:w="70" w:type="dxa"/>
              <w:end w:w="90" w:type="dxa"/>
            </w:tcMar>
          </w:tcPr>
          <w:p>
            <w:r>
              <w:rPr>
                <w:b/>
                <w:color w:val="FFFFFF"/>
                <w:sz w:val="16"/>
              </w:rPr>
              <w:t>Feedback item</w:t>
            </w:r>
          </w:p>
        </w:tc>
        <w:tc>
          <w:tcPr>
            <w:tcW w:type="dxa" w:w="1800"/>
            <w:shd w:fill="1F4E78"/>
            <w:vAlign w:val="center"/>
            <w:tcMar>
              <w:top w:w="70" w:type="dxa"/>
              <w:start w:w="90" w:type="dxa"/>
              <w:bottom w:w="70" w:type="dxa"/>
              <w:end w:w="90" w:type="dxa"/>
            </w:tcMar>
          </w:tcPr>
          <w:p>
            <w:r>
              <w:rPr>
                <w:b/>
                <w:color w:val="FFFFFF"/>
                <w:sz w:val="16"/>
              </w:rPr>
              <w:t>Disposition</w:t>
            </w:r>
          </w:p>
        </w:tc>
        <w:tc>
          <w:tcPr>
            <w:tcW w:type="dxa" w:w="5256"/>
            <w:shd w:fill="1F4E78"/>
            <w:vAlign w:val="center"/>
            <w:tcMar>
              <w:top w:w="70" w:type="dxa"/>
              <w:start w:w="90" w:type="dxa"/>
              <w:bottom w:w="70" w:type="dxa"/>
              <w:end w:w="90" w:type="dxa"/>
            </w:tcMar>
          </w:tcPr>
          <w:p>
            <w:r>
              <w:rPr>
                <w:b/>
                <w:color w:val="FFFFFF"/>
                <w:sz w:val="16"/>
              </w:rPr>
              <w:t>Reason and action</w:t>
            </w:r>
          </w:p>
        </w:tc>
      </w:tr>
      <w:tr>
        <w:trPr>
          <w:cantSplit w:val="true"/>
        </w:trPr>
        <w:tc>
          <w:tcPr>
            <w:tcW w:type="dxa" w:w="3312"/>
            <w:tcMar>
              <w:top w:w="70" w:type="dxa"/>
              <w:start w:w="90" w:type="dxa"/>
              <w:bottom w:w="70" w:type="dxa"/>
              <w:end w:w="90" w:type="dxa"/>
            </w:tcMar>
            <w:vAlign w:val="top"/>
          </w:tcPr>
          <w:p>
            <w:pPr>
              <w:spacing w:after="0"/>
            </w:pPr>
            <w:r>
              <w:rPr>
                <w:sz w:val="15"/>
              </w:rPr>
              <w:t>Preserve five-stage architecture; do not add a sixth gate</w:t>
            </w:r>
          </w:p>
        </w:tc>
        <w:tc>
          <w:tcPr>
            <w:tcW w:type="dxa" w:w="1800"/>
            <w:tcMar>
              <w:top w:w="70" w:type="dxa"/>
              <w:start w:w="90" w:type="dxa"/>
              <w:bottom w:w="70" w:type="dxa"/>
              <w:end w:w="90" w:type="dxa"/>
            </w:tcMar>
            <w:vAlign w:val="top"/>
          </w:tcPr>
          <w:p>
            <w:pPr>
              <w:spacing w:after="0"/>
            </w:pPr>
            <w:r>
              <w:rPr>
                <w:sz w:val="15"/>
              </w:rPr>
              <w:t>Accepted invariant</w:t>
            </w:r>
          </w:p>
        </w:tc>
        <w:tc>
          <w:tcPr>
            <w:tcW w:type="dxa" w:w="5256"/>
            <w:tcMar>
              <w:top w:w="70" w:type="dxa"/>
              <w:start w:w="90" w:type="dxa"/>
              <w:bottom w:w="70" w:type="dxa"/>
              <w:end w:w="90" w:type="dxa"/>
            </w:tcMar>
            <w:vAlign w:val="top"/>
          </w:tcPr>
          <w:p>
            <w:pPr>
              <w:spacing w:after="0"/>
            </w:pPr>
            <w:r>
              <w:rPr>
                <w:sz w:val="15"/>
              </w:rPr>
              <w:t>Architecture retained exactly.</w:t>
            </w:r>
          </w:p>
        </w:tc>
      </w:tr>
      <w:tr>
        <w:trPr>
          <w:cantSplit w:val="true"/>
        </w:trPr>
        <w:tc>
          <w:tcPr>
            <w:tcW w:type="dxa" w:w="3312"/>
            <w:tcMar>
              <w:top w:w="70" w:type="dxa"/>
              <w:start w:w="90" w:type="dxa"/>
              <w:bottom w:w="70" w:type="dxa"/>
              <w:end w:w="90" w:type="dxa"/>
            </w:tcMar>
            <w:vAlign w:val="top"/>
            <w:shd w:fill="EAF2F8"/>
          </w:tcPr>
          <w:p>
            <w:pPr>
              <w:spacing w:after="0"/>
            </w:pPr>
            <w:r>
              <w:rPr>
                <w:sz w:val="15"/>
              </w:rPr>
              <w:t>Canon duplicate Appendix AJ and content after final statement</w:t>
            </w:r>
          </w:p>
        </w:tc>
        <w:tc>
          <w:tcPr>
            <w:tcW w:type="dxa" w:w="1800"/>
            <w:tcMar>
              <w:top w:w="70" w:type="dxa"/>
              <w:start w:w="90" w:type="dxa"/>
              <w:bottom w:w="70" w:type="dxa"/>
              <w:end w:w="90" w:type="dxa"/>
            </w:tcMar>
            <w:vAlign w:val="top"/>
            <w:shd w:fill="EAF2F8"/>
          </w:tcPr>
          <w:p>
            <w:pPr>
              <w:spacing w:after="0"/>
            </w:pPr>
            <w:r>
              <w:rPr>
                <w:sz w:val="15"/>
              </w:rPr>
              <w:t>Accepted</w:t>
            </w:r>
          </w:p>
        </w:tc>
        <w:tc>
          <w:tcPr>
            <w:tcW w:type="dxa" w:w="5256"/>
            <w:tcMar>
              <w:top w:w="70" w:type="dxa"/>
              <w:start w:w="90" w:type="dxa"/>
              <w:bottom w:w="70" w:type="dxa"/>
              <w:end w:w="90" w:type="dxa"/>
            </w:tcMar>
            <w:vAlign w:val="top"/>
            <w:shd w:fill="EAF2F8"/>
          </w:tcPr>
          <w:p>
            <w:pPr>
              <w:spacing w:after="0"/>
            </w:pPr>
            <w:r>
              <w:rPr>
                <w:sz w:val="15"/>
              </w:rPr>
              <w:t>Current Rules-Only Navigation is Appendix AP; current machine-state contract is Appendix AQ; the completion statement is now the actual end.</w:t>
            </w:r>
          </w:p>
        </w:tc>
      </w:tr>
      <w:tr>
        <w:trPr>
          <w:cantSplit w:val="true"/>
        </w:trPr>
        <w:tc>
          <w:tcPr>
            <w:tcW w:type="dxa" w:w="3312"/>
            <w:tcMar>
              <w:top w:w="70" w:type="dxa"/>
              <w:start w:w="90" w:type="dxa"/>
              <w:bottom w:w="70" w:type="dxa"/>
              <w:end w:w="90" w:type="dxa"/>
            </w:tcMar>
            <w:vAlign w:val="top"/>
          </w:tcPr>
          <w:p>
            <w:pPr>
              <w:spacing w:after="0"/>
            </w:pPr>
            <w:r>
              <w:rPr>
                <w:sz w:val="15"/>
              </w:rPr>
              <w:t>Rights-floor aggregation/saturation underdefined</w:t>
            </w:r>
          </w:p>
        </w:tc>
        <w:tc>
          <w:tcPr>
            <w:tcW w:type="dxa" w:w="1800"/>
            <w:tcMar>
              <w:top w:w="70" w:type="dxa"/>
              <w:start w:w="90" w:type="dxa"/>
              <w:bottom w:w="70" w:type="dxa"/>
              <w:end w:w="90" w:type="dxa"/>
            </w:tcMar>
            <w:vAlign w:val="top"/>
          </w:tcPr>
          <w:p>
            <w:pPr>
              <w:spacing w:after="0"/>
            </w:pPr>
            <w:r>
              <w:rPr>
                <w:sz w:val="15"/>
              </w:rPr>
              <w:t>Accepted</w:t>
            </w:r>
          </w:p>
        </w:tc>
        <w:tc>
          <w:tcPr>
            <w:tcW w:type="dxa" w:w="5256"/>
            <w:tcMar>
              <w:top w:w="70" w:type="dxa"/>
              <w:start w:w="90" w:type="dxa"/>
              <w:bottom w:w="70" w:type="dxa"/>
              <w:end w:w="90" w:type="dxa"/>
            </w:tcMar>
            <w:vAlign w:val="top"/>
          </w:tcPr>
          <w:p>
            <w:pPr>
              <w:spacing w:after="0"/>
            </w:pPr>
            <w:r>
              <w:rPr>
                <w:sz w:val="15"/>
              </w:rPr>
              <w:t>Added explicit adverse-instance aggregation, saturation, default beta binding, subgroup/worst-affected-group relationship, and claim boundary.</w:t>
            </w:r>
          </w:p>
        </w:tc>
      </w:tr>
      <w:tr>
        <w:trPr>
          <w:cantSplit w:val="true"/>
        </w:trPr>
        <w:tc>
          <w:tcPr>
            <w:tcW w:type="dxa" w:w="3312"/>
            <w:tcMar>
              <w:top w:w="70" w:type="dxa"/>
              <w:start w:w="90" w:type="dxa"/>
              <w:bottom w:w="70" w:type="dxa"/>
              <w:end w:w="90" w:type="dxa"/>
            </w:tcMar>
            <w:vAlign w:val="top"/>
            <w:shd w:fill="EAF2F8"/>
          </w:tcPr>
          <w:p>
            <w:pPr>
              <w:spacing w:after="0"/>
            </w:pPr>
            <w:r>
              <w:rPr>
                <w:sz w:val="15"/>
              </w:rPr>
              <w:t>max over empty set convention missing</w:t>
            </w:r>
          </w:p>
        </w:tc>
        <w:tc>
          <w:tcPr>
            <w:tcW w:type="dxa" w:w="1800"/>
            <w:tcMar>
              <w:top w:w="70" w:type="dxa"/>
              <w:start w:w="90" w:type="dxa"/>
              <w:bottom w:w="70" w:type="dxa"/>
              <w:end w:w="90" w:type="dxa"/>
            </w:tcMar>
            <w:vAlign w:val="top"/>
            <w:shd w:fill="EAF2F8"/>
          </w:tcPr>
          <w:p>
            <w:pPr>
              <w:spacing w:after="0"/>
            </w:pPr>
            <w:r>
              <w:rPr>
                <w:sz w:val="15"/>
              </w:rPr>
              <w:t>Accepted</w:t>
            </w:r>
          </w:p>
        </w:tc>
        <w:tc>
          <w:tcPr>
            <w:tcW w:type="dxa" w:w="5256"/>
            <w:tcMar>
              <w:top w:w="70" w:type="dxa"/>
              <w:start w:w="90" w:type="dxa"/>
              <w:bottom w:w="70" w:type="dxa"/>
              <w:end w:w="90" w:type="dxa"/>
            </w:tcMar>
            <w:vAlign w:val="top"/>
            <w:shd w:fill="EAF2F8"/>
          </w:tcPr>
          <w:p>
            <w:pPr>
              <w:spacing w:after="0"/>
            </w:pPr>
            <w:r>
              <w:rPr>
                <w:sz w:val="15"/>
              </w:rPr>
              <w:t>Added reviewed-empty-set rule: zero only after completed review; missing evidence remains UNKNOWN/escalate/refuse.</w:t>
            </w:r>
          </w:p>
        </w:tc>
      </w:tr>
      <w:tr>
        <w:trPr>
          <w:cantSplit w:val="true"/>
        </w:trPr>
        <w:tc>
          <w:tcPr>
            <w:tcW w:type="dxa" w:w="3312"/>
            <w:tcMar>
              <w:top w:w="70" w:type="dxa"/>
              <w:start w:w="90" w:type="dxa"/>
              <w:bottom w:w="70" w:type="dxa"/>
              <w:end w:w="90" w:type="dxa"/>
            </w:tcMar>
            <w:vAlign w:val="top"/>
          </w:tcPr>
          <w:p>
            <w:pPr>
              <w:spacing w:after="0"/>
            </w:pPr>
            <w:r>
              <w:rPr>
                <w:sz w:val="15"/>
              </w:rPr>
              <w:t>UCI Appendix B formula inconsistent with NA/UNKNOWN handling</w:t>
            </w:r>
          </w:p>
        </w:tc>
        <w:tc>
          <w:tcPr>
            <w:tcW w:type="dxa" w:w="1800"/>
            <w:tcMar>
              <w:top w:w="70" w:type="dxa"/>
              <w:start w:w="90" w:type="dxa"/>
              <w:bottom w:w="70" w:type="dxa"/>
              <w:end w:w="90" w:type="dxa"/>
            </w:tcMar>
            <w:vAlign w:val="top"/>
          </w:tcPr>
          <w:p>
            <w:pPr>
              <w:spacing w:after="0"/>
            </w:pPr>
            <w:r>
              <w:rPr>
                <w:sz w:val="15"/>
              </w:rPr>
              <w:t>Accepted</w:t>
            </w:r>
          </w:p>
        </w:tc>
        <w:tc>
          <w:tcPr>
            <w:tcW w:type="dxa" w:w="5256"/>
            <w:tcMar>
              <w:top w:w="70" w:type="dxa"/>
              <w:start w:w="90" w:type="dxa"/>
              <w:bottom w:w="70" w:type="dxa"/>
              <w:end w:w="90" w:type="dxa"/>
            </w:tcMar>
            <w:vAlign w:val="top"/>
          </w:tcPr>
          <w:p>
            <w:pPr>
              <w:spacing w:after="0"/>
            </w:pPr>
            <w:r>
              <w:rPr>
                <w:sz w:val="15"/>
              </w:rPr>
              <w:t>Replaced with applicable-component renormalization; NA excluded; UNKNOWN not scored; U1/U7 Equity treatment explicit.</w:t>
            </w:r>
          </w:p>
        </w:tc>
      </w:tr>
      <w:tr>
        <w:trPr>
          <w:cantSplit w:val="true"/>
        </w:trPr>
        <w:tc>
          <w:tcPr>
            <w:tcW w:type="dxa" w:w="3312"/>
            <w:tcMar>
              <w:top w:w="70" w:type="dxa"/>
              <w:start w:w="90" w:type="dxa"/>
              <w:bottom w:w="70" w:type="dxa"/>
              <w:end w:w="90" w:type="dxa"/>
            </w:tcMar>
            <w:vAlign w:val="top"/>
            <w:shd w:fill="EAF2F8"/>
          </w:tcPr>
          <w:p>
            <w:pPr>
              <w:spacing w:after="0"/>
            </w:pPr>
            <w:r>
              <w:rPr>
                <w:sz w:val="15"/>
              </w:rPr>
              <w:t>Legacy phantom-instance s=1 notation</w:t>
            </w:r>
          </w:p>
        </w:tc>
        <w:tc>
          <w:tcPr>
            <w:tcW w:type="dxa" w:w="1800"/>
            <w:tcMar>
              <w:top w:w="70" w:type="dxa"/>
              <w:start w:w="90" w:type="dxa"/>
              <w:bottom w:w="70" w:type="dxa"/>
              <w:end w:w="90" w:type="dxa"/>
            </w:tcMar>
            <w:vAlign w:val="top"/>
            <w:shd w:fill="EAF2F8"/>
          </w:tcPr>
          <w:p>
            <w:pPr>
              <w:spacing w:after="0"/>
            </w:pPr>
            <w:r>
              <w:rPr>
                <w:sz w:val="15"/>
              </w:rPr>
              <w:t>Accepted</w:t>
            </w:r>
          </w:p>
        </w:tc>
        <w:tc>
          <w:tcPr>
            <w:tcW w:type="dxa" w:w="5256"/>
            <w:tcMar>
              <w:top w:w="70" w:type="dxa"/>
              <w:start w:w="90" w:type="dxa"/>
              <w:bottom w:w="70" w:type="dxa"/>
              <w:end w:w="90" w:type="dxa"/>
            </w:tcMar>
            <w:vAlign w:val="top"/>
            <w:shd w:fill="EAF2F8"/>
          </w:tcPr>
          <w:p>
            <w:pPr>
              <w:spacing w:after="0"/>
            </w:pPr>
            <w:r>
              <w:rPr>
                <w:sz w:val="15"/>
              </w:rPr>
              <w:t>Replaced with registered h_{k,base}=1 and h_{k,welfare}=1 fields.</w:t>
            </w:r>
          </w:p>
        </w:tc>
      </w:tr>
      <w:tr>
        <w:trPr>
          <w:cantSplit w:val="true"/>
        </w:trPr>
        <w:tc>
          <w:tcPr>
            <w:tcW w:type="dxa" w:w="3312"/>
            <w:tcMar>
              <w:top w:w="70" w:type="dxa"/>
              <w:start w:w="90" w:type="dxa"/>
              <w:bottom w:w="70" w:type="dxa"/>
              <w:end w:w="90" w:type="dxa"/>
            </w:tcMar>
            <w:vAlign w:val="top"/>
          </w:tcPr>
          <w:p>
            <w:pPr>
              <w:spacing w:after="0"/>
            </w:pPr>
            <w:r>
              <w:rPr>
                <w:sz w:val="15"/>
              </w:rPr>
              <w:t>WDBIP v1.4 identity drift</w:t>
            </w:r>
          </w:p>
        </w:tc>
        <w:tc>
          <w:tcPr>
            <w:tcW w:type="dxa" w:w="1800"/>
            <w:tcMar>
              <w:top w:w="70" w:type="dxa"/>
              <w:start w:w="90" w:type="dxa"/>
              <w:bottom w:w="70" w:type="dxa"/>
              <w:end w:w="90" w:type="dxa"/>
            </w:tcMar>
            <w:vAlign w:val="top"/>
          </w:tcPr>
          <w:p>
            <w:pPr>
              <w:spacing w:after="0"/>
            </w:pPr>
            <w:r>
              <w:rPr>
                <w:sz w:val="15"/>
              </w:rPr>
              <w:t>Accepted</w:t>
            </w:r>
          </w:p>
        </w:tc>
        <w:tc>
          <w:tcPr>
            <w:tcW w:type="dxa" w:w="5256"/>
            <w:tcMar>
              <w:top w:w="70" w:type="dxa"/>
              <w:start w:w="90" w:type="dxa"/>
              <w:bottom w:w="70" w:type="dxa"/>
              <w:end w:w="90" w:type="dxa"/>
            </w:tcMar>
            <w:vAlign w:val="top"/>
          </w:tcPr>
          <w:p>
            <w:pPr>
              <w:spacing w:after="0"/>
            </w:pPr>
            <w:r>
              <w:rPr>
                <w:sz w:val="15"/>
              </w:rPr>
              <w:t>Current v1.4 identity, history, schemas, validators, citations, PCC terminology, and lineage labels synchronized.</w:t>
            </w:r>
          </w:p>
        </w:tc>
      </w:tr>
      <w:tr>
        <w:trPr>
          <w:cantSplit w:val="true"/>
        </w:trPr>
        <w:tc>
          <w:tcPr>
            <w:tcW w:type="dxa" w:w="3312"/>
            <w:tcMar>
              <w:top w:w="70" w:type="dxa"/>
              <w:start w:w="90" w:type="dxa"/>
              <w:bottom w:w="70" w:type="dxa"/>
              <w:end w:w="90" w:type="dxa"/>
            </w:tcMar>
            <w:vAlign w:val="top"/>
            <w:shd w:fill="EAF2F8"/>
          </w:tcPr>
          <w:p>
            <w:pPr>
              <w:spacing w:after="0"/>
            </w:pPr>
            <w:r>
              <w:rPr>
                <w:sz w:val="15"/>
              </w:rPr>
              <w:t>Stale current component pins</w:t>
            </w:r>
          </w:p>
        </w:tc>
        <w:tc>
          <w:tcPr>
            <w:tcW w:type="dxa" w:w="1800"/>
            <w:tcMar>
              <w:top w:w="70" w:type="dxa"/>
              <w:start w:w="90" w:type="dxa"/>
              <w:bottom w:w="70" w:type="dxa"/>
              <w:end w:w="90" w:type="dxa"/>
            </w:tcMar>
            <w:vAlign w:val="top"/>
            <w:shd w:fill="EAF2F8"/>
          </w:tcPr>
          <w:p>
            <w:pPr>
              <w:spacing w:after="0"/>
            </w:pPr>
            <w:r>
              <w:rPr>
                <w:sz w:val="15"/>
              </w:rPr>
              <w:t>Accepted where active</w:t>
            </w:r>
          </w:p>
        </w:tc>
        <w:tc>
          <w:tcPr>
            <w:tcW w:type="dxa" w:w="5256"/>
            <w:tcMar>
              <w:top w:w="70" w:type="dxa"/>
              <w:start w:w="90" w:type="dxa"/>
              <w:bottom w:w="70" w:type="dxa"/>
              <w:end w:w="90" w:type="dxa"/>
            </w:tcMar>
            <w:vAlign w:val="top"/>
            <w:shd w:fill="EAF2F8"/>
          </w:tcPr>
          <w:p>
            <w:pPr>
              <w:spacing w:after="0"/>
            </w:pPr>
            <w:r>
              <w:rPr>
                <w:sz w:val="15"/>
              </w:rPr>
              <w:t>Current surfaces synchronized; legitimate history retained and more clearly marked as lineage.</w:t>
            </w:r>
          </w:p>
        </w:tc>
      </w:tr>
      <w:tr>
        <w:trPr>
          <w:cantSplit w:val="true"/>
        </w:trPr>
        <w:tc>
          <w:tcPr>
            <w:tcW w:type="dxa" w:w="3312"/>
            <w:tcMar>
              <w:top w:w="70" w:type="dxa"/>
              <w:start w:w="90" w:type="dxa"/>
              <w:bottom w:w="70" w:type="dxa"/>
              <w:end w:w="90" w:type="dxa"/>
            </w:tcMar>
            <w:vAlign w:val="top"/>
          </w:tcPr>
          <w:p>
            <w:pPr>
              <w:spacing w:after="0"/>
            </w:pPr>
            <w:r>
              <w:rPr>
                <w:sz w:val="15"/>
              </w:rPr>
              <w:t>SGP RMCPRecord duplicate minimum schemas</w:t>
            </w:r>
          </w:p>
        </w:tc>
        <w:tc>
          <w:tcPr>
            <w:tcW w:type="dxa" w:w="1800"/>
            <w:tcMar>
              <w:top w:w="70" w:type="dxa"/>
              <w:start w:w="90" w:type="dxa"/>
              <w:bottom w:w="70" w:type="dxa"/>
              <w:end w:w="90" w:type="dxa"/>
            </w:tcMar>
            <w:vAlign w:val="top"/>
          </w:tcPr>
          <w:p>
            <w:pPr>
              <w:spacing w:after="0"/>
            </w:pPr>
            <w:r>
              <w:rPr>
                <w:sz w:val="15"/>
              </w:rPr>
              <w:t>Accepted</w:t>
            </w:r>
          </w:p>
        </w:tc>
        <w:tc>
          <w:tcPr>
            <w:tcW w:type="dxa" w:w="5256"/>
            <w:tcMar>
              <w:top w:w="70" w:type="dxa"/>
              <w:start w:w="90" w:type="dxa"/>
              <w:bottom w:w="70" w:type="dxa"/>
              <w:end w:w="90" w:type="dxa"/>
            </w:tcMar>
            <w:vAlign w:val="top"/>
          </w:tcPr>
          <w:p>
            <w:pPr>
              <w:spacing w:after="0"/>
            </w:pPr>
            <w:r>
              <w:rPr>
                <w:sz w:val="15"/>
              </w:rPr>
              <w:t>One controlling minimum RMCPRecord retained; the other field set is explicitly a nested dimension-profile subrecord.</w:t>
            </w:r>
          </w:p>
        </w:tc>
      </w:tr>
      <w:tr>
        <w:trPr>
          <w:cantSplit w:val="true"/>
        </w:trPr>
        <w:tc>
          <w:tcPr>
            <w:tcW w:type="dxa" w:w="3312"/>
            <w:tcMar>
              <w:top w:w="70" w:type="dxa"/>
              <w:start w:w="90" w:type="dxa"/>
              <w:bottom w:w="70" w:type="dxa"/>
              <w:end w:w="90" w:type="dxa"/>
            </w:tcMar>
            <w:vAlign w:val="top"/>
            <w:shd w:fill="EAF2F8"/>
          </w:tcPr>
          <w:p>
            <w:pPr>
              <w:spacing w:after="0"/>
            </w:pPr>
            <w:r>
              <w:rPr>
                <w:sz w:val="15"/>
              </w:rPr>
              <w:t>Workbook calculation metadata absent</w:t>
            </w:r>
          </w:p>
        </w:tc>
        <w:tc>
          <w:tcPr>
            <w:tcW w:type="dxa" w:w="1800"/>
            <w:tcMar>
              <w:top w:w="70" w:type="dxa"/>
              <w:start w:w="90" w:type="dxa"/>
              <w:bottom w:w="70" w:type="dxa"/>
              <w:end w:w="90" w:type="dxa"/>
            </w:tcMar>
            <w:vAlign w:val="top"/>
            <w:shd w:fill="EAF2F8"/>
          </w:tcPr>
          <w:p>
            <w:pPr>
              <w:spacing w:after="0"/>
            </w:pPr>
            <w:r>
              <w:rPr>
                <w:sz w:val="15"/>
              </w:rPr>
              <w:t>Accepted</w:t>
            </w:r>
          </w:p>
        </w:tc>
        <w:tc>
          <w:tcPr>
            <w:tcW w:type="dxa" w:w="5256"/>
            <w:tcMar>
              <w:top w:w="70" w:type="dxa"/>
              <w:start w:w="90" w:type="dxa"/>
              <w:bottom w:w="70" w:type="dxa"/>
              <w:end w:w="90" w:type="dxa"/>
            </w:tcMar>
            <w:vAlign w:val="top"/>
            <w:shd w:fill="EAF2F8"/>
          </w:tcPr>
          <w:p>
            <w:pPr>
              <w:spacing w:after="0"/>
            </w:pPr>
            <w:r>
              <w:rPr>
                <w:sz w:val="15"/>
              </w:rPr>
              <w:t>Set calcMode=auto, fullCalcOnLoad=1, and forceFullCalc=1; recalculated; opened on How_To_Use; current sync tab placed before historical sync.</w:t>
            </w:r>
          </w:p>
        </w:tc>
      </w:tr>
      <w:tr>
        <w:trPr>
          <w:cantSplit w:val="true"/>
        </w:trPr>
        <w:tc>
          <w:tcPr>
            <w:tcW w:type="dxa" w:w="3312"/>
            <w:tcMar>
              <w:top w:w="70" w:type="dxa"/>
              <w:start w:w="90" w:type="dxa"/>
              <w:bottom w:w="70" w:type="dxa"/>
              <w:end w:w="90" w:type="dxa"/>
            </w:tcMar>
            <w:vAlign w:val="top"/>
          </w:tcPr>
          <w:p>
            <w:pPr>
              <w:spacing w:after="0"/>
            </w:pPr>
            <w:r>
              <w:rPr>
                <w:sz w:val="15"/>
              </w:rPr>
              <w:t>Workbook NONDECISIVE_GAP_REVIEW is a defect</w:t>
            </w:r>
          </w:p>
        </w:tc>
        <w:tc>
          <w:tcPr>
            <w:tcW w:type="dxa" w:w="1800"/>
            <w:tcMar>
              <w:top w:w="70" w:type="dxa"/>
              <w:start w:w="90" w:type="dxa"/>
              <w:bottom w:w="70" w:type="dxa"/>
              <w:end w:w="90" w:type="dxa"/>
            </w:tcMar>
            <w:vAlign w:val="top"/>
          </w:tcPr>
          <w:p>
            <w:pPr>
              <w:spacing w:after="0"/>
            </w:pPr>
            <w:r>
              <w:rPr>
                <w:sz w:val="15"/>
              </w:rPr>
              <w:t>Rejected</w:t>
            </w:r>
          </w:p>
        </w:tc>
        <w:tc>
          <w:tcPr>
            <w:tcW w:type="dxa" w:w="5256"/>
            <w:tcMar>
              <w:top w:w="70" w:type="dxa"/>
              <w:start w:w="90" w:type="dxa"/>
              <w:bottom w:w="70" w:type="dxa"/>
              <w:end w:w="90" w:type="dxa"/>
            </w:tcMar>
            <w:vAlign w:val="top"/>
          </w:tcPr>
          <w:p>
            <w:pPr>
              <w:spacing w:after="0"/>
            </w:pPr>
            <w:r>
              <w:rPr>
                <w:sz w:val="15"/>
              </w:rPr>
              <w:t>It is an intentional, nonblocking review notice because the worked run correctly refuses deterministic selection.</w:t>
            </w:r>
          </w:p>
        </w:tc>
      </w:tr>
      <w:tr>
        <w:trPr>
          <w:cantSplit w:val="true"/>
        </w:trPr>
        <w:tc>
          <w:tcPr>
            <w:tcW w:type="dxa" w:w="3312"/>
            <w:tcMar>
              <w:top w:w="70" w:type="dxa"/>
              <w:start w:w="90" w:type="dxa"/>
              <w:bottom w:w="70" w:type="dxa"/>
              <w:end w:w="90" w:type="dxa"/>
            </w:tcMar>
            <w:vAlign w:val="top"/>
            <w:shd w:fill="EAF2F8"/>
          </w:tcPr>
          <w:p>
            <w:pPr>
              <w:spacing w:after="0"/>
            </w:pPr>
            <w:r>
              <w:rPr>
                <w:sz w:val="15"/>
              </w:rPr>
              <w:t>640 formula cells with blank caches prove calculation loss</w:t>
            </w:r>
          </w:p>
        </w:tc>
        <w:tc>
          <w:tcPr>
            <w:tcW w:type="dxa" w:w="1800"/>
            <w:tcMar>
              <w:top w:w="70" w:type="dxa"/>
              <w:start w:w="90" w:type="dxa"/>
              <w:bottom w:w="70" w:type="dxa"/>
              <w:end w:w="90" w:type="dxa"/>
            </w:tcMar>
            <w:vAlign w:val="top"/>
            <w:shd w:fill="EAF2F8"/>
          </w:tcPr>
          <w:p>
            <w:pPr>
              <w:spacing w:after="0"/>
            </w:pPr>
            <w:r>
              <w:rPr>
                <w:sz w:val="15"/>
              </w:rPr>
              <w:t>Reframed</w:t>
            </w:r>
          </w:p>
        </w:tc>
        <w:tc>
          <w:tcPr>
            <w:tcW w:type="dxa" w:w="5256"/>
            <w:tcMar>
              <w:top w:w="70" w:type="dxa"/>
              <w:start w:w="90" w:type="dxa"/>
              <w:bottom w:w="70" w:type="dxa"/>
              <w:end w:w="90" w:type="dxa"/>
            </w:tcMar>
            <w:vAlign w:val="top"/>
            <w:shd w:fill="EAF2F8"/>
          </w:tcPr>
          <w:p>
            <w:pPr>
              <w:spacing w:after="0"/>
            </w:pPr>
            <w:r>
              <w:rPr>
                <w:sz w:val="15"/>
              </w:rPr>
              <w:t>All 640 were checked after recalculation: 569 legitimately evaluate to empty-string and 71 to blank/null; zero evaluate to a nonblank missed result. The absent recalculation flags were the genuine issue.</w:t>
            </w:r>
          </w:p>
        </w:tc>
      </w:tr>
      <w:tr>
        <w:trPr>
          <w:cantSplit w:val="true"/>
        </w:trPr>
        <w:tc>
          <w:tcPr>
            <w:tcW w:type="dxa" w:w="3312"/>
            <w:tcMar>
              <w:top w:w="70" w:type="dxa"/>
              <w:start w:w="90" w:type="dxa"/>
              <w:bottom w:w="70" w:type="dxa"/>
              <w:end w:w="90" w:type="dxa"/>
            </w:tcMar>
            <w:vAlign w:val="top"/>
          </w:tcPr>
          <w:p>
            <w:pPr>
              <w:spacing w:after="0"/>
            </w:pPr>
            <w:r>
              <w:rPr>
                <w:sz w:val="15"/>
              </w:rPr>
              <w:t>Reproducibility Standard v1.2 and Validation Workbook v0.2 missing</w:t>
            </w:r>
          </w:p>
        </w:tc>
        <w:tc>
          <w:tcPr>
            <w:tcW w:type="dxa" w:w="1800"/>
            <w:tcMar>
              <w:top w:w="70" w:type="dxa"/>
              <w:start w:w="90" w:type="dxa"/>
              <w:bottom w:w="70" w:type="dxa"/>
              <w:end w:w="90" w:type="dxa"/>
            </w:tcMar>
            <w:vAlign w:val="top"/>
          </w:tcPr>
          <w:p>
            <w:pPr>
              <w:spacing w:after="0"/>
            </w:pPr>
            <w:r>
              <w:rPr>
                <w:sz w:val="15"/>
              </w:rPr>
              <w:t>Rejected</w:t>
            </w:r>
          </w:p>
        </w:tc>
        <w:tc>
          <w:tcPr>
            <w:tcW w:type="dxa" w:w="5256"/>
            <w:tcMar>
              <w:top w:w="70" w:type="dxa"/>
              <w:start w:w="90" w:type="dxa"/>
              <w:bottom w:w="70" w:type="dxa"/>
              <w:end w:w="90" w:type="dxa"/>
            </w:tcMar>
            <w:vAlign w:val="top"/>
          </w:tcPr>
          <w:p>
            <w:pPr>
              <w:spacing w:after="0"/>
            </w:pPr>
            <w:r>
              <w:rPr>
                <w:sz w:val="15"/>
              </w:rPr>
              <w:t>Both are present in the actual ZIP and manifest.</w:t>
            </w:r>
          </w:p>
        </w:tc>
      </w:tr>
      <w:tr>
        <w:trPr>
          <w:cantSplit w:val="true"/>
        </w:trPr>
        <w:tc>
          <w:tcPr>
            <w:tcW w:type="dxa" w:w="3312"/>
            <w:tcMar>
              <w:top w:w="70" w:type="dxa"/>
              <w:start w:w="90" w:type="dxa"/>
              <w:bottom w:w="70" w:type="dxa"/>
              <w:end w:w="90" w:type="dxa"/>
            </w:tcMar>
            <w:vAlign w:val="top"/>
            <w:shd w:fill="EAF2F8"/>
          </w:tcPr>
          <w:p>
            <w:pPr>
              <w:spacing w:after="0"/>
            </w:pPr>
            <w:r>
              <w:rPr>
                <w:sz w:val="15"/>
              </w:rPr>
              <w:t>State registry, transition matrix, maturity register, schema and validator missing</w:t>
            </w:r>
          </w:p>
        </w:tc>
        <w:tc>
          <w:tcPr>
            <w:tcW w:type="dxa" w:w="1800"/>
            <w:tcMar>
              <w:top w:w="70" w:type="dxa"/>
              <w:start w:w="90" w:type="dxa"/>
              <w:bottom w:w="70" w:type="dxa"/>
              <w:end w:w="90" w:type="dxa"/>
            </w:tcMar>
            <w:vAlign w:val="top"/>
            <w:shd w:fill="EAF2F8"/>
          </w:tcPr>
          <w:p>
            <w:pPr>
              <w:spacing w:after="0"/>
            </w:pPr>
            <w:r>
              <w:rPr>
                <w:sz w:val="15"/>
              </w:rPr>
              <w:t>Rejected</w:t>
            </w:r>
          </w:p>
        </w:tc>
        <w:tc>
          <w:tcPr>
            <w:tcW w:type="dxa" w:w="5256"/>
            <w:tcMar>
              <w:top w:w="70" w:type="dxa"/>
              <w:start w:w="90" w:type="dxa"/>
              <w:bottom w:w="70" w:type="dxa"/>
              <w:end w:w="90" w:type="dxa"/>
            </w:tcMar>
            <w:vAlign w:val="top"/>
            <w:shd w:fill="EAF2F8"/>
          </w:tcPr>
          <w:p>
            <w:pPr>
              <w:spacing w:after="0"/>
            </w:pPr>
            <w:r>
              <w:rPr>
                <w:sz w:val="15"/>
              </w:rPr>
              <w:t>All named machine assets are present and verifier-tested.</w:t>
            </w:r>
          </w:p>
        </w:tc>
      </w:tr>
      <w:tr>
        <w:trPr>
          <w:cantSplit w:val="true"/>
        </w:trPr>
        <w:tc>
          <w:tcPr>
            <w:tcW w:type="dxa" w:w="3312"/>
            <w:tcMar>
              <w:top w:w="70" w:type="dxa"/>
              <w:start w:w="90" w:type="dxa"/>
              <w:bottom w:w="70" w:type="dxa"/>
              <w:end w:w="90" w:type="dxa"/>
            </w:tcMar>
            <w:vAlign w:val="top"/>
          </w:tcPr>
          <w:p>
            <w:pPr>
              <w:spacing w:after="0"/>
            </w:pPr>
            <w:r>
              <w:rPr>
                <w:sz w:val="15"/>
              </w:rPr>
              <w:t>No README, LICENSE, CHANGELOG, hashes, manifest or verification layer</w:t>
            </w:r>
          </w:p>
        </w:tc>
        <w:tc>
          <w:tcPr>
            <w:tcW w:type="dxa" w:w="1800"/>
            <w:tcMar>
              <w:top w:w="70" w:type="dxa"/>
              <w:start w:w="90" w:type="dxa"/>
              <w:bottom w:w="70" w:type="dxa"/>
              <w:end w:w="90" w:type="dxa"/>
            </w:tcMar>
            <w:vAlign w:val="top"/>
          </w:tcPr>
          <w:p>
            <w:pPr>
              <w:spacing w:after="0"/>
            </w:pPr>
            <w:r>
              <w:rPr>
                <w:sz w:val="15"/>
              </w:rPr>
              <w:t>Rejected</w:t>
            </w:r>
          </w:p>
        </w:tc>
        <w:tc>
          <w:tcPr>
            <w:tcW w:type="dxa" w:w="5256"/>
            <w:tcMar>
              <w:top w:w="70" w:type="dxa"/>
              <w:start w:w="90" w:type="dxa"/>
              <w:bottom w:w="70" w:type="dxa"/>
              <w:end w:w="90" w:type="dxa"/>
            </w:tcMar>
            <w:vAlign w:val="top"/>
          </w:tcPr>
          <w:p>
            <w:pPr>
              <w:spacing w:after="0"/>
            </w:pPr>
            <w:r>
              <w:rPr>
                <w:sz w:val="15"/>
              </w:rPr>
              <w:t>All are present in the actual package.</w:t>
            </w:r>
          </w:p>
        </w:tc>
      </w:tr>
      <w:tr>
        <w:trPr>
          <w:cantSplit w:val="true"/>
        </w:trPr>
        <w:tc>
          <w:tcPr>
            <w:tcW w:type="dxa" w:w="3312"/>
            <w:tcMar>
              <w:top w:w="70" w:type="dxa"/>
              <w:start w:w="90" w:type="dxa"/>
              <w:bottom w:w="70" w:type="dxa"/>
              <w:end w:w="90" w:type="dxa"/>
            </w:tcMar>
            <w:vAlign w:val="top"/>
            <w:shd w:fill="EAF2F8"/>
          </w:tcPr>
          <w:p>
            <w:pPr>
              <w:spacing w:after="0"/>
            </w:pPr>
            <w:r>
              <w:rPr>
                <w:sz w:val="15"/>
              </w:rPr>
              <w:t>DOCX files are Markdown renamed as DOCX</w:t>
            </w:r>
          </w:p>
        </w:tc>
        <w:tc>
          <w:tcPr>
            <w:tcW w:type="dxa" w:w="1800"/>
            <w:tcMar>
              <w:top w:w="70" w:type="dxa"/>
              <w:start w:w="90" w:type="dxa"/>
              <w:bottom w:w="70" w:type="dxa"/>
              <w:end w:w="90" w:type="dxa"/>
            </w:tcMar>
            <w:vAlign w:val="top"/>
            <w:shd w:fill="EAF2F8"/>
          </w:tcPr>
          <w:p>
            <w:pPr>
              <w:spacing w:after="0"/>
            </w:pPr>
            <w:r>
              <w:rPr>
                <w:sz w:val="15"/>
              </w:rPr>
              <w:t>Rejected</w:t>
            </w:r>
          </w:p>
        </w:tc>
        <w:tc>
          <w:tcPr>
            <w:tcW w:type="dxa" w:w="5256"/>
            <w:tcMar>
              <w:top w:w="70" w:type="dxa"/>
              <w:start w:w="90" w:type="dxa"/>
              <w:bottom w:w="70" w:type="dxa"/>
              <w:end w:w="90" w:type="dxa"/>
            </w:tcMar>
            <w:vAlign w:val="top"/>
            <w:shd w:fill="EAF2F8"/>
          </w:tcPr>
          <w:p>
            <w:pPr>
              <w:spacing w:after="0"/>
            </w:pPr>
            <w:r>
              <w:rPr>
                <w:sz w:val="15"/>
              </w:rPr>
              <w:t>Active DOCX files are genuine OOXML Word packages; canonical Markdown and derived DOCX/PDF mirrors are intentionally both supplied.</w:t>
            </w:r>
          </w:p>
        </w:tc>
      </w:tr>
      <w:tr>
        <w:trPr>
          <w:cantSplit w:val="true"/>
        </w:trPr>
        <w:tc>
          <w:tcPr>
            <w:tcW w:type="dxa" w:w="3312"/>
            <w:tcMar>
              <w:top w:w="70" w:type="dxa"/>
              <w:start w:w="90" w:type="dxa"/>
              <w:bottom w:w="70" w:type="dxa"/>
              <w:end w:w="90" w:type="dxa"/>
            </w:tcMar>
            <w:vAlign w:val="top"/>
          </w:tcPr>
          <w:p>
            <w:pPr>
              <w:spacing w:after="0"/>
            </w:pPr>
            <w:r>
              <w:rPr>
                <w:sz w:val="15"/>
              </w:rPr>
              <w:t>Replace Word mirrors with Markdown-only release</w:t>
            </w:r>
          </w:p>
        </w:tc>
        <w:tc>
          <w:tcPr>
            <w:tcW w:type="dxa" w:w="1800"/>
            <w:tcMar>
              <w:top w:w="70" w:type="dxa"/>
              <w:start w:w="90" w:type="dxa"/>
              <w:bottom w:w="70" w:type="dxa"/>
              <w:end w:w="90" w:type="dxa"/>
            </w:tcMar>
            <w:vAlign w:val="top"/>
          </w:tcPr>
          <w:p>
            <w:pPr>
              <w:spacing w:after="0"/>
            </w:pPr>
            <w:r>
              <w:rPr>
                <w:sz w:val="15"/>
              </w:rPr>
              <w:t>Rejected</w:t>
            </w:r>
          </w:p>
        </w:tc>
        <w:tc>
          <w:tcPr>
            <w:tcW w:type="dxa" w:w="5256"/>
            <w:tcMar>
              <w:top w:w="70" w:type="dxa"/>
              <w:start w:w="90" w:type="dxa"/>
              <w:bottom w:w="70" w:type="dxa"/>
              <w:end w:w="90" w:type="dxa"/>
            </w:tcMar>
            <w:vAlign w:val="top"/>
          </w:tcPr>
          <w:p>
            <w:pPr>
              <w:spacing w:after="0"/>
            </w:pPr>
            <w:r>
              <w:rPr>
                <w:sz w:val="15"/>
              </w:rPr>
              <w:t>The current source hierarchy is stronger: Markdown is canonical and diffable; genuine DOCX/PDF mirrors support human review and accessibility.</w:t>
            </w:r>
          </w:p>
        </w:tc>
      </w:tr>
      <w:tr>
        <w:trPr>
          <w:cantSplit w:val="true"/>
        </w:trPr>
        <w:tc>
          <w:tcPr>
            <w:tcW w:type="dxa" w:w="3312"/>
            <w:tcMar>
              <w:top w:w="70" w:type="dxa"/>
              <w:start w:w="90" w:type="dxa"/>
              <w:bottom w:w="70" w:type="dxa"/>
              <w:end w:w="90" w:type="dxa"/>
            </w:tcMar>
            <w:vAlign w:val="top"/>
            <w:shd w:fill="EAF2F8"/>
          </w:tcPr>
          <w:p>
            <w:pPr>
              <w:spacing w:after="0"/>
            </w:pPr>
            <w:r>
              <w:rPr>
                <w:sz w:val="15"/>
              </w:rPr>
              <w:t>Add new conceptual core artifacts</w:t>
            </w:r>
          </w:p>
        </w:tc>
        <w:tc>
          <w:tcPr>
            <w:tcW w:type="dxa" w:w="1800"/>
            <w:tcMar>
              <w:top w:w="70" w:type="dxa"/>
              <w:start w:w="90" w:type="dxa"/>
              <w:bottom w:w="70" w:type="dxa"/>
              <w:end w:w="90" w:type="dxa"/>
            </w:tcMar>
            <w:vAlign w:val="top"/>
            <w:shd w:fill="EAF2F8"/>
          </w:tcPr>
          <w:p>
            <w:pPr>
              <w:spacing w:after="0"/>
            </w:pPr>
            <w:r>
              <w:rPr>
                <w:sz w:val="15"/>
              </w:rPr>
              <w:t>Rejected</w:t>
            </w:r>
          </w:p>
        </w:tc>
        <w:tc>
          <w:tcPr>
            <w:tcW w:type="dxa" w:w="5256"/>
            <w:tcMar>
              <w:top w:w="70" w:type="dxa"/>
              <w:start w:w="90" w:type="dxa"/>
              <w:bottom w:w="70" w:type="dxa"/>
              <w:end w:w="90" w:type="dxa"/>
            </w:tcMar>
            <w:vAlign w:val="top"/>
            <w:shd w:fill="EAF2F8"/>
          </w:tcPr>
          <w:p>
            <w:pPr>
              <w:spacing w:after="0"/>
            </w:pPr>
            <w:r>
              <w:rPr>
                <w:sz w:val="15"/>
              </w:rPr>
              <w:t>No additional conceptual core is required; empirical testing has higher value than expanding the normative surface.</w:t>
            </w:r>
          </w:p>
        </w:tc>
      </w:tr>
      <w:tr>
        <w:trPr>
          <w:cantSplit w:val="true"/>
        </w:trPr>
        <w:tc>
          <w:tcPr>
            <w:tcW w:type="dxa" w:w="3312"/>
            <w:tcMar>
              <w:top w:w="70" w:type="dxa"/>
              <w:start w:w="90" w:type="dxa"/>
              <w:bottom w:w="70" w:type="dxa"/>
              <w:end w:w="90" w:type="dxa"/>
            </w:tcMar>
            <w:vAlign w:val="top"/>
          </w:tcPr>
          <w:p>
            <w:pPr>
              <w:spacing w:after="0"/>
            </w:pPr>
            <w:r>
              <w:rPr>
                <w:sz w:val="15"/>
              </w:rPr>
              <w:t>Public claim that interconnection is proven unless disproved</w:t>
            </w:r>
          </w:p>
        </w:tc>
        <w:tc>
          <w:tcPr>
            <w:tcW w:type="dxa" w:w="1800"/>
            <w:tcMar>
              <w:top w:w="70" w:type="dxa"/>
              <w:start w:w="90" w:type="dxa"/>
              <w:bottom w:w="70" w:type="dxa"/>
              <w:end w:w="90" w:type="dxa"/>
            </w:tcMar>
            <w:vAlign w:val="top"/>
          </w:tcPr>
          <w:p>
            <w:pPr>
              <w:spacing w:after="0"/>
            </w:pPr>
            <w:r>
              <w:rPr>
                <w:sz w:val="15"/>
              </w:rPr>
              <w:t>Rejected as overclaim</w:t>
            </w:r>
          </w:p>
        </w:tc>
        <w:tc>
          <w:tcPr>
            <w:tcW w:type="dxa" w:w="5256"/>
            <w:tcMar>
              <w:top w:w="70" w:type="dxa"/>
              <w:start w:w="90" w:type="dxa"/>
              <w:bottom w:w="70" w:type="dxa"/>
              <w:end w:w="90" w:type="dxa"/>
            </w:tcMar>
            <w:vAlign w:val="top"/>
          </w:tcPr>
          <w:p>
            <w:pPr>
              <w:spacing w:after="0"/>
            </w:pPr>
            <w:r>
              <w:rPr>
                <w:sz w:val="15"/>
              </w:rPr>
              <w:t>MathGov does not require universal pairwise connectivity or metaphysical proof. Public claims remain bounded to an auditable decision architecture and testable research program.</w:t>
            </w:r>
          </w:p>
        </w:tc>
      </w:tr>
    </w:tbl>
    <w:p/>
    <w:p>
      <w:pPr>
        <w:pStyle w:val="Heading1"/>
      </w:pPr>
      <w:r>
        <w:t>Exact accepted corrections</w:t>
      </w:r>
    </w:p>
    <w:p>
      <w:pPr>
        <w:pStyle w:val="Heading2"/>
      </w:pPr>
      <w:r>
        <w:t>Canon v12.4</w:t>
      </w:r>
    </w:p>
    <w:p>
      <w:pPr>
        <w:pStyle w:val="ListBullet"/>
      </w:pPr>
      <w:r>
        <w:t>Preserved the governing cascade and all non-compensation rules.</w:t>
      </w:r>
    </w:p>
    <w:p>
      <w:pPr>
        <w:pStyle w:val="ListBullet"/>
      </w:pPr>
      <w:r>
        <w:t>Added the missing rights-floor calculation bridge and explicit relation between rights-specific and ordinary impact streams.</w:t>
      </w:r>
    </w:p>
    <w:p>
      <w:pPr>
        <w:pStyle w:val="ListBullet"/>
      </w:pPr>
      <w:r>
        <w:t>Added a reviewed-empty-set convention without allowing unknown-as-zero.</w:t>
      </w:r>
    </w:p>
    <w:p>
      <w:pPr>
        <w:pStyle w:val="ListBullet"/>
      </w:pPr>
      <w:r>
        <w:t>Generalized UCI to applicable-component renormalization.</w:t>
      </w:r>
    </w:p>
    <w:p>
      <w:pPr>
        <w:pStyle w:val="ListBullet"/>
      </w:pPr>
      <w:r>
        <w:t>Completed stream-symbol migration in phantom-instance and conformance surfaces.</w:t>
      </w:r>
    </w:p>
    <w:p>
      <w:pPr>
        <w:pStyle w:val="ListBullet"/>
      </w:pPr>
      <w:r>
        <w:t>Repaired appendix uniqueness and final-document termination.</w:t>
      </w:r>
    </w:p>
    <w:p>
      <w:pPr>
        <w:pStyle w:val="ListBullet"/>
      </w:pPr>
      <w:r>
        <w:t>Marked prior v12.3.x material as lineage where it could be misread as current.</w:t>
      </w:r>
    </w:p>
    <w:p>
      <w:pPr>
        <w:pStyle w:val="ListBullet"/>
      </w:pPr>
      <w:r>
        <w:t>Updated current SGP interface references from v8.1 to v8.3 while preserving historical crosswalks.</w:t>
      </w:r>
    </w:p>
    <w:p>
      <w:pPr>
        <w:pStyle w:val="Heading2"/>
      </w:pPr>
      <w:r>
        <w:t>SGP v8.3</w:t>
      </w:r>
    </w:p>
    <w:p>
      <w:pPr>
        <w:pStyle w:val="ListBullet"/>
      </w:pPr>
      <w:r>
        <w:t>Preserved MPS/FPP/GPR/SPR/ICP/RMCP/P100 type separation and Human FPP-100.</w:t>
      </w:r>
    </w:p>
    <w:p>
      <w:pPr>
        <w:pStyle w:val="ListBullet"/>
      </w:pPr>
      <w:r>
        <w:t>Preserved the open P100 plateau and capacity-versus-authority firewall.</w:t>
      </w:r>
    </w:p>
    <w:p>
      <w:pPr>
        <w:pStyle w:val="ListBullet"/>
      </w:pPr>
      <w:r>
        <w:t>Consolidated the controlling RMCPRecord minimum field list.</w:t>
      </w:r>
    </w:p>
    <w:p>
      <w:pPr>
        <w:pStyle w:val="ListBullet"/>
      </w:pPr>
      <w:r>
        <w:t>Recast the overlapping field list as a nested dimension-profile subrecord.</w:t>
      </w:r>
    </w:p>
    <w:p>
      <w:pPr>
        <w:pStyle w:val="ListBullet"/>
      </w:pPr>
      <w:r>
        <w:t>Marked v8.1/v8.2 release notes as lineage where appropriate.</w:t>
      </w:r>
    </w:p>
    <w:p>
      <w:pPr>
        <w:pStyle w:val="Heading2"/>
      </w:pPr>
      <w:r>
        <w:t>Companion standards</w:t>
      </w:r>
    </w:p>
    <w:p>
      <w:pPr>
        <w:pStyle w:val="ListBullet"/>
      </w:pPr>
      <w:r>
        <w:t>Agent v12.2 current cards, pins, runtime records, and audit-flag wording synchronized.</w:t>
      </w:r>
    </w:p>
    <w:p>
      <w:pPr>
        <w:pStyle w:val="ListBullet"/>
      </w:pPr>
      <w:r>
        <w:t>Primer v4.2 current SGP explanation and exact pins synchronized; historical patch notes marked as lineage.</w:t>
      </w:r>
    </w:p>
    <w:p>
      <w:pPr>
        <w:pStyle w:val="ListBullet"/>
      </w:pPr>
      <w:r>
        <w:t>ripple.md v5.3 wrapper G1-G5 explicitly distinguished from Canon stages; current matrix deduplicated.</w:t>
      </w:r>
    </w:p>
    <w:p>
      <w:pPr>
        <w:pStyle w:val="ListBullet"/>
      </w:pPr>
      <w:r>
        <w:t>WDBIP v1.4 identity and schema migration completed without changing seven dimensions or creating a gate.</w:t>
      </w:r>
    </w:p>
    <w:p>
      <w:pPr>
        <w:pStyle w:val="ListBullet"/>
      </w:pPr>
      <w:r>
        <w:t>CSV v2.2 and Cascade v2.4 current WDBIP/wrapper pins synchronized.</w:t>
      </w:r>
    </w:p>
    <w:p>
      <w:pPr>
        <w:pStyle w:val="ListBullet"/>
      </w:pPr>
      <w:r>
        <w:t>RLS Validation v2.4 Level 1 study barred from PCA/EFA/CFA and 49-cell latent-structure claims; later analysis requires separate preregistration and sample justification.</w:t>
      </w:r>
    </w:p>
    <w:p>
      <w:pPr>
        <w:pStyle w:val="Heading1"/>
      </w:pPr>
      <w:r>
        <w:t>Workbook binary audit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8"/>
            <w:vAlign w:val="center"/>
            <w:tcMar>
              <w:top w:w="70" w:type="dxa"/>
              <w:start w:w="90" w:type="dxa"/>
              <w:bottom w:w="70" w:type="dxa"/>
              <w:end w:w="90" w:type="dxa"/>
            </w:tcMar>
          </w:tcPr>
          <w:p>
            <w:r>
              <w:rPr>
                <w:b/>
                <w:color w:val="FFFFFF"/>
                <w:sz w:val="16"/>
              </w:rPr>
              <w:t>Check</w:t>
            </w:r>
          </w:p>
        </w:tc>
        <w:tc>
          <w:tcPr>
            <w:tcW w:type="dxa" w:w="6912"/>
            <w:shd w:fill="1F4E78"/>
            <w:vAlign w:val="center"/>
            <w:tcMar>
              <w:top w:w="70" w:type="dxa"/>
              <w:start w:w="90" w:type="dxa"/>
              <w:bottom w:w="70" w:type="dxa"/>
              <w:end w:w="90" w:type="dxa"/>
            </w:tcMar>
          </w:tcPr>
          <w:p>
            <w:r>
              <w:rPr>
                <w:b/>
                <w:color w:val="FFFFFF"/>
                <w:sz w:val="16"/>
              </w:rPr>
              <w:t>Result</w:t>
            </w:r>
          </w:p>
        </w:tc>
      </w:tr>
      <w:tr>
        <w:trPr>
          <w:cantSplit w:val="true"/>
        </w:trPr>
        <w:tc>
          <w:tcPr>
            <w:tcW w:type="dxa" w:w="3456"/>
            <w:tcMar>
              <w:top w:w="70" w:type="dxa"/>
              <w:start w:w="90" w:type="dxa"/>
              <w:bottom w:w="70" w:type="dxa"/>
              <w:end w:w="90" w:type="dxa"/>
            </w:tcMar>
            <w:vAlign w:val="top"/>
          </w:tcPr>
          <w:p>
            <w:pPr>
              <w:spacing w:after="0"/>
            </w:pPr>
            <w:r>
              <w:rPr>
                <w:sz w:val="15"/>
              </w:rPr>
              <w:t>File type</w:t>
            </w:r>
          </w:p>
        </w:tc>
        <w:tc>
          <w:tcPr>
            <w:tcW w:type="dxa" w:w="6912"/>
            <w:tcMar>
              <w:top w:w="70" w:type="dxa"/>
              <w:start w:w="90" w:type="dxa"/>
              <w:bottom w:w="70" w:type="dxa"/>
              <w:end w:w="90" w:type="dxa"/>
            </w:tcMar>
            <w:vAlign w:val="top"/>
          </w:tcPr>
          <w:p>
            <w:pPr>
              <w:spacing w:after="0"/>
            </w:pPr>
            <w:r>
              <w:rPr>
                <w:sz w:val="15"/>
              </w:rPr>
              <w:t>Genuine XLSX OOXML package</w:t>
            </w:r>
          </w:p>
        </w:tc>
      </w:tr>
      <w:tr>
        <w:trPr>
          <w:cantSplit w:val="true"/>
        </w:trPr>
        <w:tc>
          <w:tcPr>
            <w:tcW w:type="dxa" w:w="3456"/>
            <w:tcMar>
              <w:top w:w="70" w:type="dxa"/>
              <w:start w:w="90" w:type="dxa"/>
              <w:bottom w:w="70" w:type="dxa"/>
              <w:end w:w="90" w:type="dxa"/>
            </w:tcMar>
            <w:vAlign w:val="top"/>
            <w:shd w:fill="EAF2F8"/>
          </w:tcPr>
          <w:p>
            <w:pPr>
              <w:spacing w:after="0"/>
            </w:pPr>
            <w:r>
              <w:rPr>
                <w:sz w:val="15"/>
              </w:rPr>
              <w:t>Formula cells</w:t>
            </w:r>
          </w:p>
        </w:tc>
        <w:tc>
          <w:tcPr>
            <w:tcW w:type="dxa" w:w="6912"/>
            <w:tcMar>
              <w:top w:w="70" w:type="dxa"/>
              <w:start w:w="90" w:type="dxa"/>
              <w:bottom w:w="70" w:type="dxa"/>
              <w:end w:w="90" w:type="dxa"/>
            </w:tcMar>
            <w:vAlign w:val="top"/>
            <w:shd w:fill="EAF2F8"/>
          </w:tcPr>
          <w:p>
            <w:pPr>
              <w:spacing w:after="0"/>
            </w:pPr>
            <w:r>
              <w:rPr>
                <w:sz w:val="15"/>
              </w:rPr>
              <w:t>2,810</w:t>
            </w:r>
          </w:p>
        </w:tc>
      </w:tr>
      <w:tr>
        <w:trPr>
          <w:cantSplit w:val="true"/>
        </w:trPr>
        <w:tc>
          <w:tcPr>
            <w:tcW w:type="dxa" w:w="3456"/>
            <w:tcMar>
              <w:top w:w="70" w:type="dxa"/>
              <w:start w:w="90" w:type="dxa"/>
              <w:bottom w:w="70" w:type="dxa"/>
              <w:end w:w="90" w:type="dxa"/>
            </w:tcMar>
            <w:vAlign w:val="top"/>
          </w:tcPr>
          <w:p>
            <w:pPr>
              <w:spacing w:after="0"/>
            </w:pPr>
            <w:r>
              <w:rPr>
                <w:sz w:val="15"/>
              </w:rPr>
              <w:t>Formula errors after recalculation</w:t>
            </w:r>
          </w:p>
        </w:tc>
        <w:tc>
          <w:tcPr>
            <w:tcW w:type="dxa" w:w="6912"/>
            <w:tcMar>
              <w:top w:w="70" w:type="dxa"/>
              <w:start w:w="90" w:type="dxa"/>
              <w:bottom w:w="70" w:type="dxa"/>
              <w:end w:w="90" w:type="dxa"/>
            </w:tcMar>
            <w:vAlign w:val="top"/>
          </w:tcPr>
          <w:p>
            <w:pPr>
              <w:spacing w:after="0"/>
            </w:pPr>
            <w:r>
              <w:rPr>
                <w:sz w:val="15"/>
              </w:rPr>
              <w:t>0</w:t>
            </w:r>
          </w:p>
        </w:tc>
      </w:tr>
      <w:tr>
        <w:trPr>
          <w:cantSplit w:val="true"/>
        </w:trPr>
        <w:tc>
          <w:tcPr>
            <w:tcW w:type="dxa" w:w="3456"/>
            <w:tcMar>
              <w:top w:w="70" w:type="dxa"/>
              <w:start w:w="90" w:type="dxa"/>
              <w:bottom w:w="70" w:type="dxa"/>
              <w:end w:w="90" w:type="dxa"/>
            </w:tcMar>
            <w:vAlign w:val="top"/>
            <w:shd w:fill="EAF2F8"/>
          </w:tcPr>
          <w:p>
            <w:pPr>
              <w:spacing w:after="0"/>
            </w:pPr>
            <w:r>
              <w:rPr>
                <w:sz w:val="15"/>
              </w:rPr>
              <w:t>External workbook links</w:t>
            </w:r>
          </w:p>
        </w:tc>
        <w:tc>
          <w:tcPr>
            <w:tcW w:type="dxa" w:w="6912"/>
            <w:tcMar>
              <w:top w:w="70" w:type="dxa"/>
              <w:start w:w="90" w:type="dxa"/>
              <w:bottom w:w="70" w:type="dxa"/>
              <w:end w:w="90" w:type="dxa"/>
            </w:tcMar>
            <w:vAlign w:val="top"/>
            <w:shd w:fill="EAF2F8"/>
          </w:tcPr>
          <w:p>
            <w:pPr>
              <w:spacing w:after="0"/>
            </w:pPr>
            <w:r>
              <w:rPr>
                <w:sz w:val="15"/>
              </w:rPr>
              <w:t>0</w:t>
            </w:r>
          </w:p>
        </w:tc>
      </w:tr>
      <w:tr>
        <w:trPr>
          <w:cantSplit w:val="true"/>
        </w:trPr>
        <w:tc>
          <w:tcPr>
            <w:tcW w:type="dxa" w:w="3456"/>
            <w:tcMar>
              <w:top w:w="70" w:type="dxa"/>
              <w:start w:w="90" w:type="dxa"/>
              <w:bottom w:w="70" w:type="dxa"/>
              <w:end w:w="90" w:type="dxa"/>
            </w:tcMar>
            <w:vAlign w:val="top"/>
          </w:tcPr>
          <w:p>
            <w:pPr>
              <w:spacing w:after="0"/>
            </w:pPr>
            <w:r>
              <w:rPr>
                <w:sz w:val="15"/>
              </w:rPr>
              <w:t>VBA/macros</w:t>
            </w:r>
          </w:p>
        </w:tc>
        <w:tc>
          <w:tcPr>
            <w:tcW w:type="dxa" w:w="6912"/>
            <w:tcMar>
              <w:top w:w="70" w:type="dxa"/>
              <w:start w:w="90" w:type="dxa"/>
              <w:bottom w:w="70" w:type="dxa"/>
              <w:end w:w="90" w:type="dxa"/>
            </w:tcMar>
            <w:vAlign w:val="top"/>
          </w:tcPr>
          <w:p>
            <w:pPr>
              <w:spacing w:after="0"/>
            </w:pPr>
            <w:r>
              <w:rPr>
                <w:sz w:val="15"/>
              </w:rPr>
              <w:t>0</w:t>
            </w:r>
          </w:p>
        </w:tc>
      </w:tr>
      <w:tr>
        <w:trPr>
          <w:cantSplit w:val="true"/>
        </w:trPr>
        <w:tc>
          <w:tcPr>
            <w:tcW w:type="dxa" w:w="3456"/>
            <w:tcMar>
              <w:top w:w="70" w:type="dxa"/>
              <w:start w:w="90" w:type="dxa"/>
              <w:bottom w:w="70" w:type="dxa"/>
              <w:end w:w="90" w:type="dxa"/>
            </w:tcMar>
            <w:vAlign w:val="top"/>
            <w:shd w:fill="EAF2F8"/>
          </w:tcPr>
          <w:p>
            <w:pPr>
              <w:spacing w:after="0"/>
            </w:pPr>
            <w:r>
              <w:rPr>
                <w:sz w:val="15"/>
              </w:rPr>
              <w:t>Defined names</w:t>
            </w:r>
          </w:p>
        </w:tc>
        <w:tc>
          <w:tcPr>
            <w:tcW w:type="dxa" w:w="6912"/>
            <w:tcMar>
              <w:top w:w="70" w:type="dxa"/>
              <w:start w:w="90" w:type="dxa"/>
              <w:bottom w:w="70" w:type="dxa"/>
              <w:end w:w="90" w:type="dxa"/>
            </w:tcMar>
            <w:vAlign w:val="top"/>
            <w:shd w:fill="EAF2F8"/>
          </w:tcPr>
          <w:p>
            <w:pPr>
              <w:spacing w:after="0"/>
            </w:pPr>
            <w:r>
              <w:rPr>
                <w:sz w:val="15"/>
              </w:rPr>
              <w:t>6; verifier-checked</w:t>
            </w:r>
          </w:p>
        </w:tc>
      </w:tr>
      <w:tr>
        <w:trPr>
          <w:cantSplit w:val="true"/>
        </w:trPr>
        <w:tc>
          <w:tcPr>
            <w:tcW w:type="dxa" w:w="3456"/>
            <w:tcMar>
              <w:top w:w="70" w:type="dxa"/>
              <w:start w:w="90" w:type="dxa"/>
              <w:bottom w:w="70" w:type="dxa"/>
              <w:end w:w="90" w:type="dxa"/>
            </w:tcMar>
            <w:vAlign w:val="top"/>
          </w:tcPr>
          <w:p>
            <w:pPr>
              <w:spacing w:after="0"/>
            </w:pPr>
            <w:r>
              <w:rPr>
                <w:sz w:val="15"/>
              </w:rPr>
              <w:t>Calculation settings</w:t>
            </w:r>
          </w:p>
        </w:tc>
        <w:tc>
          <w:tcPr>
            <w:tcW w:type="dxa" w:w="6912"/>
            <w:tcMar>
              <w:top w:w="70" w:type="dxa"/>
              <w:start w:w="90" w:type="dxa"/>
              <w:bottom w:w="70" w:type="dxa"/>
              <w:end w:w="90" w:type="dxa"/>
            </w:tcMar>
            <w:vAlign w:val="top"/>
          </w:tcPr>
          <w:p>
            <w:pPr>
              <w:spacing w:after="0"/>
            </w:pPr>
            <w:r>
              <w:rPr>
                <w:sz w:val="15"/>
              </w:rPr>
              <w:t>auto; fullCalcOnLoad=1; forceFullCalc=1</w:t>
            </w:r>
          </w:p>
        </w:tc>
      </w:tr>
      <w:tr>
        <w:trPr>
          <w:cantSplit w:val="true"/>
        </w:trPr>
        <w:tc>
          <w:tcPr>
            <w:tcW w:type="dxa" w:w="3456"/>
            <w:tcMar>
              <w:top w:w="70" w:type="dxa"/>
              <w:start w:w="90" w:type="dxa"/>
              <w:bottom w:w="70" w:type="dxa"/>
              <w:end w:w="90" w:type="dxa"/>
            </w:tcMar>
            <w:vAlign w:val="top"/>
            <w:shd w:fill="EAF2F8"/>
          </w:tcPr>
          <w:p>
            <w:pPr>
              <w:spacing w:after="0"/>
            </w:pPr>
            <w:r>
              <w:rPr>
                <w:sz w:val="15"/>
              </w:rPr>
              <w:t>Active sanity checks</w:t>
            </w:r>
          </w:p>
        </w:tc>
        <w:tc>
          <w:tcPr>
            <w:tcW w:type="dxa" w:w="6912"/>
            <w:tcMar>
              <w:top w:w="70" w:type="dxa"/>
              <w:start w:w="90" w:type="dxa"/>
              <w:bottom w:w="70" w:type="dxa"/>
              <w:end w:w="90" w:type="dxa"/>
            </w:tcMar>
            <w:vAlign w:val="top"/>
            <w:shd w:fill="EAF2F8"/>
          </w:tcPr>
          <w:p>
            <w:pPr>
              <w:spacing w:after="0"/>
            </w:pPr>
            <w:r>
              <w:rPr>
                <w:sz w:val="15"/>
              </w:rPr>
              <w:t>88</w:t>
            </w:r>
          </w:p>
        </w:tc>
      </w:tr>
      <w:tr>
        <w:trPr>
          <w:cantSplit w:val="true"/>
        </w:trPr>
        <w:tc>
          <w:tcPr>
            <w:tcW w:type="dxa" w:w="3456"/>
            <w:tcMar>
              <w:top w:w="70" w:type="dxa"/>
              <w:start w:w="90" w:type="dxa"/>
              <w:bottom w:w="70" w:type="dxa"/>
              <w:end w:w="90" w:type="dxa"/>
            </w:tcMar>
            <w:vAlign w:val="top"/>
          </w:tcPr>
          <w:p>
            <w:pPr>
              <w:spacing w:after="0"/>
            </w:pPr>
            <w:r>
              <w:rPr>
                <w:sz w:val="15"/>
              </w:rPr>
              <w:t>Sanity result</w:t>
            </w:r>
          </w:p>
        </w:tc>
        <w:tc>
          <w:tcPr>
            <w:tcW w:type="dxa" w:w="6912"/>
            <w:tcMar>
              <w:top w:w="70" w:type="dxa"/>
              <w:start w:w="90" w:type="dxa"/>
              <w:bottom w:w="70" w:type="dxa"/>
              <w:end w:w="90" w:type="dxa"/>
            </w:tcMar>
            <w:vAlign w:val="top"/>
          </w:tcPr>
          <w:p>
            <w:pPr>
              <w:spacing w:after="0"/>
            </w:pPr>
            <w:r>
              <w:rPr>
                <w:sz w:val="15"/>
              </w:rPr>
              <w:t>84 PASS; 0 FAIL; 0 ERROR; PASS WITH MANUAL REVIEW</w:t>
            </w:r>
          </w:p>
        </w:tc>
      </w:tr>
      <w:tr>
        <w:trPr>
          <w:cantSplit w:val="true"/>
        </w:trPr>
        <w:tc>
          <w:tcPr>
            <w:tcW w:type="dxa" w:w="3456"/>
            <w:tcMar>
              <w:top w:w="70" w:type="dxa"/>
              <w:start w:w="90" w:type="dxa"/>
              <w:bottom w:w="70" w:type="dxa"/>
              <w:end w:w="90" w:type="dxa"/>
            </w:tcMar>
            <w:vAlign w:val="top"/>
            <w:shd w:fill="EAF2F8"/>
          </w:tcPr>
          <w:p>
            <w:pPr>
              <w:spacing w:after="0"/>
            </w:pPr>
            <w:r>
              <w:rPr>
                <w:sz w:val="15"/>
              </w:rPr>
              <w:t>Canonical INVALID flags</w:t>
            </w:r>
          </w:p>
        </w:tc>
        <w:tc>
          <w:tcPr>
            <w:tcW w:type="dxa" w:w="6912"/>
            <w:tcMar>
              <w:top w:w="70" w:type="dxa"/>
              <w:start w:w="90" w:type="dxa"/>
              <w:bottom w:w="70" w:type="dxa"/>
              <w:end w:w="90" w:type="dxa"/>
            </w:tcMar>
            <w:vAlign w:val="top"/>
            <w:shd w:fill="EAF2F8"/>
          </w:tcPr>
          <w:p>
            <w:pPr>
              <w:spacing w:after="0"/>
            </w:pPr>
            <w:r>
              <w:rPr>
                <w:sz w:val="15"/>
              </w:rPr>
              <w:t>0</w:t>
            </w:r>
          </w:p>
        </w:tc>
      </w:tr>
      <w:tr>
        <w:trPr>
          <w:cantSplit w:val="true"/>
        </w:trPr>
        <w:tc>
          <w:tcPr>
            <w:tcW w:type="dxa" w:w="3456"/>
            <w:tcMar>
              <w:top w:w="70" w:type="dxa"/>
              <w:start w:w="90" w:type="dxa"/>
              <w:bottom w:w="70" w:type="dxa"/>
              <w:end w:w="90" w:type="dxa"/>
            </w:tcMar>
            <w:vAlign w:val="top"/>
          </w:tcPr>
          <w:p>
            <w:pPr>
              <w:spacing w:after="0"/>
            </w:pPr>
            <w:r>
              <w:rPr>
                <w:sz w:val="15"/>
              </w:rPr>
              <w:t>ESCALATE flags</w:t>
            </w:r>
          </w:p>
        </w:tc>
        <w:tc>
          <w:tcPr>
            <w:tcW w:type="dxa" w:w="6912"/>
            <w:tcMar>
              <w:top w:w="70" w:type="dxa"/>
              <w:start w:w="90" w:type="dxa"/>
              <w:bottom w:w="70" w:type="dxa"/>
              <w:end w:w="90" w:type="dxa"/>
            </w:tcMar>
            <w:vAlign w:val="top"/>
          </w:tcPr>
          <w:p>
            <w:pPr>
              <w:spacing w:after="0"/>
            </w:pPr>
            <w:r>
              <w:rPr>
                <w:sz w:val="15"/>
              </w:rPr>
              <w:t>0</w:t>
            </w:r>
          </w:p>
        </w:tc>
      </w:tr>
      <w:tr>
        <w:trPr>
          <w:cantSplit w:val="true"/>
        </w:trPr>
        <w:tc>
          <w:tcPr>
            <w:tcW w:type="dxa" w:w="3456"/>
            <w:tcMar>
              <w:top w:w="70" w:type="dxa"/>
              <w:start w:w="90" w:type="dxa"/>
              <w:bottom w:w="70" w:type="dxa"/>
              <w:end w:w="90" w:type="dxa"/>
            </w:tcMar>
            <w:vAlign w:val="top"/>
            <w:shd w:fill="EAF2F8"/>
          </w:tcPr>
          <w:p>
            <w:pPr>
              <w:spacing w:after="0"/>
            </w:pPr>
            <w:r>
              <w:rPr>
                <w:sz w:val="15"/>
              </w:rPr>
              <w:t>REVIEW flags</w:t>
            </w:r>
          </w:p>
        </w:tc>
        <w:tc>
          <w:tcPr>
            <w:tcW w:type="dxa" w:w="6912"/>
            <w:tcMar>
              <w:top w:w="70" w:type="dxa"/>
              <w:start w:w="90" w:type="dxa"/>
              <w:bottom w:w="70" w:type="dxa"/>
              <w:end w:w="90" w:type="dxa"/>
            </w:tcMar>
            <w:vAlign w:val="top"/>
            <w:shd w:fill="EAF2F8"/>
          </w:tcPr>
          <w:p>
            <w:pPr>
              <w:spacing w:after="0"/>
            </w:pPr>
            <w:r>
              <w:rPr>
                <w:sz w:val="15"/>
              </w:rPr>
              <w:t>1 intentional NONDECISIVE_GAP_REVIEW</w:t>
            </w:r>
          </w:p>
        </w:tc>
      </w:tr>
      <w:tr>
        <w:trPr>
          <w:cantSplit w:val="true"/>
        </w:trPr>
        <w:tc>
          <w:tcPr>
            <w:tcW w:type="dxa" w:w="3456"/>
            <w:tcMar>
              <w:top w:w="70" w:type="dxa"/>
              <w:start w:w="90" w:type="dxa"/>
              <w:bottom w:w="70" w:type="dxa"/>
              <w:end w:w="90" w:type="dxa"/>
            </w:tcMar>
            <w:vAlign w:val="top"/>
          </w:tcPr>
          <w:p>
            <w:pPr>
              <w:spacing w:after="0"/>
            </w:pPr>
            <w:r>
              <w:rPr>
                <w:sz w:val="15"/>
              </w:rPr>
              <w:t>PLSS sensitivity</w:t>
            </w:r>
          </w:p>
        </w:tc>
        <w:tc>
          <w:tcPr>
            <w:tcW w:type="dxa" w:w="6912"/>
            <w:tcMar>
              <w:top w:w="70" w:type="dxa"/>
              <w:start w:w="90" w:type="dxa"/>
              <w:bottom w:w="70" w:type="dxa"/>
              <w:end w:w="90" w:type="dxa"/>
            </w:tcMar>
            <w:vAlign w:val="top"/>
          </w:tcPr>
          <w:p>
            <w:pPr>
              <w:spacing w:after="0"/>
            </w:pPr>
            <w:r>
              <w:rPr>
                <w:sz w:val="15"/>
              </w:rPr>
              <w:t>Four constructions complete; ranking stable; decisiveness remains non-deterministic</w:t>
            </w:r>
          </w:p>
        </w:tc>
      </w:tr>
      <w:tr>
        <w:trPr>
          <w:cantSplit w:val="true"/>
        </w:trPr>
        <w:tc>
          <w:tcPr>
            <w:tcW w:type="dxa" w:w="3456"/>
            <w:tcMar>
              <w:top w:w="70" w:type="dxa"/>
              <w:start w:w="90" w:type="dxa"/>
              <w:bottom w:w="70" w:type="dxa"/>
              <w:end w:w="90" w:type="dxa"/>
            </w:tcMar>
            <w:vAlign w:val="top"/>
            <w:shd w:fill="EAF2F8"/>
          </w:tcPr>
          <w:p>
            <w:pPr>
              <w:spacing w:after="0"/>
            </w:pPr>
            <w:r>
              <w:rPr>
                <w:sz w:val="15"/>
              </w:rPr>
              <w:t>Opening/navigation</w:t>
            </w:r>
          </w:p>
        </w:tc>
        <w:tc>
          <w:tcPr>
            <w:tcW w:type="dxa" w:w="6912"/>
            <w:tcMar>
              <w:top w:w="70" w:type="dxa"/>
              <w:start w:w="90" w:type="dxa"/>
              <w:bottom w:w="70" w:type="dxa"/>
              <w:end w:w="90" w:type="dxa"/>
            </w:tcMar>
            <w:vAlign w:val="top"/>
            <w:shd w:fill="EAF2F8"/>
          </w:tcPr>
          <w:p>
            <w:pPr>
              <w:spacing w:after="0"/>
            </w:pPr>
            <w:r>
              <w:rPr>
                <w:sz w:val="15"/>
              </w:rPr>
              <w:t>How_To_Use first; Release_Notes second; current v12.4 sync third; historical sync later</w:t>
            </w:r>
          </w:p>
        </w:tc>
      </w:tr>
      <w:tr>
        <w:trPr>
          <w:cantSplit w:val="true"/>
        </w:trPr>
        <w:tc>
          <w:tcPr>
            <w:tcW w:type="dxa" w:w="3456"/>
            <w:tcMar>
              <w:top w:w="70" w:type="dxa"/>
              <w:start w:w="90" w:type="dxa"/>
              <w:bottom w:w="70" w:type="dxa"/>
              <w:end w:w="90" w:type="dxa"/>
            </w:tcMar>
            <w:vAlign w:val="top"/>
          </w:tcPr>
          <w:p>
            <w:pPr>
              <w:spacing w:after="0"/>
            </w:pPr>
            <w:r>
              <w:rPr>
                <w:sz w:val="15"/>
              </w:rPr>
              <w:t>Claim boundary</w:t>
            </w:r>
          </w:p>
        </w:tc>
        <w:tc>
          <w:tcPr>
            <w:tcW w:type="dxa" w:w="6912"/>
            <w:tcMar>
              <w:top w:w="70" w:type="dxa"/>
              <w:start w:w="90" w:type="dxa"/>
              <w:bottom w:w="70" w:type="dxa"/>
              <w:end w:w="90" w:type="dxa"/>
            </w:tcMar>
            <w:vAlign w:val="top"/>
          </w:tcPr>
          <w:p>
            <w:pPr>
              <w:spacing w:after="0"/>
            </w:pPr>
            <w:r>
              <w:rPr>
                <w:sz w:val="15"/>
              </w:rPr>
              <w:t>Worked-run exemplar only; not validator, empirical validation, ProofPack, or deployment certification</w:t>
            </w:r>
          </w:p>
        </w:tc>
      </w:tr>
    </w:tbl>
    <w:p/>
    <w:p>
      <w:r>
        <w:t>The 640 blank cached formula values were individually classified after recalculation: 569 legitimately evaluate to an empty string and 71 to blank/null; zero evaluate to a nonblank missed result. The release does not fabricate cached values. It sets explicit recalculation metadata so capable spreadsheet applications recompute on load.</w:t>
      </w:r>
    </w:p>
    <w:p>
      <w:pPr>
        <w:pStyle w:val="Heading1"/>
      </w:pPr>
      <w:r>
        <w:t>Package evidence invalidating false positives</w:t>
      </w:r>
    </w:p>
    <w:p>
      <w:pPr>
        <w:pStyle w:val="ListBullet"/>
      </w:pPr>
      <w:r>
        <w:t>Reproducibility Standard v1.2 and RLS Validation Workbook v0.2.</w:t>
      </w:r>
    </w:p>
    <w:p>
      <w:pPr>
        <w:pStyle w:val="ListBullet"/>
      </w:pPr>
      <w:r>
        <w:t>Canonical state registry, transition matrix, maturity register, run schema and validator.</w:t>
      </w:r>
    </w:p>
    <w:p>
      <w:pPr>
        <w:pStyle w:val="ListBullet"/>
      </w:pPr>
      <w:r>
        <w:t>WDBIP and SGP RMCP schemas, validators, positive vectors and negative vectors.</w:t>
      </w:r>
    </w:p>
    <w:p>
      <w:pPr>
        <w:pStyle w:val="ListBullet"/>
      </w:pPr>
      <w:r>
        <w:t>README, LICENSE, CHANGELOG, source hierarchy, version manifest, release manifest, SHA-256 ledger and verification layer.</w:t>
      </w:r>
    </w:p>
    <w:p>
      <w:pPr>
        <w:pStyle w:val="ListBullet"/>
      </w:pPr>
      <w:r>
        <w:t>Canonical Markdown plus genuine OOXML DOCX and PDF mirrors.</w:t>
      </w:r>
    </w:p>
    <w:p>
      <w:pPr>
        <w:pStyle w:val="Heading1"/>
      </w:pPr>
      <w:r>
        <w:t>Verification results before final hash freeze</w:t>
      </w:r>
    </w:p>
    <w:p>
      <w:pPr>
        <w:pStyle w:val="ListBullet"/>
      </w:pPr>
      <w:r>
        <w:t>Current-pin and core-set verifier: PASS.</w:t>
      </w:r>
    </w:p>
    <w:p>
      <w:pPr>
        <w:pStyle w:val="ListBullet"/>
      </w:pPr>
      <w:r>
        <w:t>Semantic, cascade, type and claim-boundary verifier: PASS.</w:t>
      </w:r>
    </w:p>
    <w:p>
      <w:pPr>
        <w:pStyle w:val="ListBullet"/>
      </w:pPr>
      <w:r>
        <w:t>Formula, severe-rights, PLSS and workbook-interface verifier: PASS.</w:t>
      </w:r>
    </w:p>
    <w:p>
      <w:pPr>
        <w:pStyle w:val="ListBullet"/>
      </w:pPr>
      <w:r>
        <w:t>DOCX/PDF format, schema, vector and bounded-replay verifier: PASS.</w:t>
      </w:r>
    </w:p>
    <w:p>
      <w:pPr>
        <w:pStyle w:val="ListBullet"/>
      </w:pPr>
      <w:r>
        <w:t>Changed DOCX render review: PASS; professional table formatting preserved.</w:t>
      </w:r>
    </w:p>
    <w:p>
      <w:pPr>
        <w:pStyle w:val="ListBullet"/>
      </w:pPr>
      <w:r>
        <w:t>Workbook visual review: PASS; existing formatting preserved and navigation improved.</w:t>
      </w:r>
    </w:p>
    <w:p>
      <w:pPr>
        <w:pStyle w:val="Heading1"/>
      </w:pPr>
      <w:r>
        <w:t>Claim boundary and release decision</w:t>
      </w:r>
    </w:p>
    <w:p>
      <w:r>
        <w:t>This patch establishes internal and procedural conformance of the shipped artifacts. It does not establish that evidence inputs are true, weights are universally valid, thresholds are empirically calibrated, rights interpretations are legally controlling, physical actions are safe, digital systems are conscious, or MathGov outperforms alternatives.</w:t>
      </w:r>
    </w:p>
    <w:p>
      <w:r>
        <w:rPr>
          <w:b/>
        </w:rPr>
        <w:t xml:space="preserve">Decision: </w:t>
      </w:r>
      <w:r>
        <w:t>retain MathGov Core v12.4 / SGP v8.3 as the component line. The accepted changes are pre-publication release-lock corrections and clarifications, not a new architecture or threshold regime. Freeze hashes only after the final verifier passes from a clean extraction.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MathGov | GPTPro Feedback Disposition | v12.4 / SGP v8.3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