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2e4e32feebbacbc80729323a3d7a9cac030938"/>
    <w:p>
      <w:pPr>
        <w:pStyle w:val="Heading1"/>
      </w:pPr>
      <w:r>
        <w:t xml:space="preserve">MathGov v12.4 / SGP v8.3 Audit Response and Finalization Report</w:t>
      </w:r>
    </w:p>
    <w:bookmarkStart w:id="20" w:name="executive-verdict"/>
    <w:p>
      <w:pPr>
        <w:pStyle w:val="Heading2"/>
      </w:pPr>
      <w:r>
        <w:t xml:space="preserve">Executive verdict</w:t>
      </w:r>
    </w:p>
    <w:p>
      <w:pPr>
        <w:pStyle w:val="FirstParagraph"/>
      </w:pPr>
      <w:r>
        <w:t xml:space="preserve">The governing architecture is clear, coherent, calculable where calculation is claimed, internally consistent, and release-ready for its declared public research-source purpose. The release preserves</w:t>
      </w:r>
      <w:r>
        <w:t xml:space="preserve"> </w:t>
      </w:r>
      <w:r>
        <w:rPr>
          <w:rStyle w:val="VerbatimChar"/>
        </w:rPr>
        <w:t xml:space="preserve">RG -&gt; RF/NCRC -&gt; TRC -&gt; CSV -&gt; RLS</w:t>
      </w:r>
      <w:r>
        <w:t xml:space="preserve">; no sixth gate, eighth welfare dimension, compensatory rights rescue, capacity-to-authority inference, or empirical-certification claim has been introduced.</w:t>
      </w:r>
    </w:p>
    <w:bookmarkEnd w:id="20"/>
    <w:bookmarkStart w:id="21" w:name="genuine-improvements-accepted"/>
    <w:p>
      <w:pPr>
        <w:pStyle w:val="Heading2"/>
      </w:pPr>
      <w:r>
        <w:t xml:space="preserve">Genuine improvements accepted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5" w:color="9FBAD0"/>
          <w:left w:val="single" w:sz="5" w:color="9FBAD0"/>
          <w:bottom w:val="single" w:sz="5" w:color="9FBAD0"/>
          <w:right w:val="single" w:sz="5" w:color="9FBAD0"/>
          <w:insideH w:val="single" w:sz="5" w:color="9FBAD0"/>
          <w:insideV w:val="single" w:sz="5" w:color="9FBAD0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shd w:fill="1F4E78" w:val="clear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Aptos" w:hAnsi="Aptos"/>
                <w:b/>
                <w:sz w:val="18"/>
                <w:color w:val="FFFFFF"/>
              </w:rPr>
              <w:t xml:space="preserve">Finding</w:t>
            </w:r>
          </w:p>
        </w:tc>
        <w:tc>
          <w:tcPr>
            <w:vAlign w:val="center"/>
            <w:shd w:fill="1F4E78" w:val="clear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Aptos" w:hAnsi="Aptos"/>
                <w:b/>
                <w:sz w:val="18"/>
                <w:color w:val="FFFFFF"/>
              </w:rPr>
              <w:t xml:space="preserve">Resolution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Severe-rights review/computation predicate mismatch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One Canon-owned activation predicate now controls both review and computation.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Method B pre-confidence reconstruction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Contribution mass is reconstructed before declared confidence is reapplied.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Registered stream ambiguity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Current notation is</w:t>
            </w:r>
            <w:r>
              <w:rPr>
                <w:rFonts w:ascii="Aptos" w:hAnsi="Aptos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sz w:val="18"/>
              </w:rPr>
              <w:t xml:space="preserve">h_{k,base}</w:t>
            </w:r>
            <w:r>
              <w:rPr>
                <w:rFonts w:ascii="Aptos" w:hAnsi="Aptos"/>
                <w:sz w:val="18"/>
              </w:rPr>
              <w:t xml:space="preserve"> </w:t>
            </w:r>
            <w:r>
              <w:rPr>
                <w:rFonts w:ascii="Aptos" w:hAnsi="Aptos"/>
                <w:sz w:val="18"/>
              </w:rPr>
              <w:t xml:space="preserve">and</w:t>
            </w:r>
            <w:r>
              <w:rPr>
                <w:rFonts w:ascii="Aptos" w:hAnsi="Aptos"/>
                <w:sz w:val="18"/>
              </w:rPr>
              <w:t xml:space="preserve"> </w:t>
            </w:r>
            <w:r>
              <w:rPr>
                <w:rStyle w:val="VerbatimChar"/>
                <w:rFonts w:ascii="Aptos" w:hAnsi="Aptos"/>
                <w:sz w:val="18"/>
              </w:rPr>
              <w:t xml:space="preserve">h_{k,welfare}</w:t>
            </w:r>
            <w:r>
              <w:rPr>
                <w:rFonts w:ascii="Aptos" w:hAnsi="Aptos"/>
                <w:sz w:val="18"/>
              </w:rPr>
              <w:t xml:space="preserve">; legacy aliases are lineage only.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RMCP misuse fields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Nine minimum governance fields are required by the v8.3 schema.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Agent example and non-decisive state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Floor-preserving weights and refusal of deterministic selection are retained; authority choice is separate.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Workbook PLSS sensitivity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Four floor-preserving constructions are computed and compared; ranking and non-decisiveness remain stable.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WDBIP identity and claims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v1.4, PCC terminology, AIU terminology, schema/vector namespace, and provisional validation boundaries are synchronized.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Validation overclaim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Level 1 latent-structure claims are deferred until adequate preregistered studies.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Table clarity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All active DOCX tables use accessible blue repeating headers, alternating rows, borders, padding, and no-split behavior.</w:t>
            </w:r>
          </w:p>
        </w:tc>
      </w:tr>
    </w:tbl>
    <w:bookmarkEnd w:id="21"/>
    <w:bookmarkStart w:id="22" w:name="feedback-rejected-or-bounded"/>
    <w:p>
      <w:pPr>
        <w:pStyle w:val="Heading2"/>
      </w:pPr>
      <w:r>
        <w:t xml:space="preserve">Feedback rejected or bounded</w:t>
      </w:r>
    </w:p>
    <w:p>
      <w:pPr>
        <w:pStyle w:val="FirstParagraph"/>
      </w:pPr>
      <w:r>
        <w:t xml:space="preserve">The release does not add a sixth gate, an eighth dimension, a third principal governing source, an RMCP authority licence, a consciousness detector, a password lock as primary integrity, or a claim of empirical or Tier-4 validation. Historical wording was retained in archives rather than silently rewritten.</w:t>
      </w:r>
    </w:p>
    <w:bookmarkEnd w:id="22"/>
    <w:bookmarkStart w:id="23" w:name="readiness-by-use"/>
    <w:p>
      <w:pPr>
        <w:pStyle w:val="Heading2"/>
      </w:pPr>
      <w:r>
        <w:t xml:space="preserve">Readiness by use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5" w:color="9FBAD0"/>
          <w:left w:val="single" w:sz="5" w:color="9FBAD0"/>
          <w:bottom w:val="single" w:sz="5" w:color="9FBAD0"/>
          <w:right w:val="single" w:sz="5" w:color="9FBAD0"/>
          <w:insideH w:val="single" w:sz="5" w:color="9FBAD0"/>
          <w:insideV w:val="single" w:sz="5" w:color="9FBAD0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shd w:fill="1F4E78" w:val="clear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Aptos" w:hAnsi="Aptos"/>
                <w:b/>
                <w:sz w:val="18"/>
                <w:color w:val="FFFFFF"/>
              </w:rPr>
              <w:t xml:space="preserve">Use</w:t>
            </w:r>
          </w:p>
        </w:tc>
        <w:tc>
          <w:tcPr>
            <w:vAlign w:val="center"/>
            <w:shd w:fill="1F4E78" w:val="clear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Aptos" w:hAnsi="Aptos"/>
                <w:b/>
                <w:sz w:val="18"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Public explanation and website publication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READY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Academic working-paper and research-source release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READY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GitHub open-source release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READY after tag/upload of this exact hash-pinned ZIP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Classroom teaching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READY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Structured Tier 1–2 use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READY within declared scope and competence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Tier 3 audited pilots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READY for bounded pilot and independent replay design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Empirical validation claim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NOT YET ESTABLISHED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Organizational/high-stakes deployment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REQUIRES domain validation, lawful authority, independent assurance, and triggered external warrants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Autonomous Tier 4 deployment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PROHIBITED as a current claim</w:t>
            </w:r>
          </w:p>
        </w:tc>
      </w:tr>
    </w:tbl>
    <w:bookmarkEnd w:id="23"/>
    <w:bookmarkEnd w:id="24"/>
    <w:sectPr>
      <w:headerReference r:id="rId9" w:type="default"/>
      <w:footerReference r:id="rId10" w:type="default"/>
      <w:pgMar w:bottom="936" w:left="979" w:right="979" w:top="93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customStyle="1" w:styleId="Compact" w:type="paragraph">
    <w:name w:val="Compact"/>
    <w:basedOn w:val="BodyText"/>
    <w:qFormat/>
    <w:pPr>
      <w:spacing w:after="60" w:before="0" w:line="240" w:lineRule="auto"/>
    </w:pPr>
    <w:rPr>
      <w:rFonts w:ascii="Arial" w:eastAsia="Arial" w:hAnsi="Arial"/>
      <w:b w:val="0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hAnsi="Arial"/>
      <w:b w:val="0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80" w:line="252" w:lineRule="auto"/>
      <w:ind w:firstLine="0" w:left="480" w:right="480"/>
    </w:pPr>
    <w:rPr>
      <w:rFonts w:ascii="Arial" w:eastAsia="Arial" w:hAnsi="Arial"/>
      <w:b w:val="0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60" w:before="60" w:line="240" w:lineRule="auto"/>
    </w:pPr>
    <w:rPr>
      <w:rFonts w:ascii="Courier New" w:hAnsi="Courier New"/>
      <w:b w:val="0"/>
      <w:sz w:val="17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spacing w:after="120" w:before="240" w:line="240" w:lineRule="auto"/>
    </w:pPr>
    <w:rPr>
      <w:rFonts w:ascii="Arial" w:eastAsia="Arial" w:hAnsi="Arial"/>
      <w:b/>
      <w:color w:val="1F4E78"/>
      <w:sz w:val="32"/>
    </w:rPr>
  </w:style>
  <w:style w:customStyle="1" w:styleId="Heading2" w:type="paragraph">
    <w:name w:val="heading 2"/>
    <w:pPr>
      <w:keepNext/>
      <w:spacing w:after="80" w:before="200" w:line="240" w:lineRule="auto"/>
    </w:pPr>
    <w:rPr>
      <w:rFonts w:ascii="Arial" w:eastAsia="Arial" w:hAnsi="Arial"/>
      <w:b/>
      <w:color w:val="1F4E78"/>
      <w:sz w:val="26"/>
    </w:rPr>
  </w:style>
  <w:style w:customStyle="1" w:styleId="Heading3" w:type="paragraph">
    <w:name w:val="heading 3"/>
    <w:pPr>
      <w:keepNext/>
      <w:spacing w:after="60" w:before="160" w:line="240" w:lineRule="auto"/>
    </w:pPr>
    <w:rPr>
      <w:rFonts w:ascii="Arial" w:eastAsia="Arial" w:hAnsi="Arial"/>
      <w:b/>
      <w:color w:val="1F4E78"/>
      <w:sz w:val="23"/>
    </w:rPr>
  </w:style>
  <w:style w:customStyle="1" w:styleId="Heading4" w:type="paragraph">
    <w:name w:val="heading 4"/>
    <w:pPr>
      <w:keepNext/>
      <w:spacing w:after="40" w:before="120" w:line="240" w:lineRule="auto"/>
    </w:pPr>
    <w:rPr>
      <w:rFonts w:ascii="Arial" w:eastAsia="Arial" w:hAnsi="Arial"/>
      <w:b/>
      <w:color w:val="1F4E78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2026-07-19T13:42:23Z</dcterms:created>
  <dcterms:modified xsi:type="dcterms:W3CDTF">2026-07-19T13:42:23Z</dcterms:modified>
  <dc:description>Derived reading mirror. Markdown source controls if renderings diverge.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