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349f9936fea474fc3ffbb35165e6c325fa4c15"/>
    <w:p>
      <w:pPr>
        <w:pStyle w:val="Heading1"/>
      </w:pPr>
      <w:r>
        <w:t xml:space="preserve">Canon v12.2.1 / SGP v8.1.1 Baseline Loss Audit</w:t>
      </w:r>
    </w:p>
    <w:bookmarkStart w:id="20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rPr>
          <w:b/>
          <w:bCs/>
        </w:rPr>
        <w:t xml:space="preserve">PASS.</w:t>
      </w:r>
      <w:r>
        <w:t xml:space="preserve"> </w:t>
      </w:r>
      <w:r>
        <w:t xml:space="preserve">Historical sources were used as anti-loss comparators, not as automatically correct wording. Every tested invariant is present in Canon v12.4 or SGP v8.3. No major section loss was detected.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5" w:color="9FBAD0"/>
          <w:left w:val="single" w:sz="5" w:color="9FBAD0"/>
          <w:bottom w:val="single" w:sz="5" w:color="9FBAD0"/>
          <w:right w:val="single" w:sz="5" w:color="9FBAD0"/>
          <w:insideH w:val="single" w:sz="5" w:color="9FBAD0"/>
          <w:insideV w:val="single" w:sz="5" w:color="9FBAD0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1F4E78" w:val="clear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Aptos" w:hAnsi="Aptos"/>
                <w:b/>
                <w:sz w:val="18"/>
                <w:color w:val="FFFFFF"/>
              </w:rPr>
              <w:t xml:space="preserve">Invariant</w:t>
            </w:r>
          </w:p>
        </w:tc>
        <w:tc>
          <w:tcPr>
            <w:vAlign w:val="center"/>
            <w:shd w:fill="1F4E78" w:val="clear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Aptos" w:hAnsi="Aptos"/>
                <w:b/>
                <w:sz w:val="18"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Five-stage cascade; no sixth gate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No-rescue ordering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Human FPP-100 protection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Humanity RMCP-P100 distinct anchor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Open cross-substrate P100; no P101 hierarchy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Protection, participation, power, capacity, and authority separated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Unknown not zero; refusal preserved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Selection separated from authority and execution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Physical admissibility separated from governance permission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SGP digital-continuity and precaution safeguards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Unified severe-rights predicate and rho provenance</w:t>
            </w:r>
          </w:p>
        </w:tc>
        <w:tc>
          <w:tcPr>
            <w:vAlign w:val="center"/>
            <w:shd w:fill="D9EAF7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Registered stream and RMCP required-field interfaces</w:t>
            </w:r>
          </w:p>
        </w:tc>
        <w:tc>
          <w:tcPr>
            <w:vAlign w:val="center"/>
            <w:shd w:fill="FFFFFF" w:val="clea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Aptos" w:hAnsi="Aptos"/>
                <w:sz w:val="18"/>
              </w:rPr>
              <w:t xml:space="preserve">PASS</w:t>
            </w:r>
          </w:p>
        </w:tc>
      </w:tr>
    </w:tbl>
    <w:bookmarkEnd w:id="20"/>
    <w:bookmarkStart w:id="21" w:name="claim-boundary"/>
    <w:p>
      <w:pPr>
        <w:pStyle w:val="Heading2"/>
      </w:pPr>
      <w:r>
        <w:t xml:space="preserve">Claim boundary</w:t>
      </w:r>
    </w:p>
    <w:p>
      <w:pPr>
        <w:pStyle w:val="FirstParagraph"/>
      </w:pPr>
      <w:r>
        <w:t xml:space="preserve">This PASS establishes textual, interface, and anti-loss preservation. It does not establish empirical validity of constructs, thresholds, weights, rights classifications, sentience assessment, physical safety, lawful authority, or deployment readiness.</w:t>
      </w:r>
    </w:p>
    <w:bookmarkEnd w:id="21"/>
    <w:bookmarkEnd w:id="22"/>
    <w:sectPr>
      <w:headerReference r:id="rId9" w:type="default"/>
      <w:footerReference r:id="rId10" w:type="default"/>
      <w:pgMar w:bottom="936" w:left="979" w:right="979" w:top="93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Compact" w:type="paragraph">
    <w:name w:val="Compact"/>
    <w:basedOn w:val="BodyText"/>
    <w:qFormat/>
    <w:pPr>
      <w:spacing w:after="60" w:before="0" w:line="240" w:lineRule="auto"/>
    </w:pPr>
    <w:rPr>
      <w:rFonts w:ascii="Arial" w:eastAsia="Arial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hAnsi="Arial"/>
      <w:b w:val="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252" w:lineRule="auto"/>
      <w:ind w:firstLine="0" w:left="480" w:right="480"/>
    </w:pPr>
    <w:rPr>
      <w:rFonts w:ascii="Arial" w:eastAsia="Arial" w:hAnsi="Arial"/>
      <w:b w:val="0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60" w:before="60" w:line="240" w:lineRule="auto"/>
    </w:pPr>
    <w:rPr>
      <w:rFonts w:ascii="Courier New" w:hAnsi="Courier New"/>
      <w:b w:val="0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20" w:before="240" w:line="240" w:lineRule="auto"/>
    </w:pPr>
    <w:rPr>
      <w:rFonts w:ascii="Arial" w:eastAsia="Arial" w:hAnsi="Arial"/>
      <w:b/>
      <w:color w:val="1F4E78"/>
      <w:sz w:val="32"/>
    </w:rPr>
  </w:style>
  <w:style w:customStyle="1" w:styleId="Heading2" w:type="paragraph">
    <w:name w:val="heading 2"/>
    <w:pPr>
      <w:keepNext/>
      <w:spacing w:after="80" w:before="200" w:line="240" w:lineRule="auto"/>
    </w:pPr>
    <w:rPr>
      <w:rFonts w:ascii="Arial" w:eastAsia="Arial" w:hAnsi="Arial"/>
      <w:b/>
      <w:color w:val="1F4E78"/>
      <w:sz w:val="26"/>
    </w:rPr>
  </w:style>
  <w:style w:customStyle="1" w:styleId="Heading3" w:type="paragraph">
    <w:name w:val="heading 3"/>
    <w:pPr>
      <w:keepNext/>
      <w:spacing w:after="60" w:before="160" w:line="240" w:lineRule="auto"/>
    </w:pPr>
    <w:rPr>
      <w:rFonts w:ascii="Arial" w:eastAsia="Arial" w:hAnsi="Arial"/>
      <w:b/>
      <w:color w:val="1F4E78"/>
      <w:sz w:val="23"/>
    </w:rPr>
  </w:style>
  <w:style w:customStyle="1" w:styleId="Heading4" w:type="paragraph">
    <w:name w:val="heading 4"/>
    <w:pPr>
      <w:keepNext/>
      <w:spacing w:after="40" w:before="120" w:line="240" w:lineRule="auto"/>
    </w:pPr>
    <w:rPr>
      <w:rFonts w:ascii="Arial" w:eastAsia="Arial" w:hAnsi="Arial"/>
      <w:b/>
      <w:color w:val="1F4E78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2026-07-19T13:42:28Z</dcterms:created>
  <dcterms:modified xsi:type="dcterms:W3CDTF">2026-07-19T13:42:28Z</dcterms:modified>
  <dc:description>Derived reading mirror. Markdown source controls if renderings diverge.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