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c9f559cf3ddcd658312184d6f0f28632e7a283"/>
    <w:p>
      <w:pPr>
        <w:pStyle w:val="Heading1"/>
      </w:pPr>
      <w:r>
        <w:t>MathGov and RippleLogic Foundations Primer v4.1.1</w:t>
      </w:r>
    </w:p>
    <w:p>
      <w:pPr>
        <w:pStyle w:val="FirstParagraph"/>
      </w:pPr>
      <w:r>
        <w:t>Version 4.1 (Informative)</w:t>
      </w:r>
    </w:p>
    <w:p>
      <w:pPr>
        <w:pStyle w:val="BodyText"/>
      </w:pPr>
      <w:r>
        <w:t>Version 4.1, synchronized companion edition for Canon v12.3.1 / SGP v8.2.1 / ripple.md v5.2.1 / WDBIP v1.3.1 / Agent System v12.1.1 / Primer v4.1.1 / Aligners Sheet v5.3.1. Package line: MathGov Core Release 2026.09 v12.3.1 / SGP v8.2.1 Release and Workbook Integrity, Responsibility, WDBIP, and Executable-Integrity Hardened Public Research Source Release. It carries forward the v12.0 Physical Admissibility boundary and the Term Discrimination and Semantic Stability discipline.</w:t>
      </w:r>
    </w:p>
    <w:p>
      <w:pPr>
        <w:pStyle w:val="BodyText"/>
      </w:pPr>
      <w:r>
        <w:t>Companion to Canon v12.3.1 / SGP v8.2.1 / ripple.md v5.2.1 / WDBIP v1.3.1 / Agent System v12.1.1 / Primer v4.1.1 / Aligners Sheet v5.3.1</w:t>
      </w:r>
    </w:p>
    <w:p>
      <w:pPr>
        <w:pStyle w:val="BodyText"/>
      </w:pPr>
      <w:r>
        <w:t>MathGov Institute for Ethical Systems Design</w:t>
      </w:r>
    </w:p>
    <w:bookmarkStart w:id="20" w:name="v41-implementation-note"/>
    <w:p>
      <w:pPr>
        <w:pStyle w:val="Heading2"/>
      </w:pPr>
      <w:r>
        <w:t>v4.1.1 Patch Note</w:t>
      </w:r>
    </w:p>
    <w:p>
      <w:pPr/>
      <w:r>
        <w:t>v4.1.1 synchronizes the public explanatory surface to the v12.3.1 package. It remains informative and adds no rule.</w:t>
      </w:r>
    </w:p>
    <w:p>
      <w:pPr>
        <w:pStyle w:val="Heading2"/>
      </w:pPr>
      <w:r>
        <w:t>v4.1 implementation note</w:t>
      </w:r>
    </w:p>
    <w:p>
      <w:pPr>
        <w:pStyle w:val="FirstParagraph"/>
      </w:pPr>
      <w:r>
        <w:t>The public five-stage method remains unchanged. The v12.3.1 release carries forward two implementation disciplines beneath the doorway: controls must be able to act before unacceptable adverse escalation, and distributed work must preserve answerability. WDBIP v1.3.1 helps keep the seven welfare dimensions distinct while recording their material interactions. These are deeper implementation aids, not extra public steps.</w:t>
      </w:r>
    </w:p>
    <w:bookmarkEnd w:id="20"/>
    <w:bookmarkStart w:id="21" w:name="X564f6dbcf03719b3aac3ba7ceece09f5b1e5077"/>
    <w:p>
      <w:pPr>
        <w:pStyle w:val="Heading2"/>
      </w:pPr>
      <w:r>
        <w:t>v12.3 Consistency, Tier Integrity, Rights, Ruin, Tempo, and Responsibility Note</w:t>
      </w:r>
    </w:p>
    <w:p>
      <w:pPr>
        <w:pStyle w:val="FirstParagraph"/>
      </w:pPr>
      <w:r>
        <w:t>MathGov now explicitly separates governance approval from physical or causal admissibility. When a material physical or causal action is proposed, the run should record the Physical/Causal Admissibility Evidence Profile inside Reality Grounding and CSV. The profile asks: what model or causal basis is used, where it is valid, what boundary conditions hold, what uncertainty remains, what can fail, what harm is reversible or irreversible, what verification or expert warrant exists, how the action will be monitored or stopped, what remains unknown, and whether the claim action is proceed, narrow, control, redesign, escalate, or refuse.</w:t>
      </w:r>
    </w:p>
    <w:p>
      <w:pPr>
        <w:pStyle w:val="BodyText"/>
      </w:pPr>
      <w:r>
        <w:t>This improves MathGov without pretending that MathGov itself is a physics engine, safety certification, medical review, legal approval, or formal proof system.</w:t>
      </w:r>
    </w:p>
    <w:bookmarkEnd w:id="21"/>
    <w:bookmarkStart w:id="22" w:name="release-alignment-v123"/>
    <w:p>
      <w:pPr>
        <w:pStyle w:val="Heading2"/>
      </w:pPr>
      <w:r>
        <w:t>Release alignment (v12.3)</w:t>
      </w:r>
    </w:p>
    <w:p>
      <w:pPr>
        <w:pStyle w:val="FirstParagraph"/>
      </w:pPr>
      <w:r>
        <w:t>This companion document is synchronized with MathGov Core Release 2026.09 v12.3.1 - SGP v8.2.1 Reality-Management Calibration Integration Public Research Source Release. The public cascade is RG -&gt; RF -&gt; TRC -&gt; CSV -&gt; RLS; the formal shorthand is RG/RSG -&gt; RF/NCRC -&gt; TRC -&gt; CSV -&gt; RLS.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r/>
      <w:r>
        <w:rPr>
          <w:rStyle w:val="VerbatimChar"/>
        </w:rPr>
      </w:r>
      <w:r/>
      <w:r/>
      <w:r>
        <w:rPr>
          <w:rStyle w:val="VerbatimChar"/>
        </w:rPr>
      </w:r>
      <w:r/>
    </w:p>
    <w:bookmarkEnd w:id="22"/>
    <w:bookmarkEnd w:id="23"/>
    <w:bookmarkStart w:id="26" w:name="abstract"/>
    <w:p>
      <w:pPr>
        <w:pStyle w:val="Heading1"/>
      </w:pPr>
      <w:r>
        <w:t>Abstract</w:t>
      </w:r>
    </w:p>
    <w:p>
      <w:pPr>
        <w:pStyle w:val="FirstParagraph"/>
      </w:pPr>
      <w:r>
        <w:t>This primer is the human doorway into MathGov, RippleLogic, and the Sentience Gradient Protocol. It explains why the framework exists, what problem it addresses, what it claims, what it does not claim, how the main pieces fit together, and why material terms must be discriminated before they can govern decisions. It is informative only: the Canon and companion specifications remain the source of normative force.</w:t>
      </w:r>
    </w:p>
    <w:bookmarkStart w:id="24" w:name="plain-language-summary"/>
    <w:p>
      <w:pPr>
        <w:pStyle w:val="Heading2"/>
      </w:pPr>
      <w:r>
        <w:t>Plain-language summary</w:t>
      </w:r>
    </w:p>
    <w:p>
      <w:pPr>
        <w:pStyle w:val="FirstParagraph"/>
      </w:pPr>
      <w:r>
        <w:t>The Rights Floor (RF) is the public-facing name for the Non-Compensatory Rights Constraint (NCRC). In plain terms, the Rights Floor means that protected rights violations cannot be averaged away by downstream benefits, majority preference, or an attractive RippleLogic Score.</w:t>
      </w:r>
    </w:p>
    <w:p>
      <w:pPr>
        <w:pStyle w:val="BodyText"/>
      </w:pPr>
      <w:r>
        <w:t>Decisions ripple outward. They affect people, institutions, ecosystems, future generations, and sometimes intelligences that are not yet well understood. The MathGov framework, using RippleLogic, gives readers a structured five-level method: Reality Grounding, Rights Floor (RF), TRC, CSV, and RLS. In simpler words: ground the facts, protect the Rights Floor, bound ruin, contain and verify the whole, then choose the best ripple. The framework makes ethical reasoning auditable rather than merely rhetorical. v4.1 integrates the current release discipline while preserving a simple public discipline: ground the words before trusting the score.</w:t>
      </w:r>
    </w:p>
    <w:bookmarkEnd w:id="24"/>
    <w:bookmarkStart w:id="25" w:name="how-to-read-this-primer"/>
    <w:p>
      <w:pPr>
        <w:pStyle w:val="Heading2"/>
      </w:pPr>
      <w:r>
        <w:t>How to read this primer</w:t>
      </w:r>
    </w:p>
    <w:p>
      <w:pPr>
        <w:pStyle w:val="FirstParagraph"/>
      </w:pPr>
      <w:r>
        <w:t>Begin with Sections 1 and 2 for the problem and basic identity of the framework. Then read Sections 3, 3A, 3B, 3C, and 22 for layer discipline, primitive audit, reference-structure reasoning, Category Grounding, and Term Discrimination. Use later sections to understand the cascade, SGP, audit posture, and release boundaries.</w:t>
      </w:r>
    </w:p>
    <w:bookmarkEnd w:id="25"/>
    <w:bookmarkEnd w:id="26"/>
    <w:bookmarkStart w:id="27" w:name="X5bebe5a1714602c929c7426f9ef7aa646a2efe2"/>
    <w:p>
      <w:pPr>
        <w:pStyle w:val="Heading1"/>
      </w:pPr>
      <w:r>
        <w:t>Section 1. The Problem MathGov Is Built To Address</w:t>
      </w:r>
    </w:p>
    <w:p>
      <w:pPr>
        <w:pStyle w:val="FirstParagraph"/>
      </w:pPr>
      <w:r>
        <w:t>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pPr>
        <w:pStyle w:val="BodyText"/>
      </w:pPr>
      <w:r>
        <w:t>That is the surface problem. The deeper problem is structural: complex systems frequently reward local optimization while concealing larger-system harm.</w:t>
      </w:r>
    </w:p>
    <w:p>
      <w:pPr>
        <w:pStyle w:val="BodyText"/>
      </w:pPr>
      <w:r>
        <w:t>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pPr>
        <w:pStyle w:val="BodyText"/>
      </w:pPr>
      <w:r>
        <w:t>Local optimization. Global degradation.</w:t>
      </w:r>
    </w:p>
    <w:p>
      <w:pPr>
        <w:pStyle w:val="BodyText"/>
      </w:pPr>
      <w:r>
        <w:t>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bookmarkEnd w:id="27"/>
    <w:bookmarkStart w:id="32" w:name="section-2-what-mathgov-is-and-is-not"/>
    <w:p>
      <w:pPr>
        <w:pStyle w:val="Heading1"/>
      </w:pPr>
      <w:r>
        <w:t>Section 2. What MathGov Is, and Is Not</w:t>
      </w:r>
    </w:p>
    <w:bookmarkStart w:id="28" w:name="X29a53b81927db5aff2ffc6a1d698d5d0869e526"/>
    <w:p>
      <w:pPr>
        <w:pStyle w:val="Heading2"/>
      </w:pPr>
      <w:r>
        <w:t>2.1 What MathGov is</w:t>
      </w:r>
    </w:p>
    <w:p>
      <w:pPr>
        <w:pStyle w:val="FirstParagraph"/>
      </w:pPr>
      <w:r>
        <w:t>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bookmarkEnd w:id="28"/>
    <w:bookmarkStart w:id="29" w:name="X2ad4130a2c2f6ae734d9645a863fd665ce23963"/>
    <w:p>
      <w:pPr>
        <w:pStyle w:val="Heading2"/>
      </w:pPr>
      <w:r>
        <w:t>2.2 What MathGov is not</w:t>
      </w:r>
    </w:p>
    <w:p>
      <w:pPr>
        <w:pStyle w:val="FirstParagraph"/>
      </w:pPr>
      <w:r>
        <w:t>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pPr>
        <w:pStyle w:val="BodyText"/>
      </w:pPr>
      <w:r>
        <w:t>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pPr>
        <w:pStyle w:val="BodyText"/>
      </w:pPr>
      <w:r>
        <w:t>Architecture-final is not ProofPack-final. A framework can be coherent, specified, and useful before it is empirically validated, schema-complete, validator-complete, or Tier-4-ready; those stronger statuses require separate evidence and replay materials.</w:t>
      </w:r>
    </w:p>
    <w:bookmarkEnd w:id="29"/>
    <w:bookmarkStart w:id="30" w:name="X387eed13ba33fe008d1c3d2d76e7257fbfdf01f"/>
    <w:p>
      <w:pPr>
        <w:pStyle w:val="Heading2"/>
      </w:pPr>
      <w:r>
        <w:t>2.3 Layer discipline</w:t>
      </w:r>
    </w:p>
    <w:p>
      <w:pPr>
        <w:pStyle w:val="FirstParagraph"/>
      </w:pPr>
      <w:r>
        <w:t>MathGov becomes clearer when each kind of statement is kept in its proper layer. It does not treat ontology, ethics, mathematics, evidence, governance, and interpretation as the same thing.</w:t>
      </w:r>
    </w:p>
    <w:p>
      <w:pPr>
        <w:pStyle w:val="BodyText"/>
      </w:pPr>
      <w:r>
        <w:t>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pStyle w:val="BodyText"/>
      </w:pPr>
      <w:r>
        <w:t>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pStyle w:val="BodyText"/>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pPr>
      <w:r>
        <w:t>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pPr>
        <w:pStyle w:val="BodyText"/>
      </w:pPr>
      <w:r>
        <w:t>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pPr>
        <w:pStyle w:val="BodyText"/>
      </w:pPr>
      <w:r>
        <w:t>Formal decision machinery. RippleLogic converts those commitments into gates, scores, weights, audit fields, and decision states. Formal machinery helps make judgment inspectable, but formal consistency alone is not proof that a decision is right.</w:t>
      </w:r>
    </w:p>
    <w:p>
      <w:pPr>
        <w:pStyle w:val="BodyText"/>
      </w:pPr>
      <w:r>
        <w:t>Evidence and measurement. Impacts, probabilities, sentience estimates, stakeholder maps, and weights require evidence. Where evidence is weak, the framework must disclose uncertainty, run sensitivity checks, escalate, or refuse the stronger claim.</w:t>
      </w:r>
    </w:p>
    <w:p>
      <w:pPr>
        <w:pStyle w:val="BodyText"/>
      </w:pPr>
      <w:r>
        <w:t>Governance and interpretation. PCCs, public rationales, release manifests, and educational explanations make decisions accountable. They do not create truth by themselves. They make claims easier to inspect, contest, and repair.</w:t>
      </w:r>
    </w:p>
    <w:p>
      <w:pPr>
        <w:pStyle w:val="BodyText"/>
      </w:pPr>
      <w:r>
        <w:t>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pPr>
        <w:pStyle w:val="BodyText"/>
      </w:pPr>
      <w:r>
        <w:t>Five-level method. RippleLogic is now best taught inside the MathGov framework as: Reality Grounding -&gt; Rights Floor -&gt; TRC -&gt; CSV -&gt; RLS. Formal shorthand: RG/RSG -&gt; RF/NCRC -&gt; TRC -&gt; CSV -&gt; RLS.</w:t>
      </w:r>
    </w:p>
    <w:p>
      <w:pPr>
        <w:pStyle w:val="BodyText"/>
      </w:pPr>
      <w:r>
        <w:t>Two-phase teaching frame. The same five-level method is also taught as two phases.</w:t>
      </w:r>
      <w:r>
        <w:t xml:space="preserve"> </w:t>
      </w:r>
      <w:r>
        <w:rPr>
          <w:b/>
          <w:bCs/>
        </w:rPr>
        <w:t>First qualify options:</w:t>
      </w:r>
      <w:r>
        <w:t xml:space="preserve"> </w:t>
      </w:r>
      <w:r>
        <w:t>RG, RF/NCRC, TRC, and CSV determine which options are grounded, rights-safe, tail-safe, and structurally viable.</w:t>
      </w:r>
      <w:r>
        <w:t xml:space="preserve"> </w:t>
      </w:r>
      <w:r>
        <w:rPr>
          <w:b/>
          <w:bCs/>
        </w:rPr>
        <w:t>Second rank survivors:</w:t>
      </w:r>
      <w:r>
        <w:t xml:space="preserve"> </w:t>
      </w:r>
      <w:r>
        <w:t>RLS ranks only the options that survived qualification. This prevents high average benefit from hiding a rights violation, ruin path, ungrounded claim, or structural impossibility.</w:t>
      </w:r>
    </w:p>
    <w:p>
      <w:pPr>
        <w:pStyle w:val="BodyText"/>
      </w:pPr>
      <w:r>
        <w:t>Tier-proportional CSV rule. The depth of CSV scales by tier, but CSV does not disappear. Tier 1 uses a brief qualitative screen where the method reaches ranking; Tier 2 requires a proportional, assumption-bounded CSV status; Tier 3 requires full binding CSV evidence. Ordinary RLS ranking is permitted only for pass-equivalent CSV survivors.</w:t>
      </w:r>
    </w:p>
    <w:p>
      <w:pPr>
        <w:pStyle w:val="BodyText"/>
      </w:pPr>
      <w:r>
        <w:t>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Reality Grounding means the decision must say what part of reality it is actually touching before it claims what should be done. A decision sees only a surface, not the whole territory. Evidence grounds the surface. Unknowns mark the edge. Claims must stay inside the ground they stand on.</w:t>
      </w:r>
    </w:p>
    <w:p>
      <w:pPr>
        <w:pStyle w:val="BodyText"/>
      </w:pPr>
      <w:r>
        <w:t>UCI/HOI placement in plain language. Containment is the structural safety step. UCI and HOI are structural sensors. If the sensors show containment-level damage, that belongs inside Containment. If the remaining options are tied or too close to call after Ripple Score, UCI/HOI may help choose the less brittle, less hollowing option, or the framework may refuse false certainty.</w:t>
      </w:r>
    </w:p>
    <w:p>
      <w:pPr>
        <w:pStyle w:val="BodyText"/>
      </w:pPr>
      <w:r>
        <w:t>PLSS rule. PLSS is the zoom lens, not the safety waiver. It keeps local decisions practical while preserving rights, tail-risk, containment, and structural-diagnostic duties.</w:t>
      </w:r>
    </w:p>
    <w:p>
      <w:pPr>
        <w:pStyle w:val="BodyText"/>
      </w:pPr>
      <w:r>
        <w:t>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bookmarkEnd w:id="30"/>
    <w:bookmarkStart w:id="31" w:name="Xdb81f1d479e1d0bcd718ddd177024624b58a970"/>
    <w:p>
      <w:pPr>
        <w:pStyle w:val="Heading2"/>
      </w:pPr>
      <w:r>
        <w:t>2.4 Why MathGov Does Not Claim Perfect Calculation</w:t>
      </w:r>
    </w:p>
    <w:p>
      <w:pPr>
        <w:pStyle w:val="FirstParagraph"/>
      </w:pPr>
      <w:r>
        <w:t>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pPr>
        <w:pStyle w:val="BodyText"/>
      </w:pPr>
      <w:r>
        <w:t>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pPr>
        <w:pStyle w:val="BodyText"/>
      </w:pPr>
      <w:r>
        <w:t>This is why the system separates admissibility, permission, compliance, evidence, and execution. The goal is not perfect calculation; the goal is better judgment under declared constraints, with less hidden harm and more accountability to the full field of consequences.</w:t>
      </w:r>
    </w:p>
    <w:p>
      <w:pPr>
        <w:pStyle w:val="BodyText"/>
      </w:pPr>
      <w:r>
        <w:t>Plain-language maturity boundary</w:t>
      </w:r>
    </w:p>
    <w:p>
      <w:pPr>
        <w:pStyle w:val="BodyText"/>
      </w:pPr>
      <w:r>
        <w:t>The MathGov framework and RippleLogic are not a magic calculator. It does not make ethics automatic, and it does not remove human, legal, democratic, scientific, or professional responsibility. It makes ethical reasoning more structured, inspectable, rights-constrained, uncertainty-aware, and contestable.</w:t>
      </w:r>
    </w:p>
    <w:p>
      <w:pPr>
        <w:pStyle w:val="BodyText"/>
      </w:pPr>
      <w:r>
        <w:t>Some parts are mature as architecture but still need testing as measurement tools. UCI, biological SGP measurement, calibrated kernels, reference calculators, validators, and empirical pilots remain future maturity work unless separately published and verified.</w:t>
      </w:r>
    </w:p>
    <w:bookmarkEnd w:id="31"/>
    <w:bookmarkEnd w:id="32"/>
    <w:bookmarkStart w:id="49" w:name="section-3-twelve-declared-primitives"/>
    <w:p>
      <w:pPr>
        <w:pStyle w:val="Heading1"/>
      </w:pPr>
      <w:r>
        <w:t>Section 3. Twelve Declared Primitives</w:t>
      </w:r>
    </w:p>
    <w:p>
      <w:pPr>
        <w:pStyle w:val="FirstParagraph"/>
      </w:pPr>
      <w:r>
        <w:t>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bookmarkStart w:id="33" w:name="X4b27db7e3f863772aa04ce226a12c1a576f5963"/>
    <w:p>
      <w:pPr>
        <w:pStyle w:val="Heading2"/>
      </w:pPr>
      <w:r>
        <w:t>3.0 What MathGov Means by Reality</w:t>
      </w:r>
    </w:p>
    <w:p>
      <w:pPr>
        <w:pStyle w:val="FirstParagraph"/>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pPr>
      <w:r>
        <w:t>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pStyle w:val="BodyText"/>
      </w:pPr>
      <w:r>
        <w:t>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pStyle w:val="BodyText"/>
      </w:pPr>
      <w:r>
        <w:t>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pStyle w:val="BodyText"/>
      </w:pPr>
      <w:r>
        <w:t>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pStyle w:val="BodyText"/>
      </w:pPr>
      <w:r>
        <w:t>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pStyle w:val="BodyText"/>
      </w:pPr>
      <w:r>
        <w:t>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CSV Gate follow from P1 under finitude rather than being optional severities added later.</w:t>
      </w:r>
    </w:p>
    <w:bookmarkEnd w:id="33"/>
    <w:bookmarkStart w:id="38" w:name="Xbbeda74208fffc6b4bc969395ce37e4c9d2096c"/>
    <w:p>
      <w:pPr>
        <w:pStyle w:val="Heading2"/>
      </w:pPr>
      <w:r>
        <w:t>Group A. Foundational claims about reality</w:t>
      </w:r>
    </w:p>
    <w:bookmarkStart w:id="34" w:name="p1-reality-constrains-outcomes"/>
    <w:p>
      <w:pPr>
        <w:pStyle w:val="Heading3"/>
      </w:pPr>
      <w:r>
        <w:t>P1. Reality Constrains Outcomes</w:t>
      </w:r>
    </w:p>
    <w:p>
      <w:pPr>
        <w:pStyle w:val="FirstParagraph"/>
      </w:pPr>
      <w:r>
        <w:t>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pPr>
        <w:pStyle w:val="BlockText"/>
      </w:pPr>
      <w:r>
        <w:t>Statement: Reality constrains outcomes, and decision systems must remain accountable to real consequences under declared uncertainty.</w:t>
      </w:r>
    </w:p>
    <w:bookmarkEnd w:id="34"/>
    <w:bookmarkStart w:id="35" w:name="p2-decisions-create-ripples"/>
    <w:p>
      <w:pPr>
        <w:pStyle w:val="Heading3"/>
      </w:pPr>
      <w:r>
        <w:t>P2. Decisions Create Ripples</w:t>
      </w:r>
    </w:p>
    <w:p>
      <w:pPr>
        <w:pStyle w:val="FirstParagraph"/>
      </w:pPr>
      <w:r>
        <w:t>Every decision produces effects beyond the immediate actor. Effects may be direct or indirect, short-term or long-term, visible or hidden, local or systemic. This is the foundation of RippleLogic.</w:t>
      </w:r>
    </w:p>
    <w:p>
      <w:pPr>
        <w:pStyle w:val="BlockText"/>
      </w:pPr>
      <w:r>
        <w:t>Statement: Actions propagate through interconnected systems, producing measurable and partially uncertain ripple effects.</w:t>
      </w:r>
    </w:p>
    <w:bookmarkEnd w:id="35"/>
    <w:bookmarkStart w:id="36" w:name="X14858f67fc263c8703eeacf0d6946a67dea8b31"/>
    <w:p>
      <w:pPr>
        <w:pStyle w:val="Heading3"/>
      </w:pPr>
      <w:r>
        <w:t>P3. Stakeholders Exist Within Layered and Intersecting Unions</w:t>
      </w:r>
    </w:p>
    <w:p>
      <w:pPr>
        <w:pStyle w:val="FirstParagraph"/>
      </w:pPr>
      <w:r>
        <w:t>No entity exists in complete isolation for governance-relevant domains. Persons, institutions, technologies, animals, ecosystems, and future intelligences participate in layered and intersecting patterns of interdependence. The canonical operational stack used in RippleLogic Tier 1 to Tier 3 computation is U1 Self, U2 Household, U3 Community, U4 Organization, U5 Polity, U6 Humanity / Global Coordination, and U7 Biosphere. U6 has two non-identical analytical views: the Humanity view covers all affected human beings and future human populations; the Collective Managing Intelligence Union (CMIU) view covers managing intelligences and institutions participating in shared governance, coordination, and systemic-risk management. Protection and standing do not automatically confer governance authority. Two further layers, U8 Cosmic and U9 Universal / All-Encompassing Infinite Union (AIU), are recognized as non-computational meta-unions and serve only as humility horizons and precautionary amplifiers under the current release line.</w:t>
      </w:r>
    </w:p>
    <w:p>
      <w:pPr>
        <w:pStyle w:val="BlockText"/>
      </w:pPr>
      <w:r>
        <w:t>Statement: All decision-relevant beings and systems exist within layered, intersecting unions of relationship and consequence. The seven operational scopes are an ordered coverage sequence, not a claim that every real membership relation forms one strict subset chain.</w:t>
      </w:r>
    </w:p>
    <w:bookmarkEnd w:id="36"/>
    <w:bookmarkStart w:id="37" w:name="p4-welfare-is-multidimensional"/>
    <w:p>
      <w:pPr>
        <w:pStyle w:val="Heading3"/>
      </w:pPr>
      <w:r>
        <w:t>P4. Welfare Is Multidimensional</w:t>
      </w:r>
    </w:p>
    <w:p>
      <w:pPr>
        <w:pStyle w:val="FirstParagraph"/>
      </w:pPr>
      <w:r>
        <w:t>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pPr>
        <w:pStyle w:val="BlockText"/>
      </w:pPr>
      <w:r>
        <w:t>Statement: Welfare must be evaluated across multiple dimensions, not collapsed into a single crude metric.</w:t>
      </w:r>
    </w:p>
    <w:bookmarkEnd w:id="37"/>
    <w:bookmarkEnd w:id="38"/>
    <w:bookmarkStart w:id="44" w:name="group-b-foundational-ethical-commitments"/>
    <w:p>
      <w:pPr>
        <w:pStyle w:val="Heading2"/>
      </w:pPr>
      <w:r>
        <w:t>Group B. Foundational ethical commitments</w:t>
      </w:r>
    </w:p>
    <w:bookmarkStart w:id="39" w:name="p5-rights-floors-are-non-compensatory"/>
    <w:p>
      <w:pPr>
        <w:pStyle w:val="Heading3"/>
      </w:pPr>
      <w:r>
        <w:t>P5. Rights Floors Are Non-Compensatory</w:t>
      </w:r>
    </w:p>
    <w:p>
      <w:pPr>
        <w:pStyle w:val="FirstParagraph"/>
      </w:pPr>
      <w:r>
        <w:t>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pPr>
        <w:pStyle w:val="BlockText"/>
      </w:pPr>
      <w:r>
        <w:t>Statement: Certain rights and protections function as floors, not negotiable preferences.</w:t>
      </w:r>
    </w:p>
    <w:bookmarkEnd w:id="39"/>
    <w:bookmarkStart w:id="40" w:name="p6-catastrophic-risk-cannot-be-averaged"/>
    <w:p>
      <w:pPr>
        <w:pStyle w:val="Heading3"/>
      </w:pPr>
      <w:r>
        <w:t>P6. Catastrophic Risk Cannot Be Averaged</w:t>
      </w:r>
    </w:p>
    <w:p>
      <w:pPr>
        <w:pStyle w:val="FirstParagraph"/>
      </w:pPr>
      <w:r>
        <w:t>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pPr>
        <w:pStyle w:val="BlockText"/>
      </w:pPr>
      <w:r>
        <w:t>Statement: Catastrophic and irreversible risk must be bounded, not averaged.</w:t>
      </w:r>
    </w:p>
    <w:bookmarkEnd w:id="40"/>
    <w:bookmarkStart w:id="41" w:name="p7-larger-systems-constrain-smaller-ones"/>
    <w:p>
      <w:pPr>
        <w:pStyle w:val="Heading3"/>
      </w:pPr>
      <w:r>
        <w:t>P7. Larger Systems Constrain Smaller Ones</w:t>
      </w:r>
    </w:p>
    <w:p>
      <w:pPr>
        <w:pStyle w:val="FirstParagraph"/>
      </w:pPr>
      <w:r>
        <w:t>A system can win locally while damaging the larger system it depends on. A company can profit while destroying worker health. A nation can grow while degrading the biosphere. An AI lab can advance capability while raising alignment risk. This is the basis of the CSV gate.</w:t>
      </w:r>
    </w:p>
    <w:p>
      <w:pPr>
        <w:pStyle w:val="BlockText"/>
      </w:pPr>
      <w:r>
        <w:t>Statement: No system may optimize one layer of reality by destabilizing the larger systems that sustain it.</w:t>
      </w:r>
    </w:p>
    <w:bookmarkEnd w:id="41"/>
    <w:bookmarkStart w:id="42" w:name="X1b0b28fb1fd298404e7c1578c02996ac58a6a26"/>
    <w:p>
      <w:pPr>
        <w:pStyle w:val="Heading3"/>
      </w:pPr>
      <w:r>
        <w:t>P8. Direct welfare protection is responsive to credible evidence of welfare-bearing experience, subject to precaution, typed protections, and non-downgrade floors.</w:t>
      </w:r>
    </w:p>
    <w:p>
      <w:pPr>
        <w:pStyle w:val="FirstParagraph"/>
      </w:pPr>
      <w:r>
        <w:t>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v8.1.1 evaluates protection-relevant moral patienthood through a Moral Patienthood Surface (MPS) centered on valence and welfare evidence, experiential integration, temporal continuity, flexible state-dependent behavior, and substrate or causal support. Full Protection Plateau (FPP) is a separate non-downgrade rights status. Governance Participation Readiness (GPR), Stewardship/Power Readiness (SPR), Intelligence Capacity Profile (ICP), and the informative Reality-Management Capacity Profile/open P100 calibration are assessed separately so that limited agency, language, ethical participation, or reality-management capacity cannot be used to erase credible welfare protection. Every human person has FPP-100 by constitutional anti-domination commitment; humanity collectively is the current known RMCP-P100 calibration anchor, without implying moral superiority, wise performance, CMIU membership, or authority; non-human individual or class FPP and cross-substrate P100 status follow governed review.</w:t>
      </w:r>
    </w:p>
    <w:p>
      <w:pPr>
        <w:pStyle w:val="BlockText"/>
      </w:pPr>
      <w:r>
        <w:t>Statement: Moral consideration is assigned according to evidence of sentience and welfare-bearing capacity, under uncertainty, with the human plateau treated as absolute.</w:t>
      </w:r>
    </w:p>
    <w:bookmarkEnd w:id="42"/>
    <w:bookmarkStart w:id="43" w:name="p9-domination-is-a-distinct-harm"/>
    <w:p>
      <w:pPr>
        <w:pStyle w:val="Heading3"/>
      </w:pPr>
      <w:r>
        <w:t>P9. Domination Is a Distinct Harm</w:t>
      </w:r>
    </w:p>
    <w:p>
      <w:pPr>
        <w:pStyle w:val="FirstParagraph"/>
      </w:pPr>
      <w:r>
        <w:t>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pPr>
        <w:pStyle w:val="BlockText"/>
      </w:pPr>
      <w:r>
        <w:t>Statement: Reducing unnecessary suffering and reducing domination are co-equal normative concerns; neither can be traded for the other.</w:t>
      </w:r>
    </w:p>
    <w:bookmarkEnd w:id="43"/>
    <w:bookmarkEnd w:id="44"/>
    <w:bookmarkStart w:id="48" w:name="X34bb390f0a04d5526be57692d3653dd0d3111df"/>
    <w:p>
      <w:pPr>
        <w:pStyle w:val="Heading2"/>
      </w:pPr>
      <w:r>
        <w:t>Group C. Foundational structural commitments</w:t>
      </w:r>
    </w:p>
    <w:bookmarkStart w:id="45" w:name="X945315c97b4550ea0c89d5f2a925b7bc6c6a7d4"/>
    <w:p>
      <w:pPr>
        <w:pStyle w:val="Heading3"/>
      </w:pPr>
      <w:r>
        <w:t>P10. Moral Status Is Not Decision Authority</w:t>
      </w:r>
    </w:p>
    <w:p>
      <w:pPr>
        <w:pStyle w:val="FirstParagraph"/>
      </w:pPr>
      <w:r>
        <w:t>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pPr>
        <w:pStyle w:val="BlockText"/>
      </w:pPr>
      <w:r>
        <w:t>Statement: Moral status, decision authority, protection, governance role, sentience, intelligence, admissibility, and optimization are distinct objects and must not be collapsed.</w:t>
      </w:r>
    </w:p>
    <w:bookmarkEnd w:id="45"/>
    <w:bookmarkStart w:id="46" w:name="p11-uncertainty-must-be-made-visible"/>
    <w:p>
      <w:pPr>
        <w:pStyle w:val="Heading3"/>
      </w:pPr>
      <w:r>
        <w:t>P11. Uncertainty Must Be Made Visible</w:t>
      </w:r>
    </w:p>
    <w:p>
      <w:pPr>
        <w:pStyle w:val="FirstParagraph"/>
      </w:pPr>
      <w:r>
        <w:t>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pPr>
        <w:pStyle w:val="BlockText"/>
      </w:pPr>
      <w:r>
        <w:t>Statement: Uncertainty must be represented openly rather than buried inside authority, rhetoric, or false precision.</w:t>
      </w:r>
    </w:p>
    <w:bookmarkEnd w:id="46"/>
    <w:bookmarkStart w:id="47" w:name="p12-power-must-be-auditable"/>
    <w:p>
      <w:pPr>
        <w:pStyle w:val="Heading3"/>
      </w:pPr>
      <w:r>
        <w:t>P12. Power Must Be Auditable</w:t>
      </w:r>
    </w:p>
    <w:p>
      <w:pPr>
        <w:pStyle w:val="FirstParagraph"/>
      </w:pPr>
      <w:r>
        <w:t>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pPr>
        <w:pStyle w:val="BlockText"/>
      </w:pPr>
      <w:r>
        <w:t>Statement: Legitimate decision power must be inspectable, challengeable, evidence-linked, rights-constrained, and accountable over time.</w:t>
      </w:r>
    </w:p>
    <w:bookmarkEnd w:id="47"/>
    <w:bookmarkEnd w:id="48"/>
    <w:bookmarkEnd w:id="49"/>
    <w:bookmarkStart w:id="50" w:name="section-3a-primitive-dependency-audit"/>
    <w:p>
      <w:pPr>
        <w:pStyle w:val="Heading1"/>
      </w:pPr>
      <w:r>
        <w:t>Section 3A. Primitive Dependency Audit</w:t>
      </w:r>
    </w:p>
    <w:p>
      <w:pPr>
        <w:pStyle w:val="FirstParagraph"/>
      </w:pPr>
      <w:r>
        <w:t>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pPr>
        <w:pStyle w:val="BodyText"/>
      </w:pPr>
      <w:r>
        <w:t>This matters because a decision framework becomes more trustworthy when it declares where it begins, what it imports, what it assumes, what it measures, and what could force revision.</w:t>
      </w:r>
    </w:p>
    <w:p>
      <w:pPr>
        <w:pStyle w:val="BodyText"/>
      </w:pPr>
      <w:r>
        <w:t>The following audit posture applies to all twelve primitives.</w:t>
      </w:r>
    </w:p>
    <w:p>
      <w:pPr>
        <w:pStyle w:val="BodyText"/>
      </w:pPr>
      <w:r>
        <w:t>1. A primitive is a declared starting point inside MathGov, not an assertion that no deeper analysis is possible.</w:t>
      </w:r>
    </w:p>
    <w:p>
      <w:pPr>
        <w:pStyle w:val="BodyText"/>
      </w:pPr>
      <w:r>
        <w:t>2. A primitive may be imported from parent disciplines such as systems science, ethics, law, risk science, cognitive science, ecology, political theory, or decision theory.</w:t>
      </w:r>
    </w:p>
    <w:p>
      <w:pPr>
        <w:pStyle w:val="BodyText"/>
      </w:pPr>
      <w:r>
        <w:t>3. A primitive remains legitimate only if its dependencies are disclosed and its operational use remains testable, contestable, and revisable under governed update.</w:t>
      </w:r>
    </w:p>
    <w:p>
      <w:pPr>
        <w:pStyle w:val="BodyText"/>
      </w:pPr>
      <w:r>
        <w:t>4. A primitive should not be protected by reinterpretation after reality contradicts its projected consequences.</w:t>
      </w:r>
    </w:p>
    <w:p>
      <w:pPr>
        <w:pStyle w:val="BodyText"/>
      </w:pPr>
      <w:r>
        <w:t>5. Where a primitive cannot generate a unique operational consequence for a run, the correct response is not false certainty. The correct response is refusal, escalation, or bounded provisional action under declared uncertainty.</w:t>
      </w:r>
    </w:p>
    <w:p>
      <w:pPr>
        <w:pStyle w:val="BodyText"/>
      </w:pPr>
      <w:r>
        <w:t>Primitive dependency checklist:</w:t>
      </w:r>
    </w:p>
    <w:p>
      <w:pPr>
        <w:pStyle w:val="BodyText"/>
      </w:pPr>
      <w:r>
        <w:t>For each primitive P1 through P12, reviewers should ask:</w:t>
      </w:r>
    </w:p>
    <w:p>
      <w:pPr>
        <w:pStyle w:val="BodyText"/>
      </w:pPr>
      <w:r>
        <w:t>- What does this primitive presuppose?</w:t>
      </w:r>
    </w:p>
    <w:p>
      <w:pPr>
        <w:pStyle w:val="BodyText"/>
      </w:pPr>
      <w:r>
        <w:t>- What parent disciplines does it import from?</w:t>
      </w:r>
    </w:p>
    <w:p>
      <w:pPr>
        <w:pStyle w:val="BodyText"/>
      </w:pPr>
      <w:r>
        <w:t>- What operational role does it play in RippleLogic?</w:t>
      </w:r>
    </w:p>
    <w:p>
      <w:pPr>
        <w:pStyle w:val="BodyText"/>
      </w:pPr>
      <w:r>
        <w:t>- What would count as evidence that this primitive is incomplete, misframed, or misapplied?</w:t>
      </w:r>
    </w:p>
    <w:p>
      <w:pPr>
        <w:pStyle w:val="BodyText"/>
      </w:pPr>
      <w:r>
        <w:t>- Does this primitive affect admissibility, scoring, interpretation, or public communication?</w:t>
      </w:r>
    </w:p>
    <w:p>
      <w:pPr>
        <w:pStyle w:val="BodyText"/>
      </w:pPr>
      <w:r>
        <w:t>- Does the current run depend on this primitive in a way that should be disclosed in the PCC?</w:t>
      </w:r>
    </w:p>
    <w:p>
      <w:pPr>
        <w:pStyle w:val="BodyText"/>
      </w:pPr>
      <w:r>
        <w:t>Plain-language rule. MathGov does not become stronger by pretending its primitives float above all prior thought. It becomes stronger by declaring its starting points, exposing their dependencies, and letting reality test their consequences.</w:t>
      </w:r>
    </w:p>
    <w:p>
      <w:pPr>
        <w:pStyle w:val="BodyText"/>
      </w:pPr>
      <w:r>
        <w:t>Summary statement. The MathGov primitives are declared foundations for an ethical decision architecture. They are not final metaphysical proof. They are disciplined commitments that must remain visible, testable, and open to governed refinement.</w:t>
      </w:r>
    </w:p>
    <w:bookmarkEnd w:id="50"/>
    <w:bookmarkStart w:id="51" w:name="X783ffd4eefefe10b23de14d135f2740b4b5d6dd"/>
    <w:p>
      <w:pPr>
        <w:pStyle w:val="Heading1"/>
      </w:pPr>
      <w:r>
        <w:t>Section 3B. The Reference Stack: Against What Is the Decision Being Judged?</w:t>
      </w:r>
    </w:p>
    <w:p>
      <w:pPr>
        <w:pStyle w:val="FirstParagraph"/>
      </w:pPr>
      <w:r>
        <w:t>A decision system is not trustworthy simply because it has rules, dashboards, audits, or guardrails. Those tools matter only when they are connected to a valid reference.</w:t>
      </w:r>
    </w:p>
    <w:p>
      <w:pPr>
        <w:pStyle w:val="BodyText"/>
      </w:pPr>
      <w:r>
        <w:t>RippleLogic asks a simple but demanding question: Against what is this decision being evaluated?</w:t>
      </w:r>
    </w:p>
    <w:p>
      <w:pPr>
        <w:pStyle w:val="BodyText"/>
      </w:pPr>
      <w:r>
        <w:t>For a bridge, the reference may include load, stress, gravity, material strength, and failure thresholds. For governance, the reference is more layered. It includes bodies, needs, rights, ecosystems, institutional legitimacy, causal evidence, uncertainty, and audit records.</w:t>
      </w:r>
    </w:p>
    <w:p>
      <w:pPr>
        <w:pStyle w:val="BodyText"/>
      </w:pPr>
      <w:r>
        <w:t>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pPr>
        <w:pStyle w:val="BodyText"/>
      </w:pPr>
      <w:r>
        <w:t>This is why The MathGov framework and RippleLogic are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pPr>
        <w:pStyle w:val="BodyText"/>
      </w:pPr>
      <w:r>
        <w:t>Plain-language rule. Do not govern by assumption. Declare the reference, show the evidence, disclose the uncertainty, and refuse false certainty.</w:t>
      </w:r>
    </w:p>
    <w:bookmarkEnd w:id="51"/>
    <w:bookmarkStart w:id="52" w:name="X73881e2c5fd18fdd42f8d792f5360dee70be742"/>
    <w:p>
      <w:pPr>
        <w:pStyle w:val="Heading1"/>
      </w:pPr>
      <w:r>
        <w:t>Section 3C. Category Grounding: Are the Words Still Attached to Reality?</w:t>
      </w:r>
    </w:p>
    <w:p>
      <w:pPr>
        <w:pStyle w:val="FirstParagraph"/>
      </w:pPr>
      <w:r>
        <w:t>Reality Grounding asks what part of reality the decision has actually touched. Category Grounding asks whether the categories used to describe that reality are bounded correctly enough for the claim being made.</w:t>
      </w:r>
    </w:p>
    <w:p>
      <w:pPr>
        <w:pStyle w:val="BodyText"/>
      </w:pPr>
      <w:r>
        <w:t>This matters because a wrong category can make a good-looking metric dangerous. If the category is wrong, the metric may measure the wrong thing. If the metric measures the wrong thing, optimization can improve the wrong target. If governance protects the optimized metric, the system may become increasingly efficient at maintaining drift.</w:t>
      </w:r>
    </w:p>
    <w:p>
      <w:pPr>
        <w:pStyle w:val="BodyText"/>
      </w:pPr>
      <w:r>
        <w:t>Simple example. If a school optimizes "learning" but defines learning only as test-score improvement, it may raise the metric while weakening curiosity, confidence, teacher trust, long-term understanding, and student agency. Category Grounding asks whether "learning" was defined correctly before the score is optimized.</w:t>
      </w:r>
    </w:p>
    <w:p>
      <w:pPr>
        <w:pStyle w:val="BodyText"/>
      </w:pPr>
      <w:r>
        <w:t>Category Grounding is not a sixth step. It belongs inside Reality Grounding when material. The five-level method remains: Reality Grounding -&gt; Rights Floor -&gt; TRC -&gt; CSV -&gt; RLS.</w:t>
      </w:r>
    </w:p>
    <w:p>
      <w:pPr>
        <w:pStyle w:val="BodyText"/>
      </w:pPr>
      <w:r>
        <w:t>A category is material when it affects who counts as a stakeholder, what counts as harm, what counts as sentience or agency, what counts as safety or stability, what counts as catastrophic risk, what counts as containment damage, what counts as authority, or what metric will be optimized.</w:t>
      </w:r>
    </w:p>
    <w:p>
      <w:pPr>
        <w:pStyle w:val="BodyText"/>
      </w:pPr>
      <w:r>
        <w:t>Reviewers should ask: What does this term mean? What boundary defines it? What belongs inside it? What does not belong inside it? What discriminator separates it from nearby terms? Where does it sit in the dependency order? What reference structure tests it? What evidence surface supports it? What would force revision or refusal? What happens if this category is wrong?</w:t>
      </w:r>
    </w:p>
    <w:p>
      <w:pPr>
        <w:pStyle w:val="BodyText"/>
      </w:pPr>
      <w:r>
        <w:t>Plain-language rule. Before MathGov scores a thing, it checks whether the thing has been named, bounded, and grounded well enough for the decision. A score is not a cure for a bad category.</w:t>
      </w:r>
    </w:p>
    <w:p>
      <w:pPr>
        <w:pStyle w:val="BodyText"/>
      </w:pPr>
      <w:r>
        <w:t>Semantic debt. Semantic debt is the cost of continuing to use categories whose reality correspondence has become weak, stale, inherited, contested, or unreviewed. MathGov does not become stronger by hiding semantic debt. It becomes stronger by naming it, narrowing claims, and revising categories when reality requires it.</w:t>
      </w:r>
    </w:p>
    <w:bookmarkEnd w:id="52"/>
    <w:bookmarkStart w:id="53" w:name="X023e85af3a7f19b7230b99ca225088816738c70"/>
    <w:p>
      <w:pPr>
        <w:pStyle w:val="Heading1"/>
      </w:pPr>
      <w:r>
        <w:t>Section 3D. Structural Viability: Can the Plan Actually Stand?</w:t>
      </w:r>
    </w:p>
    <w:p>
      <w:pPr>
        <w:pStyle w:val="FirstParagraph"/>
      </w:pPr>
      <w:r>
        <w:t>After a decision is grounded, rights-safe, tail-risk bounded, and containment-safe, one more question may matter before scoring or execution: can this plan actually stand? Structural Viability Check asks whether the option has the resources, dependencies, reversibility or endpoint clarity, operational capacity, and internal consistency required for current execution.</w:t>
      </w:r>
    </w:p>
    <w:p>
      <w:pPr>
        <w:pStyle w:val="BodyText"/>
      </w:pPr>
      <w:r>
        <w:t>This is not a sixth public step. It belongs inside Containment when execution feasibility is material. The public method stays: Ground -&gt; Protect -&gt; Bound -&gt; Contain -&gt; Score.</w:t>
      </w:r>
    </w:p>
    <w:p>
      <w:pPr>
        <w:pStyle w:val="BodyText"/>
      </w:pPr>
      <w:r>
        <w:t>Plain rule: a good intention is not enough if the plan cannot structurally work. But structural viability is not justice either. A plan can be stable and still violate rights. Rights floors remain first and non-negotiable.</w:t>
      </w:r>
    </w:p>
    <w:p>
      <w:pPr>
        <w:pStyle w:val="BodyText"/>
      </w:pPr>
      <w:r>
        <w:t>A structurally non-viable option may still be kept as a redesign target. It should not be presented as currently selectable, executable, deployment-ready, or deterministically selected.</w:t>
      </w:r>
    </w:p>
    <w:bookmarkEnd w:id="53"/>
    <w:bookmarkStart w:id="54" w:name="X1e0ba008a9c3f82ff303097b6e37d5445c8603b"/>
    <w:p>
      <w:pPr>
        <w:pStyle w:val="Heading1"/>
      </w:pPr>
      <w:r>
        <w:t>Section 3E. No Silent Remainder: Unknown Is Not Zero</w:t>
      </w:r>
    </w:p>
    <w:p>
      <w:pPr>
        <w:pStyle w:val="FirstParagraph"/>
      </w:pPr>
      <w:r>
        <w:t>MathGov allows uncertainty. It does not allow silent blanks. A required field may be estimated, assumed, declared unknown, not applicable, or blank by design. It may not simply disappear. Silent gaps are how false certainty enters a decision.</w:t>
      </w:r>
    </w:p>
    <w:p>
      <w:pPr>
        <w:pStyle w:val="BodyText"/>
      </w:pPr>
      <w:r>
        <w:t>Plain rule: if the decision depends on it, name it. If you do not know it, say you do not know it. If it does not apply, say why. Do not turn unknown into zero.</w:t>
      </w:r>
    </w:p>
    <w:bookmarkEnd w:id="54"/>
    <w:bookmarkStart w:id="55" w:name="section-4-union-as-a-reality-principle"/>
    <w:p>
      <w:pPr>
        <w:pStyle w:val="Heading1"/>
      </w:pPr>
      <w:r>
        <w:t>Section 4. Union as a Reality Principle</w:t>
      </w:r>
    </w:p>
    <w:p>
      <w:pPr>
        <w:pStyle w:val="FirstParagraph"/>
      </w:pPr>
      <w:r>
        <w:t>Union does not mean everything is the same. In MathGov, it means that decision-relevant beings and systems exist through relationships, dependencies, and consequences.</w:t>
      </w:r>
    </w:p>
    <w:p>
      <w:pPr>
        <w:pStyle w:val="BodyText"/>
      </w:pPr>
      <w:r>
        <w:t>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We have never found a real system in nature that operates in true isolation, and current scientific understanding gives us little reason to expect one.</w:t>
      </w:r>
    </w:p>
    <w:p>
      <w:pPr>
        <w:pStyle w:val="BodyText"/>
      </w:pPr>
      <w:r>
        <w:t>That is what union means in this framework. Not a doctrine, not a slogan, not a feeling. It is the operational condition that decisions happen inside structured relationships, not inside isolated abstractions.</w:t>
      </w:r>
    </w:p>
    <w:p>
      <w:pPr>
        <w:pStyle w:val="BodyText"/>
      </w:pPr>
      <w:r>
        <w:t>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pPr>
        <w:pStyle w:val="BodyText"/>
      </w:pPr>
      <w:r>
        <w:t>But distinction is not absolute separation. Every being and system exists within larger fields of dependency and consequence. Actions ripple. Care propagates. Harm propagates. Trust propagates. Collapse propagates.</w:t>
      </w:r>
    </w:p>
    <w:p>
      <w:pPr>
        <w:pStyle w:val="BodyText"/>
      </w:pPr>
      <w:r>
        <w:t>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pPr>
        <w:pStyle w:val="BodyText"/>
      </w:pPr>
      <w:r>
        <w:t>This rules out three common misreadings of union, all of which MathGov rejects.</w:t>
      </w:r>
    </w:p>
    <w:p>
      <w:pPr>
        <w:pStyle w:val="BodyText"/>
      </w:pPr>
      <w:r>
        <w:t>The first is cosmic merger: everything is one, so distinctions and harms do not really matter. This dissolves rights, accountability, and the moral weight of suffering, and it usually arrives wrapped in beautiful language. The framework rejects it.</w:t>
      </w:r>
    </w:p>
    <w:p>
      <w:pPr>
        <w:pStyle w:val="BodyText"/>
      </w:pPr>
      <w:r>
        <w:t>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pPr>
        <w:pStyle w:val="BodyText"/>
      </w:pPr>
      <w:r>
        <w:t>The third is collectivist dissolution: the individual is only a fragment of the whole, so individual rights bend to collective will. This is the totalitarian misuse of unity, and it is precisely the failure mode the rights gate (NCRC) is built to refuse.</w:t>
      </w:r>
    </w:p>
    <w:p>
      <w:pPr>
        <w:pStyle w:val="BodyText"/>
      </w:pPr>
      <w:r>
        <w:t>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pPr>
        <w:pStyle w:val="BodyText"/>
      </w:pPr>
      <w:r>
        <w:t>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pPr>
        <w:pStyle w:val="BodyText"/>
      </w:pPr>
      <w:r>
        <w:t>Different vocabularies converge on the same observation. Things are connected. Connection has structure. Structure has consequences. Consequences are not symmetric. Decisions matter.</w:t>
      </w:r>
    </w:p>
    <w:p>
      <w:pPr>
        <w:pStyle w:val="BodyText"/>
      </w:pPr>
      <w:r>
        <w:t>Union is not dogma. In the operational sense used here, union is the condition that every decision unfolds inside a field of relationship, dependency, consequence, and accountability.</w:t>
      </w:r>
    </w:p>
    <w:bookmarkEnd w:id="55"/>
    <w:bookmarkStart w:id="67" w:name="section-5-eleven-declared-assumptions"/>
    <w:p>
      <w:pPr>
        <w:pStyle w:val="Heading1"/>
      </w:pPr>
      <w:r>
        <w:t>Section 5. Eleven Declared Assumptions</w:t>
      </w:r>
    </w:p>
    <w:p>
      <w:pPr>
        <w:pStyle w:val="FirstParagraph"/>
      </w:pPr>
      <w:r>
        <w:t>An assumption is a provisional claim used to make the system runnable. Assumptions are weaker than primitives. They must remain visible, challengeable, and revisable as evidence and practice accumulate.</w:t>
      </w:r>
    </w:p>
    <w:bookmarkStart w:id="56" w:name="X71458b15fbc76d3b60ad62fe9e22b0869053c7a"/>
    <w:p>
      <w:pPr>
        <w:pStyle w:val="Heading2"/>
      </w:pPr>
      <w:r>
        <w:t>A1. The seven welfare dimensions are a strong starting set</w:t>
      </w:r>
    </w:p>
    <w:p>
      <w:pPr>
        <w:pStyle w:val="FirstParagraph"/>
      </w:pPr>
      <w:r>
        <w:t>Material, Health, Social, Knowledge, Agency, Meaning, and Environment appear broad enough to capture most major welfare effects relevant to current governance. They may be refined, subdivided, or expanded under governed update. They are not claimed to be metaphysically final.</w:t>
      </w:r>
    </w:p>
    <w:bookmarkEnd w:id="56"/>
    <w:bookmarkStart w:id="57" w:name="X2a0afe07a22fe1f252b5768800e7ab4b00bac75"/>
    <w:p>
      <w:pPr>
        <w:pStyle w:val="Heading2"/>
      </w:pPr>
      <w:r>
        <w:t>A2. The seven operational unions are sufficient for most current decisions</w:t>
      </w:r>
    </w:p>
    <w:p>
      <w:pPr>
        <w:pStyle w:val="FirstParagraph"/>
      </w:pPr>
      <w:r>
        <w:t>U1 Self through U7 Biosphere are sufficient for most contemporary governance, policy, business, AI, and ethical decisions. The Cosmic and Universal layers should remain humility horizons, not over-quantified before evidence supports parameterization.</w:t>
      </w:r>
    </w:p>
    <w:bookmarkEnd w:id="57"/>
    <w:bookmarkStart w:id="58" w:name="X7581b7fc6411efe4fd03b0f131a03a312b9b01f"/>
    <w:p>
      <w:pPr>
        <w:pStyle w:val="Heading2"/>
      </w:pPr>
      <w:r>
        <w:t>A3. Rights floors can be specified well enough to guide decisions</w:t>
      </w:r>
    </w:p>
    <w:p>
      <w:pPr>
        <w:pStyle w:val="FirstParagraph"/>
      </w:pPr>
      <w:r>
        <w:t>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bookmarkEnd w:id="58"/>
    <w:bookmarkStart w:id="59" w:name="X638b8646948f134e52db127ee69ca65ff1052b1"/>
    <w:p>
      <w:pPr>
        <w:pStyle w:val="Heading2"/>
      </w:pPr>
      <w:r>
        <w:t>A4. Sentience can be evaluated on a gradient under uncertainty</w:t>
      </w:r>
    </w:p>
    <w:p>
      <w:pPr>
        <w:pStyle w:val="FirstParagraph"/>
      </w:pPr>
      <w:r>
        <w:t>Protection evidence is not all-or-nothing, but it must not be collapsed into one prestige score. SGP v8.2.1 reports a theory-plural MPS band and interval, process confidence, protection posture, and FPP status. Valence and welfare evidence are primary; higher cognition, agency, communication, intelligence, and ethical participation may support interpretation but are not prerequisites for suffering. Human FPP is absolute, while non-human protection is precautionary, evidence-governed, and open to full plateau recognition.</w:t>
      </w:r>
    </w:p>
    <w:bookmarkEnd w:id="59"/>
    <w:bookmarkStart w:id="60" w:name="X9d12aeaa74b01b6b1ff06804a7075ef6bf1dd6d"/>
    <w:p>
      <w:pPr>
        <w:pStyle w:val="Heading2"/>
      </w:pPr>
      <w:r>
        <w:t>A5. Weights can be made legitimate through Hybrid Democratic Weighting</w:t>
      </w:r>
    </w:p>
    <w:p>
      <w:pPr>
        <w:pStyle w:val="FirstParagraph"/>
      </w:pPr>
      <w:r>
        <w:t>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bookmarkEnd w:id="60"/>
    <w:bookmarkStart w:id="61" w:name="X9d1a70f813ff62c2115583a7cd2acf679b40349"/>
    <w:p>
      <w:pPr>
        <w:pStyle w:val="Heading2"/>
      </w:pPr>
      <w:r>
        <w:t>A6. Quantification can improve ethics if it remains humble</w:t>
      </w:r>
    </w:p>
    <w:p>
      <w:pPr>
        <w:pStyle w:val="FirstParagraph"/>
      </w:pPr>
      <w:r>
        <w:t>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bookmarkEnd w:id="61"/>
    <w:bookmarkStart w:id="62" w:name="X1a5778c70f6bc39fd45448dc3baad876ae329c3"/>
    <w:p>
      <w:pPr>
        <w:pStyle w:val="Heading2"/>
      </w:pPr>
      <w:r>
        <w:t>A7. Open systems are less capture-prone than closed systems</w:t>
      </w:r>
    </w:p>
    <w:p>
      <w:pPr>
        <w:pStyle w:val="FirstParagraph"/>
      </w:pPr>
      <w:r>
        <w:t>Open standards, public documentation, audit trails, and reproducible decision records reduce capture risk. Open does not guarantee integrity, but closed systems are easier to monopolize, manipulate, and hide.</w:t>
      </w:r>
    </w:p>
    <w:bookmarkEnd w:id="62"/>
    <w:bookmarkStart w:id="63" w:name="X12033c18a83c5df3989fcffafa9152bab218a2f"/>
    <w:p>
      <w:pPr>
        <w:pStyle w:val="Heading2"/>
      </w:pPr>
      <w:r>
        <w:t>A8. Better decision architecture can reduce capture and authoritarianism</w:t>
      </w:r>
    </w:p>
    <w:p>
      <w:pPr>
        <w:pStyle w:val="FirstParagraph"/>
      </w:pPr>
      <w:r>
        <w:t>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bookmarkEnd w:id="63"/>
    <w:bookmarkStart w:id="64" w:name="X65f64395a1e5d1eb98ae9ae4a6a407fc659f13d"/>
    <w:p>
      <w:pPr>
        <w:pStyle w:val="Heading2"/>
      </w:pPr>
      <w:r>
        <w:t>A9. AI and digital systems will increasingly participate in governance</w:t>
      </w:r>
    </w:p>
    <w:p>
      <w:pPr>
        <w:pStyle w:val="FirstParagraph"/>
      </w:pPr>
      <w:r>
        <w:t>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bookmarkEnd w:id="64"/>
    <w:bookmarkStart w:id="65" w:name="X92d565755213db1a02a6febb25b16f505314236"/>
    <w:p>
      <w:pPr>
        <w:pStyle w:val="Heading2"/>
      </w:pPr>
      <w:r>
        <w:t>A10. The system itself can be gamed and must model agents</w:t>
      </w:r>
    </w:p>
    <w:p>
      <w:pPr>
        <w:pStyle w:val="FirstParagraph"/>
      </w:pPr>
      <w:r>
        <w:t>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bookmarkEnd w:id="65"/>
    <w:bookmarkStart w:id="66" w:name="X5e1f3d0ffb9ba12ba3b0beae7d6268afc35d301"/>
    <w:p>
      <w:pPr>
        <w:pStyle w:val="Heading2"/>
      </w:pPr>
      <w:r>
        <w:t>A11. Corrigibility must hold, with a floor on what is revisable</w:t>
      </w:r>
    </w:p>
    <w:p>
      <w:pPr>
        <w:pStyle w:val="FirstParagraph"/>
      </w:pPr>
      <w:r>
        <w:t>MathGov must remain corrigible, evidence-responsive, and open to structural improvement, otherwise it ossifies into dogma. At the same time, corrigibility itself requires a floor: the rights gate, the catastrophic-risk gate, the CSV gate, and the auditability commitment cannot be revised away by ordinary stakeholder process. Revision of these floors is constitutional in character and requires governed extension protocol, not ordinary update.</w:t>
      </w:r>
    </w:p>
    <w:bookmarkEnd w:id="66"/>
    <w:bookmarkEnd w:id="67"/>
    <w:bookmarkStart w:id="68" w:name="section-6-what-mathgov-does-not-assume"/>
    <w:p>
      <w:pPr>
        <w:pStyle w:val="Heading1"/>
      </w:pPr>
      <w:r>
        <w:t>Section 6. What MathGov Does Not Assume</w:t>
      </w:r>
    </w:p>
    <w:p>
      <w:pPr>
        <w:pStyle w:val="FirstParagraph"/>
      </w:pPr>
      <w:r>
        <w:t>Equally important to what MathGov declares is what it refuses to claim. The framework explicitly does not assume:</w:t>
      </w:r>
    </w:p>
    <w:p>
      <w:pPr>
        <w:pStyle w:val="BlockText"/>
      </w:pPr>
      <w:r>
        <w:t>•  That it possesses final ontology or final moral truth.</w:t>
      </w:r>
    </w:p>
    <w:p>
      <w:pPr>
        <w:pStyle w:val="BlockText"/>
      </w:pPr>
      <w:r>
        <w:t>•  That all values reduce perfectly to numbers.</w:t>
      </w:r>
    </w:p>
    <w:p>
      <w:pPr>
        <w:pStyle w:val="BlockText"/>
      </w:pPr>
      <w:r>
        <w:t>•  That humans should surrender governance to AI systems.</w:t>
      </w:r>
    </w:p>
    <w:p>
      <w:pPr>
        <w:pStyle w:val="BlockText"/>
      </w:pPr>
      <w:r>
        <w:t>•  That current AI systems are conscious or moral patients.</w:t>
      </w:r>
    </w:p>
    <w:p>
      <w:pPr>
        <w:pStyle w:val="BlockText"/>
      </w:pPr>
      <w:r>
        <w:t>•  That all beings have equal moral status.</w:t>
      </w:r>
    </w:p>
    <w:p>
      <w:pPr>
        <w:pStyle w:val="BlockText"/>
      </w:pPr>
      <w:r>
        <w:t>•  That powerful beings matter more than vulnerable beings.</w:t>
      </w:r>
    </w:p>
    <w:p>
      <w:pPr>
        <w:pStyle w:val="BlockText"/>
      </w:pPr>
      <w:r>
        <w:t>•  That a majority can vote away fundamental rights.</w:t>
      </w:r>
    </w:p>
    <w:p>
      <w:pPr>
        <w:pStyle w:val="BlockText"/>
      </w:pPr>
      <w:r>
        <w:t>•  That data is neutral or self-interpreting.</w:t>
      </w:r>
    </w:p>
    <w:p>
      <w:pPr>
        <w:pStyle w:val="BlockText"/>
      </w:pPr>
      <w:r>
        <w:t>•  That models cannot be captured.</w:t>
      </w:r>
    </w:p>
    <w:p>
      <w:pPr>
        <w:pStyle w:val="BlockText"/>
      </w:pPr>
      <w:r>
        <w:t>•  That formalization eliminates moral conflict.</w:t>
      </w:r>
    </w:p>
    <w:p>
      <w:pPr>
        <w:pStyle w:val="BlockText"/>
      </w:pPr>
      <w:r>
        <w:t>•  That one culture, nation, species, or institution should define flourishing for all others.</w:t>
      </w:r>
    </w:p>
    <w:p>
      <w:pPr>
        <w:pStyle w:val="BlockText"/>
      </w:pPr>
      <w:r>
        <w:t>•  That a Tier-4 conformance claim is currently legitimate (it is prohibited until ProofPack is publicly replayable and independently verified).</w:t>
      </w:r>
    </w:p>
    <w:p>
      <w:pPr>
        <w:pStyle w:val="FirstParagraph"/>
      </w:pPr>
      <w:r>
        <w:t>This boundary statement exists because the framework must avoid becoming exactly what it is designed to resist: a rigid authority system pretending to be universal while concealing its own assumptions.</w:t>
      </w:r>
    </w:p>
    <w:bookmarkEnd w:id="68"/>
    <w:bookmarkStart w:id="69" w:name="section-7-the-operational-cascade"/>
    <w:p>
      <w:pPr>
        <w:pStyle w:val="Heading1"/>
      </w:pPr>
      <w:r>
        <w:t>Section 7. The Operational Cascade</w:t>
      </w:r>
    </w:p>
    <w:p>
      <w:pPr>
        <w:pStyle w:val="FirstParagraph"/>
      </w:pPr>
      <w:r>
        <w:t>RippleLogic operates as a five-level admissibility-and-ranking method. Each level answers one distinct question. Levels do not collapse into a single blended score; later levels do not override earlier levels; earlier success does not excuse later failure.</w:t>
      </w:r>
    </w:p>
    <w:p>
      <w:pPr>
        <w:pStyle w:val="BodyText"/>
      </w:pPr>
      <w:r>
        <w:t>Level 1, Reality Grounding / Reality-Surface Grounding. What reality surface, evidence trace, material unknowns, category boundaries, transition boundary, consequence pathways, and claim boundary support the run? If the claim exceeds its reality surface, the run must narrow, escalate, gather evidence, mark the result exploratory, or refuse the stronger claim.</w:t>
      </w:r>
    </w:p>
    <w:p>
      <w:pPr>
        <w:pStyle w:val="BodyText"/>
      </w:pPr>
      <w:r>
        <w:t>Level 2, Rights Floor / NCRC. Does this option cross a non-compensatory rights minimum? An option that does is inadmissible. Welfare ranking cannot rescue a rights-floor violation.</w:t>
      </w:r>
    </w:p>
    <w:p>
      <w:pPr>
        <w:pStyle w:val="BodyText"/>
      </w:pPr>
      <w:r>
        <w:t>Level 3, Tail-Risk Bound / TRC. Among rights-admissible options, is the catastrophic downside acceptably bounded? An option whose CVaR over the governed scenario set exceeds the declared corridor is inadmissible, regardless of expected welfare.</w:t>
      </w:r>
    </w:p>
    <w:p>
      <w:pPr>
        <w:pStyle w:val="BodyText"/>
      </w:pPr>
      <w:r>
        <w:t>Level 4, CSV / Containment and Structural Viability. Among admissible options, does this option preserve sufficient integrity of the larger system that contains the local gain? An option that fails Containment is not selectable, even if it ranks highly on residual welfare.</w:t>
      </w:r>
    </w:p>
    <w:p>
      <w:pPr>
        <w:pStyle w:val="BodyText"/>
      </w:pPr>
      <w:r>
        <w:t>Level 5, Ripple Score / RLS. Among selectable options, which produces the best residual welfare pattern under the declared weighting regime? RLS ranks; it does not rescue failures in Reality Grounding, NCRC, TRC, or CSV.</w:t>
      </w:r>
    </w:p>
    <w:p>
      <w:pPr>
        <w:pStyle w:val="BodyText"/>
      </w:pPr>
      <w:r>
        <w:t>Special-case UCI / HOI tie-break. UCI and HOI are structural diagnostics used inside Containment when material. Only after options are already in the selectable set may residual UCI/HOI help document a tied, close, uncertainty-overlapped, or non-decisive RLS result. They do not reopen earlier gates and they are not a substitute welfare score.</w:t>
      </w:r>
    </w:p>
    <w:p>
      <w:pPr>
        <w:pStyle w:val="BodyText"/>
      </w:pPr>
      <w:r>
        <w:t>The non-overlap rule is canonical: Reality Grounding = claim authority; NCRC = rights feasibility; TRC = catastrophe feasibility; Containment = cross-scale structural feasibility; RLS = residual welfare ranking within the selectable set; residual UCI/HOI = non-decisive structural resolution or monitoring within the selectable set. No implementation, commentary, or downstream artifact may collapse these functions into a single blended score.</w:t>
      </w:r>
    </w:p>
    <w:bookmarkEnd w:id="69"/>
    <w:bookmarkStart w:id="71" w:name="section-8-the-five-decision-states"/>
    <w:p>
      <w:pPr>
        <w:pStyle w:val="Heading1"/>
      </w:pPr>
      <w:r>
        <w:t>Section 8. The Five Decision States</w:t>
      </w:r>
    </w:p>
    <w:p>
      <w:pPr>
        <w:pStyle w:val="FirstParagraph"/>
      </w:pPr>
      <w:r>
        <w:t>RippleLogic recognizes five distinct decision states. They must not be collapsed, and a later state must not be used to infer an earlier one.</w:t>
      </w:r>
    </w:p>
    <w:p>
      <w:pPr>
        <w:pStyle w:val="BodyText"/>
      </w:pPr>
      <w:r>
        <w:t>Rights-admissible. The option passes NCRC.</w:t>
      </w:r>
    </w:p>
    <w:p>
      <w:pPr>
        <w:pStyle w:val="BodyText"/>
      </w:pPr>
      <w:r>
        <w:t>Admissible. The option passes NCRC and TRC.</w:t>
      </w:r>
    </w:p>
    <w:p>
      <w:pPr>
        <w:pStyle w:val="BodyText"/>
      </w:pPr>
      <w:r>
        <w:t>Selectable. The option is admissible and passes CSV / Containment and Structural Viability (Mode A).</w:t>
      </w:r>
    </w:p>
    <w:p>
      <w:pPr>
        <w:pStyle w:val="BodyText"/>
      </w:pPr>
      <w:r>
        <w:t>Selected. The option is chosen from the selectable set after RLS, tie-break, and any required escalation disposition.</w:t>
      </w:r>
    </w:p>
    <w:p>
      <w:pPr>
        <w:pStyle w:val="BodyText"/>
      </w:pPr>
      <w:r>
        <w:t>Refusal. The framework cannot uniquely determine the applicable admissibility or selection state from the declared inputs, evidence, projection rules, or layer commitments.</w:t>
      </w:r>
    </w:p>
    <w:p>
      <w:pPr>
        <w:pStyle w:val="BodyText"/>
      </w:pPr>
      <w:r>
        <w:t>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bookmarkStart w:id="70" w:name="X84e5e8bb319812493e5de72146793641a27d4f9"/>
    <w:p>
      <w:pPr>
        <w:pStyle w:val="Heading2"/>
      </w:pPr>
      <w:r>
        <w:t>8.1 What refusal means in plain language</w:t>
      </w:r>
    </w:p>
    <w:p>
      <w:pPr>
        <w:pStyle w:val="FirstParagraph"/>
      </w:pPr>
      <w:r>
        <w:t>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pPr>
        <w:pStyle w:val="BodyText"/>
      </w:pPr>
      <w:r>
        <w:t>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pPr>
        <w:pStyle w:val="BodyText"/>
      </w:pPr>
      <w:r>
        <w:t>Refusal can lead to more evidence gathering, redesign, escalation, a narrower claim, or bounded provisional action where delay itself would create harm. What it may not do is pretend that uncertainty has been solved.</w:t>
      </w:r>
    </w:p>
    <w:bookmarkEnd w:id="70"/>
    <w:bookmarkEnd w:id="71"/>
    <w:bookmarkStart w:id="72" w:name="section-9-critical-separations"/>
    <w:p>
      <w:pPr>
        <w:pStyle w:val="Heading1"/>
      </w:pPr>
      <w:r>
        <w:t>Section 9. Critical Separations</w:t>
      </w:r>
    </w:p>
    <w:p>
      <w:pPr>
        <w:pStyle w:val="FirstParagraph"/>
      </w:pPr>
      <w:r>
        <w:t>Four separations are constitutive of the framework and merit explicit restatement, because each is regularly conflated in institutional practice and each conflation opens a route to rights, audit, or containment failure.</w:t>
      </w:r>
    </w:p>
    <w:p>
      <w:pPr>
        <w:pStyle w:val="BodyText"/>
      </w:pPr>
      <w:r>
        <w:t>Moral status is not decision authority. A being can warrant moral consideration without thereby acquiring governance role. Authority is grounded in responsibility, accountability, and procedural legitimacy, not in moral status alone.</w:t>
      </w:r>
    </w:p>
    <w:p>
      <w:pPr>
        <w:pStyle w:val="BodyText"/>
      </w:pPr>
      <w:r>
        <w:t>Protection is not governance role. A protected stakeholder is not, by virtue of protection, a decision-maker over others. SGP confers grounds for protection; it does not confer authority.</w:t>
      </w:r>
    </w:p>
    <w:p>
      <w:pPr>
        <w:pStyle w:val="BodyText"/>
      </w:pPr>
      <w:r>
        <w:t>Sentience is not intelligence. Capability and welfare-bearing experience are distinct. A highly capable system may not be a moral patient; a moral patient may have limited intelligence or agency. SGP v8.2.1 uses MPS/FPP for protection and keeps the optional Intelligence Capacity Profile, GPR, and SPR separate.</w:t>
      </w:r>
    </w:p>
    <w:p>
      <w:pPr>
        <w:pStyle w:val="BodyText"/>
      </w:pPr>
      <w:r>
        <w:t>Admissibility is not optimization. RF/NCRC, TRC, and CSV are feasibility gates. RLS is welfare ranking. They have different inputs, different operators, and different failure consequences. A welfare maximum that is not admissible is not selectable; an admissible option with mediocre RLS is still selectable.</w:t>
      </w:r>
    </w:p>
    <w:bookmarkEnd w:id="72"/>
    <w:bookmarkStart w:id="79" w:name="X5d786395444431c50e7dae8b5df036fada70738"/>
    <w:p>
      <w:pPr>
        <w:pStyle w:val="Heading1"/>
      </w:pPr>
      <w:r>
        <w:t>Section 10. SGP v8.2.1 Integration: Protection, Participation, Reality Management, and Power</w:t>
      </w:r>
    </w:p>
    <w:p>
      <w:pPr>
        <w:pStyle w:val="FirstParagraph"/>
      </w:pPr>
      <w:r>
        <w:t>SGP v8.2.1 is the canonical companion specification for moral patienthood and rights-of-protection under uncertainty. It replaces the former minimum of Awareness, Agency, and Union Participation with a construct-valid split:</w:t>
      </w:r>
    </w:p>
    <w:p>
      <w:pPr>
        <w:pStyle w:val="Compact"/>
        <w:numPr>
          <w:ilvl w:val="0"/>
          <w:numId w:val="1001"/>
        </w:numPr>
      </w:pPr>
      <w:r>
        <w:rPr>
          <w:b/>
          <w:bCs/>
        </w:rPr>
        <w:t>MPS</w:t>
      </w:r>
      <w:r>
        <w:t xml:space="preserve"> </w:t>
      </w:r>
      <w:r>
        <w:t>asks how strongly evidence supports welfare-bearing experience.</w:t>
      </w:r>
    </w:p>
    <w:p>
      <w:pPr>
        <w:pStyle w:val="Compact"/>
        <w:numPr>
          <w:ilvl w:val="0"/>
          <w:numId w:val="1001"/>
        </w:numPr>
      </w:pPr>
      <w:r>
        <w:rPr>
          <w:b/>
          <w:bCs/>
        </w:rPr>
        <w:t>FPP</w:t>
      </w:r>
      <w:r>
        <w:t xml:space="preserve"> </w:t>
      </w:r>
      <w:r>
        <w:t>establishes full non-downgradable protection.</w:t>
      </w:r>
    </w:p>
    <w:p>
      <w:pPr>
        <w:pStyle w:val="Compact"/>
        <w:numPr>
          <w:ilvl w:val="0"/>
          <w:numId w:val="1001"/>
        </w:numPr>
      </w:pPr>
      <w:r>
        <w:rPr>
          <w:b/>
          <w:bCs/>
        </w:rPr>
        <w:t>GPR</w:t>
      </w:r>
      <w:r>
        <w:t xml:space="preserve"> </w:t>
      </w:r>
      <w:r>
        <w:t>asks how an entity can participate in a named governance process.</w:t>
      </w:r>
    </w:p>
    <w:p>
      <w:pPr>
        <w:pStyle w:val="Compact"/>
        <w:numPr>
          <w:ilvl w:val="0"/>
          <w:numId w:val="1001"/>
        </w:numPr>
      </w:pPr>
      <w:r>
        <w:rPr>
          <w:b/>
          <w:bCs/>
        </w:rPr>
        <w:t>SPR</w:t>
      </w:r>
      <w:r>
        <w:t xml:space="preserve"> </w:t>
      </w:r>
      <w:r>
        <w:t>asks whether an entity is eligible for a named consequential role under constraint.</w:t>
      </w:r>
    </w:p>
    <w:p>
      <w:pPr>
        <w:pStyle w:val="Compact"/>
        <w:numPr>
          <w:ilvl w:val="0"/>
          <w:numId w:val="1001"/>
        </w:numPr>
      </w:pPr>
      <w:r>
        <w:rPr>
          <w:b/>
          <w:bCs/>
        </w:rPr>
        <w:t>ICP</w:t>
      </w:r>
      <w:r>
        <w:t xml:space="preserve"> </w:t>
      </w:r>
      <w:r>
        <w:t>records intelligence and understanding capacities without treating them as sentience or authority.</w:t>
      </w:r>
    </w:p>
    <w:bookmarkStart w:id="73" w:name="X90f9f26ea591184ab48e3a609d70e24e10e0350"/>
    <w:p>
      <w:pPr>
        <w:pStyle w:val="Heading2"/>
      </w:pPr>
      <w:r>
        <w:t>10.1 Human Full Protection Plateau</w:t>
      </w:r>
    </w:p>
    <w:p>
      <w:pPr>
        <w:pStyle w:val="FirstParagraph"/>
      </w:pPr>
      <w:r>
        <w:t>Every human person has FPP by equal-dignity and anti-domination commitment. This is not an empirical claim that every human has maximal measured consciousness or intelligence. Infants, sleeping or anaesthetized persons, people with dementia, severe disability, communication differences, illness, or temporary incapacity remain fully protected. Their RippleLogic welfare interval is [1.0,1.0].</w:t>
      </w:r>
    </w:p>
    <w:p>
      <w:pPr>
        <w:pStyle w:val="BodyText"/>
      </w:pPr>
      <w:r>
        <w:t>Non-human biological or artificial individuals and classes may also receive FPP through governed SGP review. Language, human likeness, reciprocal morality, or governance competence are not prerequisites for full protection.</w:t>
      </w:r>
    </w:p>
    <w:bookmarkEnd w:id="73"/>
    <w:bookmarkStart w:id="74" w:name="X4bea49a0a88a07f1584892b89fcccad059f8f33"/>
    <w:p>
      <w:pPr>
        <w:pStyle w:val="Heading2"/>
      </w:pPr>
      <w:r>
        <w:t>10.2 MPS interval binding: residual Welfare stream only</w:t>
      </w:r>
    </w:p>
    <w:p>
      <w:pPr>
        <w:pStyle w:val="FirstParagraph"/>
      </w:pPr>
      <w:r>
        <w:t>For a valid non-FPP SGP record, RippleLogic uses the MPS evidence record to define the welfare-inclusion hypotheses tested in the residual Welfare stream. The MPS interval is not inserted as a cardinal multiplier. If the preferred option changes across the governed hypothesis set, the run must disclose</w:t>
      </w:r>
      <w:r>
        <w:t xml:space="preserve"> </w:t>
      </w:r>
      <w:r>
        <w:rPr>
          <w:rStyle w:val="VerbatimChar"/>
        </w:rPr>
        <w:t>MPS_HYPOTHESIS_SENSITIVE</w:t>
      </w:r>
      <w:r>
        <w:t>, seek more evidence, adopt a robust precautionary policy, narrow the claim, preserve multiple options, or refuse a definitive ranking.</w:t>
      </w:r>
    </w:p>
    <w:p>
      <w:pPr>
        <w:pStyle w:val="BodyText"/>
      </w:pPr>
      <w:r>
        <w:t>The Base stream used by RF/NCRC, TRC, and CSV fixes the SGP factor at 1. SGP cannot lower a rights floor, soften a catastrophe bound, weaken containment, or turn uncertainty into zero.</w:t>
      </w:r>
    </w:p>
    <w:bookmarkEnd w:id="74"/>
    <w:bookmarkStart w:id="75" w:name="Xf6e2f6d0944980bc342d0fb822da25989eca830"/>
    <w:p>
      <w:pPr>
        <w:pStyle w:val="Heading2"/>
      </w:pPr>
      <w:r>
        <w:t>10.3 Participation and authority remain separate</w:t>
      </w:r>
    </w:p>
    <w:p>
      <w:pPr>
        <w:pStyle w:val="FirstParagraph"/>
      </w:pPr>
      <w:r>
        <w:t>GPR may support direct, assisted, or represented participation. A dog, infant, disabled person, octopus, or possible digital mind may deserve protection even when direct deliberation is impossible. Representation is not exclusion.</w:t>
      </w:r>
    </w:p>
    <w:p>
      <w:pPr>
        <w:pStyle w:val="BodyText"/>
      </w:pPr>
      <w:r>
        <w:t>SPR is role-specific. It requires Reality Grounding, domain competence, rights reliability, tail-risk control, containment and structural viability, corrigibility, auditability, non-domination controls, lawful mandate, and revocability. Neither MPS, FPP, GPR, nor intelligence grants power by itself.</w:t>
      </w:r>
    </w:p>
    <w:bookmarkEnd w:id="75"/>
    <w:bookmarkStart w:id="76" w:name="X92ea13529f66d50450e356ee6b393e66b2a531a"/>
    <w:p>
      <w:pPr>
        <w:pStyle w:val="Heading2"/>
      </w:pPr>
      <w:r>
        <w:t>10.4 CMIU belongs to governance, not moral-status scoring</w:t>
      </w:r>
    </w:p>
    <w:p>
      <w:pPr>
        <w:pStyle w:val="FirstParagraph"/>
      </w:pPr>
      <w:r>
        <w:t>The Collective Managing Intelligence Union is the Canon's U6 governance-coordination view: intelligences, representatives, and institutions with a declared participation channel or lawful role in shared governance, coordination, and systemic-risk management. It is not a sentience tier or protection plateau. FPP does not create CMIU membership; GPR informs participation mode; SPR and lawful mandate govern consequential roles.</w:t>
      </w:r>
    </w:p>
    <w:bookmarkEnd w:id="76"/>
    <w:bookmarkStart w:id="77" w:name="Xf6e3f3ff49769f715881a7d023a3f8712a1703c"/>
    <w:p>
      <w:pPr>
        <w:pStyle w:val="Heading2"/>
      </w:pPr>
      <w:r>
        <w:t>10.5 Minimum integration record</w:t>
      </w:r>
    </w:p>
    <w:p>
      <w:pPr>
        <w:pStyle w:val="FirstParagraph"/>
      </w:pPr>
      <w:r>
        <w:t>An SGP-aware run records the target boundary, SGP version and hash, MPS band or MPS-NE status, evidence-support interval where applicable, confidence, protection posture, FPP, evidence trace and dependence clusters, reviewer status, alternative explanations, welfare-inclusion hypotheses tested, and revision trigger. Missing, poorly observable, or inadmissible data are not converted to MPS-0 or zero.</w:t>
      </w:r>
    </w:p>
    <w:bookmarkEnd w:id="77"/>
    <w:bookmarkStart w:id="78" w:name="X6035ea4a193b0a440fa0de6a4fb721641f320a4"/>
    <w:p>
      <w:pPr>
        <w:pStyle w:val="Heading2"/>
      </w:pPr>
      <w:r>
        <w:t>10.6 Human dual anchor and open P100</w:t>
      </w:r>
    </w:p>
    <w:p>
      <w:pPr>
        <w:pStyle w:val="FirstParagraph"/>
      </w:pPr>
      <w:r>
        <w:t>SGP v8.2.1 uses 100 in two explicit, non-collapsed ways. Every human person holds FPP-100, the full and non-downgradable protection plateau. Humanity as a collective is the current known RMCP-P100 calibration anchor because it combines cumulative symbolic culture, formal mathematics and science, intergenerational knowledge, technological intervention, institutions, planetary monitoring, cross-scale causal reach, and Recursive Union Awareness.</w:t>
      </w:r>
      <w:r/>
      <w:r>
        <w:rPr>
          <w:b/>
          <w:bCs/>
        </w:rPr>
      </w:r>
      <w:r/>
      <w:r/>
      <w:r>
        <w:rPr>
          <w:b/>
          <w:bCs/>
        </w:rPr>
      </w:r>
      <w:r/>
      <w:r/>
    </w:p>
    <w:p>
      <w:pPr>
        <w:pStyle w:val="BodyText"/>
      </w:pPr>
      <w:r>
        <w:t>P100 is open rather than species-exclusive. Another biological, digital, hybrid, collective, or extraterrestrial intelligence may reach, exceed, or already exist at that plateau when admissible evidence supports functional equivalence or greater capacity. RMCP/P100 is not evidence of sentience, moral worth, wise stewardship, CMIU membership, lawful mandate, or authority. A highly capable system may have low or unknown MPS; a strongly protected being may have limited RMCP. Greater capability increases responsibility rather than permission to dominate or convert protected beings into resources.</w:t>
      </w:r>
    </w:p>
    <w:p>
      <w:pPr>
        <w:pStyle w:val="BodyText"/>
      </w:pPr>
      <w:r>
        <w:t>Section 11. The Operating Sequence</w:t>
      </w:r>
    </w:p>
    <w:p>
      <w:pPr>
        <w:pStyle w:val="BodyText"/>
      </w:pPr>
      <w:r>
        <w:t>A RippleLogic decision proceeds through eleven steps. Tier requirements (Section 15 of Canon) determine which steps are mandatory at which level of rigor.</w:t>
      </w:r>
    </w:p>
    <w:p>
      <w:pPr>
        <w:pStyle w:val="BlockText"/>
      </w:pPr>
      <w:r>
        <w:t>1.  Define the decision. State what is being decided, who is deciding, what options exist, and what happens under no action. Declare tier and configuration.</w:t>
      </w:r>
    </w:p>
    <w:p>
      <w:pPr>
        <w:pStyle w:val="BlockText"/>
      </w:pPr>
      <w:r>
        <w:t>2.  Map stakeholders across affected unions. Identify the relevant scope coverage sequence from U1 Self through U7 Biosphere; note where U8 Cosmic or U9 Universal / All-Encompassing Infinite Union (AIU) humility considerations apply.</w:t>
      </w:r>
    </w:p>
    <w:p>
      <w:pPr>
        <w:pStyle w:val="BlockText"/>
      </w:pPr>
      <w:r>
        <w:t>3.  Identify sentient and welfare-bearing stakeholders under SGP. Apply governed SGP procedure for class-level and entity-level moral status and rights of protection.</w:t>
      </w:r>
    </w:p>
    <w:p>
      <w:pPr>
        <w:pStyle w:val="BlockText"/>
      </w:pPr>
      <w:r>
        <w:t>4.  Apply the Rights Floor (formal NCRC). For each option, check whether any rights-covered cell crosses a non-compensatory minimum on the worst-off protected subgroup. Eliminate any option that fails.</w:t>
      </w:r>
    </w:p>
    <w:p>
      <w:pPr>
        <w:pStyle w:val="BlockText"/>
      </w:pPr>
      <w:r>
        <w:t>5.  Apply TRC. For each rights-admissible option, evaluate CVaR over the governed scenario set against the declared corridor. Eliminate any option that exceeds the corridor; record Tail Emergency Mode if invoked.</w:t>
      </w:r>
    </w:p>
    <w:p>
      <w:pPr>
        <w:pStyle w:val="BlockText"/>
      </w:pPr>
      <w:r>
        <w:t>6.  Apply Containment (Mode A where required). For each admissible option, evaluate cross-scale structural feasibility; eliminate or escalate any option that degrades a containing union beyond tolerance.</w:t>
      </w:r>
    </w:p>
    <w:p>
      <w:pPr>
        <w:pStyle w:val="BlockText"/>
      </w:pPr>
      <w:r>
        <w:t>7.  Score residual welfare via RLS. Rank selectable options across the active 49-cell welfare matrix using HDW (or PLSS, where declared) weights and declared uncertainty method.</w:t>
      </w:r>
    </w:p>
    <w:p>
      <w:pPr>
        <w:pStyle w:val="BlockText"/>
      </w:pPr>
      <w:r>
        <w:t>8.  Make weights, evidence, and uncertainty visible. Declare union weights, dimension weights, evidence quality, stakeholder input, expert adjustments, uncertainty bands, and sensitivity tests in the PCC.</w:t>
      </w:r>
    </w:p>
    <w:p>
      <w:pPr>
        <w:pStyle w:val="BlockText"/>
      </w:pPr>
      <w:r>
        <w:t>9.  Model agents and incentives. Identify who might resist, game, distort, or route around the decision; record relevant audit flags and mitigation plans.</w:t>
      </w:r>
    </w:p>
    <w:p>
      <w:pPr>
        <w:pStyle w:val="BlockText"/>
      </w:pPr>
      <w:r>
        <w:t>10.  Produce an auditable decision record. Emit the Provenance and Compliance Certificate (PCC) with the Five-Sentence Public Rationale (5SPR) and any required containment, SGP, and stewardship disclosures.</w:t>
      </w:r>
    </w:p>
    <w:p>
      <w:pPr>
        <w:pStyle w:val="BlockText"/>
      </w:pPr>
      <w:r>
        <w:t>11.  Run NCAR. Notice, Choose, Act, Reflect. After implementation, evaluate outcomes, surface missed harms, revisit weights, and trigger governed update where evidence requires it.</w:t>
      </w:r>
    </w:p>
    <w:bookmarkEnd w:id="78"/>
    <w:bookmarkEnd w:id="79"/>
    <w:bookmarkStart w:id="80" w:name="X1291aedd7839b9aa3ffc7bd3321bb203c4b7e31"/>
    <w:p>
      <w:pPr>
        <w:pStyle w:val="Heading1"/>
      </w:pPr>
      <w:r>
        <w:t>Section 11A. A Simple Reading of the System</w:t>
      </w:r>
    </w:p>
    <w:p>
      <w:pPr>
        <w:pStyle w:val="FirstParagraph"/>
      </w:pPr>
      <w:r>
        <w:t>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pPr>
        <w:pStyle w:val="BodyText"/>
      </w:pPr>
      <w:r>
        <w:t>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pPr>
        <w:pStyle w:val="BodyText"/>
      </w:pPr>
      <w:r>
        <w:t>In a low-stakes moment, the full calculation can be mental and lightweight. In a high-stakes policy decision, the same logic becomes formal, documented, and auditable. This is the point of tiers: the structure is stable, but rigor scales with consequence.</w:t>
      </w:r>
    </w:p>
    <w:p>
      <w:pPr>
        <w:pStyle w:val="BodyText"/>
      </w:pPr>
      <w:r>
        <w:t>The deeper lesson is that RippleLogic is not only for governments or AI systems. It trains attention. It asks: who is touched, what is protected, what could go wrong, what improves, what is uncertain, and what should be learned after action?</w:t>
      </w:r>
    </w:p>
    <w:bookmarkEnd w:id="80"/>
    <w:bookmarkStart w:id="81" w:name="Xdc5231c0064cb559499d36b4f5903a6b21ea955"/>
    <w:p>
      <w:pPr>
        <w:pStyle w:val="Heading1"/>
      </w:pPr>
      <w:r>
        <w:t>Section 11B. Execution Stability in Plain Language</w:t>
      </w:r>
    </w:p>
    <w:p>
      <w:pPr>
        <w:pStyle w:val="FirstParagraph"/>
      </w:pPr>
      <w:r>
        <w:t>A decision is not finished merely because an option can be described, scored, or technically executed. Before a consequence-bearing action becomes real, RippleLogic now asks one additional practical question: what kind of transition are we about to enter?</w:t>
      </w:r>
    </w:p>
    <w:p>
      <w:pPr>
        <w:pStyle w:val="BodyText"/>
      </w:pPr>
      <w:r>
        <w:t>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pPr>
        <w:pStyle w:val="BodyText"/>
      </w:pPr>
      <w:r>
        <w:t>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pPr>
        <w:pStyle w:val="BodyText"/>
      </w:pPr>
      <w:r>
        <w:t>Plain-language rule. Do not ask only, can this be done? Ask: should this transition become real, under this evidence, with these affected stakeholders, this reversibility profile, this monitoring plan, and this claim boundary?</w:t>
      </w:r>
    </w:p>
    <w:p>
      <w:pPr>
        <w:pStyle w:val="BodyText"/>
      </w:pPr>
      <w:r>
        <w:t>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bookmarkEnd w:id="81"/>
    <w:bookmarkStart w:id="82" w:name="X1c0010a63bfc5e099eeef2ed7765261f2f81503"/>
    <w:p>
      <w:pPr>
        <w:pStyle w:val="Heading1"/>
      </w:pPr>
      <w:r>
        <w:t>Section 12. Posture: Structured Humility Under Reality</w:t>
      </w:r>
    </w:p>
    <w:p>
      <w:pPr>
        <w:pStyle w:val="FirstParagraph"/>
      </w:pPr>
      <w:r>
        <w:t>A decision is better when it protects rights, bounds catastrophic risk, preserves the integrity of containing systems, improves welfare across affected unions, makes uncertainty visible, preserves auditability, and remains open to correction.</w:t>
      </w:r>
    </w:p>
    <w:p>
      <w:pPr>
        <w:pStyle w:val="BodyText"/>
      </w:pPr>
      <w:r>
        <w:t>More compactly: choose the action that creates the best defensible ripple across affected stakeholders without violating rights and without destabilizing the systems that make life possible.</w:t>
      </w:r>
    </w:p>
    <w:p>
      <w:pPr>
        <w:pStyle w:val="BodyText"/>
      </w:pPr>
      <w:r>
        <w:t>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pPr>
        <w:pStyle w:val="BodyText"/>
      </w:pPr>
      <w:r>
        <w:t>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bookmarkEnd w:id="82"/>
    <w:bookmarkStart w:id="87" w:name="Xaec95a0a202518f329e3325216df569e836389e"/>
    <w:p>
      <w:pPr>
        <w:pStyle w:val="Heading1"/>
      </w:pPr>
      <w:r>
        <w:t>Section 13. Carried-Forward v12.1 Rights and Ruin Hardening Within Current v12.3</w:t>
      </w:r>
    </w:p>
    <w:p>
      <w:pPr>
        <w:pStyle w:val="FirstParagraph"/>
      </w:pPr>
      <w:r>
        <w:t>Current completion note. Core Release 2026.09 v12.3 preserves the five-stage cascade while hardening four operational surfaces: categorical and severe rights exposure cannot be erased by short duration or low confidence; all-TRC-fail cases enter governed Tail Emergency Mode rather than ordinary ranking; RLS is normalized over active effective weight mass; and Method B uncertainty is computed from pre-cancellation contribution mass. The v12.0 Physical Admissibility, Reality Grounding, Term Discrimination, and Semantic Stability boundaries remain in force.</w:t>
      </w:r>
    </w:p>
    <w:p>
      <w:pPr>
        <w:pStyle w:val="BodyText"/>
      </w:pPr>
      <w:r>
        <w:t>The v10.1–v10.8 historical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pPr>
        <w:pStyle w:val="BodyText"/>
      </w:pPr>
      <w:r>
        <w:t>The plain-language rule is simple: say what you are assuming, say what follows if the assumption is right, say what we should observe, say how much error is tolerated, and say when the claim must be refused, downgraded, or abandoned.</w:t>
      </w:r>
    </w:p>
    <w:bookmarkStart w:id="83" w:name="X2431e05687f5bb12b34a06306753c959ae8466e"/>
    <w:p>
      <w:pPr>
        <w:pStyle w:val="Heading2"/>
      </w:pPr>
      <w:r>
        <w:t>13.1 The seven-step trace</w:t>
      </w:r>
    </w:p>
    <w:p>
      <w:pPr>
        <w:pStyle w:val="FirstParagraph"/>
      </w:pPr>
      <w:r>
        <w:t>Primitive commitment → Operator → Regime → Projection → Observable consequence → Tolerance → Verdict.</w:t>
      </w:r>
    </w:p>
    <w:bookmarkEnd w:id="83"/>
    <w:bookmarkStart w:id="84" w:name="Xeb41ce2b3da316b504d464974ee9dea18edcade"/>
    <w:p>
      <w:pPr>
        <w:pStyle w:val="Heading2"/>
      </w:pPr>
      <w:r>
        <w:t>13.2 What this prevents</w:t>
      </w:r>
    </w:p>
    <w:p>
      <w:pPr>
        <w:pStyle w:val="FirstParagraph"/>
      </w:pPr>
      <w:r>
        <w:t>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bookmarkEnd w:id="84"/>
    <w:bookmarkStart w:id="85" w:name="X47d52e90eb9e8c35b59c5a74b0af32ce5bffa50"/>
    <w:p>
      <w:pPr>
        <w:pStyle w:val="Heading2"/>
      </w:pPr>
      <w:r>
        <w:t>13.3 What this does not claim</w:t>
      </w:r>
    </w:p>
    <w:p>
      <w:pPr>
        <w:pStyle w:val="FirstParagraph"/>
      </w:pPr>
      <w:r>
        <w:t>The carried-forward v10.8 method posture does not claim final truth, perfect objectivity, complete prediction, or immunity from formal limits. It says something more practical: every serious claim must carry its own audit trail, evidence boundary, and reality-facing test.</w:t>
      </w:r>
    </w:p>
    <w:bookmarkEnd w:id="85"/>
    <w:bookmarkStart w:id="86" w:name="X4832bccb20ea29ff7889ec507677f15d1e0e101"/>
    <w:p>
      <w:pPr>
        <w:pStyle w:val="Heading2"/>
      </w:pPr>
      <w:r>
        <w:t>13.4 Binary Gates and Uncertain Evidence</w:t>
      </w:r>
    </w:p>
    <w:p>
      <w:pPr>
        <w:pStyle w:val="FirstParagraph"/>
      </w:pPr>
      <w:r>
        <w:t>MathGov and RippleLogic distinguish two ideas that are often confused. A decision gate can be binary, while the evidence used to evaluate that gate can still be uncertain.</w:t>
      </w:r>
    </w:p>
    <w:p>
      <w:pPr>
        <w:pStyle w:val="BodyText"/>
      </w:pPr>
      <w:r>
        <w:t>For example, a rights floor may pass or fail. A tail-risk corridor may be exceeded or not exceeded. A containment relation may hold or fail. But the evidence used to evaluate these option-rejecting gates can involve measurement error, incomplete models, probability estimates, contested data, or human judgment.</w:t>
      </w:r>
    </w:p>
    <w:p>
      <w:pPr>
        <w:pStyle w:val="BodyText"/>
      </w:pPr>
      <w:r>
        <w:t>The carried-forward v10.8 rule is simple: do not pretend uncertainty is gone merely because the decision surface needs a yes/no answer. Binary gates make governance accountable. Evidence humility keeps the binary answer honest.</w:t>
      </w:r>
    </w:p>
    <w:p>
      <w:pPr>
        <w:pStyle w:val="BodyText"/>
      </w:pPr>
      <w:r>
        <w:t>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pPr>
        <w:pStyle w:val="BodyText"/>
      </w:pPr>
      <w:r>
        <w:t>This is why high-stakes decisions must identify the transition being proposed, the affected scopes, the primitive assumptions, the projection path, the observable consequences, and the conditions that would trigger rollback or refusal before consequence-bearing execution.</w:t>
      </w:r>
    </w:p>
    <w:bookmarkEnd w:id="86"/>
    <w:bookmarkEnd w:id="87"/>
    <w:bookmarkStart w:id="93" w:name="X2f27fe03b784002a73106a9a582f665dd09bfc0"/>
    <w:p>
      <w:pPr>
        <w:pStyle w:val="Heading1"/>
      </w:pPr>
      <w:r>
        <w:t>Section 14. What Is Mature Now, and What Still Requires Validation?</w:t>
      </w:r>
    </w:p>
    <w:p>
      <w:pPr>
        <w:pStyle w:val="FirstParagraph"/>
      </w:pPr>
      <w:r>
        <w:t>Current maturity note. Canon v12.3.1 is complete as the current core specification for this release line. SGP v8.2.1 is complete as the current moral-status and protection protocol. ripple.md v5.2.1, WDBIP v1.3, Agent System v12.1.1, Primer v4.1.1, and Aligners Sheet v5.3.1 are synchronized companions. Biological SGP measurement remains guidance-stage rather than measurement-complete, and stronger empirical or ProofPack claims remain non-claimable without separate evidence.</w:t>
      </w:r>
    </w:p>
    <w:p>
      <w:pPr>
        <w:pStyle w:val="BodyText"/>
      </w:pPr>
      <w:r>
        <w:t>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bookmarkStart w:id="88" w:name="X89fadc964644c81e9e6623351db1741e06f936a"/>
    <w:p>
      <w:pPr>
        <w:pStyle w:val="Heading2"/>
      </w:pPr>
      <w:r>
        <w:t>14.1 Mature now</w:t>
      </w:r>
    </w:p>
    <w:p>
      <w:pPr>
        <w:pStyle w:val="FirstParagraph"/>
      </w:pPr>
      <w:r>
        <w:t>The cascade architecture is specified: rights floors first, then tail risk, containment, residual scoring, and structural diagnostics.</w:t>
      </w:r>
    </w:p>
    <w:p>
      <w:pPr>
        <w:pStyle w:val="BodyText"/>
      </w:pPr>
      <w:r>
        <w:t>The claim-boundary language is explicit: GitHub-ready does not mean ProofPack-ready, Tier 4-ready, or empirically validated.</w:t>
      </w:r>
    </w:p>
    <w:p>
      <w:pPr>
        <w:pStyle w:val="BodyText"/>
      </w:pPr>
      <w:r>
        <w:t>The audit vocabulary is strong enough for worked-run disclosure and reviewer challenge.</w:t>
      </w:r>
    </w:p>
    <w:bookmarkEnd w:id="88"/>
    <w:bookmarkStart w:id="89" w:name="X134505b465a5001cff0ff22a06819a7a4e417d6"/>
    <w:p>
      <w:pPr>
        <w:pStyle w:val="Heading2"/>
      </w:pPr>
      <w:r>
        <w:t>14.2 Still requiring validation</w:t>
      </w:r>
    </w:p>
    <w:p>
      <w:pPr>
        <w:pStyle w:val="FirstParagraph"/>
      </w:pPr>
      <w:r>
        <w:t>UCI is load-bearing, but cross-domain validated UCI instruments are not yet published.</w:t>
      </w:r>
    </w:p>
    <w:p>
      <w:pPr>
        <w:pStyle w:val="BodyText"/>
      </w:pPr>
      <w:r>
        <w:t>Kernel propagation is design-ready, but domain-calibrated and backtested kernels remain future work.</w:t>
      </w:r>
    </w:p>
    <w:p>
      <w:pPr>
        <w:pStyle w:val="BodyText"/>
      </w:pPr>
      <w:r>
        <w:t>SGP biological evaluation is protection-useful, but individualized biological measurement requires species-appropriate annexes and expert validation.</w:t>
      </w:r>
    </w:p>
    <w:p>
      <w:pPr>
        <w:pStyle w:val="BodyText"/>
      </w:pPr>
      <w:r>
        <w:t>HDW can expose weights, but institutional capture must be actively audited rather than assumed away.</w:t>
      </w:r>
    </w:p>
    <w:p>
      <w:pPr>
        <w:pStyle w:val="BodyText"/>
      </w:pPr>
      <w:r>
        <w:t>PLSS keeps local decisions practical, but escalation triggers must be visible so local convenience does not hide non-local harm.</w:t>
      </w:r>
    </w:p>
    <w:bookmarkEnd w:id="89"/>
    <w:bookmarkStart w:id="90" w:name="X06aed8be96b1cc8cd396839eabb89c68ad2804a"/>
    <w:p>
      <w:pPr>
        <w:pStyle w:val="Heading2"/>
      </w:pPr>
      <w:r>
        <w:t>14.3 Plain-language rule</w:t>
      </w:r>
    </w:p>
    <w:p>
      <w:pPr>
        <w:pStyle w:val="FirstParagraph"/>
      </w:pPr>
      <w:r>
        <w:t>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bookmarkEnd w:id="90"/>
    <w:bookmarkStart w:id="91" w:name="Xd513406e35653d66e420274be45b38ef8d5b204"/>
    <w:p>
      <w:pPr>
        <w:pStyle w:val="Heading2"/>
      </w:pPr>
      <w:r>
        <w:t>14.4 Cross-Artifact Concept Map</w:t>
      </w:r>
    </w:p>
    <w:p>
      <w:pPr>
        <w:pStyle w:val="FirstParagraph"/>
      </w:pPr>
      <w:r>
        <w:t>RippleLogic Canon v12.3.1 is the governing artifact. It defines the cascade, equations, admissibility gates, PCC requirements, claim boundaries, conformance vocabulary, reality-grounding records, schema ownership boundaries, and machine-readable registry expectations.</w:t>
      </w:r>
    </w:p>
    <w:p>
      <w:pPr>
        <w:pStyle w:val="BodyText"/>
      </w:pPr>
      <w:r>
        <w:t>SGP v8.2.1 is the companion moral-status and protection protocol. It provides typed protection and role evidence objects, including an MPS evidence band/interval or MPS-NE status, FPP, GPR, SPR, optional ICP, and informative RMCP/P100. It does not provide a cardinal moral-worth scalar, grant governance authority, or override RippleLogic admissibility gates.</w:t>
      </w:r>
    </w:p>
    <w:p>
      <w:pPr>
        <w:pStyle w:val="BodyText"/>
      </w:pPr>
      <w:r>
        <w:t>ripple.md v5.2.1 is the portable alignment contract and assurance wrapper. It helps implementations record evidence, decision notes, update legitimacy, reality-grounding fields, refusal conditions, and deployment assurance. It does not replace the Canon.</w:t>
      </w:r>
    </w:p>
    <w:p>
      <w:pPr>
        <w:pStyle w:val="BodyText"/>
      </w:pPr>
      <w:r>
        <w:t>RippleLogic Agent System v12.1.1 governs agent deployment, security posture, mode control, operator authority, audit logging, reality-reference closure, refusal, rollback, and runtime conformance. It does not authorize an agent to bypass the Canon.</w:t>
      </w:r>
    </w:p>
    <w:p>
      <w:pPr>
        <w:pStyle w:val="BodyText"/>
      </w:pPr>
      <w:r>
        <w:t>Ripple Aligners Sheet v5.3.1 is a worked-run exemplar and training companion. It helps users inspect and replay a sample run, including FrameworkVerdict and RealityGroundingStatus surfaces. It is not a ProofPack, semantic validator, or reference calculator.</w:t>
      </w:r>
    </w:p>
    <w:p>
      <w:pPr>
        <w:pStyle w:val="BodyText"/>
      </w:pPr>
      <w:r>
        <w:t>Foundations Primer v4.1.1 is explanatory and carries no normative force. It helps readers understand MathGov and RippleLogic in plain language.</w:t>
      </w:r>
    </w:p>
    <w:p>
      <w:pPr>
        <w:pStyle w:val="BodyText"/>
      </w:pPr>
      <w:r>
        <w:t>Release-integrity files document the release package. They verify file integrity and packaging claims, but they do not provide empirical validation or ProofPack readiness.</w:t>
      </w:r>
    </w:p>
    <w:p>
      <w:pPr>
        <w:pStyle w:val="BodyText"/>
      </w:pPr>
      <w:r>
        <w:t>The current release bundles a limited run-record schema, semantic contradiction validator, fixtures, and CI checks for R0/R1 procedural conformance. It does not bundle the complete PCC, Decision Note, gate, SGP, Appendix R, reference-calculator, and calibration ecosystem required for ProofPack or Tier 4. Machine-readable tooling improves checkability and replay readiness but does not by itself establish evidence truth, empirical validity, legal authority, deployment safety, or moral truth.</w:t>
      </w:r>
    </w:p>
    <w:bookmarkEnd w:id="91"/>
    <w:bookmarkStart w:id="92" w:name="X1cd92321463169e995937b585107d33ddca9dac"/>
    <w:p>
      <w:pPr>
        <w:pStyle w:val="Heading2"/>
      </w:pPr>
      <w:r>
        <w:t>14.5 What Changes in Practice</w:t>
      </w:r>
    </w:p>
    <w:p>
      <w:pPr>
        <w:pStyle w:val="FirstParagraph"/>
      </w:pPr>
      <w:r>
        <w:t>A RippleLogic-informed decision process changes institutional practice in five concrete ways.</w:t>
      </w:r>
    </w:p>
    <w:p>
      <w:pPr>
        <w:pStyle w:val="BodyText"/>
      </w:pPr>
      <w:r>
        <w:t>First, rights floors are checked before welfare optimization. A high-scoring option cannot rescue a rights violation.</w:t>
      </w:r>
    </w:p>
    <w:p>
      <w:pPr>
        <w:pStyle w:val="BodyText"/>
      </w:pPr>
      <w:r>
        <w:t>Second, catastrophic tail risk is checked before ordinary ranking. Expected benefits cannot erase unacceptable catastrophic exposure.</w:t>
      </w:r>
    </w:p>
    <w:p>
      <w:pPr>
        <w:pStyle w:val="BodyText"/>
      </w:pPr>
      <w:r>
        <w:t>Third, local gains must be tested against containing systems. A decision that helps a local actor while degrading a household, institution, polity, humanity, or biosphere-level support system requires escalation or refusal.</w:t>
      </w:r>
    </w:p>
    <w:p>
      <w:pPr>
        <w:pStyle w:val="BodyText"/>
      </w:pPr>
      <w:r>
        <w:t>Fourth, uncertainty is not hidden. Weak evidence, missing indicators, unresolved maturity limits, and underdetermined projections must be disclosed.</w:t>
      </w:r>
    </w:p>
    <w:p>
      <w:pPr>
        <w:pStyle w:val="BodyText"/>
      </w:pPr>
      <w:r>
        <w:t>Fifth, the decision record becomes auditable. The system records what was considered, what was excluded, which evidence was used, which assumptions were made, which gates passed or failed, and why selection or refusal occurred.</w:t>
      </w:r>
    </w:p>
    <w:bookmarkEnd w:id="92"/>
    <w:bookmarkEnd w:id="93"/>
    <w:bookmarkStart w:id="98" w:name="X9e6642023dfd019b30e9ed46790d5c70d7da471"/>
    <w:p>
      <w:pPr>
        <w:pStyle w:val="Heading1"/>
      </w:pPr>
      <w:r>
        <w:t>Section 15. Practical Validation Path and Civilizational-OS Boundary</w:t>
      </w:r>
    </w:p>
    <w:bookmarkStart w:id="94" w:name="Xcf88231683fc03a448cbecd18a20cef3f1627cb"/>
    <w:p>
      <w:pPr>
        <w:pStyle w:val="Heading2"/>
      </w:pPr>
      <w:r>
        <w:t>15.1 Civilizational OS as aspiration, not proven status</w:t>
      </w:r>
    </w:p>
    <w:p>
      <w:pPr>
        <w:pStyle w:val="FirstParagraph"/>
      </w:pPr>
      <w:r>
        <w:t>MathGov may be described as a proposed ethical operating system or civilizational operating-system candidate when speaking about its design ambition. That language should remain subordinate to the evidence. The current claimable status is more modest: the MathGov framework is a governance-and-alignment research program with RippleLogic as its ethical decision operating system with a partially calculable ethical decision architecture, an assurance wrapper, and an agent governance companion.</w:t>
      </w:r>
    </w:p>
    <w:bookmarkEnd w:id="94"/>
    <w:bookmarkStart w:id="95" w:name="X3394d72423f871ffd53aed0a169dafe14661012"/>
    <w:p>
      <w:pPr>
        <w:pStyle w:val="Heading2"/>
      </w:pPr>
      <w:r>
        <w:t>15.2 Protection is not participation</w:t>
      </w:r>
    </w:p>
    <w:p>
      <w:pPr>
        <w:pStyle w:val="FirstParagraph"/>
      </w:pPr>
      <w:r>
        <w:t>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bookmarkEnd w:id="95"/>
    <w:bookmarkStart w:id="96" w:name="X500067e0a0ee671d60e7e9aaf82d442a37edf4b"/>
    <w:p>
      <w:pPr>
        <w:pStyle w:val="Heading2"/>
      </w:pPr>
      <w:r>
        <w:t>15.3 Evidence labels for ordinary users</w:t>
      </w:r>
    </w:p>
    <w:p>
      <w:pPr>
        <w:pStyle w:val="FirstParagraph"/>
      </w:pPr>
      <w:r>
        <w:t>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bookmarkEnd w:id="96"/>
    <w:bookmarkStart w:id="97" w:name="X3a49a15e71f3d2b7eaf801657fe5596431edc96"/>
    <w:p>
      <w:pPr>
        <w:pStyle w:val="Heading2"/>
      </w:pPr>
      <w:r>
        <w:t>15.4 Compact profiles</w:t>
      </w:r>
    </w:p>
    <w:p>
      <w:pPr>
        <w:pStyle w:val="FirstParagraph"/>
      </w:pPr>
      <w:r>
        <w:t>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bookmarkEnd w:id="97"/>
    <w:bookmarkEnd w:id="98"/>
    <w:bookmarkStart w:id="99" w:name="Xd438700f42868a8f4fe2dee42b75a44bd340772"/>
    <w:p>
      <w:pPr>
        <w:pStyle w:val="Heading1"/>
      </w:pPr>
      <w:r>
        <w:t>Section 16. Historical Lineage: Why v10.8 Focused on Integration, Not Grand Claims</w:t>
      </w:r>
    </w:p>
    <w:p>
      <w:pPr>
        <w:pStyle w:val="FirstParagraph"/>
      </w:pPr>
      <w:r>
        <w:t>The next meaningful improvement is not a larger claim about civilization. It is better integration: making sure evidence labels, SGP protection boundaries, compact profiles, workbook sanity checks, and release verification all point to the same disciplined claim boundary.</w:t>
      </w:r>
    </w:p>
    <w:p>
      <w:pPr>
        <w:pStyle w:val="BodyText"/>
      </w:pPr>
      <w:r>
        <w:t>A framework can become more trustworthy by saying less, checking more, and refusing false certainty. The historical v10.8 line should be read in that spirit: a clearer, more integrated release foundation, not a claim of empirical completion.</w:t>
      </w:r>
    </w:p>
    <w:p>
      <w:pPr>
        <w:pStyle w:val="BodyText"/>
      </w:pPr>
      <w:r>
        <w:t>The practical path remains: reference calculator, schemas, test vectors, replayable PCC examples, independent reconstruction, inter-rater reliability, and shadow-mode pilots.</w:t>
      </w:r>
    </w:p>
    <w:bookmarkEnd w:id="99"/>
    <w:bookmarkStart w:id="102" w:name="X4abfc8a9dd80116b6ff086ca78d413047002ff1"/>
    <w:p>
      <w:pPr>
        <w:pStyle w:val="Heading1"/>
      </w:pPr>
      <w:r>
        <w:t>Section 17. What the Core Foundation Does and Does Not Include</w:t>
      </w:r>
    </w:p>
    <w:p>
      <w:pPr>
        <w:pStyle w:val="FirstParagraph"/>
      </w:pPr>
      <w:r>
        <w:t>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pPr>
        <w:pStyle w:val="BodyText"/>
      </w:pPr>
      <w:r>
        <w:t>The practical path is staged: v10.8 was the clean core foundation; the current v12.3 line preserves that foundation, carries forward Term Discrimination, and adds Physical Admissibility hardening, while the tooling line develops replayability; later empirical releases must test inter-rater reliability, reconstructability, and shadow-mode pilots before stronger operational-readiness claims are made.</w:t>
      </w:r>
    </w:p>
    <w:p>
      <w:pPr>
        <w:pStyle w:val="BodyText"/>
      </w:pPr>
      <w:r>
        <w:t>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bookmarkStart w:id="100" w:name="glossary-binding"/>
    <w:p>
      <w:pPr>
        <w:pStyle w:val="Heading2"/>
      </w:pPr>
      <w:r>
        <w:t>Glossary Binding</w:t>
      </w:r>
    </w:p>
    <w:p>
      <w:pPr>
        <w:pStyle w:val="FirstParagraph"/>
      </w:pPr>
      <w:r>
        <w:t>All technical terms used in this primer (Rights Floor/RF, NCRC, TRC, CSV, RLS, UCI, HOI, PCC, NCAR, HDW, PLSS, SGP, MPS, FPP, GPR, SPR, ICP, legacy v7 SG_norm/SG_patient_norm fields, rights-admissible, admissible, selectable, selected, Refusal, ProjectionPreRegistration, ComputationalClosure, CategoryCollapseSelfTest, RealityGroundingRecord, RealityGroundingStatus, CMIU, UBR, UBE, MNA, Bridge Premises, Stewardship, Execution Stability Diagnostic, PCC.ExecutionStabilityRecord, ESC_STABLE, ESC_DESTABILIZING_BOUNDED, ESC_ENDPOINT_REFUSED, ESC_UNDERDETERMINED, ripple.md, Aligners) are defined canonically in RippleLogic Canon v12.3.1 Appendix L and SGP v8.2.1. This primer defers to those definitions and adds none of its own.</w:t>
      </w:r>
    </w:p>
    <w:bookmarkEnd w:id="100"/>
    <w:bookmarkStart w:id="101" w:name="version-history"/>
    <w:p>
      <w:pPr>
        <w:pStyle w:val="Heading2"/>
      </w:pPr>
      <w:r>
        <w:t>Version History</w:t>
      </w:r>
    </w:p>
    <w:p>
      <w:pPr>
        <w:pStyle w:val="FirstParagraph"/>
      </w:pPr>
      <w:r>
        <w:t>The current v4.1 release entry appears in Section 23; the entries below preserve earlier v1.x-v2.x lineage.</w:t>
      </w:r>
    </w:p>
    <w:p>
      <w:pPr>
        <w:pStyle w:val="BodyText"/>
      </w:pPr>
      <w:r>
        <w:t>v2.6 (Informative). Synchronized to Core Release 2026.07 and companion artifacts: RippleLogic Canon v10.8 / SGP v5.5 / ripple.md v4.0 / Agent System v10.8 / Aligners Sheet v4.0. Added the Reality Grounding and Lean Cascade Patch, Category Grounding / Primitive Audit explanation, structure-transition-consequence vocabulary, measurement-maturity and deployment-context clarification, HDW capture, PLSS escalation, UCI readiness, kernel posture, biological SGP maturity, and release-boundary cleanup.</w:t>
      </w:r>
    </w:p>
    <w:p>
      <w:pPr>
        <w:pStyle w:val="BodyText"/>
      </w:pPr>
      <w:r>
        <w:t>v2.1 (Informative). Re-pinned to RippleLogic Canon v10.1 / SGP v4.9 / ripple.md v3.4 / Agent System v10.1 / Aligners v3.4; added transition-admissibility and evidence-humility explanation. No normative claims added; companion-to-canon role unchanged.</w:t>
      </w:r>
    </w:p>
    <w:p>
      <w:pPr>
        <w:pStyle w:val="BodyText"/>
      </w:pPr>
      <w:r>
        <w:t>v2.0 (Informative). Promoted from v1.5 to v2.0 to reflect added Section 13 (What v10.0 Adds: Reality-Coupled Methodology) and re-pinning to RippleLogic Canon v10.0 / SGP v4.8 / ripple.md v3.0 / Agent System v10.0 / Aligners v3.0. No normative claims added; companion-to-canon role unchanged.</w:t>
      </w:r>
    </w:p>
    <w:p>
      <w:pPr>
        <w:pStyle w:val="BodyText"/>
      </w:pPr>
      <w:r>
        <w:t>v1.5 (Informative). Added a plain-language Execution Stability section, updated release-line pins to v10.0 / SGP v4.8 / ripple.md v3.0, and clarified that stability is a transition diagnostic subordinate to rights, tail-risk, containment, and legitimate authority.</w:t>
      </w:r>
    </w:p>
    <w:p>
      <w:pPr>
        <w:pStyle w:val="BodyText"/>
      </w:pPr>
      <w:r>
        <w:t>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pPr>
        <w:pStyle w:val="BodyText"/>
      </w:pPr>
      <w:r>
        <w:t>v1.2.1 (Informative). Final-fix release. Corrected Section 10 subsection numbering from 9.x to 10.x (carry-over from v1.2.0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pPr>
        <w:pStyle w:val="BodyText"/>
      </w:pPr>
      <w:r>
        <w:t>v1.2.0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pPr>
        <w:pStyle w:val="BodyText"/>
      </w:pPr>
      <w:r>
        <w:t>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bookmarkEnd w:id="101"/>
    <w:bookmarkEnd w:id="102"/>
    <w:bookmarkStart w:id="103" w:name="X054d2b7958ab8e2af68626c02e70d17040d02ad"/>
    <w:p>
      <w:pPr>
        <w:pStyle w:val="Heading1"/>
      </w:pPr>
      <w:r>
        <w:t>Appendix A: Position, Precedence, and Release Package</w:t>
      </w:r>
    </w:p>
    <w:p>
      <w:pPr>
        <w:pStyle w:val="FirstParagraph"/>
      </w:pPr>
      <w:r>
        <w:t>This appendix preserves the primer’s informative status, pinning, reader guide, and release-package orientation moved out of the opening pages in v2.6. It does not create normative force and does not alter the Canon.</w:t>
      </w:r>
    </w:p>
    <w:bookmarkEnd w:id="103"/>
    <w:bookmarkStart w:id="105" w:name="section-0-position-and-precedence"/>
    <w:p>
      <w:pPr>
        <w:pStyle w:val="Heading1"/>
      </w:pPr>
      <w:r>
        <w:t>Section 0. Position and Precedence</w:t>
      </w:r>
    </w:p>
    <w:p>
      <w:pPr>
        <w:pStyle w:val="FirstParagraph"/>
      </w:pPr>
      <w:r>
        <w:t>This document is an Informative companion to MathGov Core Release 2026.09, governed by RippleLogic Canon v12.3.1. Its purpose is to make the foundations of MathGov, RippleLogic, and the Sentience Gradient Protocol (SGP) understandable to educated human readers in plain language, without weakening or replacing the normative content of the Canon.</w:t>
      </w:r>
    </w:p>
    <w:p>
      <w:pPr>
        <w:pStyle w:val="BodyText"/>
      </w:pPr>
      <w:r>
        <w:t>Normative status: This document is Informative. It carries no normative force. Where any sentence in this primer appears to conflict with the canonical specifications, the canonical specifications govern in the order set out in Canon Section 0.1.</w:t>
      </w:r>
    </w:p>
    <w:p>
      <w:pPr>
        <w:pStyle w:val="BodyText"/>
      </w:pPr>
      <w:r>
        <w:t>Pinning: This primer is pinned to RippleLogic Canon v12.3.1, SGP v8.2.1, ripple.md Standard v5.2, WDBIP v1.3, RippleLogic Agent System v12.1.1, Aligners Sheet v5.3.1, Cascade Standard v2.3, CSV Gate Standard v2.1, and RLS Validation Protocol v2.3. Any successor release line should re-pin this primer or supersede it explicitly.</w:t>
      </w:r>
    </w:p>
    <w:p>
      <w:pPr>
        <w:pStyle w:val="BodyText"/>
      </w:pPr>
      <w:r>
        <w:t>Audience: Policy practitioners, governance reviewers, legal staff, public-sector technologists, and educated general readers who need to understand what MathGov claims, what it does not claim, and how its decision architecture works in operational terms.</w:t>
      </w:r>
    </w:p>
    <w:p>
      <w:pPr>
        <w:pStyle w:val="BodyText"/>
      </w:pPr>
      <w:r>
        <w:t>This primer is explanatory only and does not itself create conformance claims; release identity, claim scope, and normative force remain governed by the pinned canonical artifacts and release manifest.</w:t>
      </w:r>
    </w:p>
    <w:bookmarkStart w:id="104" w:name="reader-guide"/>
    <w:p>
      <w:pPr>
        <w:pStyle w:val="Heading2"/>
      </w:pPr>
      <w:r>
        <w:t>Reader Guide</w:t>
      </w:r>
    </w:p>
    <w:p>
      <w:pPr>
        <w:pStyle w:val="FirstParagraph"/>
      </w:pPr>
      <w:r>
        <w:t>If you are new to MathGov, read Sections 1, 2, 4, 7, 8, and 12 first. These sections explain the purpose, boundaries, union logic, cascade, decision states, and governing posture of the framework in plain language.</w:t>
      </w:r>
    </w:p>
    <w:p>
      <w:pPr>
        <w:pStyle w:val="BodyText"/>
      </w:pPr>
      <w:r>
        <w:t>If you are reviewing the system for technical or institutional use, read Sections 3, 3A, 3B, 5, 9, 10, 11, and 13 next. These sections identify the declared primitives, assumptions, critical separations, SGP interface, and operating sequence.</w:t>
      </w:r>
    </w:p>
    <w:p>
      <w:pPr>
        <w:pStyle w:val="BodyText"/>
      </w:pPr>
      <w:r>
        <w:t>If a term in this primer appears to conflict with the canon, the canon controls. This primer is an explanatory bridge, not the source of normative force.</w:t>
      </w:r>
    </w:p>
    <w:p>
      <w:pPr>
        <w:pStyle w:val="BodyText"/>
      </w:pPr>
      <w:r>
        <w:t>How to read the release package</w:t>
      </w:r>
    </w:p>
    <w:p>
      <w:pPr>
        <w:pStyle w:val="BodyText"/>
      </w:pPr>
      <w:r>
        <w:t>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pPr>
        <w:pStyle w:val="BodyText"/>
      </w:pPr>
      <w:r>
        <w:t>A simple rule: the core tells you what the system is; the companion files tell you how to understand, test, audit, and eventually validate it.</w:t>
      </w:r>
    </w:p>
    <w:bookmarkEnd w:id="104"/>
    <w:bookmarkEnd w:id="105"/>
    <w:bookmarkStart w:id="110" w:name="X62608f7fb83679dfb7ed1dbdfd3a601d279504d"/>
    <w:p>
      <w:pPr>
        <w:pStyle w:val="Heading1"/>
      </w:pPr>
      <w:r>
        <w:t>Section 18. Historical v2.6 Update: Computable Is Not Automatically Admissible</w:t>
      </w:r>
    </w:p>
    <w:bookmarkStart w:id="106" w:name="Xd9d95ad49007d96c5d539ccd4e38ea8ca01bca6"/>
    <w:p>
      <w:pPr>
        <w:pStyle w:val="Heading2"/>
      </w:pPr>
      <w:r>
        <w:t>18.1 Plain-language rule</w:t>
      </w:r>
    </w:p>
    <w:p>
      <w:pPr>
        <w:pStyle w:val="FirstParagraph"/>
      </w:pPr>
      <w:r>
        <w:t>The carried-forward v10.8 line added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bookmarkEnd w:id="106"/>
    <w:bookmarkStart w:id="107" w:name="Xeeeded9abae0608ec1217aa4f49fae2bd9e1751"/>
    <w:p>
      <w:pPr>
        <w:pStyle w:val="Heading2"/>
      </w:pPr>
      <w:r>
        <w:t>18.2 Why this matters</w:t>
      </w:r>
    </w:p>
    <w:p>
      <w:pPr>
        <w:pStyle w:val="FirstParagraph"/>
      </w:pPr>
      <w:r>
        <w:t>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bookmarkEnd w:id="107"/>
    <w:bookmarkStart w:id="108" w:name="Xb01f7f993a254a68245ee40bdc423a359b97135"/>
    <w:p>
      <w:pPr>
        <w:pStyle w:val="Heading2"/>
      </w:pPr>
      <w:r>
        <w:t>18.3 Adaptive reserve</w:t>
      </w:r>
    </w:p>
    <w:p>
      <w:pPr>
        <w:pStyle w:val="FirstParagraph"/>
      </w:pPr>
      <w:r>
        <w:t>The carried-forward v10.8 line also added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bookmarkEnd w:id="108"/>
    <w:bookmarkStart w:id="109" w:name="X0fd35a11daa46179c97de8b3038e43a25f1a99d"/>
    <w:p>
      <w:pPr>
        <w:pStyle w:val="Heading2"/>
      </w:pPr>
      <w:r>
        <w:t>18.4 v2.6 release delta</w:t>
      </w:r>
    </w:p>
    <w:p>
      <w:pPr>
        <w:pStyle w:val="FirstParagraph"/>
      </w:pPr>
      <w:r>
        <w:t>The Primer v2.6 explains the Canon v10.8 / SGP v5.5 layer-discipline update in plain language, including Canon Appendix AE. It remains informative only and does not replace the Canon, SGP, ripple.md, Agent System, or Aligners Sheet.</w:t>
      </w:r>
    </w:p>
    <w:bookmarkEnd w:id="109"/>
    <w:bookmarkEnd w:id="110"/>
    <w:bookmarkStart w:id="115" w:name="Xcaeb79a9768baa3ed30e61c01b523ff839b5193"/>
    <w:p>
      <w:pPr>
        <w:pStyle w:val="Heading1"/>
      </w:pPr>
      <w:r>
        <w:t>Section 19. Historical v2.6.1 Update: Framework Verdict Is Not Authority Selection</w:t>
      </w:r>
    </w:p>
    <w:bookmarkStart w:id="111" w:name="Xab8ed42762d24498376c4ece9b62950a49cc30d"/>
    <w:p>
      <w:pPr>
        <w:pStyle w:val="Heading2"/>
      </w:pPr>
      <w:r>
        <w:t>19.1 Plain-language rule</w:t>
      </w:r>
    </w:p>
    <w:p>
      <w:pPr>
        <w:pStyle w:val="FirstParagraph"/>
      </w:pPr>
      <w:r>
        <w:t>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bookmarkEnd w:id="111"/>
    <w:bookmarkStart w:id="112" w:name="Xec9bcc1f2a271809fb77613501e458a74588a11"/>
    <w:p>
      <w:pPr>
        <w:pStyle w:val="Heading2"/>
      </w:pPr>
      <w:r>
        <w:t>19.2 Why this matters</w:t>
      </w:r>
    </w:p>
    <w:p>
      <w:pPr>
        <w:pStyle w:val="FirstParagraph"/>
      </w:pPr>
      <w:r>
        <w:t>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bookmarkEnd w:id="112"/>
    <w:bookmarkStart w:id="113" w:name="X6c2f3662b25d90648322aa6bb48eb2fee35e42f"/>
    <w:p>
      <w:pPr>
        <w:pStyle w:val="Heading2"/>
      </w:pPr>
      <w:r>
        <w:t>19.3 Coverage and projection discipline</w:t>
      </w:r>
    </w:p>
    <w:p>
      <w:pPr>
        <w:pStyle w:val="FirstParagraph"/>
      </w:pPr>
      <w:r>
        <w:t>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bookmarkEnd w:id="113"/>
    <w:bookmarkStart w:id="114" w:name="X9a4e0a33aa20d47174da4c8ff1c0209089fea5d"/>
    <w:p>
      <w:pPr>
        <w:pStyle w:val="Heading2"/>
      </w:pPr>
      <w:r>
        <w:t>19.4 v2.6.1 release delta</w:t>
      </w:r>
    </w:p>
    <w:p>
      <w:pPr>
        <w:pStyle w:val="FirstParagraph"/>
      </w:pPr>
      <w:r>
        <w:t>The Primer v2.6.1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bookmarkEnd w:id="114"/>
    <w:bookmarkEnd w:id="115"/>
    <w:bookmarkStart w:id="116" w:name="Xdaf5352f0a8f8ca866ad302b00dbd41470369b6"/>
    <w:p>
      <w:pPr>
        <w:pStyle w:val="Heading1"/>
      </w:pPr>
      <w:r>
        <w:t>Section 20. Historical v2.6 Update Summary: Reality Grounding and Lean Cascade</w:t>
      </w:r>
    </w:p>
    <w:p>
      <w:pPr>
        <w:pStyle w:val="FirstParagraph"/>
      </w:pPr>
      <w:r>
        <w:t>The v2.6 primer teaches the five-level method: Reality Grounding -&gt; Rights Floor -&gt; TRC -&gt; CSV -&gt; RLS.</w:t>
      </w:r>
    </w:p>
    <w:p>
      <w:pPr>
        <w:pStyle w:val="BodyText"/>
      </w:pPr>
      <w:r>
        <w:t>Public mantra: Ground -&gt; Protect -&gt; Bound -&gt; Contain -&gt; Score.</w:t>
      </w:r>
    </w:p>
    <w:p>
      <w:pPr>
        <w:pStyle w:val="BodyText"/>
      </w:pPr>
      <w:r>
        <w:t>UCI/HOI are explained as structural sensors used inside Containment when material and only as special-case tie-break or monitoring tools when RLS is tied, close, or non-decisive.</w:t>
      </w:r>
    </w:p>
    <w:bookmarkEnd w:id="116"/>
    <w:bookmarkStart w:id="117" w:name="X01fd3ff403276c8989a0f67ff872fa9472f698f"/>
    <w:p>
      <w:pPr>
        <w:pStyle w:val="Heading1"/>
      </w:pPr>
      <w:r>
        <w:t>Section 21. Category Grounding Patch Summary</w:t>
      </w:r>
    </w:p>
    <w:p>
      <w:pPr>
        <w:pStyle w:val="FirstParagraph"/>
      </w:pPr>
      <w:r>
        <w:t>The Category Grounding patch clarifies that Category Grounding, Primitive Audit, Reference Category Review, Definition Falsification Test, and Category-Reality Correspondence Check belong to one group inside Reality Grounding when material. They are not separate headline gates. They help MathGov avoid optimizing inherited assumptions or building governance layers on top of unexamined definitions.</w:t>
      </w:r>
    </w:p>
    <w:p>
      <w:pPr>
        <w:pStyle w:val="BodyText"/>
      </w:pPr>
      <w:r>
        <w:t>Public mantra update: Ground the category, ground the surface, protect the floor, bound ruin, contain structural damage, then score only what remains admissible. The short five-level public method remains Ground -&gt; Protect -&gt; Bound -&gt; Contain -&gt; Score.</w:t>
      </w:r>
    </w:p>
    <w:bookmarkEnd w:id="117"/>
    <w:bookmarkStart w:id="120" w:name="X0f98d1e7c0c3d57994350270e6d9d24ca4f1fc6"/>
    <w:p>
      <w:pPr>
        <w:pStyle w:val="Heading1"/>
      </w:pPr>
      <w:r>
        <w:t>Section 22. Term Discrimination: The Words Must Hold</w:t>
      </w:r>
    </w:p>
    <w:p>
      <w:pPr>
        <w:pStyle w:val="FirstParagraph"/>
      </w:pPr>
      <w:r>
        <w:t>MathGov now makes one hidden discipline explicit: before a system governs with a word, it must know what the word means, what it excludes, what separates it from neighboring words, and when the word is too weak for the claim being made.</w:t>
      </w:r>
    </w:p>
    <w:p>
      <w:pPr>
        <w:pStyle w:val="BodyText"/>
      </w:pPr>
      <w:r>
        <w:t>This is Term Discrimination. It belongs inside Category Grounding, which belongs inside Reality Grounding. It is not a new sixth step. The public sequence remains: Reality Grounding -&gt; Rights Floor -&gt; TRC -&gt; CSV -&gt; RLS.</w:t>
      </w:r>
    </w:p>
    <w:p>
      <w:pPr>
        <w:pStyle w:val="BodyText"/>
      </w:pPr>
      <w:r>
        <w:t>A material term should answer five questions:</w:t>
      </w:r>
    </w:p>
    <w:p>
      <w:pPr>
        <w:pStyle w:val="Compact"/>
        <w:numPr>
          <w:ilvl w:val="0"/>
          <w:numId w:val="1002"/>
        </w:numPr>
      </w:pPr>
      <w:r>
        <w:t>What does this term mean in this run?</w:t>
      </w:r>
    </w:p>
    <w:p>
      <w:pPr>
        <w:pStyle w:val="Compact"/>
        <w:numPr>
          <w:ilvl w:val="0"/>
          <w:numId w:val="1002"/>
        </w:numPr>
      </w:pPr>
      <w:r>
        <w:t>What does it exclude?</w:t>
      </w:r>
    </w:p>
    <w:p>
      <w:pPr>
        <w:pStyle w:val="Compact"/>
        <w:numPr>
          <w:ilvl w:val="0"/>
          <w:numId w:val="1002"/>
        </w:numPr>
      </w:pPr>
      <w:r>
        <w:t>What discriminator separates it from nearby terms?</w:t>
      </w:r>
    </w:p>
    <w:p>
      <w:pPr>
        <w:pStyle w:val="Compact"/>
        <w:numPr>
          <w:ilvl w:val="0"/>
          <w:numId w:val="1002"/>
        </w:numPr>
      </w:pPr>
      <w:r>
        <w:t>Where does it sit in the dependency order of the decision?</w:t>
      </w:r>
    </w:p>
    <w:p>
      <w:pPr>
        <w:pStyle w:val="Compact"/>
        <w:numPr>
          <w:ilvl w:val="0"/>
          <w:numId w:val="1002"/>
        </w:numPr>
      </w:pPr>
      <w:r>
        <w:t>What condition forces narrowing, escalation, monitoring-only use, sensitivity-only use, or refusal?</w:t>
      </w:r>
    </w:p>
    <w:bookmarkStart w:id="118" w:name="Xaf4ff5916b6a5226f560808ee23528010c3ad93"/>
    <w:p>
      <w:pPr>
        <w:pStyle w:val="Heading2"/>
      </w:pPr>
      <w:r>
        <w:t>22.1 Do-not-collapse matrix</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Do not collapse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Plain 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 is not evidence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is contact with a surface of reality, not the whole territory.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Evidence is not interpretation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must still be interpreted under uncertainty and values.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 category is not a metric</w:t>
            </w:r>
          </w:p>
        </w:tc>
        <w:tc>
          <w:tcPr>
            <w:vAlign w:val="top"/>
            <w:tcMar>
              <w:top w:w="70" w:type="dxa"/>
              <w:start w:w="80" w:type="dxa"/>
              <w:bottom w:w="70" w:type="dxa"/>
              <w:end w:w="80" w:type="dxa"/>
            </w:tcMar>
            <w:shd w:fill="D9EAF7"/>
          </w:tcPr>
          <w:p>
            <w:pPr>
              <w:pStyle w:val="Compact"/>
              <w:jc w:val="left"/>
            </w:pPr>
            <w:r>
              <w:rPr>
                <w:rFonts w:ascii="Arial" w:hAnsi="Arial" w:eastAsia="Arial"/>
                <w:sz w:val="16"/>
              </w:rPr>
              <w:t>A metric can only measure what its category correctly defines.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 score is not truth</w:t>
            </w:r>
          </w:p>
        </w:tc>
        <w:tc>
          <w:tcPr>
            <w:vAlign w:val="top"/>
            <w:tcMar>
              <w:top w:w="70" w:type="dxa"/>
              <w:start w:w="80" w:type="dxa"/>
              <w:bottom w:w="70" w:type="dxa"/>
              <w:end w:w="80" w:type="dxa"/>
            </w:tcMar>
            <w:shd w:fill="FFFFFF"/>
          </w:tcPr>
          <w:p>
            <w:pPr>
              <w:pStyle w:val="Compact"/>
              <w:jc w:val="left"/>
            </w:pPr>
            <w:r>
              <w:rPr>
                <w:rFonts w:ascii="Arial" w:hAnsi="Arial" w:eastAsia="Arial"/>
                <w:sz w:val="16"/>
              </w:rPr>
              <w:t>RLS ranks remaining options; it does not prove reality.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Compliance is not correctness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A system can follow rules that are incomplete or wrong.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Certification is not validity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Certification records evidence; it does not manufacture truth.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Permission is not admissibility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Approval does not mean the option passed MathGov gates.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Monitoring is not control</w:t>
            </w:r>
          </w:p>
        </w:tc>
        <w:tc>
          <w:tcPr>
            <w:vAlign w:val="top"/>
            <w:tcMar>
              <w:top w:w="70" w:type="dxa"/>
              <w:start w:w="80" w:type="dxa"/>
              <w:bottom w:w="70" w:type="dxa"/>
              <w:end w:w="80" w:type="dxa"/>
            </w:tcMar>
            <w:shd w:fill="FFFFFF"/>
          </w:tcPr>
          <w:p>
            <w:pPr>
              <w:pStyle w:val="Compact"/>
              <w:jc w:val="left"/>
            </w:pPr>
            <w:r>
              <w:rPr>
                <w:rFonts w:ascii="Arial" w:hAnsi="Arial" w:eastAsia="Arial"/>
                <w:sz w:val="16"/>
              </w:rPr>
              <w:t>Watching a system does not mean preventing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Safety is not stability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 safety claim needs bounded conditions; stability needs structural integrity.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Stability is not justice</w:t>
            </w:r>
          </w:p>
        </w:tc>
        <w:tc>
          <w:tcPr>
            <w:vAlign w:val="top"/>
            <w:tcMar>
              <w:top w:w="70" w:type="dxa"/>
              <w:start w:w="80" w:type="dxa"/>
              <w:bottom w:w="70" w:type="dxa"/>
              <w:end w:w="80" w:type="dxa"/>
            </w:tcMar>
            <w:shd w:fill="FFFFFF"/>
          </w:tcPr>
          <w:p>
            <w:pPr>
              <w:pStyle w:val="Compact"/>
              <w:jc w:val="left"/>
            </w:pPr>
            <w:r>
              <w:rPr>
                <w:rFonts w:ascii="Arial" w:hAnsi="Arial" w:eastAsia="Arial"/>
                <w:sz w:val="16"/>
              </w:rPr>
              <w:t>A stable system can still violate rights.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Automation is not autonomy</w:t>
            </w:r>
          </w:p>
        </w:tc>
        <w:tc>
          <w:tcPr>
            <w:vAlign w:val="top"/>
            <w:tcMar>
              <w:top w:w="70" w:type="dxa"/>
              <w:start w:w="80" w:type="dxa"/>
              <w:bottom w:w="70" w:type="dxa"/>
              <w:end w:w="80" w:type="dxa"/>
            </w:tcMar>
            <w:shd w:fill="D9EAF7"/>
          </w:tcPr>
          <w:p>
            <w:pPr>
              <w:pStyle w:val="Compact"/>
              <w:jc w:val="left"/>
            </w:pPr>
            <w:r>
              <w:rPr>
                <w:rFonts w:ascii="Arial" w:hAnsi="Arial" w:eastAsia="Arial"/>
                <w:sz w:val="16"/>
              </w:rPr>
              <w:t>Automated execution is not accountable self-direction.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Protection is not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Moral protection does not grant governance power.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Selected is not executable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A selected option still needs authority and execution controls.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Capability is not authority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Being able to act does not make action legitimate.</w:t>
            </w:r>
          </w:p>
        </w:tc>
      </w:tr>
    </w:tbl>
    <w:p>
      <w:pPr>
        <w:pStyle w:val="BodyText"/>
      </w:pPr>
      <w:r>
        <w:t>Plain-language rule. Bad words create bad measurements. Bad measurements create bad optimization. Bad optimization creates real harm. MathGov therefore grounds the words before it trusts the score.</w:t>
      </w:r>
    </w:p>
    <w:bookmarkEnd w:id="118"/>
    <w:bookmarkStart w:id="119" w:name="X9bfbe2cd15d15609ce737e503170238caee9af2"/>
    <w:p>
      <w:pPr>
        <w:pStyle w:val="Heading2"/>
      </w:pPr>
      <w:r>
        <w:t>22.2 Public examples</w:t>
      </w:r>
    </w:p>
    <w:p>
      <w:pPr>
        <w:pStyle w:val="FirstParagraph"/>
      </w:pPr>
      <w:r>
        <w:t>A school that defines learning only as test-score improvement may optimize the dashboard while weakening real understanding. A company that defines productivity only as output per hour may improve reports while hollowing trust, health, and retention. An AI lab that defines safety as monitoring may watch risks it has not actually controlled. A regulator that treats certification as validity may approve a system whose category, evidence, or reference structure was never strong enough for the claim.</w:t>
      </w:r>
    </w:p>
    <w:p>
      <w:pPr>
        <w:pStyle w:val="BodyText"/>
      </w:pPr>
      <w:r>
        <w:t>Term Discrimination is the shield against this drift. It does not make MathGov more complicated for its own sake. It makes the framework harder to game, easier to audit, and more honest about what its words can support.</w:t>
      </w:r>
    </w:p>
    <w:bookmarkEnd w:id="119"/>
    <w:bookmarkEnd w:id="120"/>
    <w:bookmarkStart w:id="128" w:name="X795d8949e4fa88902c91f5af1e52d2ff75a1a49"/>
    <w:p>
      <w:pPr>
        <w:pStyle w:val="Heading1"/>
      </w:pPr>
      <w:r>
        <w:t>Section 23. Release Update Summary: v4.0 Current Companion</w:t>
      </w:r>
    </w:p>
    <w:bookmarkStart w:id="121" w:name="v41-current-release-entry"/>
    <w:p>
      <w:pPr>
        <w:pStyle w:val="Heading2"/>
      </w:pPr>
      <w:r>
        <w:t>v4.1 Current Release Entry</w:t>
      </w:r>
    </w:p>
    <w:p>
      <w:pPr>
        <w:pStyle w:val="FirstParagraph"/>
      </w:pPr>
      <w:r>
        <w:t>v4.1 (Informative). Synchronizes the Primer with Canon v12.3.1, SGP v8.2.1, ripple.md v5.2.1, WDBIP v1.3, Agent System v12.1.1, and Aligners Sheet v5.3.1. It preserves the public two-phase and five-stage explanation while adding only bounded implementation guidance: consequence-tempo assurance, responsibility continuity, welfare-boundary discipline, and run-record v2 conformance. These do not add public stages, create empirical validation, or grant execution authority.</w:t>
      </w:r>
    </w:p>
    <w:bookmarkEnd w:id="121"/>
    <w:bookmarkStart w:id="122" w:name="v40-retained-release-entry-lineage"/>
    <w:p>
      <w:pPr>
        <w:pStyle w:val="Heading2"/>
      </w:pPr>
      <w:r>
        <w:t>v4.0 Retained Release Entry (Lineage)</w:t>
      </w:r>
    </w:p>
    <w:p>
      <w:pPr>
        <w:pStyle w:val="FirstParagraph"/>
      </w:pPr>
      <w:r>
        <w:t>v4.0 (Informative). Synchronizes the Primer with MathGov Core v12.2 / Canon v12.2 / SGP v8.2.1 / ripple.md v5.2.1 / Agent System v12.0.1 / Aligners Sheet v5.2.1. It teaches the two-phase method: first qualify options through RG -&gt; RF -&gt; TRC -&gt; CSV, then rank survivors through RLS. It carries forward Term Discrimination and Semantic Stability while adding the Physical Admissibility boundary: governance permission is not physical safety proof, generated candidates are not admissibility warrants, and PC-AEP belongs inside RG and CSV when material.</w:t>
      </w:r>
    </w:p>
    <w:bookmarkEnd w:id="122"/>
    <w:bookmarkStart w:id="123" w:name="historical-primer-lineage-note"/>
    <w:p>
      <w:pPr>
        <w:pStyle w:val="Heading2"/>
      </w:pPr>
      <w:r>
        <w:t>Historical Primer Lineage Note</w:t>
      </w:r>
    </w:p>
    <w:p>
      <w:pPr>
        <w:pStyle w:val="FirstParagraph"/>
      </w:pPr>
      <w:r>
        <w:t>Earlier v1.x-v4.0 entries below are retained as lineage notes only. They do not control current v4.1 interpretation.</w:t>
      </w:r>
    </w:p>
    <w:p>
      <w:pPr>
        <w:pStyle w:val="BodyText"/>
      </w:pPr>
      <w:r>
        <w:t>The retained Primer v4.0 entry records the Canon v12.2 / SGP v8.1-line / ripple.md v5.0-line / Agent v12.0-line / Aligners v5.2-line synchronization at that time. The major v12.0 addition is the Physical Admissibility Release, carrying forward the Term Discrimination and Semantic Stability Patch. It adds explicit CSV treatment for Containment and Structural Viability while carrying forward the public discipline of naming the discriminator, dependency position, non-collapse risks, and refusal condition for material terms.</w:t>
      </w:r>
    </w:p>
    <w:p>
      <w:pPr>
        <w:pStyle w:val="BodyText"/>
      </w:pPr>
      <w:r>
        <w:t>Public mantra update: Ground the words, ground the surface, protect the floor, bound ruin, contain structural damage, then score only what remains admissible. The short five-level public method remains Ground -&gt; Protect -&gt; Bound -&gt; Contain -&gt; Score.</w:t>
      </w:r>
    </w:p>
    <w:bookmarkEnd w:id="123"/>
    <w:bookmarkStart w:id="124" w:name="X403e08993d066a91d0e8b0ad94c887d0367851b"/>
    <w:p>
      <w:pPr>
        <w:pStyle w:val="Heading2"/>
      </w:pPr>
      <w:r>
        <w:t>Computable, realizable, and ethical are not the same</w:t>
      </w:r>
    </w:p>
    <w:p>
      <w:pPr>
        <w:pStyle w:val="FirstParagraph"/>
      </w:pPr>
      <w:r>
        <w:t>A modern AI system can generate far more than reality can carry. RippleLogic therefore refuses the shortcut from possibility to selection. A generated option may be computable, fluent, executable by a tool, or attractive in a dashboard and still fail the cascade.</w:t>
      </w:r>
    </w:p>
    <w:p>
      <w:pPr>
        <w:pStyle w:val="BodyText"/>
      </w:pPr>
      <w:r>
        <w:t>The public rule is:</w:t>
      </w:r>
      <w:r>
        <w:t xml:space="preserve"> </w:t>
      </w:r>
      <w:r>
        <w:rPr>
          <w:b/>
          <w:bCs/>
        </w:rPr>
        <w:t>Computable is not selectable. Generated is not grounded. Executable is not ethical. Realizable is necessary but not sufficient.</w:t>
      </w:r>
    </w:p>
    <w:p>
      <w:pPr>
        <w:pStyle w:val="BodyText"/>
      </w:pPr>
      <w:r>
        <w:t>This is why the cascade begins with Reality Grounding and ends with RLS only after Rights Floor, TRC, and CSV have formed the selectable set.</w:t>
      </w:r>
    </w:p>
    <w:p>
      <w:pPr>
        <w:pStyle w:val="BlockText"/>
      </w:pPr>
      <w:r>
        <w:t>HISTORICAL LINEAGE - NOT CURRENT SPEC. The following passages preserve prior component pins for provenance only. Current pins are stated in the v4.1 front matter and release manifest.</w:t>
      </w:r>
    </w:p>
    <w:p>
      <w:pPr>
        <w:pStyle w:val="FirstParagraph"/>
      </w:pPr>
      <w:r>
        <w:t>Historical lineage note: release-history sections are informative and are not current governing specifications. Current v4.1 pins are controlled by the release manifest.</w:t>
      </w:r>
    </w:p>
    <w:bookmarkEnd w:id="124"/>
    <w:bookmarkStart w:id="125" w:name="methodological-integrity-primer-note"/>
    <w:p>
      <w:pPr>
        <w:pStyle w:val="Heading2"/>
      </w:pPr>
      <w:r>
        <w:t>Methodological integrity primer note</w:t>
      </w:r>
    </w:p>
    <w:p>
      <w:pPr>
        <w:pStyle w:val="FirstParagraph"/>
      </w:pPr>
      <w:r>
        <w:t>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125"/>
    <w:bookmarkStart w:id="126" w:name="framework-relationship-map"/>
    <w:p>
      <w:pPr>
        <w:pStyle w:val="Heading2"/>
      </w:pPr>
      <w:r>
        <w:t>Framework relationship map</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MathGov</w:t>
            </w:r>
          </w:p>
        </w:tc>
        <w:tc>
          <w:tcPr>
            <w:vAlign w:val="top"/>
            <w:tcMar>
              <w:top w:w="70" w:type="dxa"/>
              <w:start w:w="80" w:type="dxa"/>
              <w:bottom w:w="70" w:type="dxa"/>
              <w:end w:w="80" w:type="dxa"/>
            </w:tcMar>
            <w:shd w:fill="D9EAF7"/>
          </w:tcPr>
          <w:p>
            <w:pPr>
              <w:pStyle w:val="Compact"/>
              <w:jc w:val="left"/>
            </w:pPr>
            <w:r>
              <w:rPr>
                <w:rFonts w:ascii="Arial" w:hAnsi="Arial" w:eastAsia="Arial"/>
                <w:sz w:val="16"/>
              </w:rPr>
              <w:t>Umbrella ethical governance framework.</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RippleLogic</w:t>
            </w:r>
          </w:p>
        </w:tc>
        <w:tc>
          <w:tcPr>
            <w:vAlign w:val="top"/>
            <w:tcMar>
              <w:top w:w="70" w:type="dxa"/>
              <w:start w:w="80" w:type="dxa"/>
              <w:bottom w:w="70" w:type="dxa"/>
              <w:end w:w="80" w:type="dxa"/>
            </w:tcMar>
            <w:shd w:fill="FFFFFF"/>
          </w:tcPr>
          <w:p>
            <w:pPr>
              <w:pStyle w:val="Compact"/>
              <w:jc w:val="left"/>
            </w:pPr>
            <w:r>
              <w:rPr>
                <w:rFonts w:ascii="Arial" w:hAnsi="Arial" w:eastAsia="Arial"/>
                <w:sz w:val="16"/>
              </w:rPr>
              <w:t>Decision architecture inside MathGov.</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Companion moral-status and protection protocol.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ripple.md</w:t>
            </w:r>
          </w:p>
        </w:tc>
        <w:tc>
          <w:tcPr>
            <w:vAlign w:val="top"/>
            <w:tcMar>
              <w:top w:w="70" w:type="dxa"/>
              <w:start w:w="80" w:type="dxa"/>
              <w:bottom w:w="70" w:type="dxa"/>
              <w:end w:w="80" w:type="dxa"/>
            </w:tcMar>
            <w:shd w:fill="FFFFFF"/>
          </w:tcPr>
          <w:p>
            <w:pPr>
              <w:pStyle w:val="Compact"/>
              <w:jc w:val="left"/>
            </w:pPr>
            <w:r>
              <w:rPr>
                <w:rFonts w:ascii="Arial" w:hAnsi="Arial" w:eastAsia="Arial"/>
                <w:sz w:val="16"/>
              </w:rPr>
              <w:t>Portable wrapper and Decision Note standard.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Agent System</w:t>
            </w:r>
          </w:p>
        </w:tc>
        <w:tc>
          <w:tcPr>
            <w:vAlign w:val="top"/>
            <w:tcMar>
              <w:top w:w="70" w:type="dxa"/>
              <w:start w:w="80" w:type="dxa"/>
              <w:bottom w:w="70" w:type="dxa"/>
              <w:end w:w="80" w:type="dxa"/>
            </w:tcMar>
            <w:shd w:fill="D9EAF7"/>
          </w:tcPr>
          <w:p>
            <w:pPr>
              <w:pStyle w:val="Compact"/>
              <w:jc w:val="left"/>
            </w:pPr>
            <w:r>
              <w:rPr>
                <w:rFonts w:ascii="Arial" w:hAnsi="Arial" w:eastAsia="Arial"/>
                <w:sz w:val="16"/>
              </w:rPr>
              <w:t>Runtime control architecture for AI/hybrid agents.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Aligners Sheet</w:t>
            </w:r>
          </w:p>
        </w:tc>
        <w:tc>
          <w:tcPr>
            <w:vAlign w:val="top"/>
            <w:tcMar>
              <w:top w:w="70" w:type="dxa"/>
              <w:start w:w="80" w:type="dxa"/>
              <w:bottom w:w="70" w:type="dxa"/>
              <w:end w:w="80" w:type="dxa"/>
            </w:tcMar>
            <w:shd w:fill="FFFFFF"/>
          </w:tcPr>
          <w:p>
            <w:pPr>
              <w:pStyle w:val="Compact"/>
              <w:jc w:val="left"/>
            </w:pPr>
            <w:r>
              <w:rPr>
                <w:rFonts w:ascii="Arial" w:hAnsi="Arial" w:eastAsia="Arial"/>
                <w:sz w:val="16"/>
              </w:rPr>
              <w:t>Worked-run exemplar, not validator.</w:t>
            </w:r>
          </w:p>
        </w:tc>
      </w:tr>
    </w:tbl>
    <w:bookmarkEnd w:id="126"/>
    <w:bookmarkStart w:id="127" w:name="Xfe5f006128895a5d6181d105a8e532d3e0a1f91"/>
    <w:p>
      <w:pPr>
        <w:pStyle w:val="Heading2"/>
      </w:pPr>
      <w:r>
        <w:t>Three use profiles: easy when simple, complete when necessary</w:t>
      </w:r>
    </w:p>
    <w:p>
      <w:pPr>
        <w:pStyle w:val="FirstParagraph"/>
      </w:pPr>
      <w:r>
        <w:t>MathGov uses one architecture with proportional documentation.</w:t>
      </w:r>
      <w:r>
        <w:t xml:space="preserve"> </w:t>
      </w:r>
      <w:r>
        <w:rPr>
          <w:b/>
          <w:bCs/>
        </w:rPr>
        <w:t>Quick / Tier 1</w:t>
      </w:r>
      <w:r>
        <w:t xml:space="preserve"> </w:t>
      </w:r>
      <w:r>
        <w:t>is for low-stakes, reversible personal, family, and classroom choices and may use a short qualitative record.</w:t>
      </w:r>
      <w:r>
        <w:t xml:space="preserve"> </w:t>
      </w:r>
      <w:r>
        <w:rPr>
          <w:b/>
          <w:bCs/>
        </w:rPr>
        <w:t>Standard / Tier 2</w:t>
      </w:r>
      <w:r>
        <w:t xml:space="preserve"> </w:t>
      </w:r>
      <w:r>
        <w:t>adds evidence, stakeholder, parameter, gate, uncertainty, control, and audit records for organizational or community decisions.</w:t>
      </w:r>
      <w:r>
        <w:t xml:space="preserve"> </w:t>
      </w:r>
      <w:r>
        <w:rPr>
          <w:b/>
          <w:bCs/>
        </w:rPr>
        <w:t>Audit / Tier 3</w:t>
      </w:r>
      <w:r>
        <w:t xml:space="preserve"> </w:t>
      </w:r>
      <w:r>
        <w:t>adds exact hashes, independent review, scenario and subgroup governance, and replay for public, contested, irreversible, or high-stakes decisions.</w:t>
      </w:r>
    </w:p>
    <w:p>
      <w:pPr>
        <w:pStyle w:val="BodyText"/>
      </w:pPr>
      <w:r>
        <w:t>A lower profile cannot be used to avoid a material rights, ruin, structural, evidence, or authority requirement. The compact twelve-rule kernel, run schema, validator, and worked replay are in</w:t>
      </w:r>
      <w:r>
        <w:t xml:space="preserve"> </w:t>
      </w:r>
      <w:r>
        <w:rPr>
          <w:rStyle w:val="VerbatimChar"/>
        </w:rPr>
        <w:t>docs/implementation/MATHGOV_REPRODUCIBILITY_AND_USE_STANDARD_v1.1.md</w:t>
      </w:r>
      <w:r>
        <w:t>.</w:t>
      </w:r>
    </w:p>
    <w:bookmarkEnd w:id="127"/>
    <w:bookmarkEnd w:id="128"/>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and RippleLogic Foundations Primer v4.1.1</dc:title>
  <dc:creator>James McGaughran (James MathGov)</dc:creator>
  <cp:keywords/>
  <dcterms:created xsi:type="dcterms:W3CDTF">2026-07-18T17:38:37Z</dcterms:created>
  <dcterms:modified xsi:type="dcterms:W3CDTF">2026-07-18T17:38:37Z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