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9b783ecd6e99d0f82d3fc4c316dccdc8df1fd2"/>
    <w:p>
      <w:pPr>
        <w:pStyle w:val="Heading1"/>
      </w:pPr>
      <w:r>
        <w:t xml:space="preserve">Methodological Falsifiability and Dependency Integrity Standard v2.0</w:t>
      </w:r>
    </w:p>
    <w:p>
      <w:pPr>
        <w:pStyle w:val="FirstParagraph"/>
      </w:pPr>
      <w:r>
        <w:t xml:space="preserve">Source-boundary rule: If this compact standard conflicts with the RippleLogic Canon, the Canon controls.</w:t>
      </w:r>
    </w:p>
    <w:p>
      <w:pPr>
        <w:pStyle w:val="BodyText"/>
      </w:pPr>
      <w:r>
        <w:t xml:space="preserve">Release: MathGov Core Release 2026.09 v12.3 SGP v8.2 Reality-Management Calibration Integration Public Research Source Release</w:t>
      </w:r>
    </w:p>
    <w:bookmarkStart w:id="20" w:name="purpose"/>
    <w:p>
      <w:pPr>
        <w:pStyle w:val="Heading2"/>
      </w:pPr>
      <w:r>
        <w:t xml:space="preserve">Purpose</w:t>
      </w:r>
    </w:p>
    <w:p>
      <w:pPr>
        <w:pStyle w:val="FirstParagraph"/>
      </w:pPr>
      <w:r>
        <w:t xml:space="preserve">This compact standard defines the v12.0 methodological integrity discipline for MathGov and RippleLogic. It adopts the bounded principle that claim-bearing elements must not survive merely because they are plausible, fluent, approved, compliant, or locally useful. A material claim must declare what kind of claim it is, what it depends on, what would force revision, what alternatives remain open, and what downstream elements must be rerun if the foundation changes.</w:t>
      </w:r>
    </w:p>
    <w:p>
      <w:pPr>
        <w:pStyle w:val="BodyText"/>
      </w:pPr>
      <w:r>
        <w:t xml:space="preserve">It is not a sixth gate. It does not replace Reality Grounding, RF/NCRC, TRC, CSV, SGP, RLS, PC-AEP, domain science, or external validation.</w:t>
      </w:r>
    </w:p>
    <w:bookmarkEnd w:id="20"/>
    <w:bookmarkStart w:id="21" w:name="X84ad2ecfbb6294f8f0ee57c2a8a2d1a12b0041a"/>
    <w:p>
      <w:pPr>
        <w:pStyle w:val="Heading2"/>
      </w:pPr>
      <w:r>
        <w:t xml:space="preserve">Adopted principles and bounded non-claims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Item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MathGov integration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Adopted principle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Material claims need external contact, falsification or revision triggers, explicit dependencies, and no hidden assumption authority.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Adopted principle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If a starting assumption, definition, threshold, operator, or model basis changes, the affected downstream chain must be rerun or claim strength must be narrowed.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Bounded non-claim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Not every normative definition is physically falsifiable. Normative commitments are audited for coherence, rights compatibility, stakeholder challenge, and application integrity.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Bounded non-claim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Probabilistic evidence is not invalid. It is required where uncertainty is real, but uncertainty must be disclosed and cannot be laundered into certainty.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Bounded non-claim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Model revision is not forbidden. Silent retrofitting is forbidden. Revision must be versioned, disclosed, and rechecked.</w:t>
            </w:r>
          </w:p>
        </w:tc>
      </w:tr>
    </w:tbl>
    <w:bookmarkEnd w:id="21"/>
    <w:bookmarkStart w:id="22" w:name="required-methodological-integrity-record"/>
    <w:p>
      <w:pPr>
        <w:pStyle w:val="Heading2"/>
      </w:pPr>
      <w:r>
        <w:t xml:space="preserve">Required Methodological Integrity Record</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content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claim_or_component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claim, definition, threshold, operator, indicator, model, SGP interpretation, gate decision, validation result, or public release claim under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claim_type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empirical, causal, formal, operational, normative, or metaphysical-horizon.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dependency_position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Where the claim sits in the cascade, standard, SGP flow, workbook, validation protocol, or public release surface.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starting_assumptions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Assumptions, definitions, priors, sources, thresholds, scope boundaries, or model premises that carry the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definition_or_operator_used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material definition, operator, threshold, indicator, or procedure being applied.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necessity_or_alternative_check</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Whether necessity is claimed, what alternatives remain plausible, and why the stronger claim is or is not warranted.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evidence_or_test_surface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observation, measurement, replication, derivation, simulation, formal proof, expert review, stakeholder challenge, or audit surface used.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falsification_or_revision_trigger</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What result, evidence, challenge, failure, or domain change would force revision, narrowing, escalation, or refusal.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uncertainty_or_confidence_method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How uncertainty, confidence, model limits, disagreement, or unresolved evidence is represented.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downstream_dependencies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Gates, scores, SGP outputs, claims, controls, authority actions, or release statements affected if this element changes.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re_derivation_scope_if_changed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Local patch, threshold update, gate rerun, TRC reopening, CSV rerun, SGP rerun, RLS recalculation, release versioning, or full refusal.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reviewer_status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reviewer-visible, contested, independently checked, domain-expert-warranted, or pending.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required_claim_action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proceed, narrow, control, redesign, escalate, or refuse.</w:t>
            </w:r>
          </w:p>
        </w:tc>
      </w:tr>
    </w:tbl>
    <w:bookmarkEnd w:id="22"/>
    <w:bookmarkStart w:id="23" w:name="status-values"/>
    <w:p>
      <w:pPr>
        <w:pStyle w:val="Heading2"/>
      </w:pPr>
      <w:r>
        <w:t xml:space="preserve">Status values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Default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METHOD_SUPPORTED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Evidence, dependency, and revision conditions support the declared 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Proceed within boundary.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ASSUMPTION_BOUND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Claim depends on visible assumptions that could affect strength or gate status.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Narrow or monitor.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ALT_EXPLANATION_OPEN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Plausible alternatives can explain the same result.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Downgrade necessity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TEST_REQUIRED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Stronger evidence, derivation, replication, simulation, or review is needed.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Escalate before strong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CONTESTED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Evidence, interpretation, stakeholder challenge, or expert judgment materially disputes the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Escalate, narrow, or redesign.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REVISION_REQUIRED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 starting assumption, definition, threshold, operator, or model basis has failed or changed.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Rerun affected chain.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REFUSE_STRONGER_CLAIM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requested public, deployment, validation, deterministic-selection, or safety claim exceeds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Refuse the stronger claim.</w:t>
            </w:r>
          </w:p>
        </w:tc>
      </w:tr>
    </w:tbl>
    <w:bookmarkEnd w:id="23"/>
    <w:bookmarkStart w:id="24" w:name="claim-type-rules"/>
    <w:p>
      <w:pPr>
        <w:pStyle w:val="Heading2"/>
      </w:pPr>
      <w:r>
        <w:t xml:space="preserve">Claim-type rules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Claim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Evidence discipline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Empirical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Observation, measurement, replication, current source, or empirical warrant.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Causal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Mechanism, intervention, counterfactual, domain model, or qualified causal warrant.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Formal</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Explicit assumptions, definitions, derivation, proof, or formal verification.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Operational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Reproducible procedure, audit trail, role assignment, and reviewable outputs.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Normative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Declared ethical commitment, rights compatibility, consistency, stakeholder challenge, and auditability of application.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Metaphysical-horizon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Humility and meaning orientation only; no Tier 1-3 evidence, gate override, or authority by itself.</w:t>
            </w:r>
          </w:p>
        </w:tc>
      </w:tr>
    </w:tbl>
    <w:bookmarkEnd w:id="24"/>
    <w:bookmarkStart w:id="25" w:name="non-retrofitting-rule"/>
    <w:p>
      <w:pPr>
        <w:pStyle w:val="Heading2"/>
      </w:pPr>
      <w:r>
        <w:t xml:space="preserve">Non-retrofitting rule</w:t>
      </w:r>
    </w:p>
    <w:p>
      <w:pPr>
        <w:pStyle w:val="FirstParagraph"/>
      </w:pPr>
      <w:r>
        <w:t xml:space="preserve">A failed test, falsified prediction, changed foundation, or challenged dependency must not be hidden by silent tuning. The run must version the change, record the affected dependencies, and rerun every materially dependent gate, SGP interpretation, calculation, authority action, or public claim.</w:t>
      </w:r>
    </w:p>
    <w:bookmarkEnd w:id="25"/>
    <w:bookmarkStart w:id="26" w:name="proportionality-rule"/>
    <w:p>
      <w:pPr>
        <w:pStyle w:val="Heading2"/>
      </w:pPr>
      <w:r>
        <w:t xml:space="preserve">Proportionality rule</w:t>
      </w:r>
    </w:p>
    <w:p>
      <w:pPr>
        <w:pStyle w:val="FirstParagraph"/>
      </w:pPr>
      <w:r>
        <w:t xml:space="preserve">Methodological rigor is proportional to stakes. Tier 1 and low-stakes Tier 2 uses may use lighter records. Tier 3, public conformance, institutional deployment, high-stakes SGP use, validation claims, and physical/causal actions require stronger records.</w:t>
      </w:r>
    </w:p>
    <w:bookmarkEnd w:id="26"/>
    <w:bookmarkStart w:id="27" w:name="physical-admissibility-claim-discipline"/>
    <w:p>
      <w:pPr>
        <w:pStyle w:val="Heading2"/>
      </w:pPr>
      <w:r>
        <w:t xml:space="preserve">Physical-admissibility claim discipline</w:t>
      </w:r>
    </w:p>
    <w:p>
      <w:pPr>
        <w:pStyle w:val="FirstParagraph"/>
      </w:pPr>
      <w:r>
        <w:t xml:space="preserve">A claim that a physical execution is safe, admissible, stable, reliable, or deployment-ready is a material claim and must name its external evidence surface. Governance permission, compliance status, documentation, certification, monitoring, and authority are not sufficient evidence surfaces by themselves. They may support procedural legitimacy, but they do not compute physics or establish biological, mechanical, medical, infrastructural, or cyber-physical safety.</w:t>
      </w:r>
    </w:p>
    <w:p>
      <w:pPr>
        <w:pStyle w:val="BodyText"/>
      </w:pPr>
      <w:r>
        <w:t xml:space="preserve">Computational-source discipline. A material execution claim SHOULD distinguish the source that generated the candidate action from the source that warrants the action. If candidate generation and admissibility warrant are supplied by the same system, the claim record SHOULD state how circular self-confirmation is prevented and what independent check, validity-domain limit, or refusal condition applies.</w:t>
      </w:r>
    </w:p>
    <w:p>
      <w:pPr>
        <w:pStyle w:val="BodyText"/>
      </w:pPr>
      <w:r>
        <w:t xml:space="preserve">If a physical-admissibility claim changes its model, validity domain, threshold, controller envelope, failure-mode account, or monitoring/shutoff assumptions, affected downstream gates must be rerun. Silent tuning may improve wording, but it does not preserve the original claim.</w:t>
      </w:r>
    </w:p>
    <w:bookmarkEnd w:id="27"/>
    <w:bookmarkStart w:id="28" w:name="claim-type-examples"/>
    <w:p>
      <w:pPr>
        <w:pStyle w:val="Heading2"/>
      </w:pPr>
      <w:r>
        <w:t xml:space="preserve">Claim-type examples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Claim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Example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Minimum discipline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Empirical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“Injury rates decreased after the intervention.”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Requires evidence contact, baseline, uncertainty, and alternative-explanation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Causal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policy caused the decrease.”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Requires mechanism, counterfactual, intervention logic, or qualified causal warrant.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Formal</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“CVaR was computed by the declared algorithm.”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Requires definitions, assumptions, formula, inputs, and reproducible calculation surface.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Operational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workflow can be executed by this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Requires procedure, role owner, resource evidence, audit trail, and failure handling.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Normative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“This rights floor is adopted as non-compensatory.”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Requires declared ethical commitment, consistency check, rights compatibility, and challenge pathway.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Metaphysical horizon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“AIU language is used as a humility horizon.”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May guide meaning and restraint, but creates no Tier 1-3 evidence or gate authority.</w:t>
            </w:r>
          </w:p>
        </w:tc>
      </w:tr>
    </w:tbl>
    <w:bookmarkEnd w:id="28"/>
    <w:bookmarkEnd w:id="29"/>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2026-07-18T17:13:11Z</dcterms:created>
  <dcterms:modified xsi:type="dcterms:W3CDTF">2026-07-18T17:13:11Z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