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pplelogic-canon-v125"/>
    <w:p>
      <w:pPr>
        <w:pStyle w:val="Heading1"/>
        <w:keepNext/>
        <w:keepLines/>
        <w:pageBreakBefore w:val="0"/>
        <w:widowControl/>
      </w:pPr>
      <w:r>
        <w:rPr>
          <w:rFonts w:ascii="Arial" w:hAnsi="Arial" w:eastAsia="Arial"/>
          <w:b/>
          <w:color w:val="1F4E78"/>
        </w:rPr>
        <w:t>RippleLogic Canon</w:t>
      </w:r>
    </w:p>
    <w:p>
      <w:pPr>
        <w:pStyle w:val="FirstParagraph"/>
        <w:widowControl/>
      </w:pPr>
      <w:r>
        <w:t xml:space="preserve">RippleLogic: The Ethical Decision Operating System of the MathGov Framework</w:t>
      </w:r>
      <w:r>
        <w:br/>
      </w:r>
      <w:r>
        <w:t xml:space="preserve">A General-Purpose, Multi-Scale Decision Architecture for Rights-Floor Norms, Tail-Risk Control, and Auditable Decision-Making</w:t>
      </w:r>
    </w:p>
    <w:p>
      <w:pPr>
        <w:pStyle w:val="BodyText"/>
        <w:widowControl/>
      </w:pPr>
      <w:r>
        <w:t xml:space="preserve">Tier 1-3: Source-Ready Specification | Tier 4: Design Target (Tier-4 claims prohibited until a ProofPack is independently replayable)</w:t>
      </w:r>
    </w:p>
    <w:p>
      <w:pPr>
        <w:pStyle w:val="BodyText"/>
        <w:widowControl/>
      </w:pPr>
      <w:r>
        <w:t>Author: James McGaughran (ORCID: 0009-0005-3324-7290)</w:t>
        <w:br/>
        <w:t>Affiliation: British University Vietnam (BUV); MathGov Institute for Ethical Systems Design</w:t>
        <w:br/>
        <w:t>Canonical Sites: ripplelogic.org, mathgov.org</w:t>
        <w:br/>
        <w:t>Repository: github.com/MathGov/ripple-logic</w:t>
      </w:r>
      <w:r/>
      <w:r/>
      <w:r/>
      <w:r/>
      <w:r/>
      <w:r/>
      <w:r/>
      <w:r/>
      <w:r/>
      <w:r/>
    </w:p>
    <w:bookmarkEnd w:id="20"/>
    <w:bookmarkStart w:id="31" w:name="X387e1417412759dd37ed9bc7989f203abd0c29a"/>
    <w:p>
      <w:pPr/>
      <w:r>
        <w:t>Release identity, source hierarchy, and version history are recorded in Appendix AR and the package manifests.</w:t>
      </w:r>
    </w:p>
    <w:p>
      <w:pPr/>
      <w:r>
        <w:rPr>
          <w:b/>
        </w:rPr>
        <w:t>Governing interpretation.</w:t>
      </w:r>
      <w:r>
        <w:t xml:space="preserve"> Normative interpretation follows the Specification Contract in Appendix AC. Main-text rules and controlling appendices govern over examples, historical notes, and generated reading mirrors.</w:t>
      </w:r>
    </w:p>
    <w:p>
      <w:pPr>
        <w:pStyle w:val="Heading1"/>
        <w:keepNext/>
        <w:keepLines/>
        <w:pageBreakBefore w:val="0"/>
        <w:widowControl/>
        <w:spacing w:before="200" w:after="80"/>
        <w:jc w:val="left"/>
      </w:pPr>
      <w:r>
        <w:rPr>
          <w:rFonts w:ascii="Arial" w:hAnsi="Arial" w:eastAsia="Arial"/>
          <w:b/>
          <w:color w:val="1F4E78"/>
          <w:sz w:val="28"/>
        </w:rPr>
        <w:t>ABSTRACT</w:t>
      </w:r>
    </w:p>
    <w:p>
      <w:pPr>
        <w:pStyle w:val="BodyText"/>
        <w:keepLines/>
        <w:widowControl/>
      </w:pPr>
      <w:r>
        <w:t>Governance systems, institutional decision-making processes, and AI alignment approaches face a common structural challenge: high-consequence decisions often collapse plural values into single metrics, underweight catastrophic tail risks, lose contact with reality surfaces, and become vulnerable to specification gaming, where optimized proxies degrade the outcomes they were meant to protect. As a proposed Tier 1-3 design architecture rather than an empirically validated governance instrument, RippleLogic addresses this problem by operationalizing Union-Based Ethics as a general-purpose ethical operating system for auditable decision-making across layered scales of life and governance. The Category Grounding Patch clarifies that, when material categories affect rights, tail risk, containment, SGP interpretation, authority, conformance, or public claims, Category Grounding and Primitive Audit belong inside Reality Grounding as required subdisciplines, not as additional cascade stages. The framework evaluates candidate actions through a five-level admissibility-and-ranking method: Reality Grounding (RG), Rights Floor (RF), Tail-Risk Constraint (TRC), Containment and Structural Viability (CSV), and RippleLogic Score (RLS). Rights Floor is the public-facing name for the Non-Compensatory Rights Constraint (NCRC): rights-floor violations cannot be compensated by welfare gains elsewhere.</w:t>
      </w:r>
    </w:p>
    <w:bookmarkEnd w:id="30"/>
    <w:bookmarkEnd w:id="31"/>
    <w:bookmarkStart w:id="36" w:name="Xdf7a226cd3955945a698a9f328950e86bbfddf7"/>
    <w:p>
      <w:pPr>
        <w:pStyle w:val="Heading1"/>
        <w:keepNext/>
        <w:keepLines/>
        <w:pageBreakBefore w:val="0"/>
        <w:widowControl/>
      </w:pPr>
      <w:r>
        <w:rPr>
          <w:rFonts w:ascii="Arial" w:hAnsi="Arial" w:eastAsia="Arial"/>
          <w:b/>
          <w:color w:val="1F4E78"/>
        </w:rPr>
        <w:t xml:space="preserve">SECTION 1: INTRODUCTION: THE NEED FOR A GENERAL-PURPOSE ETHICAL OPERATING SYSTEM</w:t>
      </w:r>
    </w:p>
    <w:bookmarkStart w:id="32" w:name="X76a6881de1c44099d93978401886149c76de9c4"/>
    <w:p>
      <w:pPr>
        <w:pStyle w:val="Heading2"/>
        <w:keepNext/>
        <w:keepLines/>
        <w:pageBreakBefore w:val="0"/>
        <w:widowControl/>
      </w:pPr>
      <w:r>
        <w:rPr>
          <w:rFonts w:ascii="Arial" w:hAnsi="Arial" w:eastAsia="Arial"/>
          <w:b/>
          <w:color w:val="1F4E78"/>
        </w:rPr>
        <w:t xml:space="preserve">1.1 Alignment Failures Across Scales</w:t>
      </w:r>
    </w:p>
    <w:p>
      <w:pPr>
        <w:pStyle w:val="FirstParagraph"/>
        <w:widowControl/>
      </w:pPr>
      <w:r>
        <w:t xml:space="preserve">Contemporary societies operate within a tightly coupled, high-dimensional environment where climate dynamics, global supply chains, digital communication networks, financial systems, and emerging artificial intelligence systems interact in ways that increasingly resist prediction or governance. Decisions taken at one organizational scale propagate rapidly through multiple layers of human and ecological organization, generating consequences that conventional decision frameworks fail to anticipate or manage (Meadows, 2008; Newman, 2010; Steffen et al., 2015). In this context, alignment is not exclusively an artificial intelligence problem. It spans multiple domains: aligning machine systems with human purposes and control (Russell, 2019), preventing catastrophic failure modes that could foreclose long-run human potential (Ord, 2020), and maintaining human activity within the safe and just Earth-system boundaries required for durable flourishing (Rockström et al., 2009, 2023). RippleLogic addresses this as a unified governance problem rather than as three isolated challenges.</w:t>
      </w:r>
    </w:p>
    <w:p>
      <w:pPr>
        <w:pStyle w:val="BodyText"/>
        <w:widowControl/>
      </w:pPr>
      <w:r>
        <w:t xml:space="preserve">Civilizational target and method standard (Informative)</w:t>
      </w:r>
    </w:p>
    <w:p>
      <w:pPr>
        <w:pStyle w:val="BodyText"/>
        <w:widowControl/>
      </w:pPr>
      <w:r>
        <w:t xml:space="preserve">Target. Protect the floor for all intelligences, bound catastrophic tail-risk, and expand long-run flourishing across the operational union stack.</w:t>
      </w:r>
    </w:p>
    <w:p>
      <w:pPr>
        <w:pStyle w:val="BodyText"/>
        <w:widowControl/>
      </w:pPr>
      <w:r>
        <w:t xml:space="preserve">Method standard. A decision protocol is governance-grade only if it is auditable, reproducible, rights-respecting, tail-risk aware, methodologically falsifiable or revision-triggered at material claim points, dependency-explicit, and robust to Goodhart and adversarial pressure.</w:t>
      </w:r>
    </w:p>
    <w:bookmarkEnd w:id="32"/>
    <w:bookmarkStart w:id="33" w:name="Xa4c5dc176633396b02558bd324ce09cfdc00634"/>
    <w:p>
      <w:pPr>
        <w:pStyle w:val="Heading2"/>
        <w:keepNext/>
        <w:keepLines/>
        <w:pageBreakBefore w:val="0"/>
        <w:widowControl/>
      </w:pPr>
      <w:r>
        <w:rPr>
          <w:rFonts w:ascii="Arial" w:hAnsi="Arial" w:eastAsia="Arial"/>
          <w:b/>
          <w:color w:val="1F4E78"/>
        </w:rPr>
        <w:t xml:space="preserve">1.2 The Alignment Trilemma (Coupled Failure Modes)</w:t>
      </w:r>
    </w:p>
    <w:p>
      <w:pPr>
        <w:pStyle w:val="FirstParagraph"/>
        <w:widowControl/>
      </w:pPr>
      <w:r>
        <w:t xml:space="preserve">Existing decision frameworks exhibit three recurring failure modes that together constitute the alignment trilemma:</w:t>
      </w:r>
    </w:p>
    <w:p>
      <w:pPr>
        <w:pStyle w:val="BodyText"/>
        <w:widowControl/>
      </w:pPr>
      <w:r>
        <w:t xml:space="preserve">Failure Mode A: Scalarization of Value</w:t>
      </w:r>
    </w:p>
    <w:p>
      <w:pPr>
        <w:pStyle w:val="BodyText"/>
        <w:widowControl/>
      </w:pPr>
      <w:r>
        <w:t xml:space="preserve">Many decision methods collapse plural values into a single metric (expected utility, GDP, cost-benefit net present value). This can enable “moral laundering”: severe harms to some unions are permitted when offset by gains elsewhere. Arrow’s (1963) impossibility theorem establishes an impossibility result for social-welfare functions under a specific set of aggregation conditions; it does not show that every multidimensional aggregation method is unfair. RippleLogic therefore treats aggregation as a bounded ranking instrument after rights, ruin, and structural-viability qualification, not as a complete theory of justice.</w:t>
      </w:r>
    </w:p>
    <w:p>
      <w:pPr>
        <w:pStyle w:val="BodyText"/>
        <w:widowControl/>
      </w:pPr>
      <w:r>
        <w:t xml:space="preserve">Failure Mode B: Tail-Risk Blindness</w:t>
      </w:r>
    </w:p>
    <w:p>
      <w:pPr>
        <w:pStyle w:val="BodyText"/>
        <w:widowControl/>
      </w:pPr>
      <w:r>
        <w:t xml:space="preserve">Expected-value reasoning can underweight low-probability, high-severity outcomes when probabilities, severity, irreversibility, dependence, or model uncertainty are poorly represented. Catastrophic outcomes can eliminate future choice; ordinary gains therefore should not be treated as symmetric compensation for poorly bounded ruin exposure (Taleb, 2012). Coherent risk measures such as CVaR improve tail-risk handling within a declared scenario model, but they do not prove that every catastrophic pathway has been identified (Artzner et al., 1999; Rockafellar &amp; Uryasev, 2000). Climate tipping points (Lenton et al., 2008), pandemic risks, and AI misalignment illustrate why a separate tail-risk layer is required (IPCC, 2023; Bostrom, 2014).</w:t>
      </w:r>
    </w:p>
    <w:p>
      <w:pPr>
        <w:pStyle w:val="BodyText"/>
        <w:widowControl/>
      </w:pPr>
      <w:r>
        <w:t xml:space="preserve">Failure Mode C: Specification Gaming (Goodhart Vulnerability)</w:t>
      </w:r>
    </w:p>
    <w:p>
      <w:pPr>
        <w:pStyle w:val="BodyText"/>
        <w:widowControl/>
      </w:pPr>
      <w:r>
        <w:t xml:space="preserve">When metrics become targets under pressure, they are gamed. Optimization exploits proxies while degrading the intended outcome (Goodhart, 1984; Manheim &amp; Garrabrant, 2018). This appears in institutional governance, where institutions optimize visible indicators while displacing underlying welfare, and in AI reward optimization, where systems exploit proxy objectives under strong optimization pressure (Amodei et al., 2016).</w:t>
      </w:r>
    </w:p>
    <w:p>
      <w:pPr>
        <w:pStyle w:val="BodyText"/>
        <w:widowControl/>
      </w:pPr>
      <w:r>
        <w:t xml:space="preserve">RippleLogic treats this not as a peripheral measurement problem but as a structural governance hazard. The framework is designed to resist specification gaming by separating admissibility from ranking. Rights protection is enforced through the Non-Compensatory Rights Constraint over the canonical rights-coverage set, catastrophic downside is separately gated through the Tail-Risk Constraint, and pathological cross-scale degradation is checked through containment before welfare ranking begins. An option therefore cannot compensate for a rights-floor breach, catastrophic tail exposure, or containment failure by achieving a higher downstream welfare score.</w:t>
      </w:r>
    </w:p>
    <w:p>
      <w:pPr>
        <w:pStyle w:val="BodyText"/>
        <w:widowControl/>
      </w:pPr>
      <w:r>
        <w:t xml:space="preserve">This architecture matters because Goodhart-type failure thrives where optimization is scalar, fungible, and weakly constrained. RippleLogic instead combines a 49-cell welfare matrix for welfare evaluation with an 8-right sparse rights-coverage system comprising 70 protected right-to-cell mappings, with overlapping welfare cells where more than one right applies. Harms therefore cannot simply be averaged away across unions or dimensions. A localized protected loss remains visible at the mapped protection point where it occurs.</w:t>
      </w:r>
    </w:p>
    <w:p>
      <w:pPr>
        <w:pStyle w:val="BodyText"/>
        <w:widowControl/>
      </w:pPr>
      <w:r>
        <w:t xml:space="preserve">Practical Local Scope Scoring does not weaken this defense. PLSS operates only within residual welfare ranking after admissibility has already been secured. It allows practical local attention without relaxing rights floors, tail-risk constraints, or containment requirements. In this sense, RippleLogic treats Goodhart’s Law as a boundary-crossing failure of optimization and responds with layered structural safeguards rather than with a single corrective metric.</w:t>
      </w:r>
    </w:p>
    <w:p>
      <w:pPr>
        <w:pStyle w:val="BodyText"/>
        <w:widowControl/>
      </w:pPr>
      <w:r>
        <w:t xml:space="preserve">Coupled Failure</w:t>
      </w:r>
    </w:p>
    <w:p>
      <w:pPr>
        <w:pStyle w:val="BodyText"/>
        <w:widowControl/>
      </w:pPr>
      <w:r>
        <w:t xml:space="preserve">These three failure modes interact and amplify each other. Scalarization enables tail-risk blindness (catastrophe can be traded for ordinary benefit), tail-risk blindness creates exploitable blind spots, and specification gaming undermines attempts to “patch” either problem by shifting optimization pressure. Solving one in isolation is insufficient.</w:t>
      </w:r>
    </w:p>
    <w:p>
      <w:pPr>
        <w:pStyle w:val="BodyText"/>
        <w:widowControl/>
      </w:pPr>
      <w:r>
        <w:t xml:space="preserve">Boundary-gaming note. Because lexicographic gates reduce scalar Goodharting, adversarial pressure can shift upstream toward boundary definitions, stakeholder inclusion, subgroup mapping, scenario probabilities, threshold governance, evidence sufficiency, and scope declarations; Appendix F.5 specifies the required anti-gaming disclosure and review discipline.</w:t>
      </w:r>
    </w:p>
    <w:p>
      <w:pPr>
        <w:pStyle w:val="BodyText"/>
        <w:widowControl/>
      </w:pPr>
      <w:r>
        <w:t xml:space="preserve">Category-gaming note. Because RippleLogic blocks several downstream scalarization failures, adversarial and institutional pressure can shift further upstream toward category choice, definition boundaries, reference structures, and metric formation. A run therefore MUST NOT treat inherited labels, dashboard categories, legal labels, benchmark names, model-generated descriptions, or institutional terms as valid merely because they are available. When a category materially affects rights, tail risk, containment, SGP interpretation, authority, conformance, or public claims, the category must be grounded inside Reality Grounding before the run relies on it.</w:t>
      </w:r>
    </w:p>
    <w:p>
      <w:pPr>
        <w:pStyle w:val="BodyText"/>
        <w:widowControl/>
      </w:pPr>
      <w:r>
        <w:t xml:space="preserve">Term-discrimination note. A material term must not borrow authority from a neighboring term. Permission is not admissibility; monitoring is not control; compliance is not correctness; certification is not validity; automation is not autonomy; protection is not authority; selected is not executable; and score is not truth. When term collapse would affect a gate, claim, authority state, or execution state, Term Discrimination is required inside Category Grounding.</w:t>
      </w:r>
    </w:p>
    <w:p>
      <w:pPr>
        <w:pStyle w:val="BodyText"/>
        <w:widowControl/>
      </w:pPr>
      <w:r>
        <w:t xml:space="preserve">PLSS clarification (Informative). A further practical failure appears when multi-scope frameworks oscillate between false universality, informal narrowing, and flattened aggregation. False universality treats every decision as though all seven scopes are equally active optimization targets. Informal narrowing quietly drops distant scopes when full evaluation becomes burdensome. Flattened aggregation hides where benefits and harms actually land by blending impacts into a single welfare bucket. RippleLogic v12.0 carries forward the v10.8 PLSS clarification to address this tension through Section 10.2A: admissibility remains full-scope, while residual welfare attention may become scope-proportionate.</w:t>
      </w:r>
    </w:p>
    <w:p>
      <w:pPr>
        <w:pStyle w:val="BodyText"/>
        <w:widowControl/>
      </w:pPr>
      <w:r>
        <w:t xml:space="preserve">Reality Grounding clarification (Normative preview). RippleLogic now presents Reality Grounding as the first level of the public method because every later claim depends on the surface actually contacted. The method is not “score first.” It is ground first, protect the floor, bound ruin, contain/verify viability, and only then score residual welfare.</w:t>
      </w:r>
    </w:p>
    <w:p>
      <w:pPr>
        <w:pStyle w:val="BodyText"/>
        <w:widowControl/>
      </w:pPr>
      <w:r>
        <w:t xml:space="preserve">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widowControl/>
      </w:pPr>
      <w:r>
        <w:t xml:space="preserve">Computability-vs-realizability clarification (Normative preview). RippleLogic MUST NOT treat computed possibility, model fluency, simulation output, or generated abstraction as decision authority. Computable is not selectable; generated is not grounded; executable is not ethical; realizable is necessary but not sufficient. Reality Grounding decides the claim boundary; RF/NCRC decides rights admissibility; TRC decides ruin exposure; CSV decides whether the pathway can structurally stand; RLS ranks only the remaining selectable set.</w:t>
      </w:r>
    </w:p>
    <w:p>
      <w:pPr>
        <w:pStyle w:val="BodyText"/>
        <w:widowControl/>
      </w:pPr>
      <w:r>
        <w:t xml:space="preserve">Source-coupling clarification (Normative preview). RippleLogic also MUST NOT treat downstream operation, inherited procedure, benchmark success, model fluency, compliance status, institutional permission, or interface performance as proof that the claimed capability is coupled to the enabling conditions and boundary conditions that make it possible. Source-Coupling Integrity is a subdiscipline of Reality Grounding and a CSV diagnostic where source weakness creates structural fragility. It does not add a public gate.</w:t>
      </w:r>
    </w:p>
    <w:p>
      <w:pPr>
        <w:pStyle w:val="BodyText"/>
        <w:widowControl/>
      </w:pPr>
      <w:r>
        <w:t xml:space="preserve">Physical/causal admissibility clarification (Normative preview). RippleLogic also MUST NOT treat a physically consequence-bearing action as selectable merely because it was computed, simulated, model-generated, policy-approved, certified, monitored, or passed through a governance process. When a candidate action materially depends on physical, biological, ecological, medical, engineering, cyber-physical, infrastructural, or causal constraints, the run MUST include a Physical/Causal Admissibility Evidence Profile at the required tier. The profile belongs inside Reality Grounding and CSV. It does not add a sixth public gate, does not replace domain engineering, and does not make MathGov a proof-generating physics substrate.</w:t>
      </w:r>
    </w:p>
    <w:p>
      <w:pPr>
        <w:pStyle w:val="BodyText"/>
        <w:widowControl/>
      </w:pPr>
      <w:r>
        <w:rPr>
          <w:b/>
        </w:rPr>
        <w:t>Physical execution boundary.</w:t>
      </w:r>
      <w:r>
        <w:t xml:space="preserve"> For consequence-bearing physical systems, governance permission is not physical admissibility. A MathGov run may record approval, documentation, certification, monitoring, or authority, but those records alone do not demonstrate that a robot movement, vehicle maneuver, industrial operation, medical intervention, infrastructure action, or other physical execution is safe inside the relevant physical regime. If PC-AEP is triggered, the run MUST identify a domain-appropriate external warrant such as formal verification, validated simulation, empirical testing, standards-based safety case, certified controller envelope, qualified engineering or clinical warrant, regulator-recognized method, or another explicitly named objective method. Without that warrant inside its validity domain, MathGov may record governance permission only; it MUST NOT claim physical admissibility, safe execution, deployment readiness, or ordinary physical-execution selectability. Unknown-envelope authorization rule. When the safe operating envelope, failure boundary, or specification-to-reality mapping remains materially unknown, governance may authorize only bounded evidence collection, sandboxing, containment, monitoring, staged testing, or another explicitly limited learning action whose own risks pass RF/NCRC, TRC, and CSV. Governance MUST NOT convert an unknown envelope into a safe, qualified, or ordinarily execution-authorized state by policy language, user acceptance, institutional approval, or risk transfer. Acceptance by one operator cannot waive rights, third-party exposure, catastrophic-risk obligations, or the need for domain evidence.</w:t>
      </w:r>
    </w:p>
    <w:p>
      <w:pPr>
        <w:pStyle w:val="BodyText"/>
        <w:widowControl/>
      </w:pPr>
      <w:r>
        <w:t xml:space="preserve">Computational-source boundary. A generated candidate is not the same as a verified admissible transition. For consequence-bearing physical or causal action, the run SHOULD identify the computational or procedural source that generated the candidate state, such as a model, optimizer, planner, simulator, controller, human procedure, or orchestration layer, and separately identify the domain method or warrant that evaluates admissibility. Candidate generation, output filtering, orchestration, guardrails, monitoring, and authorization MUST NOT be treated as the source of physical-safety evidence. They can route, constrain, document, or refuse a candidate only after the relevant domain evidence surface has been declared.</w:t>
      </w:r>
    </w:p>
    <w:p>
      <w:pPr>
        <w:pStyle w:val="BodyText"/>
        <w:widowControl/>
      </w:pPr>
      <w:r>
        <w:t xml:space="preserve">Structural diagnostic placement clarification (Normative preview). UCI and HOI are not public headline cascade stages. They are structural diagnostic instruments. When their evidence is material to cross-scale structural integrity, including coherence loss, hollowing, brittleness, burnout, lock-in, trust erosion, institutional erosion, ecological degradation, or governance-capacity loss, that evidence is consumed inside the CSV Gate. Only residual, non-gate-critical UCI/HOI signal remains available after RLS, and only when the leading options are tied, close, uncertainty-overlapped, or non-decisive.</w:t>
      </w:r>
    </w:p>
    <w:bookmarkEnd w:id="33"/>
    <w:bookmarkStart w:id="34" w:name="Xaf5f96648d309220e6d465362ef760b0af06765"/>
    <w:p>
      <w:pPr>
        <w:pStyle w:val="Heading2"/>
        <w:keepNext/>
        <w:keepLines/>
        <w:pageBreakBefore w:val="0"/>
        <w:widowControl/>
      </w:pPr>
      <w:r>
        <w:rPr>
          <w:rFonts w:ascii="Arial" w:hAnsi="Arial" w:eastAsia="Arial"/>
          <w:b/>
          <w:color w:val="1F4E78"/>
        </w:rPr>
        <w:t xml:space="preserve">1.3 Governance-Grade Requirements</w:t>
      </w:r>
    </w:p>
    <w:p>
      <w:pPr>
        <w:pStyle w:val="FirstParagraph"/>
        <w:widowControl/>
      </w:pPr>
      <w:r>
        <w:t xml:space="preserve">RippleLogic is designed to satisfy ten non-optional requirements:</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Requirement</w:t>
            </w:r>
          </w:p>
        </w:tc>
        <w:tc>
          <w:tcPr>
            <w:shd w:fill="1F4E78" w:val="clear"/>
            <w:tcMar>
              <w:top w:w="80" w:type="dxa"/>
              <w:start w:w="90" w:type="dxa"/>
              <w:bottom w:w="80" w:type="dxa"/>
              <w:end w:w="90" w:type="dxa"/>
            </w:tcMar>
          </w:tcPr>
          <w:p>
            <w:pPr>
              <w:pStyle w:val="Compact"/>
              <w:jc w:val="left"/>
            </w:pPr>
            <w:r>
              <w:rPr>
                <w:b/>
                <w:bCs/>
                <w:color w:val="FFFFFF"/>
              </w:rPr>
              <w:t xml:space="preserve">Description</w:t>
            </w:r>
          </w:p>
        </w:tc>
        <w:tc>
          <w:tcPr>
            <w:shd w:fill="1F4E78" w:val="clear"/>
            <w:tcMar>
              <w:top w:w="80" w:type="dxa"/>
              <w:start w:w="90" w:type="dxa"/>
              <w:bottom w:w="80" w:type="dxa"/>
              <w:end w:w="90" w:type="dxa"/>
            </w:tcMar>
          </w:tcPr>
          <w:p>
            <w:pPr>
              <w:pStyle w:val="Compact"/>
              <w:jc w:val="left"/>
            </w:pPr>
            <w:r>
              <w:rPr>
                <w:b/>
                <w:bCs/>
                <w:color w:val="FFFFFF"/>
              </w:rPr>
              <w:t xml:space="preserve">RippleLogic Component</w:t>
            </w:r>
          </w:p>
        </w:tc>
      </w:tr>
      <w:tr>
        <w:trPr/>
        <w:tc>
          <w:tcPr>
            <w:tcMar>
              <w:top w:w="80" w:type="dxa"/>
              <w:start w:w="90" w:type="dxa"/>
              <w:bottom w:w="80" w:type="dxa"/>
              <w:end w:w="90" w:type="dxa"/>
            </w:tcMar>
            <w:shd w:fill="F7FBFF" w:val="clear"/>
          </w:tcPr>
          <w:p>
            <w:pPr>
              <w:pStyle w:val="Compact"/>
              <w:jc w:val="left"/>
            </w:pPr>
            <w:r>
              <w:t xml:space="preserve">R0</w:t>
            </w:r>
          </w:p>
        </w:tc>
        <w:tc>
          <w:tcPr>
            <w:tcMar>
              <w:top w:w="80" w:type="dxa"/>
              <w:start w:w="90" w:type="dxa"/>
              <w:bottom w:w="80" w:type="dxa"/>
              <w:end w:w="90" w:type="dxa"/>
            </w:tcMar>
            <w:shd w:fill="F7FBFF" w:val="clear"/>
          </w:tcPr>
          <w:p>
            <w:pPr>
              <w:pStyle w:val="Compact"/>
              <w:jc w:val="left"/>
            </w:pPr>
            <w:r>
              <w:t xml:space="preserve">Reality Grounding: material claims must be grounded in a declared reality surface, evidence trace, known unknowns, transition boundary, consequence pathways, and claim boundary.</w:t>
            </w:r>
          </w:p>
        </w:tc>
        <w:tc>
          <w:tcPr>
            <w:tcMar>
              <w:top w:w="80" w:type="dxa"/>
              <w:start w:w="90" w:type="dxa"/>
              <w:bottom w:w="80" w:type="dxa"/>
              <w:end w:w="90" w:type="dxa"/>
            </w:tcMar>
            <w:shd w:fill="F7FBFF" w:val="clear"/>
          </w:tcPr>
          <w:p>
            <w:pPr>
              <w:pStyle w:val="Compact"/>
              <w:jc w:val="left"/>
            </w:pPr>
            <w:r>
              <w:t xml:space="preserve">Reality-Surface Grounding (Level 1)</w:t>
            </w:r>
          </w:p>
        </w:tc>
      </w:tr>
      <w:tr>
        <w:trPr/>
        <w:tc>
          <w:tcPr>
            <w:tcMar>
              <w:top w:w="80" w:type="dxa"/>
              <w:start w:w="90" w:type="dxa"/>
              <w:bottom w:w="80" w:type="dxa"/>
              <w:end w:w="90" w:type="dxa"/>
            </w:tcMar>
            <w:shd w:fill="D9EAF7" w:val="clear"/>
          </w:tcPr>
          <w:p>
            <w:pPr>
              <w:pStyle w:val="Compact"/>
              <w:jc w:val="left"/>
            </w:pPr>
            <w:r>
              <w:t xml:space="preserve">R0A</w:t>
            </w:r>
          </w:p>
        </w:tc>
        <w:tc>
          <w:tcPr>
            <w:tcMar>
              <w:top w:w="80" w:type="dxa"/>
              <w:start w:w="90" w:type="dxa"/>
              <w:bottom w:w="80" w:type="dxa"/>
              <w:end w:w="90" w:type="dxa"/>
            </w:tcMar>
            <w:shd w:fill="D9EAF7" w:val="clear"/>
          </w:tcPr>
          <w:p>
            <w:pPr>
              <w:pStyle w:val="Compact"/>
              <w:jc w:val="left"/>
            </w:pPr>
            <w:r>
              <w:t xml:space="preserve">Term Discrimination: material terms must declare their definition, discriminator, dependency position, non-collapse risks, and refusal condition.</w:t>
            </w:r>
          </w:p>
        </w:tc>
        <w:tc>
          <w:tcPr>
            <w:tcMar>
              <w:top w:w="80" w:type="dxa"/>
              <w:start w:w="90" w:type="dxa"/>
              <w:bottom w:w="80" w:type="dxa"/>
              <w:end w:w="90" w:type="dxa"/>
            </w:tcMar>
            <w:shd w:fill="D9EAF7" w:val="clear"/>
          </w:tcPr>
          <w:p>
            <w:pPr>
              <w:pStyle w:val="Compact"/>
              <w:jc w:val="left"/>
            </w:pPr>
            <w:r>
              <w:t xml:space="preserve">Category Grounding inside Reality Grounding</w:t>
            </w:r>
          </w:p>
        </w:tc>
      </w:tr>
      <w:tr>
        <w:trPr/>
        <w:tc>
          <w:tcPr>
            <w:tcMar>
              <w:top w:w="80" w:type="dxa"/>
              <w:start w:w="90" w:type="dxa"/>
              <w:bottom w:w="80" w:type="dxa"/>
              <w:end w:w="90" w:type="dxa"/>
            </w:tcMar>
            <w:shd w:fill="F7FBFF" w:val="clear"/>
          </w:tcPr>
          <w:p>
            <w:pPr>
              <w:pStyle w:val="Compact"/>
              <w:jc w:val="left"/>
            </w:pPr>
            <w:r>
              <w:t xml:space="preserve">R0B</w:t>
            </w:r>
          </w:p>
        </w:tc>
        <w:tc>
          <w:tcPr>
            <w:tcMar>
              <w:top w:w="80" w:type="dxa"/>
              <w:start w:w="90" w:type="dxa"/>
              <w:bottom w:w="80" w:type="dxa"/>
              <w:end w:w="90" w:type="dxa"/>
            </w:tcMar>
            <w:shd w:fill="F7FBFF" w:val="clear"/>
          </w:tcPr>
          <w:p>
            <w:pPr>
              <w:pStyle w:val="Compact"/>
              <w:jc w:val="left"/>
            </w:pPr>
            <w:r>
              <w:t xml:space="preserve">Source-Coupling Integrity: material capabilities must remain traceable to enabling conditions, boundary conditions, source evidence, inherited assumptions, and claim action.</w:t>
            </w:r>
          </w:p>
        </w:tc>
        <w:tc>
          <w:tcPr>
            <w:tcMar>
              <w:top w:w="80" w:type="dxa"/>
              <w:start w:w="90" w:type="dxa"/>
              <w:bottom w:w="80" w:type="dxa"/>
              <w:end w:w="90" w:type="dxa"/>
            </w:tcMar>
            <w:shd w:fill="F7FBFF" w:val="clear"/>
          </w:tcPr>
          <w:p>
            <w:pPr>
              <w:pStyle w:val="Compact"/>
              <w:jc w:val="left"/>
            </w:pPr>
            <w:r>
              <w:t xml:space="preserve">Source-Coupling Review inside Reality Grounding and CSV</w:t>
            </w:r>
          </w:p>
        </w:tc>
      </w:tr>
      <w:tr>
        <w:trPr/>
        <w:tc>
          <w:tcPr>
            <w:tcMar>
              <w:top w:w="80" w:type="dxa"/>
              <w:start w:w="90" w:type="dxa"/>
              <w:bottom w:w="80" w:type="dxa"/>
              <w:end w:w="90" w:type="dxa"/>
            </w:tcMar>
            <w:shd w:fill="D9EAF7" w:val="clear"/>
          </w:tcPr>
          <w:p>
            <w:pPr>
              <w:pStyle w:val="Compact"/>
              <w:jc w:val="left"/>
            </w:pPr>
            <w:r>
              <w:t xml:space="preserve">R0C</w:t>
            </w:r>
          </w:p>
        </w:tc>
        <w:tc>
          <w:tcPr>
            <w:tcMar>
              <w:top w:w="80" w:type="dxa"/>
              <w:start w:w="90" w:type="dxa"/>
              <w:bottom w:w="80" w:type="dxa"/>
              <w:end w:w="90" w:type="dxa"/>
            </w:tcMar>
            <w:shd w:fill="D9EAF7" w:val="clear"/>
          </w:tcPr>
          <w:p>
            <w:pPr>
              <w:pStyle w:val="Compact"/>
              <w:jc w:val="left"/>
            </w:pPr>
            <w:r>
              <w:t xml:space="preserve">Physical/Causal Admissibility Evidence: material physical or causal actions must declare model basis, validity domain, boundary conditions, uncertainty, failure modes, reversibility, verification or warrant, monitoring/shutoff path, residual unknowns, and claim action.</w:t>
            </w:r>
          </w:p>
        </w:tc>
        <w:tc>
          <w:tcPr>
            <w:tcMar>
              <w:top w:w="80" w:type="dxa"/>
              <w:start w:w="90" w:type="dxa"/>
              <w:bottom w:w="80" w:type="dxa"/>
              <w:end w:w="90" w:type="dxa"/>
            </w:tcMar>
            <w:shd w:fill="D9EAF7" w:val="clear"/>
          </w:tcPr>
          <w:p>
            <w:pPr>
              <w:pStyle w:val="Compact"/>
              <w:jc w:val="left"/>
            </w:pPr>
            <w:r>
              <w:t xml:space="preserve">PC-AEP inside Reality Grounding and CSV</w:t>
            </w:r>
          </w:p>
        </w:tc>
      </w:tr>
      <w:tr>
        <w:trPr/>
        <w:tc>
          <w:tcPr>
            <w:tcMar>
              <w:top w:w="80" w:type="dxa"/>
              <w:start w:w="90" w:type="dxa"/>
              <w:bottom w:w="80" w:type="dxa"/>
              <w:end w:w="90" w:type="dxa"/>
            </w:tcMar>
            <w:shd w:fill="F7FBFF" w:val="clear"/>
          </w:tcPr>
          <w:p>
            <w:pPr>
              <w:pStyle w:val="Compact"/>
              <w:jc w:val="left"/>
            </w:pPr>
            <w:r>
              <w:t xml:space="preserve">R1</w:t>
            </w:r>
          </w:p>
        </w:tc>
        <w:tc>
          <w:tcPr>
            <w:tcMar>
              <w:top w:w="80" w:type="dxa"/>
              <w:start w:w="90" w:type="dxa"/>
              <w:bottom w:w="80" w:type="dxa"/>
              <w:end w:w="90" w:type="dxa"/>
            </w:tcMar>
            <w:shd w:fill="F7FBFF" w:val="clear"/>
          </w:tcPr>
          <w:p>
            <w:pPr>
              <w:pStyle w:val="Compact"/>
              <w:jc w:val="left"/>
            </w:pPr>
            <w:r>
              <w:t xml:space="preserve">Rights-first non-compensability: rights are lexicographic constraints, not weighted terms</w:t>
            </w:r>
          </w:p>
        </w:tc>
        <w:tc>
          <w:tcPr>
            <w:tcMar>
              <w:top w:w="80" w:type="dxa"/>
              <w:start w:w="90" w:type="dxa"/>
              <w:bottom w:w="80" w:type="dxa"/>
              <w:end w:w="90" w:type="dxa"/>
            </w:tcMar>
            <w:shd w:fill="F7FBFF" w:val="clear"/>
          </w:tcPr>
          <w:p>
            <w:pPr>
              <w:pStyle w:val="Compact"/>
              <w:jc w:val="left"/>
            </w:pPr>
            <w:r>
              <w:t xml:space="preserve">Rights Floor (RF/NCRC) (Level 2)</w:t>
            </w:r>
          </w:p>
        </w:tc>
      </w:tr>
      <w:tr>
        <w:trPr/>
        <w:tc>
          <w:tcPr>
            <w:tcMar>
              <w:top w:w="80" w:type="dxa"/>
              <w:start w:w="90" w:type="dxa"/>
              <w:bottom w:w="80" w:type="dxa"/>
              <w:end w:w="90" w:type="dxa"/>
            </w:tcMar>
            <w:shd w:fill="D9EAF7" w:val="clear"/>
          </w:tcPr>
          <w:p>
            <w:pPr>
              <w:pStyle w:val="Compact"/>
              <w:jc w:val="left"/>
            </w:pPr>
            <w:r>
              <w:t xml:space="preserve">R2</w:t>
            </w:r>
          </w:p>
        </w:tc>
        <w:tc>
          <w:tcPr>
            <w:tcMar>
              <w:top w:w="80" w:type="dxa"/>
              <w:start w:w="90" w:type="dxa"/>
              <w:bottom w:w="80" w:type="dxa"/>
              <w:end w:w="90" w:type="dxa"/>
            </w:tcMar>
            <w:shd w:fill="D9EAF7" w:val="clear"/>
          </w:tcPr>
          <w:p>
            <w:pPr>
              <w:pStyle w:val="Compact"/>
              <w:jc w:val="left"/>
            </w:pPr>
            <w:r>
              <w:t xml:space="preserve">Explicit catastrophic risk bounding: tail risk is bounded by TRC using CVaR</w:t>
            </w:r>
          </w:p>
        </w:tc>
        <w:tc>
          <w:tcPr>
            <w:tcMar>
              <w:top w:w="80" w:type="dxa"/>
              <w:start w:w="90" w:type="dxa"/>
              <w:bottom w:w="80" w:type="dxa"/>
              <w:end w:w="90" w:type="dxa"/>
            </w:tcMar>
            <w:shd w:fill="D9EAF7" w:val="clear"/>
          </w:tcPr>
          <w:p>
            <w:pPr>
              <w:pStyle w:val="Compact"/>
              <w:jc w:val="left"/>
            </w:pPr>
            <w:r>
              <w:t xml:space="preserve">TRC / Tail-Risk Bound (Level 3)</w:t>
            </w:r>
          </w:p>
        </w:tc>
      </w:tr>
      <w:tr>
        <w:trPr/>
        <w:tc>
          <w:tcPr>
            <w:tcMar>
              <w:top w:w="80" w:type="dxa"/>
              <w:start w:w="90" w:type="dxa"/>
              <w:bottom w:w="80" w:type="dxa"/>
              <w:end w:w="90" w:type="dxa"/>
            </w:tcMar>
            <w:shd w:fill="F7FBFF" w:val="clear"/>
          </w:tcPr>
          <w:p>
            <w:pPr>
              <w:pStyle w:val="Compact"/>
              <w:jc w:val="left"/>
            </w:pPr>
            <w:r>
              <w:t xml:space="preserve">R3</w:t>
            </w:r>
          </w:p>
        </w:tc>
        <w:tc>
          <w:tcPr>
            <w:tcMar>
              <w:top w:w="80" w:type="dxa"/>
              <w:start w:w="90" w:type="dxa"/>
              <w:bottom w:w="80" w:type="dxa"/>
              <w:end w:w="90" w:type="dxa"/>
            </w:tcMar>
            <w:shd w:fill="F7FBFF" w:val="clear"/>
          </w:tcPr>
          <w:p>
            <w:pPr>
              <w:pStyle w:val="Compact"/>
              <w:jc w:val="left"/>
            </w:pPr>
            <w:r>
              <w:t xml:space="preserve">Residual welfare ranking: multi-scale and multi-dimensional welfare representation after Reality Grounding, RF/NCRC, TRC, and CSV have formed the selectable set.</w:t>
            </w:r>
          </w:p>
        </w:tc>
        <w:tc>
          <w:tcPr>
            <w:tcMar>
              <w:top w:w="80" w:type="dxa"/>
              <w:start w:w="90" w:type="dxa"/>
              <w:bottom w:w="80" w:type="dxa"/>
              <w:end w:w="90" w:type="dxa"/>
            </w:tcMar>
            <w:shd w:fill="F7FBFF" w:val="clear"/>
          </w:tcPr>
          <w:p>
            <w:pPr>
              <w:pStyle w:val="Compact"/>
              <w:jc w:val="left"/>
            </w:pPr>
            <w:r>
              <w:t xml:space="preserve">RLS / RippleLogic Score over 7×7 Welfare Matrix (Level 5)</w:t>
            </w:r>
          </w:p>
        </w:tc>
      </w:tr>
      <w:tr>
        <w:trPr/>
        <w:tc>
          <w:tcPr>
            <w:tcMar>
              <w:top w:w="80" w:type="dxa"/>
              <w:start w:w="90" w:type="dxa"/>
              <w:bottom w:w="80" w:type="dxa"/>
              <w:end w:w="90" w:type="dxa"/>
            </w:tcMar>
            <w:shd w:fill="D9EAF7" w:val="clear"/>
          </w:tcPr>
          <w:p>
            <w:pPr>
              <w:pStyle w:val="Compact"/>
              <w:jc w:val="left"/>
            </w:pPr>
            <w:r>
              <w:t xml:space="preserve">R4</w:t>
            </w:r>
          </w:p>
        </w:tc>
        <w:tc>
          <w:tcPr>
            <w:tcMar>
              <w:top w:w="80" w:type="dxa"/>
              <w:start w:w="90" w:type="dxa"/>
              <w:bottom w:w="80" w:type="dxa"/>
              <w:end w:w="90" w:type="dxa"/>
            </w:tcMar>
            <w:shd w:fill="D9EAF7" w:val="clear"/>
          </w:tcPr>
          <w:p>
            <w:pPr>
              <w:pStyle w:val="Compact"/>
              <w:jc w:val="left"/>
            </w:pPr>
            <w:r>
              <w:t xml:space="preserve">Explicit ripple propagation: interpretable kernel propagation under humility</w:t>
            </w:r>
          </w:p>
        </w:tc>
        <w:tc>
          <w:tcPr>
            <w:tcMar>
              <w:top w:w="80" w:type="dxa"/>
              <w:start w:w="90" w:type="dxa"/>
              <w:bottom w:w="80" w:type="dxa"/>
              <w:end w:w="90" w:type="dxa"/>
            </w:tcMar>
            <w:shd w:fill="D9EAF7" w:val="clear"/>
          </w:tcPr>
          <w:p>
            <w:pPr>
              <w:pStyle w:val="Compact"/>
              <w:jc w:val="left"/>
            </w:pPr>
            <w:r>
              <w:t xml:space="preserve">Kernel K</w:t>
            </w:r>
          </w:p>
        </w:tc>
      </w:tr>
      <w:tr>
        <w:trPr/>
        <w:tc>
          <w:tcPr>
            <w:tcMar>
              <w:top w:w="80" w:type="dxa"/>
              <w:start w:w="90" w:type="dxa"/>
              <w:bottom w:w="80" w:type="dxa"/>
              <w:end w:w="90" w:type="dxa"/>
            </w:tcMar>
            <w:shd w:fill="F7FBFF" w:val="clear"/>
          </w:tcPr>
          <w:p>
            <w:pPr>
              <w:pStyle w:val="Compact"/>
              <w:jc w:val="left"/>
            </w:pPr>
            <w:r>
              <w:t xml:space="preserve">R5</w:t>
            </w:r>
          </w:p>
        </w:tc>
        <w:tc>
          <w:tcPr>
            <w:tcMar>
              <w:top w:w="80" w:type="dxa"/>
              <w:start w:w="90" w:type="dxa"/>
              <w:bottom w:w="80" w:type="dxa"/>
              <w:end w:w="90" w:type="dxa"/>
            </w:tcMar>
            <w:shd w:fill="F7FBFF" w:val="clear"/>
          </w:tcPr>
          <w:p>
            <w:pPr>
              <w:pStyle w:val="Compact"/>
              <w:jc w:val="left"/>
            </w:pPr>
            <w:r>
              <w:t xml:space="preserve">Structural integrity and containment: local gains may not degrade containing unions beyond tolerance; UCI/HOI or equivalent diagnostics are used inside CSV where material.</w:t>
            </w:r>
          </w:p>
        </w:tc>
        <w:tc>
          <w:tcPr>
            <w:tcMar>
              <w:top w:w="80" w:type="dxa"/>
              <w:start w:w="90" w:type="dxa"/>
              <w:bottom w:w="80" w:type="dxa"/>
              <w:end w:w="90" w:type="dxa"/>
            </w:tcMar>
            <w:shd w:fill="F7FBFF" w:val="clear"/>
          </w:tcPr>
          <w:p>
            <w:pPr>
              <w:pStyle w:val="Compact"/>
              <w:jc w:val="left"/>
            </w:pPr>
            <w:r>
              <w:t xml:space="preserve">CSV / Containment and Structural Viability (Level 4)</w:t>
            </w:r>
          </w:p>
        </w:tc>
      </w:tr>
      <w:tr>
        <w:trPr/>
        <w:tc>
          <w:tcPr>
            <w:tcMar>
              <w:top w:w="80" w:type="dxa"/>
              <w:start w:w="90" w:type="dxa"/>
              <w:bottom w:w="80" w:type="dxa"/>
              <w:end w:w="90" w:type="dxa"/>
            </w:tcMar>
            <w:shd w:fill="D9EAF7" w:val="clear"/>
          </w:tcPr>
          <w:p>
            <w:pPr>
              <w:pStyle w:val="Compact"/>
              <w:jc w:val="left"/>
            </w:pPr>
            <w:r>
              <w:t xml:space="preserve">R6</w:t>
            </w:r>
          </w:p>
        </w:tc>
        <w:tc>
          <w:tcPr>
            <w:tcMar>
              <w:top w:w="80" w:type="dxa"/>
              <w:start w:w="90" w:type="dxa"/>
              <w:bottom w:w="80" w:type="dxa"/>
              <w:end w:w="90" w:type="dxa"/>
            </w:tcMar>
            <w:shd w:fill="D9EAF7" w:val="clear"/>
          </w:tcPr>
          <w:p>
            <w:pPr>
              <w:pStyle w:val="Compact"/>
              <w:jc w:val="left"/>
            </w:pPr>
            <w:r>
              <w:t xml:space="preserve">Legitimate weight governance: HDW blends constitutional floors with democratic tuning</w:t>
            </w:r>
          </w:p>
        </w:tc>
        <w:tc>
          <w:tcPr>
            <w:tcMar>
              <w:top w:w="80" w:type="dxa"/>
              <w:start w:w="90" w:type="dxa"/>
              <w:bottom w:w="80" w:type="dxa"/>
              <w:end w:w="90" w:type="dxa"/>
            </w:tcMar>
            <w:shd w:fill="D9EAF7" w:val="clear"/>
          </w:tcPr>
          <w:p>
            <w:pPr>
              <w:pStyle w:val="Compact"/>
              <w:jc w:val="left"/>
            </w:pPr>
            <w:r>
              <w:t xml:space="preserve">HDW</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R7</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Computability plus auditability: PCC and audit flags enable reconstruction, challenge, and learning</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PCC plus AIL</w:t>
            </w:r>
          </w:p>
        </w:tc>
      </w:tr>
    </w:tbl>
    <w:bookmarkEnd w:id="34"/>
    <w:bookmarkStart w:id="35" w:name="X7e52aed87fffcf7bd9d9a48e330f3842f1be929"/>
    <w:p>
      <w:pPr>
        <w:pStyle w:val="Heading2"/>
        <w:keepNext/>
        <w:keepLines/>
        <w:pageBreakBefore w:val="0"/>
        <w:widowControl/>
      </w:pPr>
      <w:r>
        <w:rPr>
          <w:rFonts w:ascii="Arial" w:hAnsi="Arial" w:eastAsia="Arial"/>
          <w:b/>
          <w:color w:val="1F4E78"/>
        </w:rPr>
        <w:t xml:space="preserve">1.4 Paper Contributions</w:t>
      </w:r>
    </w:p>
    <w:p>
      <w:pPr>
        <w:pStyle w:val="FirstParagraph"/>
        <w:widowControl/>
      </w:pPr>
      <w:r>
        <w:t xml:space="preserve">This paper provides:</w:t>
      </w:r>
    </w:p>
    <w:p>
      <w:pPr>
        <w:widowControl/>
        <w:numPr>
          <w:ilvl w:val="0"/>
          <w:numId w:val="1001"/>
        </w:numPr>
      </w:pPr>
      <w:r>
        <w:t xml:space="preserve">A fork-resistant normative specification for Tier 1-3 implementation.</w:t>
      </w:r>
    </w:p>
    <w:p>
      <w:pPr>
        <w:widowControl/>
        <w:numPr>
          <w:ilvl w:val="0"/>
          <w:numId w:val="1001"/>
        </w:numPr>
      </w:pPr>
      <w:r>
        <w:t xml:space="preserve">Canonical equations and constraints sufficient for independent implementation.</w:t>
      </w:r>
    </w:p>
    <w:p>
      <w:pPr>
        <w:widowControl/>
        <w:numPr>
          <w:ilvl w:val="0"/>
          <w:numId w:val="1001"/>
        </w:numPr>
      </w:pPr>
      <w:r>
        <w:t xml:space="preserve">Anti-gaming architecture (non-maskable cells, subgroup semantics, scenario governance, audit flags).</w:t>
      </w:r>
    </w:p>
    <w:p>
      <w:pPr>
        <w:widowControl/>
        <w:numPr>
          <w:ilvl w:val="0"/>
          <w:numId w:val="1001"/>
        </w:numPr>
      </w:pPr>
      <w:r>
        <w:t xml:space="preserve">A validation and falsification program (Section 17).</w:t>
      </w:r>
    </w:p>
    <w:p>
      <w:pPr>
        <w:widowControl/>
        <w:numPr>
          <w:ilvl w:val="0"/>
          <w:numId w:val="1001"/>
        </w:numPr>
      </w:pPr>
      <w:r>
        <w:t xml:space="preserve">A Tier-4 design target appendix (non-claimable until ProofPack).</w:t>
      </w:r>
    </w:p>
    <w:bookmarkEnd w:id="35"/>
    <w:bookmarkEnd w:id="36"/>
    <w:bookmarkStart w:id="56" w:name="Xdabb413858ee978afd41a8c25a7afff91e24894"/>
    <w:p>
      <w:pPr>
        <w:pStyle w:val="Heading1"/>
        <w:keepNext/>
        <w:keepLines/>
        <w:pageBreakBefore w:val="0"/>
        <w:widowControl/>
      </w:pPr>
      <w:r>
        <w:rPr>
          <w:rFonts w:ascii="Arial" w:hAnsi="Arial" w:eastAsia="Arial"/>
          <w:b/>
          <w:color w:val="1F4E78"/>
        </w:rPr>
        <w:t xml:space="preserve">SECTION 2: ONTOLOGICAL FOUNDATIONS: UNION-BASED REALITY (UBR)</w:t>
      </w:r>
    </w:p>
    <w:bookmarkStart w:id="37" w:name="X98df607b21c6bd1a6e7a60c22115a1898af78eb"/>
    <w:p>
      <w:pPr>
        <w:pStyle w:val="Heading2"/>
        <w:keepNext/>
        <w:keepLines/>
        <w:pageBreakBefore w:val="0"/>
        <w:widowControl/>
      </w:pPr>
      <w:r>
        <w:rPr>
          <w:rFonts w:ascii="Arial" w:hAnsi="Arial" w:eastAsia="Arial"/>
          <w:b/>
          <w:color w:val="1F4E78"/>
        </w:rPr>
        <w:t xml:space="preserve">2.1 Relational Ontology (Descriptive Thesis)</w:t>
      </w:r>
    </w:p>
    <w:p>
      <w:pPr>
        <w:pStyle w:val="FirstParagraph"/>
        <w:widowControl/>
      </w:pPr>
      <w:r>
        <w:t xml:space="preserve">UBR thesis: No entity exists in complete isolation for governance-relevant domains; entities are embedded in interacting networks whose structure transmits the consequences of actions.</w:t>
      </w:r>
    </w:p>
    <w:p>
      <w:pPr>
        <w:pStyle w:val="BodyText"/>
        <w:widowControl/>
      </w:pPr>
      <w:r>
        <w:t xml:space="preserve">This is a descriptive stance supported by systems science (feedbacks and leverage points), network science (universal structural features of real networks), and Earth-system science (planetary boundary coupling) (Meadows, 2008; Newman, 2010; Steffen et al., 2015; Rockström et al., 2009, 2023). UBR is also consistent with empirical findings in social and cognitive interdependence research showing strong links between human capacities and group structure, including the social brain hypothesis and attachment-based development (Bowlby, 1988; Dunbar, 1992, 1993), and with social contagion dynamics in networks (Christakis &amp; Fowler, 2009).</w:t>
      </w:r>
    </w:p>
    <w:p>
      <w:pPr>
        <w:pStyle w:val="BodyText"/>
        <w:widowControl/>
      </w:pPr>
      <w:r>
        <w:t xml:space="preserve">Scope conditions: UBR is most applicable in high-coupling systems with significant externalities, multi-scale feedbacks, and long time horizons. Low-coupling, short-horizon decisions may not require full UBR modeling; RippleLogic tiers allow proportional rigor.</w:t>
      </w:r>
    </w:p>
    <w:bookmarkEnd w:id="37"/>
    <w:bookmarkStart w:id="38" w:name="Xe6bf66c565ae68887c12f998d79c3b162d1a67a"/>
    <w:p>
      <w:pPr>
        <w:pStyle w:val="Heading2"/>
        <w:keepNext/>
        <w:keepLines/>
        <w:pageBreakBefore w:val="0"/>
        <w:widowControl/>
      </w:pPr>
      <w:r>
        <w:rPr>
          <w:rFonts w:ascii="Arial" w:hAnsi="Arial" w:eastAsia="Arial"/>
          <w:b/>
          <w:color w:val="1F4E78"/>
        </w:rPr>
        <w:t xml:space="preserve">2.1A Decision-Relevant Reality (Operational)</w:t>
      </w:r>
    </w:p>
    <w:p>
      <w:pPr>
        <w:pStyle w:val="FirstParagraph"/>
        <w:widowControl/>
      </w:pPr>
      <w:r>
        <w:t xml:space="preserve">For RippleLogic, reality, for decision-making, is the evaluator-independent field of constrained structures that, under transition, produce consequences. Decision-relevant reality is the portion of that field that materially bears on rights, catastrophic risk, containment, welfare, legitimacy, agency, auditability, or available choices. The reality surface is the portion actually captured, represented, and modeled in the run. RippleLogic does not claim complete metaphysical access to reality; it requires decision claims to make declared, auditable, and challengeable contact with the relevant reality surface. Here, evaluator-independent means independent of the evaluating agent’s perception, admission, authority, model, or preference; it does not deny the reality of experience or social facts. Mental states, institutions, norms, laws, markets, reputations, and model outputs may be real vehicles with real effects when they shape welfare, rights, risk, agency, or available choices.</w:t>
      </w:r>
    </w:p>
    <w:p>
      <w:pPr>
        <w:pStyle w:val="BodyText"/>
        <w:widowControl/>
      </w:pPr>
      <w:r>
        <w:t xml:space="preserve">Root-science boundary. RippleLogic treats constrained structure under transition producing consequence as the operational substrate of decision-relevant reality. This is not a final metaphysical claim about ultimate being; it is a governance-grade discipline. Physical, biological, ecological, experiential, social, institutional, informational, artificial-system, and formal/logical structures and constraints become relevant when they shape rights, risk, welfare, agency, available choices, legitimacy, or auditability.</w:t>
      </w:r>
    </w:p>
    <w:p>
      <w:pPr>
        <w:pStyle w:val="BodyText"/>
        <w:widowControl/>
      </w:pPr>
      <w:r>
        <w:t xml:space="preserve">Structure rule. Structure is the stable relational arrangement of distinguishable differences that persists across a decision-relevant transition window and can carry causal, informational, biological, ecological, social, institutional, artificial-system, or experiential significance. Structure may include physical configuration, network topology, causal architecture, biological organization, ecological interdependence, institutional role structure, information-bearing arrangement, cognitive model, social pattern, or rights-relevant exposure pattern. Structure is not the object alone, not the process alone, and not the model of the arrangement; the model is only a reality surface.</w:t>
      </w:r>
    </w:p>
    <w:p>
      <w:pPr>
        <w:pStyle w:val="BodyText"/>
        <w:widowControl/>
      </w:pPr>
      <w:r>
        <w:t xml:space="preserve">Transition rule. Consequences arise when an action, decision, event, policy, intervention, or state-shift enters constrained structure. Transition is the decision-relevant change through which constrained structure produces consequence. A RippleLogic run SHOULD declare the transition or action boundary when it makes material claims about consequence.</w:t>
      </w:r>
    </w:p>
    <w:p>
      <w:pPr>
        <w:pStyle w:val="BodyText"/>
        <w:widowControl/>
      </w:pPr>
      <w:r>
        <w:t xml:space="preserve">Constraint-species rule. A factor may bear on the decision through causal influence, such as physical, biological, ecological, social, institutional, informational, or experiential conditions, or through formal/logical constraint, such as coherence, conservation, computability, consistency, or mathematical possibility. Constraint is the genus; causal and formal/logical constraints are species. RippleLogic uses both and MUST NOT conflate them.</w:t>
      </w:r>
    </w:p>
    <w:p>
      <w:pPr>
        <w:pStyle w:val="BodyText"/>
        <w:widowControl/>
      </w:pPr>
      <w:r>
        <w:t xml:space="preserve">Constraint-status rule. Constraint is anything that limits, enables, shapes, or channels what can happen. Physical, biological, ecological, informational, experiential, institutional, computational, and formal/logical constraints may be discovered, measured, modeled, or inferred. Rights floors, dignity protections, and non-domination constraints are explicit normative commitments. RippleLogic treats all of these as governance-relevant constraints when they shape admissibility or consequence, but it MUST NOT present chosen normative commitments as if they were discovered physical facts.</w:t>
      </w:r>
    </w:p>
    <w:p>
      <w:pPr>
        <w:pStyle w:val="BodyText"/>
        <w:widowControl/>
      </w:pPr>
      <w:r>
        <w:t xml:space="preserve">Consequence rule. Consequence is the observable or inferable change that follows from an action, transition, decision, event, or policy within constrained structure. Consequences may be direct, probabilistic, systemic, delayed, distributed, reversible, irreversible, moral, institutional, epistemic, ecological, or catastrophic. Consequence claims require evidence traces, scenario boundaries, uncertainty disclosure, and monitoring paths proportionate to stakes.</w:t>
      </w:r>
    </w:p>
    <w:p>
      <w:pPr>
        <w:pStyle w:val="BodyText"/>
        <w:widowControl/>
      </w:pPr>
      <w:r>
        <w:t xml:space="preserve">Vehicle/content/effect rule. A belief, norm, institution, model, market signal, law, border, reputation system, or algorithmic score may be a real vehicle with real effects even when its content is false. Consensus can therefore be socially real while still failing to track the territory. Agreement does not make a harmful system harmless, and authority does not make an inadmissible decision admissible.</w:t>
      </w:r>
    </w:p>
    <w:p>
      <w:pPr>
        <w:pStyle w:val="BodyText"/>
        <w:widowControl/>
      </w:pPr>
      <w:r>
        <w:t xml:space="preserve">Surface/territory rule. Any model captures only a reality surface; the territory exceeds every surface. Absence of evidence is not evidence of absence where the missing condition is rights-relevant, catastrophe-relevant, containment-relevant, or material to the claimed decision state. Omitted material factors must be recorded as unknown, not zero.</w:t>
      </w:r>
    </w:p>
    <w:p>
      <w:pPr>
        <w:pStyle w:val="BodyText"/>
        <w:widowControl/>
      </w:pPr>
      <w:r>
        <w:t xml:space="preserve">Contact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pStyle w:val="BodyText"/>
        <w:widowControl/>
      </w:pPr>
      <w:r>
        <w:t xml:space="preserve">Consequence under finitude. Because the territory exceeds every modeled surface and audit operates only on the surface, no run can certify that all unmodeled catastrophic or containment-breaking effects are absent. Under RippleLogic’s adopted rights and ruin commitments, potentially irreversible or civilization-threatening losses are not treated as ordinary compensable terms inside a welfare average. Non-averagability is therefore a constitutional design requirement of this framework, motivated by finite knowledge and asymmetric ruin, rather than a theorem that every possible ethical system must adopt. TRC and CSV are the operational expression of that commitment.</w:t>
      </w:r>
    </w:p>
    <w:bookmarkEnd w:id="38"/>
    <w:bookmarkStart w:id="39" w:name="Xf7b2393e8bb2964596a345025b37ed15e4c6548"/>
    <w:p>
      <w:pPr>
        <w:pStyle w:val="Heading2"/>
        <w:keepNext/>
        <w:keepLines/>
        <w:pageBreakBefore w:val="0"/>
        <w:widowControl/>
      </w:pPr>
      <w:r>
        <w:rPr>
          <w:rFonts w:ascii="Arial" w:hAnsi="Arial" w:eastAsia="Arial"/>
          <w:b/>
          <w:color w:val="1F4E78"/>
        </w:rPr>
        <w:t xml:space="preserve">2.1B Reality Grounding / Reality-Surface Grounding (RSG) (Normative)</w:t>
      </w:r>
    </w:p>
    <w:p>
      <w:pPr>
        <w:pStyle w:val="FirstParagraph"/>
        <w:widowControl/>
      </w:pPr>
      <w:r>
        <w:t xml:space="preserve">Purpose. Reality Grounding is the required first level of a RippleLogic run. It prevents decisions from treating authority, fluency, compliance, dashboards, or model outputs as reality. A run may only make claims supported by its declared reality surface and evidence trace.</w:t>
      </w:r>
    </w:p>
    <w:p>
      <w:pPr>
        <w:pStyle w:val="BodyText"/>
        <w:widowControl/>
      </w:pPr>
      <w:r>
        <w:t xml:space="preserve">Definition. Reality Grounding is the process of declaring the decision-relevant reality surface, evidence trace, material unknowns, transition boundary, consequence pathways, and claim boundary before rights, risk, CSV, or scoring claims are made.</w:t>
      </w:r>
    </w:p>
    <w:p>
      <w:pPr>
        <w:pStyle w:val="BodyText"/>
        <w:widowControl/>
      </w:pPr>
      <w:r>
        <w:t>Reality-reference boundary. Reality is the final constraint on claim-bearing representations, but operational access to reality is mediated through observations, instruments, records, categories, testimony, and models that may be incomplete, biased, stale, or wrong. Reality Grounding therefore establishes bounded warrant for a declared claim, configuration, validity domain, and evidence surface; it does not establish complete possession of reality. A material conflict between the representation and newly available evidence reopens the affected claim and every dependent stage.</w:t>
      </w:r>
    </w:p>
    <w:p>
      <w:pPr>
        <w:pStyle w:val="BodyText"/>
        <w:widowControl/>
      </w:pPr>
      <w:r>
        <w:t xml:space="preserve">Six required outputs. A valid RealityGroundingRecord SHOULD include: (1) reality_surface; (2) evidence_trace; (3) material_unknowns; (4) transition_or_action_boundary; (5) consequence_pathways; and (6) claim_boundary. Tier 3 and high-stakes Tier 2 runs SHOULD also include monitoring_path, falsification_or_revision_trigger, reviewer_status, and evidence_status by material claim. When source coupling or physical/causal admissibility is material, the RealityGroundingRecord MUST link to the SourceCouplingRecord and/or PhysicalCausalAdmissibilityEvidenceProfile rather than treating governance approval, model fluency, simulation output, or monitoring as reality contact.</w:t>
      </w:r>
    </w:p>
    <w:p>
      <w:pPr>
        <w:pStyle w:val="BodyText"/>
        <w:widowControl/>
      </w:pPr>
      <w:r>
        <w:t xml:space="preserve">Status values. RealityGroundingStatus values are GROUNDED, ESTIMATED, ASSUMPTION_BOUND, DECLARED_UNKNOWN, OUT_OF_SCOPE_WITH_RATIONALE, and INSUFFICIENT_GROUNDING. Legacy RealityContactStatus terms remain compatible aliases: EVIDENCE_BACKED maps to GROUNDED and INSUFFICIENT_CONTACT maps to INSUFFICIENT_GROUNDING.</w:t>
      </w:r>
    </w:p>
    <w:p>
      <w:pPr>
        <w:pStyle w:val="BodyText"/>
      </w:pPr>
      <w:r>
        <w:t>Reviewer-to-machine status crosswalk (Normative). GROUNDED and ESTIMATED map to RG_SUPPORTED only when the claim stays inside the declared evidence, configuration, and validity boundary. ASSUMPTION_BOUND and OUT_OF_SCOPE_WITH_RATIONALE map to RG_NARROWED only when the narrowed claim, omitted material, downstream restrictions, and reopen trigger are explicit; otherwise they map to RG_REFUSED. DECLARED_UNKNOWN and INSUFFICIENT_GROUNDING map to RG_REFUSED whenever the unresolved fact is material to RF/NCRC, TRC, CSV, deterministic selection, authorization, execution, or public conformance. Implementations MUST NOT choose the mapping that produces the preferred outcome.</w:t>
      </w:r>
    </w:p>
    <w:p>
      <w:pPr>
        <w:pStyle w:val="BodyText"/>
        <w:widowControl/>
      </w:pPr>
      <w:r>
        <w:t xml:space="preserve">RealityGroundingStatus assignment guide. The following table is a required reviewer guide for Tier 3 runs and a recommended guide for Tier 2 runs. It does not replace evidence review, but it constrains status drift.</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Evidence condition</w:t>
            </w:r>
          </w:p>
        </w:tc>
        <w:tc>
          <w:tcPr>
            <w:shd w:fill="1F4E78" w:val="clear"/>
            <w:tcMar>
              <w:top w:w="80" w:type="dxa"/>
              <w:start w:w="90" w:type="dxa"/>
              <w:bottom w:w="80" w:type="dxa"/>
              <w:end w:w="90" w:type="dxa"/>
            </w:tcMar>
          </w:tcPr>
          <w:p>
            <w:pPr>
              <w:pStyle w:val="Compact"/>
              <w:jc w:val="left"/>
            </w:pPr>
            <w:r>
              <w:rPr>
                <w:b/>
                <w:bCs/>
                <w:color w:val="FFFFFF"/>
              </w:rPr>
              <w:t xml:space="preserve">Required or recommended status</w:t>
            </w:r>
          </w:p>
        </w:tc>
      </w:tr>
      <w:tr>
        <w:trPr/>
        <w:tc>
          <w:tcPr>
            <w:tcMar>
              <w:top w:w="80" w:type="dxa"/>
              <w:start w:w="90" w:type="dxa"/>
              <w:bottom w:w="80" w:type="dxa"/>
              <w:end w:w="90" w:type="dxa"/>
            </w:tcMar>
            <w:shd w:fill="F7FBFF" w:val="clear"/>
          </w:tcPr>
          <w:p>
            <w:pPr>
              <w:pStyle w:val="Compact"/>
              <w:jc w:val="left"/>
            </w:pPr>
            <w:r>
              <w:t xml:space="preserve">Direct measured evidence, current source trace, reviewer-visible boundary, and no material missing condition</w:t>
            </w:r>
          </w:p>
        </w:tc>
        <w:tc>
          <w:tcPr>
            <w:tcMar>
              <w:top w:w="80" w:type="dxa"/>
              <w:start w:w="90" w:type="dxa"/>
              <w:bottom w:w="80" w:type="dxa"/>
              <w:end w:w="90" w:type="dxa"/>
            </w:tcMar>
            <w:shd w:fill="F7FBFF" w:val="clear"/>
          </w:tcPr>
          <w:p>
            <w:pPr>
              <w:pStyle w:val="Compact"/>
              <w:jc w:val="left"/>
            </w:pPr>
            <w:r>
              <w:t xml:space="preserve">GROUNDED</w:t>
            </w:r>
          </w:p>
        </w:tc>
      </w:tr>
      <w:tr>
        <w:trPr/>
        <w:tc>
          <w:tcPr>
            <w:tcMar>
              <w:top w:w="80" w:type="dxa"/>
              <w:start w:w="90" w:type="dxa"/>
              <w:bottom w:w="80" w:type="dxa"/>
              <w:end w:w="90" w:type="dxa"/>
            </w:tcMar>
            <w:shd w:fill="D9EAF7" w:val="clear"/>
          </w:tcPr>
          <w:p>
            <w:pPr>
              <w:pStyle w:val="Compact"/>
              <w:jc w:val="left"/>
            </w:pPr>
            <w:r>
              <w:t xml:space="preserve">Modeled, inferred, or extrapolated from accepted sources with stated uncertainty</w:t>
            </w:r>
          </w:p>
        </w:tc>
        <w:tc>
          <w:tcPr>
            <w:tcMar>
              <w:top w:w="80" w:type="dxa"/>
              <w:start w:w="90" w:type="dxa"/>
              <w:bottom w:w="80" w:type="dxa"/>
              <w:end w:w="90" w:type="dxa"/>
            </w:tcMar>
            <w:shd w:fill="D9EAF7" w:val="clear"/>
          </w:tcPr>
          <w:p>
            <w:pPr>
              <w:pStyle w:val="Compact"/>
              <w:jc w:val="left"/>
            </w:pPr>
            <w:r>
              <w:t xml:space="preserve">ESTIMATED</w:t>
            </w:r>
          </w:p>
        </w:tc>
      </w:tr>
      <w:tr>
        <w:trPr/>
        <w:tc>
          <w:tcPr>
            <w:tcMar>
              <w:top w:w="80" w:type="dxa"/>
              <w:start w:w="90" w:type="dxa"/>
              <w:bottom w:w="80" w:type="dxa"/>
              <w:end w:w="90" w:type="dxa"/>
            </w:tcMar>
            <w:shd w:fill="F7FBFF" w:val="clear"/>
          </w:tcPr>
          <w:p>
            <w:pPr>
              <w:pStyle w:val="Compact"/>
              <w:jc w:val="left"/>
            </w:pPr>
            <w:r>
              <w:t xml:space="preserve">Material result depends on declared assumptions that could change gate status, authority selection, or public claim strength</w:t>
            </w:r>
          </w:p>
        </w:tc>
        <w:tc>
          <w:tcPr>
            <w:tcMar>
              <w:top w:w="80" w:type="dxa"/>
              <w:start w:w="90" w:type="dxa"/>
              <w:bottom w:w="80" w:type="dxa"/>
              <w:end w:w="90" w:type="dxa"/>
            </w:tcMar>
            <w:shd w:fill="F7FBFF" w:val="clear"/>
          </w:tcPr>
          <w:p>
            <w:pPr>
              <w:pStyle w:val="Compact"/>
              <w:jc w:val="left"/>
            </w:pPr>
            <w:r>
              <w:t xml:space="preserve">ASSUMPTION_BOUND</w:t>
            </w:r>
          </w:p>
        </w:tc>
      </w:tr>
      <w:tr>
        <w:trPr/>
        <w:tc>
          <w:tcPr>
            <w:tcMar>
              <w:top w:w="80" w:type="dxa"/>
              <w:start w:w="90" w:type="dxa"/>
              <w:bottom w:w="80" w:type="dxa"/>
              <w:end w:w="90" w:type="dxa"/>
            </w:tcMar>
            <w:shd w:fill="D9EAF7" w:val="clear"/>
          </w:tcPr>
          <w:p>
            <w:pPr>
              <w:pStyle w:val="Compact"/>
              <w:jc w:val="left"/>
            </w:pPr>
            <w:r>
              <w:t xml:space="preserve">Material fact is unknown and cannot be responsibly inferred from the declared surface</w:t>
            </w:r>
          </w:p>
        </w:tc>
        <w:tc>
          <w:tcPr>
            <w:tcMar>
              <w:top w:w="80" w:type="dxa"/>
              <w:start w:w="90" w:type="dxa"/>
              <w:bottom w:w="80" w:type="dxa"/>
              <w:end w:w="90" w:type="dxa"/>
            </w:tcMar>
            <w:shd w:fill="D9EAF7" w:val="clear"/>
          </w:tcPr>
          <w:p>
            <w:pPr>
              <w:pStyle w:val="Compact"/>
              <w:jc w:val="left"/>
            </w:pPr>
            <w:r>
              <w:t xml:space="preserve">DECLARED_UNKNOWN</w:t>
            </w:r>
          </w:p>
        </w:tc>
      </w:tr>
      <w:tr>
        <w:trPr/>
        <w:tc>
          <w:tcPr>
            <w:tcMar>
              <w:top w:w="80" w:type="dxa"/>
              <w:start w:w="90" w:type="dxa"/>
              <w:bottom w:w="80" w:type="dxa"/>
              <w:end w:w="90" w:type="dxa"/>
            </w:tcMar>
            <w:shd w:fill="F7FBFF" w:val="clear"/>
          </w:tcPr>
          <w:p>
            <w:pPr>
              <w:pStyle w:val="Compact"/>
              <w:jc w:val="left"/>
            </w:pPr>
            <w:r>
              <w:t xml:space="preserve">A fact is outside the declared decision boundary, and the rationale shows it cannot affect the gate or claim under review</w:t>
            </w:r>
          </w:p>
        </w:tc>
        <w:tc>
          <w:tcPr>
            <w:tcMar>
              <w:top w:w="80" w:type="dxa"/>
              <w:start w:w="90" w:type="dxa"/>
              <w:bottom w:w="80" w:type="dxa"/>
              <w:end w:w="90" w:type="dxa"/>
            </w:tcMar>
            <w:shd w:fill="F7FBFF" w:val="clear"/>
          </w:tcPr>
          <w:p>
            <w:pPr>
              <w:pStyle w:val="Compact"/>
              <w:jc w:val="left"/>
            </w:pPr>
            <w:r>
              <w:t xml:space="preserve">OUT_OF_SCOPE_WITH_RATIONALE</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Missing, stale, contested, or unsupported evidence could change NCRC/RF, TRC, CSV, deterministic selection, authority selection, or conformance claim</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INSUFFICIENT_GROUNDING</w:t>
            </w:r>
          </w:p>
        </w:tc>
      </w:tr>
    </w:tbl>
    <w:p>
      <w:pPr>
        <w:pStyle w:val="BodyText"/>
        <w:widowControl/>
      </w:pPr>
      <w:r>
        <w:t xml:space="preserve">Claim-boundary rule. No claim may exceed its reality surface. If the surface is insufficient for a material rights, tail-risk, containment, authority, conformance, or selection claim, the run MUST narrow the claim, collect more evidence, escalate, mark the result exploratory/sensitivity-only, or refuse the stronger claim.</w:t>
      </w:r>
    </w:p>
    <w:p>
      <w:pPr>
        <w:pStyle w:val="BodyText"/>
        <w:widowControl/>
      </w:pPr>
      <w:r>
        <w:t xml:space="preserve">Verifiable-admissibility rule. For life-critical systems, weapons, nuclear command and control, planetary-scale cognition, critical infrastructure, medical systems, ecological interventions, or other high-consequence domains, Reality Grounding MUST treat admissibility as verifiable and refusible. No claim may govern, authorize, or rank a consequence-bearing action beyond its declared evidence surface unless the claim can be tested or otherwise warranted, bounded to a validity domain, audited with traceable evidence, corrected through monitoring and revision, and refused when the evidence surface is insufficient. If these conditions cannot be met, the run MUST narrow the claim, collect more evidence, escalate, mark the result exploratory or non-decisive, or refuse the stronger claim.</w:t>
      </w:r>
    </w:p>
    <w:p>
      <w:pPr>
        <w:pStyle w:val="BodyText"/>
        <w:widowControl/>
      </w:pPr>
      <w:r>
        <w:t xml:space="preserve">Operational admissibility sequence (Informative). Ground the claim. Protect the right. Bound the ruin. Verify the system. Make exit and correction real. Rank only what survives qualification.</w:t>
      </w:r>
    </w:p>
    <w:p>
      <w:pPr>
        <w:pStyle w:val="BodyText"/>
        <w:widowControl/>
      </w:pPr>
      <w:r>
        <w:t xml:space="preserve">Public teaching line. Reality is the territory. A decision sees only a surface. Evidence grounds the surface. Unknowns mark the edge. Claims must stay inside the ground they stand on.</w:t>
      </w:r>
    </w:p>
    <w:bookmarkEnd w:id="39"/>
    <w:bookmarkStart w:id="40" w:name="X5b87e6997e8cbf6f11619bd3e2574830e5eb7c4"/>
    <w:p>
      <w:pPr>
        <w:pStyle w:val="Heading2"/>
        <w:keepNext/>
        <w:keepLines/>
        <w:pageBreakBefore w:val="0"/>
        <w:widowControl/>
      </w:pPr>
      <w:r>
        <w:rPr>
          <w:rFonts w:ascii="Arial" w:hAnsi="Arial" w:eastAsia="Arial"/>
          <w:b/>
          <w:color w:val="1F4E78"/>
        </w:rPr>
        <w:t xml:space="preserve">2.1C Category Grounding and Primitive Audit inside Reality Grounding (Normative)</w:t>
      </w:r>
    </w:p>
    <w:p>
      <w:pPr>
        <w:pStyle w:val="FirstParagraph"/>
        <w:widowControl/>
      </w:pPr>
      <w:r>
        <w:t xml:space="preserve">Purpose. Category Grounding prevents a RippleLogic run from optimizing, governing, scoring, or authorizing action through categories whose definition, boundary, or reference structure is unexamined, stale, inherited without review, or too weak for the claim being made.</w:t>
      </w:r>
    </w:p>
    <w:p>
      <w:pPr>
        <w:pStyle w:val="BodyText"/>
        <w:widowControl/>
      </w:pPr>
      <w:r>
        <w:t xml:space="preserve">Single-group rule. Category Grounding, Primitive Audit, Reference Category Review, and Category-Reality Correspondence Check belong to the Reality Grounding group. They are not new public cascade levels and MUST NOT be represented as separate gates parallel to Rights Floor, Tail-Risk Bound, Containment, or RippleLogic Score. The five-level method remains Reality Grounding -&gt; Rights Floor -&gt; TRC -&gt; CSV -&gt; RLS.</w:t>
      </w:r>
    </w:p>
    <w:p>
      <w:pPr>
        <w:pStyle w:val="BodyText"/>
        <w:widowControl/>
      </w:pPr>
      <w:r>
        <w:t xml:space="preserve">Trigger. Category Grounding is REQUIRED when a material category affects rights status, protected-stakeholder inclusion, SGP interpretation, catastrophic-risk modeling, Containment, authority selection, conformance claims, public deployment claims, or any metric that will be optimized under pressure. It is RECOMMENDED for contested, novel, high-uncertainty, cross-domain, or high-prestige terms whose ordinary use may conceal structural ambiguity.</w:t>
      </w:r>
    </w:p>
    <w:p>
      <w:pPr>
        <w:pStyle w:val="BodyText"/>
        <w:widowControl/>
      </w:pPr>
      <w:r>
        <w:t xml:space="preserve">Materiality test. A category is material when changing its definition, inclusion boundary, exclusion boundary, or reference structure could change the RealityGroundingStatus, NCRC/Rights Floor result, TRC scenario set, CSV result, SGP interpretation, AuthoritySelectionRecord, conformance claim, public deployment claim, deterministic-selection claim, or optimized metric.</w:t>
      </w:r>
    </w:p>
    <w:p>
      <w:pPr>
        <w:pStyle w:val="BodyText"/>
        <w:widowControl/>
      </w:pPr>
      <w:r>
        <w:t xml:space="preserve">Metric-category rule. No metric may exceed the category that defines what it measures. If the category is weak, stale, contested, or insufficiently grounded, the metric may be used only within the resulting claim boundary and must not be laundered into stronger selection, conformance, or public claims.</w:t>
      </w:r>
    </w:p>
    <w:p>
      <w:pPr>
        <w:pStyle w:val="BodyText"/>
        <w:widowControl/>
      </w:pPr>
      <w:r>
        <w:t xml:space="preserve">Minimum record. When the Section 2.1C trigger holds for a claim-bearing Tier 3 run, high-stakes Tier 2 run, or public conformance claim, the CategoryGroundingRecord MUST identify; for lower-stakes or exploratory runs it SHOULD identify: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and required_claim_action.</w:t>
      </w:r>
    </w:p>
    <w:p>
      <w:pPr>
        <w:pStyle w:val="BodyText"/>
        <w:widowControl/>
      </w:pPr>
      <w:r>
        <w:t xml:space="preserve">Term Discrimination extension. For material terms, the record MUST identify the discriminator that separates the term from likely neighboring terms, the dependency position the term occupies in the decision stack, and the condition under which the term must be narrowed, escalated, monitored, treated as sensitivity-only, or refused. A downstream term MUST NOT claim upstream authority: certification is evidence, not validity; permission is authorization, not admissibility; monitoring is observation, not control; automation is execution, not autonomy; protection is moral standing, not governance authority; and a score is a bounded computation, not truth.</w:t>
      </w:r>
    </w:p>
    <w:p>
      <w:pPr>
        <w:pStyle w:val="BodyText"/>
        <w:widowControl/>
      </w:pPr>
      <w:r>
        <w:t xml:space="preserve">Claim action. If category grounding or term discrimination is insufficient for a material claim, the run MUST narrow the claim, mark the category ASSUMPTION_BOUND or CONTESTED, collect stronger evidence, escalate for review, restrict use to exploratory/sensitivity-only analysis, or refuse the stronger claim. It MUST NOT launder category uncertainty or term collapse through RLS, PLSS, HDW, PCC completion, authority selection, certification, compliance, monitoring, model fluency, or stakeholder preference.</w:t>
      </w:r>
    </w:p>
    <w:p>
      <w:pPr>
        <w:pStyle w:val="BodyText"/>
        <w:widowControl/>
      </w:pPr>
      <w:r>
        <w:t xml:space="preserve">Plain-language rule. Before MathGov scores a thing, it must check whether the thing has been named and bounded correctly enough for the claim being made.</w:t>
      </w:r>
    </w:p>
    <w:bookmarkEnd w:id="40"/>
    <w:bookmarkStart w:id="41" w:name="Xe5db27642ad2c71b29b90f71133d83958ca43d1"/>
    <w:p>
      <w:pPr>
        <w:pStyle w:val="Heading2"/>
        <w:keepNext/>
        <w:keepLines/>
        <w:pageBreakBefore w:val="0"/>
        <w:widowControl/>
      </w:pPr>
      <w:r>
        <w:rPr>
          <w:rFonts w:ascii="Arial" w:hAnsi="Arial" w:eastAsia="Arial"/>
          <w:b/>
          <w:color w:val="1F4E78"/>
        </w:rPr>
        <w:t xml:space="preserve">2.1D Source-Coupling Integrity and Generative-Source Traceability inside Reality Grounding (Normative)</w:t>
      </w:r>
    </w:p>
    <w:p>
      <w:pPr>
        <w:pStyle w:val="FirstParagraph"/>
        <w:widowControl/>
      </w:pPr>
      <w:r>
        <w:t xml:space="preserve">Purpose. Source-Coupling Integrity prevents a RippleLogic run from treating downstream output, institutional permission, compliance status, model fluency, benchmark performance, inherited procedure, or interface success as proof that a claimed capability is grounded in the enabling conditions and boundary conditions that make it possible.</w:t>
      </w:r>
    </w:p>
    <w:p>
      <w:pPr>
        <w:pStyle w:val="BodyText"/>
        <w:widowControl/>
      </w:pPr>
      <w:r>
        <w:t xml:space="preserve">Single-group rule. Source-Coupling Integrity belongs to the Reality Grounding group and is consumed by CSV when source weakness creates structural fragility. It is not a new public cascade level and MUST NOT be represented as a sixth gate. The public method remains RG -&gt; RF -&gt; TRC -&gt; CSV -&gt; RLS.</w:t>
      </w:r>
    </w:p>
    <w:p>
      <w:pPr>
        <w:pStyle w:val="BodyText"/>
        <w:widowControl/>
      </w:pPr>
      <w:r>
        <w:t xml:space="preserve">Trigger. Source-Coupling Review is REQUIRED when a material claimed capability, output, model, metric, procedure, institutional standard, inherited category, generated result, or agentic action affects claim authority, RF/NCRC, TRC, CSV, RLS, SGP interpretation, execution authority, or public conformance and any of the following conditions holds: (i) the output is generated, simulated, benchmark-derived, model-inferred, or dashboard-derived; (ii) the run relies on an inherited procedure, standard, dataset, legal category, or compliance label as if it settled the underlying claim; (iii) a capability is extrapolated beyond the conditions in which it was demonstrated; (iv) downstream controls or monitoring compensate for a limitation whose enabling conditions remain unclear; or (v) a challenger plausibly alleges that performance, permission, compliance, or fluency is being substituted for grounded capability.</w:t>
      </w:r>
    </w:p>
    <w:p>
      <w:pPr>
        <w:pStyle w:val="BodyText"/>
        <w:widowControl/>
      </w:pPr>
      <w:r>
        <w:t xml:space="preserve">Minimum record. When triggered for a claim-bearing Tier 3 run, high-stakes Tier 2 run, or public conformance claim, the SourceCouplingRecord MUST identify; for lower-stakes or exploratory runs it SHOULD identify: claimed_capability; enabling_conditions; boundary_conditions; source_evidence; generator_output_distinction; inherited_assumptions; downstream_compensations; source_coupling_status; source_debt_flag; falsification_or_recheck_trigger; and required_claim_action.</w:t>
      </w:r>
    </w:p>
    <w:p>
      <w:pPr>
        <w:pStyle w:val="BodyText"/>
        <w:widowControl/>
      </w:pPr>
      <w:r>
        <w:t xml:space="preserve">Status values. SourceCouplingStatus values are SOURCE_COUPLED, SOURCE_PARTIAL, SOURCE_INFERRED, SOURCE_UNKNOWN, SOURCE_CONTESTED, SOURCE_DEBT_RISK, and SOURCE_COUPLING_FAILURE. SOURCE_COUPLED may support the declared claim boundary. SOURCE_PARTIAL, SOURCE_INFERRED, SOURCE_UNKNOWN, or SOURCE_CONTESTED requires claim narrowing, assumption-bound use, additional evidence, escalation, or refusal of the stronger claim as appropriate. SOURCE_DEBT_RISK routes the issue to CSV when structural viability depends on the weakly coupled capability. SOURCE_COUPLING_FAILURE means the run is substituting output, fluency, compliance, permission, or inherited procedure for source-coupled evidence and MUST refuse or redesign the stronger claim.</w:t>
      </w:r>
    </w:p>
    <w:p>
      <w:pPr>
        <w:pStyle w:val="BodyText"/>
        <w:widowControl/>
      </w:pPr>
      <w:r>
        <w:t xml:space="preserve">Source-debt diagnostic. Source debt is the structural risk created when a run proceeds through compensatory controls while the enabling conditions, boundary conditions, or limits of a claimed capability remain weak, stale, unknown, overextended, or contested. Source debt is different from semantic debt: semantic debt concerns weak terms or categories; source debt concerns weak understanding of the capability-generating conditions themselves.</w:t>
      </w:r>
    </w:p>
    <w:p>
      <w:pPr>
        <w:pStyle w:val="BodyText"/>
        <w:widowControl/>
      </w:pPr>
      <w:r>
        <w:t xml:space="preserve">CSV routing. CSV SHOULD consume source-coupling evidence when source weakness creates containment risk, dependency risk, hollowing risk, execution non-viability, reversibility failure, monitoring inadequacy, or hidden structural fragility. A weak SourceCouplingRecord does not automatically fail every option, but it constrains the claim and may require controls, redesign, escalation, or refusal.</w:t>
      </w:r>
    </w:p>
    <w:p>
      <w:pPr>
        <w:pStyle w:val="BodyText"/>
        <w:widowControl/>
      </w:pPr>
      <w:r>
        <w:t xml:space="preserve">Agent-output rule. Model fluency, benchmark performance, chain-of-action success, tool-use success, or policy-filter compliance does not establish source-coupled admissibility. Agent outputs remain downstream claims until Reality Grounding and, where material, Source-Coupling Review establish the supported claim boundary.</w:t>
      </w:r>
    </w:p>
    <w:p>
      <w:pPr>
        <w:pStyle w:val="BodyText"/>
        <w:widowControl/>
      </w:pPr>
      <w:r>
        <w:t xml:space="preserve">MathGov-native source-coupling note. Source-Coupling Integrity is an internal Reality Grounding and CSV diagnostic for checking whether decision claims remain connected to their declared sources, evidence surfaces, validity domains, and correction pathways. It does not import any external ontology, protected framework, or third-party text.</w:t>
      </w:r>
    </w:p>
    <w:p>
      <w:pPr>
        <w:pStyle w:val="BodyText"/>
        <w:widowControl/>
      </w:pPr>
      <w:r>
        <w:t xml:space="preserve">Plain-language rule. Before MathGov trusts a capability, it asks what makes the capability possible, what limits came with it, and whether downstream performance is being mistaken for grounded understanding.</w:t>
      </w:r>
    </w:p>
    <w:bookmarkEnd w:id="41"/>
    <w:bookmarkStart w:id="42" w:name="Xba5d34dacc27ac7687e9f0b949fbdcf65e689d7"/>
    <w:p>
      <w:pPr>
        <w:pStyle w:val="Heading2"/>
        <w:keepNext/>
        <w:keepLines/>
        <w:pageBreakBefore w:val="0"/>
        <w:widowControl/>
      </w:pPr>
      <w:r>
        <w:rPr>
          <w:rFonts w:ascii="Arial" w:hAnsi="Arial" w:eastAsia="Arial"/>
          <w:b/>
          <w:color w:val="1F4E78"/>
        </w:rPr>
        <w:t xml:space="preserve">2.1E Physical/Causal Admissibility Evidence Profile inside Reality Grounding and CSV (Normative)</w:t>
      </w:r>
    </w:p>
    <w:p>
      <w:pPr>
        <w:pStyle w:val="FirstParagraph"/>
        <w:widowControl/>
      </w:pPr>
      <w:r>
        <w:t xml:space="preserve">Purpose. The Physical/Causal Admissibility Evidence Profile prevents a RippleLogic run from treating generated action candidates, simulations, model outputs, policy approvals, certifications, monitoring plans, compliance labels, or governance permission as proof that a consequence-bearing action is physically or causally admissible before execution.</w:t>
      </w:r>
    </w:p>
    <w:p>
      <w:pPr>
        <w:pStyle w:val="BodyText"/>
        <w:widowControl/>
      </w:pPr>
      <w:r>
        <w:t xml:space="preserve">Single-group rule. Physical/Causal Admissibility Evidence belongs to the Reality Grounding group and is consumed by CSV when action execution depends on physical, biological, ecological, medical, engineering, cyber-physical, infrastructural, operational, or causal constraints. It is not a new public cascade level and MUST NOT be represented as a sixth gate. The public method remains RG -&gt; RF -&gt; TRC -&gt; CSV -&gt; RLS.</w:t>
      </w:r>
    </w:p>
    <w:p>
      <w:pPr>
        <w:pStyle w:val="BodyText"/>
        <w:widowControl/>
      </w:pPr>
      <w:r>
        <w:t xml:space="preserve">Boundary rule. MathGov does not claim to generate complete physical truth, formal verification, engineering certification, medical clearance, legal approval, or deployment certification. It requires the decision record to declare what domain evidence, model basis, uncertainty, controls, and residual unknowns support the claim boundary. Domain experts, formal methods, empirical tests, simulations, engineering analysis, clinical evidence, safety cases, or other qualified warrants remain necessary when the domain requires them.</w:t>
      </w:r>
    </w:p>
    <w:p>
      <w:pPr>
        <w:pStyle w:val="BodyText"/>
        <w:widowControl/>
      </w:pPr>
      <w:r>
        <w:rPr>
          <w:b/>
        </w:rPr>
        <w:t>Formal-conformance boundary.</w:t>
      </w:r>
      <w:r>
        <w:t xml:space="preserve"> Formal verification establishes conformance between an implementation and a declared specification under stated assumptions. For a physical or causal admissibility claim, the run MUST separately justify how that specification maps to the relevant reality surface, validity domain, boundary conditions, uncertainty, and domain evidence. Internal consistency or verified implementation alone does not establish physical correspondence, safe execution, or deployment readiness.</w:t>
      </w:r>
    </w:p>
    <w:p>
      <w:pPr>
        <w:pStyle w:val="BodyText"/>
        <w:widowControl/>
      </w:pPr>
      <w:r>
        <w:t xml:space="preserve">Trigger. A Physical/Causal Admissibility Evidence Profile is REQUIRED for Tier 3 runs and high-stakes Tier 2 runs when a candidate action materially affects bodily safety, medical treatment, robotics, vehicles, infrastructure, industrial systems, energy systems, environmental intervention, weapons or security systems, autonomous execution, cyber-physical operations, irreversible resource commitment, or any causal pathway where execution can create non-trivial physical, biological, ecological, or operational harm. It is RECOMMENDED for ordinary Tier 2 runs when physical or causal uncertainty could change RF/NCRC, TRC, CSV, authority, or public claim strength.</w:t>
      </w:r>
    </w:p>
    <w:p>
      <w:pPr>
        <w:pStyle w:val="BodyText"/>
        <w:widowControl/>
      </w:pPr>
      <w:r>
        <w:t xml:space="preserve">Minimum record. When triggered, the PhysicalCausalAdmissibilityEvidenceProfile MUST identify: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and required_claim_action.</w:t>
      </w:r>
    </w:p>
    <w:p>
      <w:pPr>
        <w:pStyle w:val="BodyText"/>
        <w:widowControl/>
      </w:pPr>
      <w:r>
        <w:t xml:space="preserve">Status values. PhysicalCausalAdmissibilityStatus values are PCAE_SUPPORTED, PCAE_ASSUMPTION_BOUND, PCAE_PARTIAL, PCAE_CONTESTED, PCAE_UNKNOWN, PCAE_VERIFICATION_REQUIRED, PCAE_CONTROL_REQUIRED, PCAE_REDESIGN_REQUIRED, and PCAE_REFUSE_OR_BLOCK. PCAE_SUPPORTED may support the declared claim boundary. All weaker statuses constrain the claim and route to evidence collection, controls, redesign, escalation, or refusal according to severity, reversibility, and gate materiality.</w:t>
      </w:r>
    </w:p>
    <w:p>
      <w:pPr>
        <w:pStyle w:val="BodyText"/>
        <w:widowControl/>
      </w:pPr>
      <w:r>
        <w:t xml:space="preserve">Claim action. Required claim action MUST be one of: proceed, narrow, control, redesign, escalate, or refuse. Proceed is permitted only within the declared validity domain and only when RF/NCRC, TRC, CSV, authority, and audit requirements are also satisfied. Narrow means the claim or action boundary must be reduced. Control means binding constraints, monitoring, shutoff, rollback, or human oversight are part of the option. Redesign means the candidate is not selectable as specified. Escalate means domain review or stronger evidence is required. Refuse means the requested claim or execution is not admissible under the declared evidence.</w:t>
      </w:r>
    </w:p>
    <w:p>
      <w:pPr>
        <w:pStyle w:val="BodyText"/>
        <w:widowControl/>
      </w:pPr>
      <w:r>
        <w:t xml:space="preserve">CSV consumption rule. CSV MUST consume the profile when structural viability depends on physical or causal adequacy, dependency closure, resource closure, operational capacity, reversibility, monitoring adequacy, containment, authority, or host-system integrity. A weak profile does not automatically fail every option, but it prevents strong selectability, conformance, deployment, safety, or alignment claims until the weakness is resolved, controlled, narrowed, escalated, or refused.</w:t>
      </w:r>
    </w:p>
    <w:p>
      <w:pPr>
        <w:pStyle w:val="BodyText"/>
        <w:widowControl/>
      </w:pPr>
      <w:r>
        <w:t xml:space="preserve">TRC feedback rule. If the profile identifies a catastrophic, irreversible, lock-in, ruin-path, or severe harm scenario that was not represented in TRC, the run MUST reopen TRC before RLS. CSV may discover TRC-relevant material, but it does not absorb or replace TRC.</w:t>
      </w:r>
    </w:p>
    <w:p>
      <w:pPr>
        <w:pStyle w:val="BodyText"/>
        <w:widowControl/>
      </w:pPr>
      <w:r>
        <w:t xml:space="preserve">Plain-language rule. Before MathGov allows action in the physical or causal world, it asks what model of reality is being used, where that model stops, what could fail, whether harm is reversible, what evidence or expert warrant supports the action, how the action will be monitored or stopped, what remains unknown, and whether the right answer is proceed, narrow, control, redesign, escalate, or refuse.</w:t>
      </w:r>
    </w:p>
    <w:bookmarkEnd w:id="42"/>
    <w:bookmarkStart w:id="43" w:name="Xdf7b9fec9db129d3cd49f7edfb33084403a182c"/>
    <w:p>
      <w:pPr>
        <w:pStyle w:val="Heading2"/>
        <w:keepNext/>
        <w:keepLines/>
        <w:pageBreakBefore w:val="0"/>
        <w:widowControl/>
      </w:pPr>
      <w:r>
        <w:rPr>
          <w:rFonts w:ascii="Arial" w:hAnsi="Arial" w:eastAsia="Arial"/>
          <w:b/>
          <w:color w:val="1F4E78"/>
        </w:rPr>
        <w:t xml:space="preserve">2.1F Methodological Falsifiability and Dependency Integrity inside Reality Grounding (Normative)</w:t>
      </w:r>
    </w:p>
    <w:p>
      <w:pPr>
        <w:pStyle w:val="FirstParagraph"/>
        <w:widowControl/>
      </w:pPr>
      <w:r>
        <w:t xml:space="preserve">Purpose. Methodological Falsifiability and Dependency Integrity prevents RippleLogic runs from treating plausibility, coherence, institutional approval, statistical usefulness, fluent explanation, or after-the-fact model repair as adequate support for a material claim. It strengthens Reality Grounding by requiring material claims to declare how they could be tested, challenged, revised, narrowed, escalated, or refused.</w:t>
      </w:r>
    </w:p>
    <w:p>
      <w:pPr>
        <w:pStyle w:val="BodyText"/>
        <w:widowControl/>
      </w:pPr>
      <w:r>
        <w:t xml:space="preserve">Single-group rule. Methodological integrity belongs inside Reality Grounding and is consumed by RF/NCRC, TRC, CSV, RLS, SGP, validation protocols, and public claim review where relevant. It is not a new public cascade level and MUST NOT be represented as a sixth gate. The public method remains RG -&gt; RF -&gt; TRC -&gt; CSV -&gt; RLS.</w:t>
      </w:r>
    </w:p>
    <w:p>
      <w:pPr>
        <w:pStyle w:val="BodyText"/>
        <w:widowControl/>
      </w:pPr>
      <w:r>
        <w:t xml:space="preserve">Boundary rule. MathGov does not require every ethical term to be physically falsifiable, and it does not deny probabilistic evidence. Empirical, causal, formal, operational, normative, and metaphysical-horizon claims have different evidence disciplines. Normative commitments must be explicit, coherent, rights-compatible, challengeable, and auditable in application; they MUST NOT be presented as discovered physical facts. Metaphysical horizon language may orient humility and meaning, but it cannot create Tier 1-3 evidence, gate override, legal authority, deployment permission, or empirical validation.</w:t>
      </w:r>
    </w:p>
    <w:p>
      <w:pPr>
        <w:pStyle w:val="BodyText"/>
        <w:widowControl/>
      </w:pPr>
      <w:r>
        <w:t xml:space="preserve">Trigger. A MethodologicalIntegrityRecord is REQUIRED for Tier 3 public or institutional claim-bearing runs and high-stakes Tier 2 runs when a material claim could affect RF/NCRC, TRC, CSV, SGP status, authority, deployment, public conformance, deterministic-selection wording, validation status, or the claimed safety/reliability of a physical, causal, social, institutional, or AI-mediated action. It is RECOMMENDED for ordinary Tier 2 runs when assumptions, definitions, or model revisions could change decision standing.</w:t>
      </w:r>
    </w:p>
    <w:p>
      <w:pPr>
        <w:pStyle w:val="BodyText"/>
        <w:widowControl/>
      </w:pPr>
      <w:r>
        <w:t xml:space="preserve">Minimum record. When triggered, the MethodologicalIntegrityRecord MUST identify: claim_or_component; claim_type; dependency_position; starting_assumptions; definition_or_operator_used; necessity_or_alternative_check; evidence_or_test_surface; falsification_or_revision_trigger; uncertainty_or_confidence_method; downstream_dependencies; re_derivation_scope_if_changed; reviewer_status; and required_claim_action.</w:t>
      </w:r>
    </w:p>
    <w:p>
      <w:pPr>
        <w:pStyle w:val="BodyText"/>
        <w:widowControl/>
      </w:pPr>
      <w:r>
        <w:t xml:space="preserve">Status values. MethodologicalIntegrityStatus values are METHOD_SUPPORTED, ASSUMPTION_BOUND, ALT_EXPLANATION_OPEN, TEST_REQUIRED, CONTESTED, REVISION_REQUIRED, and REFUSE_STRONGER_CLAIM. METHOD_SUPPORTED may support the declared claim boundary. All weaker statuses constrain the claim and route to evidence collection, narrowing, controls, redesign, escalation, or refusal according to stakes and gate materiality.</w:t>
      </w:r>
    </w:p>
    <w:p>
      <w:pPr>
        <w:pStyle w:val="BodyText"/>
        <w:widowControl/>
      </w:pPr>
      <w:r>
        <w:t xml:space="preserve">Necessity discipline. Where a run claims that a principle, definition, operator, threshold, or configuration is necessary, it MUST record why plausible alternatives fail or why the claim must be weakened to assumption-bound or model-bound status. If a plausible alternative could explain the same result, the stronger necessity claim is not permitted.</w:t>
      </w:r>
    </w:p>
    <w:p>
      <w:pPr>
        <w:pStyle w:val="BodyText"/>
        <w:widowControl/>
      </w:pPr>
      <w:r>
        <w:t xml:space="preserve">Failure and re-derivation rule. If a starting assumption, definition, operator, threshold, model basis, or predicted effect fails a declared test or audit surface, the run MUST NOT silently tune the model and preserve the same claim. It must reopen the affected dependency chain, state the re-derivation scope, version the change, and rerun every downstream gate or calculation materially dependent on the changed element.</w:t>
      </w:r>
    </w:p>
    <w:p>
      <w:pPr>
        <w:pStyle w:val="BodyText"/>
        <w:widowControl/>
      </w:pPr>
      <w:r>
        <w:t xml:space="preserve">Plain-language rule. Before MathGov trusts a claim, it asks: what kind of claim is this, what does it depend on, what would prove it wrong or force revision, what alternatives could explain the result, what changes downstream if it fails, and should the claim proceed, narrow, control, redesign, escalate, or refuse?</w:t>
      </w:r>
    </w:p>
    <w:bookmarkEnd w:id="43"/>
    <w:bookmarkStart w:id="44" w:name="X2d5c42c38123bb38fa35a72ea0090fb10a62793"/>
    <w:p>
      <w:pPr>
        <w:pStyle w:val="Heading2"/>
        <w:keepNext/>
        <w:keepLines/>
        <w:pageBreakBefore w:val="0"/>
        <w:widowControl/>
      </w:pPr>
      <w:r>
        <w:rPr>
          <w:rFonts w:ascii="Arial" w:hAnsi="Arial" w:eastAsia="Arial"/>
          <w:b/>
          <w:color w:val="1F4E78"/>
        </w:rPr>
        <w:t xml:space="preserve">2.2 Unions as the Unit of Analysis (Operational Definition)</w:t>
      </w:r>
    </w:p>
    <w:p>
      <w:pPr>
        <w:pStyle w:val="FirstParagraph"/>
        <w:widowControl/>
      </w:pPr>
      <w:r>
        <w:t xml:space="preserve">Definition: A union is a bounded pattern of interdependence: a set of entities whose internal interactions are sufficiently strong, frequent, or consequential that their welfare should be evaluated together for the decision context.</w:t>
      </w:r>
    </w:p>
    <w:p>
      <w:pPr>
        <w:pStyle w:val="BodyText"/>
        <w:widowControl/>
      </w:pPr>
      <w:r>
        <w:t xml:space="preserve">In this specification, the operational objects scored and indexed by u are Union Scopes (Scopes), meaning unions used as stable scopes of aggregation and accountability.</w:t>
      </w:r>
    </w:p>
    <w:p>
      <w:pPr>
        <w:pStyle w:val="BodyText"/>
        <w:widowControl/>
      </w:pPr>
      <w:r>
        <w:t xml:space="preserve">Unions are analytical constructs for causal and welfare accounting; they are not metaphysical substances. The union concept operationalizes the systems-theoretic observation that complex systems exhibit hierarchical modularity (Simon, 1962).</w:t>
      </w:r>
    </w:p>
    <w:bookmarkEnd w:id="44"/>
    <w:bookmarkStart w:id="45" w:name="X48af74ae339e0670214922af239cc97e9407bfe"/>
    <w:p>
      <w:pPr>
        <w:pStyle w:val="Heading2"/>
        <w:keepNext/>
        <w:keepLines/>
        <w:pageBreakBefore w:val="0"/>
        <w:widowControl/>
      </w:pPr>
      <w:r>
        <w:rPr>
          <w:rFonts w:ascii="Arial" w:hAnsi="Arial" w:eastAsia="Arial"/>
          <w:b/>
          <w:color w:val="1F4E78"/>
        </w:rPr>
        <w:t xml:space="preserve">2.2A Union Scopes and Instance Modeling (Normative)</w:t>
      </w:r>
    </w:p>
    <w:p>
      <w:pPr>
        <w:pStyle w:val="FirstParagraph"/>
        <w:widowControl/>
      </w:pPr>
      <w:r>
        <w:t xml:space="preserve">Terminology clarification. Introduced in RippleLogic v12.0 and carried forward in v12.2, the canonical term Union Scope refers to the objects indexed by u∈{1,…,7} in the welfare matrix. For readability and reduced ambiguity, Scope is the default shorthand in technical and implementation contexts. The term Union remains an allowed legacy shorthand in narrative contexts and lineage documents. This clarification SHALL NOT change the mathematical meaning of u or any cascade semantics. Machine-readable surfaces SHOULD prefer UnionScope / UnionScopes as the canonical identifier family; Union remains a permitted human-readable alias in prose and UI text.</w:t>
      </w:r>
    </w:p>
    <w:p>
      <w:pPr>
        <w:pStyle w:val="BodyText"/>
        <w:widowControl/>
      </w:pPr>
      <w:r>
        <w:t xml:space="preserve">Purpose. Union Scopes are designed to be minimal but covering, a small stable set of aggregation scopes that prevents systematic stakeholder erasure while supporting auditability and comparability across decisions.</w:t>
      </w:r>
    </w:p>
    <w:bookmarkEnd w:id="45"/>
    <w:bookmarkStart w:id="46" w:name="X1409499d61c4021c954a6a89fff4683260d4395"/>
    <w:p>
      <w:pPr>
        <w:pStyle w:val="Heading2"/>
        <w:keepNext/>
        <w:keepLines/>
        <w:pageBreakBefore w:val="0"/>
        <w:widowControl/>
      </w:pPr>
      <w:r>
        <w:rPr>
          <w:rFonts w:ascii="Arial" w:hAnsi="Arial" w:eastAsia="Arial"/>
          <w:b/>
          <w:color w:val="1F4E78"/>
        </w:rPr>
        <w:t xml:space="preserve">2.2A.1 Definitions (Normative)</w:t>
      </w:r>
    </w:p>
    <w:p>
      <w:pPr>
        <w:pStyle w:val="FirstParagraph"/>
        <w:widowControl/>
      </w:pPr>
      <w:r>
        <w:t xml:space="preserve">Union Scope (Scope). A Union Scope is a stable scope of impact aggregation used to evaluate decision consequences across layered and intersecting analytical scopes. Union Scopes are the rows of the canonical 7×7 welfare matrix.</w:t>
      </w:r>
    </w:p>
    <w:p>
      <w:pPr>
        <w:pStyle w:val="BodyText"/>
        <w:widowControl/>
      </w:pPr>
      <w:r>
        <w:t xml:space="preserve">Stakeholder. A stakeholder is any entity that is plausibly materially affected by a candidate option a, including entities affected through externalities, indirect pathways, or future propagation within the declared decision horizon.</w:t>
      </w:r>
    </w:p>
    <w:p>
      <w:pPr>
        <w:pStyle w:val="BodyText"/>
        <w:widowControl/>
      </w:pPr>
      <w:r>
        <w:t xml:space="preserve">Instance. An instance is a stakeholder bound to the decision context as stakeholder-in-role-in-context, meaning a stakeholder with a declared role and exposure pathway relevant to the decision. Examples include: employee, patient, local resident, watershed ecology unit, cross-border supply-chain worker, digital agent affected by policy. Instances are the primary unit of stakeholder logging for auditability, Union Scopes are the primary unit of aggregation for comparison.</w:t>
      </w:r>
    </w:p>
    <w:p>
      <w:pPr>
        <w:pStyle w:val="BodyText"/>
        <w:widowControl/>
      </w:pPr>
      <w:r>
        <w:t xml:space="preserve">Structural anchor. Scopes × Dimensions form the welfare matrix. Instances feed the cells.</w:t>
      </w:r>
    </w:p>
    <w:p>
      <w:pPr>
        <w:pStyle w:val="BodyText"/>
        <w:widowControl/>
      </w:pPr>
      <w:r>
        <w:t xml:space="preserve">Local Stakeholder Set (LSS). The LSS is the context-specific set of stakeholder instances materially affected by a decision. It is the upstream representation object produced by stakeholder discovery and instance-to-scope mapping, and it is the justified input used to support any PLSS prominence declaration.</w:t>
      </w:r>
    </w:p>
    <w:bookmarkEnd w:id="46"/>
    <w:bookmarkStart w:id="47" w:name="X21b52a6874c6b0beb0b8b2985938f3e6ff4200e"/>
    <w:p>
      <w:pPr>
        <w:pStyle w:val="Heading2"/>
        <w:keepNext/>
        <w:keepLines/>
        <w:pageBreakBefore w:val="0"/>
        <w:widowControl/>
      </w:pPr>
      <w:r>
        <w:rPr>
          <w:rFonts w:ascii="Arial" w:hAnsi="Arial" w:eastAsia="Arial"/>
          <w:b/>
          <w:color w:val="1F4E78"/>
        </w:rPr>
        <w:t xml:space="preserve">2.2A.2 Stakeholder Discovery Protocol (SDP) (Tier-linked; Normative)</w:t>
      </w:r>
    </w:p>
    <w:p>
      <w:pPr>
        <w:pStyle w:val="FirstParagraph"/>
        <w:widowControl/>
      </w:pPr>
      <w:r>
        <w:t xml:space="preserve">Tier 3: REQUIRED. Tier 2: RECOMMENDED by default and REQUIRED when any SDP trigger holds. When no SDP trigger holds, a Tier 2 run MAY satisfy this requirement with a lightweight stakeholder note stating that no trigger held and why, or MAY voluntarily include a full SDP record. SDP is a short, explicit process for discovering omission-likely stakeholders so discovery is not optional by taste.</w:t>
      </w:r>
    </w:p>
    <w:p>
      <w:pPr>
        <w:pStyle w:val="BodyText"/>
        <w:widowControl/>
      </w:pPr>
      <w:r>
        <w:t xml:space="preserve">Minimum SDP steps (recorded in PCC): (i) define decision boundary and horizon, (ii) map the causal footprint and externality pathways, (iii) scan for rights exposure and catastrophe relevance, (iv) draft the Local Stakeholder Set (LSS) as the stakeholder instance set, (v) map instances to one or more Union Scopes with rationale, (vi) record unknowns and declared blind spots, including escalation triggers, (vii) provide a challenger opportunity for missing instances at Tier 3.</w:t>
      </w:r>
    </w:p>
    <w:p>
      <w:pPr>
        <w:pStyle w:val="BodyText"/>
        <w:widowControl/>
      </w:pPr>
      <w:r>
        <w:t xml:space="preserve">SDP triggers (Tier 2 REQUIRED): rights-covered cells plausibly affected, or TRC triggered/catastrophe relevance plausible, or externalities beyond decision owner plausible (cross-community/organization/polity, biosphere pathway), or irreversibility/lock-in plausible, or credible challenger claims omitted stakeholder class or scope, or information/procedure/enforcement/ecology pathways plausible.</w:t>
      </w:r>
    </w:p>
    <w:bookmarkEnd w:id="47"/>
    <w:bookmarkStart w:id="48" w:name="Xf3b0b04f7f12c4ebe221f7f9e6f224a4aa0a1a9"/>
    <w:p>
      <w:pPr>
        <w:pStyle w:val="Heading2"/>
        <w:keepNext/>
        <w:keepLines/>
        <w:pageBreakBefore w:val="0"/>
        <w:widowControl/>
      </w:pPr>
      <w:r>
        <w:rPr>
          <w:rFonts w:ascii="Arial" w:hAnsi="Arial" w:eastAsia="Arial"/>
          <w:b/>
          <w:color w:val="1F4E78"/>
        </w:rPr>
        <w:t xml:space="preserve">2.2A.3 Instance-to-Scope Mapping Requirement (Tier-linked; Normative)</w:t>
      </w:r>
    </w:p>
    <w:p>
      <w:pPr>
        <w:pStyle w:val="FirstParagraph"/>
        <w:widowControl/>
      </w:pPr>
      <w:r>
        <w:t xml:space="preserve">Tier 3 requirement. A Tier 3 run MUST explicitly log a set of stakeholder instances and map each instance to one or more Union Scopes, with a rationale sufficient for an independent reviewer to understand why the instance belongs in the mapped scope(s). This mapping SHALL be recorded in the PCC (Appendix H).</w:t>
      </w:r>
    </w:p>
    <w:p>
      <w:pPr>
        <w:pStyle w:val="BodyText"/>
        <w:widowControl/>
      </w:pPr>
      <w:r>
        <w:t xml:space="preserve">Tier 2 requirement under triggers. When any SDP trigger holds, Tier 2 runs MUST log and map stakeholder instances for the affected pathways and rights-relevant domains. Otherwise, Tier 2 runs SHOULD still log and map instances whenever the decision plausibly affects stakeholders beyond the decision owner.</w:t>
      </w:r>
    </w:p>
    <w:p>
      <w:pPr>
        <w:pStyle w:val="BodyText"/>
        <w:widowControl/>
      </w:pPr>
      <w:r>
        <w:t xml:space="preserve">Minimum mapping rule. Every logged instance MUST map to at least one Union Scope. If an affected stakeholder cannot be mapped, the PCC MUST record this as an explicit coverage limitation, not as neutrality, including: (i) why mapping was infeasible, (ii) what scope(s) might plausibly apply, and (iii) what risk this creates.</w:t>
      </w:r>
    </w:p>
    <w:bookmarkEnd w:id="48"/>
    <w:bookmarkStart w:id="49" w:name="X855ad68a1371dc87a1f27fbe09e4e6be1e99341"/>
    <w:p>
      <w:pPr>
        <w:pStyle w:val="Heading2"/>
        <w:keepNext/>
        <w:keepLines/>
        <w:pageBreakBefore w:val="0"/>
        <w:widowControl/>
      </w:pPr>
      <w:r>
        <w:rPr>
          <w:rFonts w:ascii="Arial" w:hAnsi="Arial" w:eastAsia="Arial"/>
          <w:b/>
          <w:color w:val="1F4E78"/>
        </w:rPr>
        <w:t xml:space="preserve">2.2A.4 Multi-scope Mapping and Redundancy Handling (Normative)</w:t>
      </w:r>
    </w:p>
    <w:p>
      <w:pPr>
        <w:pStyle w:val="FirstParagraph"/>
        <w:widowControl/>
      </w:pPr>
      <w:r>
        <w:t xml:space="preserve">Multi-scope mapping is permitted. An instance MAY map to multiple Union Scopes where the decision plausibly affects that instance across multiple nested scales.</w:t>
      </w:r>
    </w:p>
    <w:p>
      <w:pPr>
        <w:pStyle w:val="BodyText"/>
        <w:widowControl/>
      </w:pPr>
      <w:r>
        <w:t xml:space="preserve">No silent duplication. Implementations MUST NOT silently log the same underlying effect multiple times across scopes in a way that inflates welfare scoring without disclosure. If a modeling choice results in an effect being represented across multiple scopes, the PCC MUST disclose the rationale using one declared redundancy-handling method for the affected effect-class: (i) EMERGENT_SCALE_JUSTIFICATION, counted across multiple scopes because the effect is meaningfully different at different scales, (ii) DEDUPLICATION, logged once at a declared primary scope with cross-scope effects represented via ripple propagation and structural metrics, or (iii) ALLOCATION (optional), effect split across scopes to prevent redundant counting.</w:t>
      </w:r>
    </w:p>
    <w:p>
      <w:pPr>
        <w:pStyle w:val="BodyText"/>
        <w:widowControl/>
      </w:pPr>
      <w:r>
        <w:t xml:space="preserve">Effect-token (allocation only). An effect-token is a redundant conserved causal unit used only to prevent redundant counting across scopes, for example the same dollars, the same one-time transfer, the same compliance cost. If ALLOCATION is used for an effect-token, the PCC MUST declare the token, the allocation method, the coefficients used, and the scope list. Allocation coefficients for a single effect-token MUST satisfy Σ_u α_u ≤ 1 for that token, summed over the scopes listed for that token.</w:t>
      </w:r>
    </w:p>
    <w:p>
      <w:pPr>
        <w:pStyle w:val="BodyText"/>
        <w:widowControl/>
      </w:pPr>
      <w:r>
        <w:t xml:space="preserve">No allocation laundering. ALLOCATION is permitted only for declared redundant conserved-unit effect-tokens. Distinct welfare harms, for example health harm versus ecosystem degradation, MUST be logged as distinct impact instances and SHALL NOT be allocated away.</w:t>
      </w:r>
    </w:p>
    <w:p>
      <w:pPr>
        <w:pStyle w:val="BodyText"/>
        <w:widowControl/>
      </w:pPr>
      <w:r>
        <w:t xml:space="preserve">Allocation guard. Allocation SHALL NOT be used to suppress or mask adverse impacts in any rights-covered or catastrophe-relevant evaluation. Redundancy handling cannot weaken NCRC, TRC, or CSV computations.</w:t>
      </w:r>
    </w:p>
    <w:bookmarkEnd w:id="49"/>
    <w:bookmarkStart w:id="50" w:name="X88b40f056db3d4210accafd9c80aa0945b46384"/>
    <w:p>
      <w:pPr>
        <w:pStyle w:val="Heading2"/>
        <w:keepNext/>
        <w:keepLines/>
        <w:pageBreakBefore w:val="0"/>
        <w:widowControl/>
      </w:pPr>
      <w:r>
        <w:rPr>
          <w:rFonts w:ascii="Arial" w:hAnsi="Arial" w:eastAsia="Arial"/>
          <w:b/>
          <w:color w:val="1F4E78"/>
        </w:rPr>
        <w:t xml:space="preserve">2.2A.5 Reduced-scope Mode (Normative)</w:t>
      </w:r>
    </w:p>
    <w:p>
      <w:pPr>
        <w:pStyle w:val="FirstParagraph"/>
        <w:widowControl/>
      </w:pPr>
      <w:r>
        <w:t xml:space="preserve">Reduced-scope mode allows an evaluator to run with fewer than 7 scopes for mapping or reporting depth, provided omissions are explicitly disclosed. Reduced-scope mode SHALL NOT remove any non-maskable cells or required scope rows from NCRC, TRC, or CSV computation.</w:t>
      </w:r>
    </w:p>
    <w:p>
      <w:pPr>
        <w:pStyle w:val="BodyText"/>
        <w:widowControl/>
      </w:pPr>
      <w:r>
        <w:t xml:space="preserve">Reduced-scope mode is a reporting or mapping-depth choice only. Admissibility computation MUST still evaluate all rights coverage sets C_r and catastrophe cell set C_cat as declared.</w:t>
      </w:r>
    </w:p>
    <w:p>
      <w:pPr>
        <w:pStyle w:val="BodyText"/>
        <w:widowControl/>
      </w:pPr>
      <w:r>
        <w:t xml:space="preserve">If reduced-scope mode is used, the PCC MUST include a Scope Coverage Declaration (Appendix H) listing active scopes, omitted scopes, omission rationales, a blind-spot statement, and escalation triggers that would force scope expansion in the next comparable run.</w:t>
      </w:r>
    </w:p>
    <w:p>
      <w:pPr>
        <w:pStyle w:val="BodyText"/>
        <w:widowControl/>
      </w:pPr>
      <w:r>
        <w:t xml:space="preserve">Common misread (informative). Misread: “Unions limit who matters.” Correction: “Union Scopes prevent impacts from disappearing. Any stakeholder can be represented as an instance mapped into relevant scope(s), and omissions must be disclosed as coverage risk.”</w:t>
      </w:r>
    </w:p>
    <w:bookmarkEnd w:id="50"/>
    <w:bookmarkStart w:id="51" w:name="Xbc8fc2bb294c20f454120796998abdb4f875446"/>
    <w:p>
      <w:pPr>
        <w:pStyle w:val="Heading2"/>
        <w:keepNext/>
        <w:keepLines/>
        <w:pageBreakBefore w:val="0"/>
        <w:widowControl/>
      </w:pPr>
      <w:r>
        <w:rPr>
          <w:rFonts w:ascii="Arial" w:hAnsi="Arial" w:eastAsia="Arial"/>
          <w:b/>
          <w:color w:val="1F4E78"/>
        </w:rPr>
        <w:t xml:space="preserve">2.3 The Union Stack (Seven Operational Unions)</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Union</w:t>
            </w:r>
          </w:p>
        </w:tc>
        <w:tc>
          <w:tcPr>
            <w:shd w:fill="1F4E78" w:val="clear"/>
            <w:tcMar>
              <w:top w:w="80" w:type="dxa"/>
              <w:start w:w="90" w:type="dxa"/>
              <w:bottom w:w="80" w:type="dxa"/>
              <w:end w:w="90" w:type="dxa"/>
            </w:tcMar>
          </w:tcPr>
          <w:p>
            <w:pPr>
              <w:pStyle w:val="Compact"/>
              <w:jc w:val="left"/>
            </w:pPr>
            <w:r>
              <w:rPr>
                <w:b/>
                <w:bCs/>
                <w:color w:val="FFFFFF"/>
              </w:rPr>
              <w:t xml:space="preserve">Name</w:t>
            </w:r>
          </w:p>
        </w:tc>
        <w:tc>
          <w:tcPr>
            <w:shd w:fill="1F4E78" w:val="clear"/>
            <w:tcMar>
              <w:top w:w="80" w:type="dxa"/>
              <w:start w:w="90" w:type="dxa"/>
              <w:bottom w:w="80" w:type="dxa"/>
              <w:end w:w="90" w:type="dxa"/>
            </w:tcMar>
          </w:tcPr>
          <w:p>
            <w:pPr>
              <w:pStyle w:val="Compact"/>
              <w:jc w:val="left"/>
            </w:pPr>
            <w:r>
              <w:rPr>
                <w:b/>
                <w:bCs/>
                <w:color w:val="FFFFFF"/>
              </w:rPr>
              <w:t xml:space="preserve">Definition</w:t>
            </w:r>
          </w:p>
        </w:tc>
        <w:tc>
          <w:tcPr>
            <w:shd w:fill="1F4E78" w:val="clear"/>
            <w:tcMar>
              <w:top w:w="80" w:type="dxa"/>
              <w:start w:w="90" w:type="dxa"/>
              <w:bottom w:w="80" w:type="dxa"/>
              <w:end w:w="90" w:type="dxa"/>
            </w:tcMar>
          </w:tcPr>
          <w:p>
            <w:pPr>
              <w:pStyle w:val="Compact"/>
              <w:jc w:val="left"/>
            </w:pPr>
            <w:r>
              <w:rPr>
                <w:b/>
                <w:bCs/>
                <w:color w:val="FFFFFF"/>
              </w:rPr>
              <w:t xml:space="preserve">Characteristic Timescale</w:t>
            </w:r>
          </w:p>
        </w:tc>
      </w:tr>
      <w:tr>
        <w:trPr/>
        <w:tc>
          <w:tcPr>
            <w:tcMar>
              <w:top w:w="80" w:type="dxa"/>
              <w:start w:w="90" w:type="dxa"/>
              <w:bottom w:w="80" w:type="dxa"/>
              <w:end w:w="90" w:type="dxa"/>
            </w:tcMar>
            <w:shd w:fill="F7FBFF" w:val="clear"/>
          </w:tcPr>
          <w:p>
            <w:pPr>
              <w:pStyle w:val="Compact"/>
              <w:jc w:val="left"/>
            </w:pPr>
            <w:r>
              <w:t xml:space="preserve">U₁</w:t>
            </w:r>
          </w:p>
        </w:tc>
        <w:tc>
          <w:tcPr>
            <w:tcMar>
              <w:top w:w="80" w:type="dxa"/>
              <w:start w:w="90" w:type="dxa"/>
              <w:bottom w:w="80" w:type="dxa"/>
              <w:end w:w="90" w:type="dxa"/>
            </w:tcMar>
            <w:shd w:fill="F7FBFF" w:val="clear"/>
          </w:tcPr>
          <w:p>
            <w:pPr>
              <w:pStyle w:val="Compact"/>
              <w:jc w:val="left"/>
            </w:pPr>
            <w:r>
              <w:t xml:space="preserve">Self</w:t>
            </w:r>
          </w:p>
        </w:tc>
        <w:tc>
          <w:tcPr>
            <w:tcMar>
              <w:top w:w="80" w:type="dxa"/>
              <w:start w:w="90" w:type="dxa"/>
              <w:bottom w:w="80" w:type="dxa"/>
              <w:end w:w="90" w:type="dxa"/>
            </w:tcMar>
            <w:shd w:fill="F7FBFF" w:val="clear"/>
          </w:tcPr>
          <w:p>
            <w:r/>
            <w:r>
              <w:rPr>
                <w:b w:val="0"/>
              </w:rPr>
              <w:t>Individual-level affected stakeholder instances: each locus of experience and agency represented at the person-level scope. The decision-maker or operator is included only when materially affected and mapped like any other stakeholder; U1 is not a privileged decision-owner interest.</w:t>
            </w:r>
          </w:p>
        </w:tc>
        <w:tc>
          <w:tcPr>
            <w:tcMar>
              <w:top w:w="80" w:type="dxa"/>
              <w:start w:w="90" w:type="dxa"/>
              <w:bottom w:w="80" w:type="dxa"/>
              <w:end w:w="90" w:type="dxa"/>
            </w:tcMar>
            <w:shd w:fill="F7FBFF" w:val="clear"/>
          </w:tcPr>
          <w:p>
            <w:pPr>
              <w:pStyle w:val="Compact"/>
              <w:jc w:val="left"/>
            </w:pPr>
            <w:r>
              <w:t xml:space="preserve">Seconds to Decades</w:t>
            </w:r>
          </w:p>
        </w:tc>
      </w:tr>
      <w:tr>
        <w:trPr/>
        <w:tc>
          <w:tcPr>
            <w:tcMar>
              <w:top w:w="80" w:type="dxa"/>
              <w:start w:w="90" w:type="dxa"/>
              <w:bottom w:w="80" w:type="dxa"/>
              <w:end w:w="90" w:type="dxa"/>
            </w:tcMar>
            <w:shd w:fill="D9EAF7" w:val="clear"/>
          </w:tcPr>
          <w:p>
            <w:pPr>
              <w:pStyle w:val="Compact"/>
              <w:jc w:val="left"/>
            </w:pPr>
            <w:r>
              <w:t xml:space="preserve">U₂</w:t>
            </w:r>
          </w:p>
        </w:tc>
        <w:tc>
          <w:tcPr>
            <w:tcMar>
              <w:top w:w="80" w:type="dxa"/>
              <w:start w:w="90" w:type="dxa"/>
              <w:bottom w:w="80" w:type="dxa"/>
              <w:end w:w="90" w:type="dxa"/>
            </w:tcMar>
            <w:shd w:fill="D9EAF7" w:val="clear"/>
          </w:tcPr>
          <w:p>
            <w:pPr>
              <w:pStyle w:val="Compact"/>
              <w:jc w:val="left"/>
            </w:pPr>
            <w:r>
              <w:t xml:space="preserve">Household</w:t>
            </w:r>
          </w:p>
        </w:tc>
        <w:tc>
          <w:tcPr>
            <w:tcMar>
              <w:top w:w="80" w:type="dxa"/>
              <w:start w:w="90" w:type="dxa"/>
              <w:bottom w:w="80" w:type="dxa"/>
              <w:end w:w="90" w:type="dxa"/>
            </w:tcMar>
            <w:shd w:fill="D9EAF7" w:val="clear"/>
          </w:tcPr>
          <w:p>
            <w:pPr>
              <w:pStyle w:val="Compact"/>
              <w:jc w:val="left"/>
            </w:pPr>
            <w:r>
              <w:t xml:space="preserve">Primary cohabitation and resource pooling unit (Becker, 1981)</w:t>
            </w:r>
          </w:p>
        </w:tc>
        <w:tc>
          <w:tcPr>
            <w:tcMar>
              <w:top w:w="80" w:type="dxa"/>
              <w:start w:w="90" w:type="dxa"/>
              <w:bottom w:w="80" w:type="dxa"/>
              <w:end w:w="90" w:type="dxa"/>
            </w:tcMar>
            <w:shd w:fill="D9EAF7" w:val="clear"/>
          </w:tcPr>
          <w:p>
            <w:pPr>
              <w:pStyle w:val="Compact"/>
              <w:jc w:val="left"/>
            </w:pPr>
            <w:r>
              <w:t xml:space="preserve">Days to Decades</w:t>
            </w:r>
          </w:p>
        </w:tc>
      </w:tr>
      <w:tr>
        <w:trPr/>
        <w:tc>
          <w:tcPr>
            <w:tcMar>
              <w:top w:w="80" w:type="dxa"/>
              <w:start w:w="90" w:type="dxa"/>
              <w:bottom w:w="80" w:type="dxa"/>
              <w:end w:w="90" w:type="dxa"/>
            </w:tcMar>
            <w:shd w:fill="F7FBFF" w:val="clear"/>
          </w:tcPr>
          <w:p>
            <w:pPr>
              <w:pStyle w:val="Compact"/>
              <w:jc w:val="left"/>
            </w:pPr>
            <w:r>
              <w:t xml:space="preserve">U₃</w:t>
            </w:r>
          </w:p>
        </w:tc>
        <w:tc>
          <w:tcPr>
            <w:tcMar>
              <w:top w:w="80" w:type="dxa"/>
              <w:start w:w="90" w:type="dxa"/>
              <w:bottom w:w="80" w:type="dxa"/>
              <w:end w:w="90" w:type="dxa"/>
            </w:tcMar>
            <w:shd w:fill="F7FBFF" w:val="clear"/>
          </w:tcPr>
          <w:p>
            <w:pPr>
              <w:pStyle w:val="Compact"/>
              <w:jc w:val="left"/>
            </w:pPr>
            <w:r>
              <w:t xml:space="preserve">Community</w:t>
            </w:r>
          </w:p>
        </w:tc>
        <w:tc>
          <w:tcPr>
            <w:tcMar>
              <w:top w:w="80" w:type="dxa"/>
              <w:start w:w="90" w:type="dxa"/>
              <w:bottom w:w="80" w:type="dxa"/>
              <w:end w:w="90" w:type="dxa"/>
            </w:tcMar>
            <w:shd w:fill="F7FBFF" w:val="clear"/>
          </w:tcPr>
          <w:p>
            <w:pPr>
              <w:pStyle w:val="Compact"/>
              <w:jc w:val="left"/>
            </w:pPr>
            <w:r>
              <w:t xml:space="preserve">Local repeated-interaction network with social capital and trust dynamics (Putnam, 2000; Dunbar, 1993)</w:t>
            </w:r>
          </w:p>
        </w:tc>
        <w:tc>
          <w:tcPr>
            <w:tcMar>
              <w:top w:w="80" w:type="dxa"/>
              <w:start w:w="90" w:type="dxa"/>
              <w:bottom w:w="80" w:type="dxa"/>
              <w:end w:w="90" w:type="dxa"/>
            </w:tcMar>
            <w:shd w:fill="F7FBFF" w:val="clear"/>
          </w:tcPr>
          <w:p>
            <w:pPr>
              <w:pStyle w:val="Compact"/>
              <w:jc w:val="left"/>
            </w:pPr>
            <w:r>
              <w:t xml:space="preserve">Months to Generations</w:t>
            </w:r>
          </w:p>
        </w:tc>
      </w:tr>
      <w:tr>
        <w:trPr/>
        <w:tc>
          <w:tcPr>
            <w:tcMar>
              <w:top w:w="80" w:type="dxa"/>
              <w:start w:w="90" w:type="dxa"/>
              <w:bottom w:w="80" w:type="dxa"/>
              <w:end w:w="90" w:type="dxa"/>
            </w:tcMar>
            <w:shd w:fill="D9EAF7" w:val="clear"/>
          </w:tcPr>
          <w:p>
            <w:pPr>
              <w:pStyle w:val="Compact"/>
              <w:jc w:val="left"/>
            </w:pPr>
            <w:r>
              <w:t xml:space="preserve">U₄</w:t>
            </w:r>
          </w:p>
        </w:tc>
        <w:tc>
          <w:tcPr>
            <w:tcMar>
              <w:top w:w="80" w:type="dxa"/>
              <w:start w:w="90" w:type="dxa"/>
              <w:bottom w:w="80" w:type="dxa"/>
              <w:end w:w="90" w:type="dxa"/>
            </w:tcMar>
            <w:shd w:fill="D9EAF7" w:val="clear"/>
          </w:tcPr>
          <w:p>
            <w:pPr>
              <w:pStyle w:val="Compact"/>
              <w:jc w:val="left"/>
            </w:pPr>
            <w:r>
              <w:t xml:space="preserve">Organization</w:t>
            </w:r>
          </w:p>
        </w:tc>
        <w:tc>
          <w:tcPr>
            <w:tcMar>
              <w:top w:w="80" w:type="dxa"/>
              <w:start w:w="90" w:type="dxa"/>
              <w:bottom w:w="80" w:type="dxa"/>
              <w:end w:w="90" w:type="dxa"/>
            </w:tcMar>
            <w:shd w:fill="D9EAF7" w:val="clear"/>
          </w:tcPr>
          <w:p>
            <w:pPr>
              <w:pStyle w:val="Compact"/>
              <w:jc w:val="left"/>
            </w:pPr>
            <w:r>
              <w:t xml:space="preserve">Formal collective pursuing a purpose; structured coordination and institutional behavior (March &amp; Simon, 1958; North, 1990)</w:t>
            </w:r>
          </w:p>
        </w:tc>
        <w:tc>
          <w:tcPr>
            <w:tcMar>
              <w:top w:w="80" w:type="dxa"/>
              <w:start w:w="90" w:type="dxa"/>
              <w:bottom w:w="80" w:type="dxa"/>
              <w:end w:w="90" w:type="dxa"/>
            </w:tcMar>
            <w:shd w:fill="D9EAF7" w:val="clear"/>
          </w:tcPr>
          <w:p>
            <w:pPr>
              <w:pStyle w:val="Compact"/>
              <w:jc w:val="left"/>
            </w:pPr>
            <w:r>
              <w:t xml:space="preserve">Years to Centuries</w:t>
            </w:r>
          </w:p>
        </w:tc>
      </w:tr>
      <w:tr>
        <w:trPr/>
        <w:tc>
          <w:tcPr>
            <w:tcMar>
              <w:top w:w="80" w:type="dxa"/>
              <w:start w:w="90" w:type="dxa"/>
              <w:bottom w:w="80" w:type="dxa"/>
              <w:end w:w="90" w:type="dxa"/>
            </w:tcMar>
            <w:shd w:fill="F7FBFF" w:val="clear"/>
          </w:tcPr>
          <w:p>
            <w:pPr>
              <w:pStyle w:val="Compact"/>
              <w:jc w:val="left"/>
            </w:pPr>
            <w:r>
              <w:t xml:space="preserve">U₅</w:t>
            </w:r>
          </w:p>
        </w:tc>
        <w:tc>
          <w:tcPr>
            <w:tcMar>
              <w:top w:w="80" w:type="dxa"/>
              <w:start w:w="90" w:type="dxa"/>
              <w:bottom w:w="80" w:type="dxa"/>
              <w:end w:w="90" w:type="dxa"/>
            </w:tcMar>
            <w:shd w:fill="F7FBFF" w:val="clear"/>
          </w:tcPr>
          <w:p>
            <w:pPr>
              <w:pStyle w:val="Compact"/>
              <w:jc w:val="left"/>
            </w:pPr>
            <w:r>
              <w:t xml:space="preserve">Polity</w:t>
            </w:r>
          </w:p>
        </w:tc>
        <w:tc>
          <w:tcPr>
            <w:tcMar>
              <w:top w:w="80" w:type="dxa"/>
              <w:start w:w="90" w:type="dxa"/>
              <w:bottom w:w="80" w:type="dxa"/>
              <w:end w:w="90" w:type="dxa"/>
            </w:tcMar>
            <w:shd w:fill="F7FBFF" w:val="clear"/>
          </w:tcPr>
          <w:p>
            <w:pPr>
              <w:pStyle w:val="Compact"/>
              <w:jc w:val="left"/>
            </w:pPr>
            <w:r>
              <w:t xml:space="preserve">Governance authority unit over a jurisdiction; legitimacy and institutional structure (Weber, 1978)</w:t>
            </w:r>
          </w:p>
        </w:tc>
        <w:tc>
          <w:tcPr>
            <w:tcMar>
              <w:top w:w="80" w:type="dxa"/>
              <w:start w:w="90" w:type="dxa"/>
              <w:bottom w:w="80" w:type="dxa"/>
              <w:end w:w="90" w:type="dxa"/>
            </w:tcMar>
            <w:shd w:fill="F7FBFF" w:val="clear"/>
          </w:tcPr>
          <w:p>
            <w:pPr>
              <w:pStyle w:val="Compact"/>
              <w:jc w:val="left"/>
            </w:pPr>
            <w:r>
              <w:t xml:space="preserve">Decades to Centuries</w:t>
            </w:r>
          </w:p>
        </w:tc>
      </w:tr>
      <w:tr>
        <w:trPr/>
        <w:tc>
          <w:tcPr>
            <w:tcMar>
              <w:top w:w="80" w:type="dxa"/>
              <w:start w:w="90" w:type="dxa"/>
              <w:bottom w:w="80" w:type="dxa"/>
              <w:end w:w="90" w:type="dxa"/>
            </w:tcMar>
            <w:shd w:fill="D9EAF7" w:val="clear"/>
          </w:tcPr>
          <w:p>
            <w:pPr>
              <w:pStyle w:val="Compact"/>
              <w:jc w:val="left"/>
            </w:pPr>
            <w:r>
              <w:t xml:space="preserve">U₆</w:t>
            </w:r>
          </w:p>
        </w:tc>
        <w:tc>
          <w:tcPr>
            <w:tcMar>
              <w:top w:w="80" w:type="dxa"/>
              <w:start w:w="90" w:type="dxa"/>
              <w:bottom w:w="80" w:type="dxa"/>
              <w:end w:w="90" w:type="dxa"/>
            </w:tcMar>
            <w:shd w:fill="D9EAF7" w:val="clear"/>
          </w:tcPr>
          <w:p>
            <w:pPr>
              <w:pStyle w:val="Compact"/>
              <w:jc w:val="left"/>
            </w:pPr>
            <w:r>
              <w:t xml:space="preserve">Humanity / Global Coordination</w:t>
            </w:r>
          </w:p>
        </w:tc>
        <w:tc>
          <w:tcPr>
            <w:tcMar>
              <w:top w:w="80" w:type="dxa"/>
              <w:start w:w="90" w:type="dxa"/>
              <w:bottom w:w="80" w:type="dxa"/>
              <w:end w:w="90" w:type="dxa"/>
            </w:tcMar>
            <w:shd w:fill="D9EAF7" w:val="clear"/>
          </w:tcPr>
          <w:p>
            <w:pPr>
              <w:pStyle w:val="Compact"/>
              <w:jc w:val="left"/>
            </w:pPr>
            <w:r>
              <w:rPr>
                <w:b/>
                <w:bCs/>
              </w:rPr>
              <w:t xml:space="preserve">Humanity view:</w:t>
            </w:r>
            <w:r>
              <w:t xml:space="preserve"> </w:t>
            </w:r>
            <w:r>
              <w:t xml:space="preserve">all affected human beings and future human populations.</w:t>
            </w:r>
            <w:r>
              <w:t xml:space="preserve"> </w:t>
            </w:r>
            <w:r>
              <w:rPr>
                <w:b/>
                <w:bCs/>
              </w:rPr>
              <w:t xml:space="preserve">CMIU view:</w:t>
            </w:r>
            <w:r>
              <w:t xml:space="preserve"> </w:t>
            </w:r>
            <w:r>
              <w:t xml:space="preserve">the governance-coordination network of intelligences, representatives, and institutions that have a declared participation channel or lawful role in shared governance, coordination, and systemic-risk management. The views may overlap but are not identical. CMIU is not a moral-status class: MPS or FPP does not create membership, and GPR does not create power. Direct participation uses a governed GPR record where relevant; consequential roles require a role-specific SPR record, lawful mandate, and all applicable RippleLogic gates.</w:t>
            </w:r>
          </w:p>
        </w:tc>
        <w:tc>
          <w:tcPr>
            <w:tcMar>
              <w:top w:w="80" w:type="dxa"/>
              <w:start w:w="90" w:type="dxa"/>
              <w:bottom w:w="80" w:type="dxa"/>
              <w:end w:w="90" w:type="dxa"/>
            </w:tcMar>
            <w:shd w:fill="D9EAF7" w:val="clear"/>
          </w:tcPr>
          <w:p>
            <w:pPr>
              <w:pStyle w:val="Compact"/>
              <w:jc w:val="left"/>
            </w:pPr>
            <w:r>
              <w:t xml:space="preserve">Generations to Millennia</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U₇</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Biosphere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Earth’s integrated life-support systems, including climate stability and ecosystem integrity (Odum, 1971; Steffen et al., 2015; Rockström et al., 2009, 2023)</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Centuries to Epochs</w:t>
            </w:r>
          </w:p>
        </w:tc>
      </w:tr>
    </w:tbl>
    <w:p>
      <w:pPr>
        <w:pStyle w:val="BodyText"/>
        <w:widowControl/>
      </w:pPr>
      <w:r>
        <w:t xml:space="preserve">Canonical analytical scope sequence: U₁ ≺ U₂ ≺ U₃ ≺ U₄ ≺ U₅ ≺ U₆ ≺ U₇</w:t>
      </w:r>
    </w:p>
    <w:p>
      <w:pPr>
        <w:pStyle w:val="BodyText"/>
        <w:widowControl/>
      </w:pPr>
      <w:r>
        <w:t xml:space="preserve">The symbol</w:t>
      </w:r>
      <w:r>
        <w:t xml:space="preserve"> </w:t>
      </w:r>
      <w:r>
        <w:rPr>
          <w:b/>
          <w:bCs/>
        </w:rPr>
        <w:t xml:space="preserve">≺</w:t>
      </w:r>
      <w:r>
        <w:t xml:space="preserve"> </w:t>
      </w:r>
      <w:r>
        <w:t xml:space="preserve">denotes increasing analytical scope, not universal strict set inclusion. The seven rows are a coverage discipline for systematic review. Real applications MUST model material many-to-many stakeholder memberships, cross-border institutions, overlapping communities, and cross-scope causal dependencies through explicit stakeholder and dependency graphs.</w:t>
      </w:r>
    </w:p>
    <w:p>
      <w:pPr>
        <w:pStyle w:val="BodyText"/>
        <w:widowControl/>
      </w:pPr>
      <w:r>
        <w:rPr>
          <w:b/>
          <w:bCs/>
        </w:rPr>
        <w:t xml:space="preserve">U6 dual-view clarification.</w:t>
      </w:r>
      <w:r>
        <w:t xml:space="preserve"> </w:t>
      </w:r>
      <w:r>
        <w:t xml:space="preserve">U6 remains one row coordinate so the 7 × 7 matrix stays stable. The</w:t>
      </w:r>
      <w:r>
        <w:t xml:space="preserve"> </w:t>
      </w:r>
      <w:r>
        <w:rPr>
          <w:b/>
          <w:bCs/>
        </w:rPr>
        <w:t xml:space="preserve">Humanity view</w:t>
      </w:r>
      <w:r>
        <w:t xml:space="preserve"> </w:t>
      </w:r>
      <w:r>
        <w:t xml:space="preserve">covers all affected human beings and future human populations. The</w:t>
      </w:r>
      <w:r>
        <w:t xml:space="preserve"> </w:t>
      </w:r>
      <w:r>
        <w:rPr>
          <w:b/>
          <w:bCs/>
        </w:rPr>
        <w:t xml:space="preserve">Collective Managing Intelligence Union (CMIU) view</w:t>
      </w:r>
      <w:r>
        <w:t xml:space="preserve"> </w:t>
      </w:r>
      <w:r>
        <w:t xml:space="preserve">is the governance-coordination view of intelligences, representatives, and institutions that have a declared participation channel or lawful role in shared governance, coordination, and systemic-risk management. These views overlap but are not identical. CMIU is not a sentience tier, rights plateau, prestige class, or automatic membership granted by moral protection. FPP secures protection; GPR governs participation mode; SPR governs eligibility for a named consequential role; institutional membership and authority additionally require lawful mandate, domain competence, accountability, non-domination, auditability, and revocability.</w:t>
      </w:r>
    </w:p>
    <w:p>
      <w:pPr>
        <w:pStyle w:val="BodyText"/>
        <w:widowControl/>
      </w:pPr>
      <w:r>
        <w:rPr>
          <w:b/>
          <w:bCs/>
        </w:rPr>
        <w:t xml:space="preserve">U6 view-tag requirement (Normative).</w:t>
      </w:r>
      <w:r>
        <w:t xml:space="preserve"> </w:t>
      </w:r>
      <w:r>
        <w:t xml:space="preserve">Every claim-bearing U6 input, impact, indicator, weight, scenario, or conclusion MUST declare</w:t>
      </w:r>
      <w:r>
        <w:t xml:space="preserve"> </w:t>
      </w:r>
      <w:r>
        <w:rPr>
          <w:rStyle w:val="VerbatimChar"/>
        </w:rPr>
        <w:t xml:space="preserve">U6_View_Tag</w:t>
      </w:r>
      <w:r>
        <w:t xml:space="preserve"> </w:t>
      </w:r>
      <w:r>
        <w:t xml:space="preserve">as one of</w:t>
      </w:r>
      <w:r>
        <w:t xml:space="preserve"> </w:t>
      </w:r>
      <w:r>
        <w:rPr>
          <w:rStyle w:val="VerbatimChar"/>
        </w:rPr>
        <w:t xml:space="preserve">U6_HUMANITY</w:t>
      </w:r>
      <w:r>
        <w:t xml:space="preserve">,</w:t>
      </w:r>
      <w:r>
        <w:t xml:space="preserve"> </w:t>
      </w:r>
      <w:r>
        <w:rPr>
          <w:rStyle w:val="VerbatimChar"/>
        </w:rPr>
        <w:t xml:space="preserve">U6_COORDINATION</w:t>
      </w:r>
      <w:r>
        <w:t xml:space="preserve">, or</w:t>
      </w:r>
      <w:r>
        <w:t xml:space="preserve"> </w:t>
      </w:r>
      <w:r>
        <w:rPr>
          <w:rStyle w:val="VerbatimChar"/>
        </w:rPr>
        <w:t xml:space="preserve">U6_MIXED_WITH_DECOMPOSITION</w:t>
      </w:r>
      <w:r>
        <w:t xml:space="preserve">. A mixed U6 value is admissible only when the Humanity and coordination components are separately recorded and the aggregation rule is disclosed. U6 view tags prevent human welfare claims from being silently blended with institutional or managing-intelligence capacity claims.</w:t>
      </w:r>
    </w:p>
    <w:p>
      <w:pPr>
        <w:pStyle w:val="BodyText"/>
        <w:widowControl/>
      </w:pPr>
      <w:r>
        <w:t xml:space="preserve">Clarifying distinction (informative). Organization refers to bounded institutions and role systems such as firms, schools, NGOs, or agencies. Polity refers to public governance and enforcement domains such as lawmaking, courts, regulators, and due process systems.</w:t>
      </w:r>
    </w:p>
    <w:p>
      <w:pPr>
        <w:pStyle w:val="BodyText"/>
        <w:widowControl/>
      </w:pPr>
      <w:r>
        <w:t xml:space="preserve">Ecological trophic cascades illustrate how interventions can propagate unpredictably across levels and why “local wins” can generate system losses, reinforcing the need for explicit containment and ripple modeling (Estes et al., 2011).</w:t>
      </w:r>
    </w:p>
    <w:bookmarkEnd w:id="51"/>
    <w:bookmarkStart w:id="52" w:name="Xe308c3c2b380c5123cb2938930351bed1f1f0ff"/>
    <w:p>
      <w:pPr>
        <w:pStyle w:val="Heading2"/>
        <w:keepNext/>
        <w:keepLines/>
        <w:pageBreakBefore w:val="0"/>
        <w:widowControl/>
      </w:pPr>
      <w:r>
        <w:rPr>
          <w:rFonts w:ascii="Arial" w:hAnsi="Arial" w:eastAsia="Arial"/>
          <w:b/>
          <w:color w:val="1F4E78"/>
        </w:rPr>
        <w:t xml:space="preserve">2.4 Union Types vs Instances (Aggregation Rule)</w:t>
      </w:r>
    </w:p>
    <w:p>
      <w:pPr>
        <w:pStyle w:val="FirstParagraph"/>
        <w:widowControl/>
      </w:pPr>
      <w:r>
        <w:t xml:space="preserve">The seven unions are types; real runs involve instances (many households, many organizations, many polities). Impacts MUST be aggregated within a union row using a declared aggregation method.</w:t>
      </w:r>
    </w:p>
    <w:p>
      <w:pPr>
        <w:pStyle w:val="BodyText"/>
        <w:widowControl/>
      </w:pPr>
      <w:r>
        <w:t xml:space="preserve">Default aggregation (normative default for non-rights scoring): Population-weighted mean across affected instances.</w:t>
      </w:r>
    </w:p>
    <w:p>
      <w:pPr>
        <w:pStyle w:val="BodyText"/>
        <w:widowControl/>
      </w:pPr>
      <w:r>
        <w:t xml:space="preserve">Rights exception: For rights-covered cells, apply worst-off subgroup checks within instances before aggregating (Section 7).</w:t>
      </w:r>
    </w:p>
    <w:p>
      <w:pPr>
        <w:pStyle w:val="BodyText"/>
        <w:widowControl/>
      </w:pPr>
      <w:r>
        <w:rPr>
          <w:b/>
          <w:bCs/>
        </w:rPr>
        <w:t xml:space="preserve">Distributional companion record (Normative supplement).</w:t>
      </w:r>
      <w:r>
        <w:t xml:space="preserve"> </w:t>
      </w:r>
      <w:r>
        <w:t xml:space="preserve">When a non-rights welfare impact is materially concentrated, Tier 3 and high-stakes Tier 2 runs MUST report the worst materially affected subgroup or decile, the observed or estimated range, an inequality-direction indicator, and a burden-concentration ratio or declared equivalent alongside the population mean. These diagnostics do not automatically create a new gate, but they inform CSV, RLS sensitivity, stakeholder review, and whether the impact should be reclassified as rights-relevant.</w:t>
      </w:r>
    </w:p>
    <w:p>
      <w:pPr>
        <w:pStyle w:val="BodyText"/>
        <w:widowControl/>
      </w:pPr>
      <w:r>
        <w:t xml:space="preserve">Examples: Stakeholder Instances Mapped into Union Scopes (Non-Normative)</w:t>
      </w:r>
    </w:p>
    <w:p>
      <w:pPr>
        <w:pStyle w:val="BodyText"/>
        <w:widowControl/>
      </w:pPr>
      <w:r>
        <w:t xml:space="preserve">This table illustrates how diverse stakeholders are represented as instances mapped into Union Scopes. The scope set is minimal but covering, it is a coordinate system for accountability, not a closed list of who matters.</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Stakeholder instance (example)</w:t>
            </w:r>
          </w:p>
        </w:tc>
        <w:tc>
          <w:tcPr>
            <w:shd w:fill="1F4E78" w:val="clear"/>
            <w:tcMar>
              <w:top w:w="80" w:type="dxa"/>
              <w:start w:w="90" w:type="dxa"/>
              <w:bottom w:w="80" w:type="dxa"/>
              <w:end w:w="90" w:type="dxa"/>
            </w:tcMar>
          </w:tcPr>
          <w:p>
            <w:pPr>
              <w:pStyle w:val="Compact"/>
              <w:jc w:val="left"/>
            </w:pPr>
            <w:r>
              <w:rPr>
                <w:b/>
                <w:bCs/>
                <w:color w:val="FFFFFF"/>
              </w:rPr>
              <w:t xml:space="preserve">Typical role/context</w:t>
            </w:r>
          </w:p>
        </w:tc>
        <w:tc>
          <w:tcPr>
            <w:shd w:fill="1F4E78" w:val="clear"/>
            <w:tcMar>
              <w:top w:w="80" w:type="dxa"/>
              <w:start w:w="90" w:type="dxa"/>
              <w:bottom w:w="80" w:type="dxa"/>
              <w:end w:w="90" w:type="dxa"/>
            </w:tcMar>
          </w:tcPr>
          <w:p>
            <w:pPr>
              <w:pStyle w:val="Compact"/>
              <w:jc w:val="left"/>
            </w:pPr>
            <w:r>
              <w:rPr>
                <w:b/>
                <w:bCs/>
                <w:color w:val="FFFFFF"/>
              </w:rPr>
              <w:t xml:space="preserve">Mapped scope(s) (example)</w:t>
            </w:r>
          </w:p>
        </w:tc>
        <w:tc>
          <w:tcPr>
            <w:shd w:fill="1F4E78" w:val="clear"/>
            <w:tcMar>
              <w:top w:w="80" w:type="dxa"/>
              <w:start w:w="90" w:type="dxa"/>
              <w:bottom w:w="80" w:type="dxa"/>
              <w:end w:w="90" w:type="dxa"/>
            </w:tcMar>
          </w:tcPr>
          <w:p>
            <w:pPr>
              <w:pStyle w:val="Compact"/>
              <w:jc w:val="left"/>
            </w:pPr>
            <w:r>
              <w:rPr>
                <w:b/>
                <w:bCs/>
                <w:color w:val="FFFFFF"/>
              </w:rPr>
              <w:t xml:space="preserve">Notes (including multi-scope redundancy method when relevant)</w:t>
            </w:r>
          </w:p>
        </w:tc>
      </w:tr>
      <w:tr>
        <w:trPr/>
        <w:tc>
          <w:tcPr>
            <w:tcMar>
              <w:top w:w="80" w:type="dxa"/>
              <w:start w:w="90" w:type="dxa"/>
              <w:bottom w:w="80" w:type="dxa"/>
              <w:end w:w="90" w:type="dxa"/>
            </w:tcMar>
            <w:shd w:fill="F7FBFF" w:val="clear"/>
          </w:tcPr>
          <w:p>
            <w:pPr>
              <w:pStyle w:val="Compact"/>
              <w:jc w:val="left"/>
            </w:pPr>
            <w:r>
              <w:t xml:space="preserve">Me (decision owner)</w:t>
            </w:r>
          </w:p>
        </w:tc>
        <w:tc>
          <w:tcPr>
            <w:tcMar>
              <w:top w:w="80" w:type="dxa"/>
              <w:start w:w="90" w:type="dxa"/>
              <w:bottom w:w="80" w:type="dxa"/>
              <w:end w:w="90" w:type="dxa"/>
            </w:tcMar>
            <w:shd w:fill="F7FBFF" w:val="clear"/>
          </w:tcPr>
          <w:p>
            <w:pPr>
              <w:pStyle w:val="Compact"/>
              <w:jc w:val="left"/>
            </w:pPr>
            <w:r>
              <w:t xml:space="preserve">direct personal impact</w:t>
            </w:r>
          </w:p>
        </w:tc>
        <w:tc>
          <w:tcPr>
            <w:tcMar>
              <w:top w:w="80" w:type="dxa"/>
              <w:start w:w="90" w:type="dxa"/>
              <w:bottom w:w="80" w:type="dxa"/>
              <w:end w:w="90" w:type="dxa"/>
            </w:tcMar>
            <w:shd w:fill="F7FBFF" w:val="clear"/>
          </w:tcPr>
          <w:p>
            <w:pPr>
              <w:pStyle w:val="Compact"/>
              <w:jc w:val="left"/>
            </w:pPr>
            <w:r>
              <w:t xml:space="preserve">U1 Self</w:t>
            </w:r>
          </w:p>
        </w:tc>
        <w:tc>
          <w:tcPr>
            <w:tcMar>
              <w:top w:w="80" w:type="dxa"/>
              <w:start w:w="90" w:type="dxa"/>
              <w:bottom w:w="80" w:type="dxa"/>
              <w:end w:w="90" w:type="dxa"/>
            </w:tcMar>
            <w:shd w:fill="F7FBFF" w:val="clear"/>
          </w:tcPr>
          <w:p>
            <w:pPr>
              <w:pStyle w:val="Compact"/>
              <w:jc w:val="left"/>
            </w:pPr>
            <w:r>
              <w:t xml:space="preserve">Direct experience and agency locus.</w:t>
            </w:r>
          </w:p>
        </w:tc>
      </w:tr>
      <w:tr>
        <w:trPr/>
        <w:tc>
          <w:tcPr>
            <w:tcMar>
              <w:top w:w="80" w:type="dxa"/>
              <w:start w:w="90" w:type="dxa"/>
              <w:bottom w:w="80" w:type="dxa"/>
              <w:end w:w="90" w:type="dxa"/>
            </w:tcMar>
            <w:shd w:fill="D9EAF7" w:val="clear"/>
          </w:tcPr>
          <w:p>
            <w:pPr>
              <w:pStyle w:val="Compact"/>
              <w:jc w:val="left"/>
            </w:pPr>
            <w:r>
              <w:t xml:space="preserve">Child or dependent in my care</w:t>
            </w:r>
          </w:p>
        </w:tc>
        <w:tc>
          <w:tcPr>
            <w:tcMar>
              <w:top w:w="80" w:type="dxa"/>
              <w:start w:w="90" w:type="dxa"/>
              <w:bottom w:w="80" w:type="dxa"/>
              <w:end w:w="90" w:type="dxa"/>
            </w:tcMar>
            <w:shd w:fill="D9EAF7" w:val="clear"/>
          </w:tcPr>
          <w:p>
            <w:pPr>
              <w:pStyle w:val="Compact"/>
              <w:jc w:val="left"/>
            </w:pPr>
            <w:r>
              <w:t xml:space="preserve">care, safety, needs</w:t>
            </w:r>
          </w:p>
        </w:tc>
        <w:tc>
          <w:tcPr>
            <w:tcMar>
              <w:top w:w="80" w:type="dxa"/>
              <w:start w:w="90" w:type="dxa"/>
              <w:bottom w:w="80" w:type="dxa"/>
              <w:end w:w="90" w:type="dxa"/>
            </w:tcMar>
            <w:shd w:fill="D9EAF7" w:val="clear"/>
          </w:tcPr>
          <w:p>
            <w:pPr>
              <w:pStyle w:val="Compact"/>
              <w:jc w:val="left"/>
            </w:pPr>
            <w:r>
              <w:t xml:space="preserve">U2 Household (and U1 for the child-as-person in detailed runs)</w:t>
            </w:r>
          </w:p>
        </w:tc>
        <w:tc>
          <w:tcPr>
            <w:tcMar>
              <w:top w:w="80" w:type="dxa"/>
              <w:start w:w="90" w:type="dxa"/>
              <w:bottom w:w="80" w:type="dxa"/>
              <w:end w:w="90" w:type="dxa"/>
            </w:tcMar>
            <w:shd w:fill="D9EAF7" w:val="clear"/>
          </w:tcPr>
          <w:p>
            <w:pPr>
              <w:pStyle w:val="Compact"/>
              <w:jc w:val="left"/>
            </w:pPr>
            <w:r>
              <w:t xml:space="preserve">Household stability plus rights exposure often relevant.</w:t>
            </w:r>
          </w:p>
        </w:tc>
      </w:tr>
      <w:tr>
        <w:trPr/>
        <w:tc>
          <w:tcPr>
            <w:tcMar>
              <w:top w:w="80" w:type="dxa"/>
              <w:start w:w="90" w:type="dxa"/>
              <w:bottom w:w="80" w:type="dxa"/>
              <w:end w:w="90" w:type="dxa"/>
            </w:tcMar>
            <w:shd w:fill="F7FBFF" w:val="clear"/>
          </w:tcPr>
          <w:p>
            <w:pPr>
              <w:pStyle w:val="Compact"/>
              <w:jc w:val="left"/>
            </w:pPr>
            <w:r>
              <w:t xml:space="preserve">Local neighborhood residents</w:t>
            </w:r>
          </w:p>
        </w:tc>
        <w:tc>
          <w:tcPr>
            <w:tcMar>
              <w:top w:w="80" w:type="dxa"/>
              <w:start w:w="90" w:type="dxa"/>
              <w:bottom w:w="80" w:type="dxa"/>
              <w:end w:w="90" w:type="dxa"/>
            </w:tcMar>
            <w:shd w:fill="F7FBFF" w:val="clear"/>
          </w:tcPr>
          <w:p>
            <w:pPr>
              <w:pStyle w:val="Compact"/>
              <w:jc w:val="left"/>
            </w:pPr>
            <w:r>
              <w:t xml:space="preserve">local externalities</w:t>
            </w:r>
          </w:p>
        </w:tc>
        <w:tc>
          <w:tcPr>
            <w:tcMar>
              <w:top w:w="80" w:type="dxa"/>
              <w:start w:w="90" w:type="dxa"/>
              <w:bottom w:w="80" w:type="dxa"/>
              <w:end w:w="90" w:type="dxa"/>
            </w:tcMar>
            <w:shd w:fill="F7FBFF" w:val="clear"/>
          </w:tcPr>
          <w:p>
            <w:pPr>
              <w:pStyle w:val="Compact"/>
              <w:jc w:val="left"/>
            </w:pPr>
            <w:r>
              <w:t xml:space="preserve">U3 Community</w:t>
            </w:r>
          </w:p>
        </w:tc>
        <w:tc>
          <w:tcPr>
            <w:tcMar>
              <w:top w:w="80" w:type="dxa"/>
              <w:start w:w="90" w:type="dxa"/>
              <w:bottom w:w="80" w:type="dxa"/>
              <w:end w:w="90" w:type="dxa"/>
            </w:tcMar>
            <w:shd w:fill="F7FBFF" w:val="clear"/>
          </w:tcPr>
          <w:p>
            <w:pPr>
              <w:pStyle w:val="Compact"/>
              <w:jc w:val="left"/>
            </w:pPr>
            <w:r>
              <w:t xml:space="preserve">Trust, cohesion, local health and environment.</w:t>
            </w:r>
          </w:p>
        </w:tc>
      </w:tr>
      <w:tr>
        <w:trPr/>
        <w:tc>
          <w:tcPr>
            <w:tcMar>
              <w:top w:w="80" w:type="dxa"/>
              <w:start w:w="90" w:type="dxa"/>
              <w:bottom w:w="80" w:type="dxa"/>
              <w:end w:w="90" w:type="dxa"/>
            </w:tcMar>
            <w:shd w:fill="D9EAF7" w:val="clear"/>
          </w:tcPr>
          <w:p>
            <w:pPr>
              <w:pStyle w:val="Compact"/>
              <w:jc w:val="left"/>
            </w:pPr>
            <w:r>
              <w:t xml:space="preserve">Employees or contractors</w:t>
            </w:r>
          </w:p>
        </w:tc>
        <w:tc>
          <w:tcPr>
            <w:tcMar>
              <w:top w:w="80" w:type="dxa"/>
              <w:start w:w="90" w:type="dxa"/>
              <w:bottom w:w="80" w:type="dxa"/>
              <w:end w:w="90" w:type="dxa"/>
            </w:tcMar>
            <w:shd w:fill="D9EAF7" w:val="clear"/>
          </w:tcPr>
          <w:p>
            <w:pPr>
              <w:pStyle w:val="Compact"/>
              <w:jc w:val="left"/>
            </w:pPr>
            <w:r>
              <w:t xml:space="preserve">workplace policy impacts</w:t>
            </w:r>
          </w:p>
        </w:tc>
        <w:tc>
          <w:tcPr>
            <w:tcMar>
              <w:top w:w="80" w:type="dxa"/>
              <w:start w:w="90" w:type="dxa"/>
              <w:bottom w:w="80" w:type="dxa"/>
              <w:end w:w="90" w:type="dxa"/>
            </w:tcMar>
            <w:shd w:fill="D9EAF7" w:val="clear"/>
          </w:tcPr>
          <w:p>
            <w:pPr>
              <w:pStyle w:val="Compact"/>
              <w:jc w:val="left"/>
            </w:pPr>
            <w:r>
              <w:t xml:space="preserve">U4 Organization</w:t>
            </w:r>
          </w:p>
        </w:tc>
        <w:tc>
          <w:tcPr>
            <w:tcMar>
              <w:top w:w="80" w:type="dxa"/>
              <w:start w:w="90" w:type="dxa"/>
              <w:bottom w:w="80" w:type="dxa"/>
              <w:end w:w="90" w:type="dxa"/>
            </w:tcMar>
            <w:shd w:fill="D9EAF7" w:val="clear"/>
          </w:tcPr>
          <w:p>
            <w:pPr>
              <w:pStyle w:val="Compact"/>
              <w:jc w:val="left"/>
            </w:pPr>
            <w:r>
              <w:t xml:space="preserve">Pay, safety, dignity, due process.</w:t>
            </w:r>
          </w:p>
        </w:tc>
      </w:tr>
      <w:tr>
        <w:trPr/>
        <w:tc>
          <w:tcPr>
            <w:tcMar>
              <w:top w:w="80" w:type="dxa"/>
              <w:start w:w="90" w:type="dxa"/>
              <w:bottom w:w="80" w:type="dxa"/>
              <w:end w:w="90" w:type="dxa"/>
            </w:tcMar>
            <w:shd w:fill="F7FBFF" w:val="clear"/>
          </w:tcPr>
          <w:p>
            <w:pPr>
              <w:pStyle w:val="Compact"/>
              <w:jc w:val="left"/>
            </w:pPr>
            <w:r>
              <w:t xml:space="preserve">Regulators, courts, enforcement bodies</w:t>
            </w:r>
          </w:p>
        </w:tc>
        <w:tc>
          <w:tcPr>
            <w:tcMar>
              <w:top w:w="80" w:type="dxa"/>
              <w:start w:w="90" w:type="dxa"/>
              <w:bottom w:w="80" w:type="dxa"/>
              <w:end w:w="90" w:type="dxa"/>
            </w:tcMar>
            <w:shd w:fill="F7FBFF" w:val="clear"/>
          </w:tcPr>
          <w:p>
            <w:pPr>
              <w:pStyle w:val="Compact"/>
              <w:jc w:val="left"/>
            </w:pPr>
            <w:r>
              <w:t xml:space="preserve">compliance and legitimacy</w:t>
            </w:r>
          </w:p>
        </w:tc>
        <w:tc>
          <w:tcPr>
            <w:tcMar>
              <w:top w:w="80" w:type="dxa"/>
              <w:start w:w="90" w:type="dxa"/>
              <w:bottom w:w="80" w:type="dxa"/>
              <w:end w:w="90" w:type="dxa"/>
            </w:tcMar>
            <w:shd w:fill="F7FBFF" w:val="clear"/>
          </w:tcPr>
          <w:p>
            <w:pPr>
              <w:pStyle w:val="Compact"/>
              <w:jc w:val="left"/>
            </w:pPr>
            <w:r>
              <w:t xml:space="preserve">U5 Polity</w:t>
            </w:r>
          </w:p>
        </w:tc>
        <w:tc>
          <w:tcPr>
            <w:tcMar>
              <w:top w:w="80" w:type="dxa"/>
              <w:start w:w="90" w:type="dxa"/>
              <w:bottom w:w="80" w:type="dxa"/>
              <w:end w:w="90" w:type="dxa"/>
            </w:tcMar>
            <w:shd w:fill="F7FBFF" w:val="clear"/>
          </w:tcPr>
          <w:p>
            <w:pPr>
              <w:pStyle w:val="Compact"/>
              <w:jc w:val="left"/>
            </w:pPr>
            <w:r>
              <w:t xml:space="preserve">Law, procedure, rights enforcement capacity.</w:t>
            </w:r>
          </w:p>
        </w:tc>
      </w:tr>
      <w:tr>
        <w:trPr/>
        <w:tc>
          <w:tcPr>
            <w:tcMar>
              <w:top w:w="80" w:type="dxa"/>
              <w:start w:w="90" w:type="dxa"/>
              <w:bottom w:w="80" w:type="dxa"/>
              <w:end w:w="90" w:type="dxa"/>
            </w:tcMar>
            <w:shd w:fill="D9EAF7" w:val="clear"/>
          </w:tcPr>
          <w:p>
            <w:pPr>
              <w:pStyle w:val="Compact"/>
              <w:jc w:val="left"/>
            </w:pPr>
            <w:r>
              <w:t xml:space="preserve">Cross-border supply-chain workers</w:t>
            </w:r>
          </w:p>
        </w:tc>
        <w:tc>
          <w:tcPr>
            <w:tcMar>
              <w:top w:w="80" w:type="dxa"/>
              <w:start w:w="90" w:type="dxa"/>
              <w:bottom w:w="80" w:type="dxa"/>
              <w:end w:w="90" w:type="dxa"/>
            </w:tcMar>
            <w:shd w:fill="D9EAF7" w:val="clear"/>
          </w:tcPr>
          <w:p>
            <w:pPr>
              <w:pStyle w:val="Compact"/>
              <w:jc w:val="left"/>
            </w:pPr>
            <w:r>
              <w:t xml:space="preserve">indirect externalities</w:t>
            </w:r>
          </w:p>
        </w:tc>
        <w:tc>
          <w:tcPr>
            <w:tcMar>
              <w:top w:w="80" w:type="dxa"/>
              <w:start w:w="90" w:type="dxa"/>
              <w:bottom w:w="80" w:type="dxa"/>
              <w:end w:w="90" w:type="dxa"/>
            </w:tcMar>
            <w:shd w:fill="D9EAF7" w:val="clear"/>
          </w:tcPr>
          <w:p>
            <w:pPr>
              <w:pStyle w:val="Compact"/>
              <w:jc w:val="left"/>
            </w:pPr>
            <w:r>
              <w:t xml:space="preserve">U6 Humanity / Global Coordination</w:t>
            </w:r>
          </w:p>
        </w:tc>
        <w:tc>
          <w:tcPr>
            <w:tcMar>
              <w:top w:w="80" w:type="dxa"/>
              <w:start w:w="90" w:type="dxa"/>
              <w:bottom w:w="80" w:type="dxa"/>
              <w:end w:w="90" w:type="dxa"/>
            </w:tcMar>
            <w:shd w:fill="D9EAF7" w:val="clear"/>
          </w:tcPr>
          <w:p>
            <w:pPr>
              <w:pStyle w:val="Compact"/>
              <w:jc w:val="left"/>
            </w:pPr>
            <w:r>
              <w:t xml:space="preserve">Captures externalities beyond a single polity.</w:t>
            </w:r>
          </w:p>
        </w:tc>
      </w:tr>
      <w:tr>
        <w:trPr/>
        <w:tc>
          <w:tcPr>
            <w:tcMar>
              <w:top w:w="80" w:type="dxa"/>
              <w:start w:w="90" w:type="dxa"/>
              <w:bottom w:w="80" w:type="dxa"/>
              <w:end w:w="90" w:type="dxa"/>
            </w:tcMar>
            <w:shd w:fill="F7FBFF" w:val="clear"/>
          </w:tcPr>
          <w:p>
            <w:pPr>
              <w:pStyle w:val="Compact"/>
              <w:jc w:val="left"/>
            </w:pPr>
            <w:r>
              <w:t xml:space="preserve">Watershed or river system</w:t>
            </w:r>
          </w:p>
        </w:tc>
        <w:tc>
          <w:tcPr>
            <w:tcMar>
              <w:top w:w="80" w:type="dxa"/>
              <w:start w:w="90" w:type="dxa"/>
              <w:bottom w:w="80" w:type="dxa"/>
              <w:end w:w="90" w:type="dxa"/>
            </w:tcMar>
            <w:shd w:fill="F7FBFF" w:val="clear"/>
          </w:tcPr>
          <w:p>
            <w:pPr>
              <w:pStyle w:val="Compact"/>
              <w:jc w:val="left"/>
            </w:pPr>
            <w:r>
              <w:t xml:space="preserve">ecological integrity</w:t>
            </w:r>
          </w:p>
        </w:tc>
        <w:tc>
          <w:tcPr>
            <w:tcMar>
              <w:top w:w="80" w:type="dxa"/>
              <w:start w:w="90" w:type="dxa"/>
              <w:bottom w:w="80" w:type="dxa"/>
              <w:end w:w="90" w:type="dxa"/>
            </w:tcMar>
            <w:shd w:fill="F7FBFF" w:val="clear"/>
          </w:tcPr>
          <w:p>
            <w:pPr>
              <w:pStyle w:val="Compact"/>
              <w:jc w:val="left"/>
            </w:pPr>
            <w:r>
              <w:t xml:space="preserve">U7 Biosphere</w:t>
            </w:r>
          </w:p>
        </w:tc>
        <w:tc>
          <w:tcPr>
            <w:tcMar>
              <w:top w:w="80" w:type="dxa"/>
              <w:start w:w="90" w:type="dxa"/>
              <w:bottom w:w="80" w:type="dxa"/>
              <w:end w:w="90" w:type="dxa"/>
            </w:tcMar>
            <w:shd w:fill="F7FBFF" w:val="clear"/>
          </w:tcPr>
          <w:p>
            <w:pPr>
              <w:pStyle w:val="Compact"/>
              <w:jc w:val="left"/>
            </w:pPr>
            <w:r>
              <w:t xml:space="preserve">Often ecology-rights and TRC relevant.</w:t>
            </w:r>
          </w:p>
        </w:tc>
      </w:tr>
      <w:tr>
        <w:trPr/>
        <w:tc>
          <w:tcPr>
            <w:tcMar>
              <w:top w:w="80" w:type="dxa"/>
              <w:start w:w="90" w:type="dxa"/>
              <w:bottom w:w="80" w:type="dxa"/>
              <w:end w:w="90" w:type="dxa"/>
            </w:tcMar>
            <w:shd w:fill="D9EAF7" w:val="clear"/>
          </w:tcPr>
          <w:p>
            <w:pPr>
              <w:pStyle w:val="Compact"/>
              <w:jc w:val="left"/>
            </w:pPr>
            <w:r>
              <w:t xml:space="preserve">Future generations</w:t>
            </w:r>
          </w:p>
        </w:tc>
        <w:tc>
          <w:tcPr>
            <w:tcMar>
              <w:top w:w="80" w:type="dxa"/>
              <w:start w:w="90" w:type="dxa"/>
              <w:bottom w:w="80" w:type="dxa"/>
              <w:end w:w="90" w:type="dxa"/>
            </w:tcMar>
            <w:shd w:fill="D9EAF7" w:val="clear"/>
          </w:tcPr>
          <w:p>
            <w:pPr>
              <w:pStyle w:val="Compact"/>
              <w:jc w:val="left"/>
            </w:pPr>
            <w:r>
              <w:t xml:space="preserve">long-horizon impacts</w:t>
            </w:r>
          </w:p>
        </w:tc>
        <w:tc>
          <w:tcPr>
            <w:tcMar>
              <w:top w:w="80" w:type="dxa"/>
              <w:start w:w="90" w:type="dxa"/>
              <w:bottom w:w="80" w:type="dxa"/>
              <w:end w:w="90" w:type="dxa"/>
            </w:tcMar>
            <w:shd w:fill="D9EAF7" w:val="clear"/>
          </w:tcPr>
          <w:p>
            <w:pPr>
              <w:pStyle w:val="Compact"/>
              <w:jc w:val="left"/>
            </w:pPr>
            <w:r>
              <w:t xml:space="preserve">U6 Humanity / Global Coordination + U7 Biosphere</w:t>
            </w:r>
          </w:p>
        </w:tc>
        <w:tc>
          <w:tcPr>
            <w:tcMar>
              <w:top w:w="80" w:type="dxa"/>
              <w:start w:w="90" w:type="dxa"/>
              <w:bottom w:w="80" w:type="dxa"/>
              <w:end w:w="90" w:type="dxa"/>
            </w:tcMar>
            <w:shd w:fill="D9EAF7" w:val="clear"/>
          </w:tcPr>
          <w:p>
            <w:pPr>
              <w:pStyle w:val="Compact"/>
              <w:jc w:val="left"/>
            </w:pPr>
            <w:r>
              <w:t xml:space="preserve">Multi-scope mapping. Typically EMERGENT_SCALE_JUSTIFICATION, because effects differ across scales. Horizon and indicators must be explicit.</w:t>
            </w:r>
          </w:p>
        </w:tc>
      </w:tr>
      <w:tr>
        <w:trPr/>
        <w:tc>
          <w:tcPr>
            <w:tcMar>
              <w:top w:w="80" w:type="dxa"/>
              <w:start w:w="90" w:type="dxa"/>
              <w:bottom w:w="80" w:type="dxa"/>
              <w:end w:w="90" w:type="dxa"/>
            </w:tcMar>
            <w:shd w:fill="F7FBFF" w:val="clear"/>
          </w:tcPr>
          <w:p>
            <w:pPr>
              <w:pStyle w:val="Compact"/>
              <w:jc w:val="left"/>
            </w:pPr>
            <w:r>
              <w:t xml:space="preserve">Public information ecosystem</w:t>
            </w:r>
          </w:p>
        </w:tc>
        <w:tc>
          <w:tcPr>
            <w:tcMar>
              <w:top w:w="80" w:type="dxa"/>
              <w:start w:w="90" w:type="dxa"/>
              <w:bottom w:w="80" w:type="dxa"/>
              <w:end w:w="90" w:type="dxa"/>
            </w:tcMar>
            <w:shd w:fill="F7FBFF" w:val="clear"/>
          </w:tcPr>
          <w:p>
            <w:pPr>
              <w:pStyle w:val="Compact"/>
              <w:jc w:val="left"/>
            </w:pPr>
            <w:r>
              <w:t xml:space="preserve">misinformation, censorship, legitimacy</w:t>
            </w:r>
          </w:p>
        </w:tc>
        <w:tc>
          <w:tcPr>
            <w:tcMar>
              <w:top w:w="80" w:type="dxa"/>
              <w:start w:w="90" w:type="dxa"/>
              <w:bottom w:w="80" w:type="dxa"/>
              <w:end w:w="90" w:type="dxa"/>
            </w:tcMar>
            <w:shd w:fill="F7FBFF" w:val="clear"/>
          </w:tcPr>
          <w:p>
            <w:pPr>
              <w:pStyle w:val="Compact"/>
              <w:jc w:val="left"/>
            </w:pPr>
            <w:r>
              <w:t xml:space="preserve">U5 Polity + U6 Humanity / Global Coordination</w:t>
            </w:r>
          </w:p>
        </w:tc>
        <w:tc>
          <w:tcPr>
            <w:tcMar>
              <w:top w:w="80" w:type="dxa"/>
              <w:start w:w="90" w:type="dxa"/>
              <w:bottom w:w="80" w:type="dxa"/>
              <w:end w:w="90" w:type="dxa"/>
            </w:tcMar>
            <w:shd w:fill="F7FBFF" w:val="clear"/>
          </w:tcPr>
          <w:p>
            <w:pPr>
              <w:pStyle w:val="Compact"/>
              <w:jc w:val="left"/>
            </w:pPr>
            <w:r>
              <w:t xml:space="preserve">Multi-scope mapping. If represented in both scopes, declare redundancy handling. Default is EMERGENT_SCALE_JUSTIFICATION, or DEDUPLICATION with propagation.</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Digital agents affected by policy</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AI deployment governance</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U6 Humanity / Global Coordination (SGP-gated for protections where applicable)</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Protections handled via the SGP interface. Authority remains separately gated.</w:t>
            </w:r>
          </w:p>
        </w:tc>
      </w:tr>
    </w:tbl>
    <w:bookmarkEnd w:id="52"/>
    <w:bookmarkStart w:id="53" w:name="Xb71218422994a9dd3299fa405f50df08fcf98fa"/>
    <w:p>
      <w:pPr>
        <w:pStyle w:val="Heading2"/>
        <w:keepNext/>
        <w:keepLines/>
        <w:pageBreakBefore w:val="0"/>
        <w:widowControl/>
      </w:pPr>
      <w:r>
        <w:rPr>
          <w:rFonts w:ascii="Arial" w:hAnsi="Arial" w:eastAsia="Arial"/>
          <w:b/>
          <w:color w:val="1F4E78"/>
        </w:rPr>
        <w:t xml:space="preserve">2.5 Constructive vs Pathological Unions</w:t>
      </w:r>
    </w:p>
    <w:p>
      <w:pPr>
        <w:pStyle w:val="FirstParagraph"/>
        <w:widowControl/>
      </w:pPr>
      <w:r>
        <w:t xml:space="preserve">Some unions grow by degrading their containing unions (for example, extractive industries or corruption networks). RippleLogic therefore does not assume “union benefit” is automatically good. The CSV Gate prevents local optimization that damages containing union coherence or viability beyond governed tolerance.</w:t>
      </w:r>
    </w:p>
    <w:bookmarkEnd w:id="53"/>
    <w:bookmarkStart w:id="54" w:name="X04b1b91e04e2a99fde9bc22a773e8813661ed3b"/>
    <w:p>
      <w:pPr>
        <w:pStyle w:val="Heading2"/>
        <w:keepNext/>
        <w:keepLines/>
        <w:pageBreakBefore w:val="0"/>
        <w:widowControl/>
      </w:pPr>
      <w:r>
        <w:rPr>
          <w:rFonts w:ascii="Arial" w:hAnsi="Arial" w:eastAsia="Arial"/>
          <w:b/>
          <w:color w:val="1F4E78"/>
        </w:rPr>
        <w:t xml:space="preserve">2.6 Meta-Unions (Non-Computational by Default)</w:t>
      </w:r>
    </w:p>
    <w:p>
      <w:pPr>
        <w:pStyle w:val="FirstParagraph"/>
        <w:widowControl/>
      </w:pPr>
      <w:r>
        <w:t xml:space="preserve">U₈ Cosmic and U₉ Universal / All-Encompassing Infinite Union (AIU) may be used as philosophical boundary conditions or future extensions, but do not participate in standard Tier 1-3 scoring unless formally activated through a future governed extension protocol recorded in the canon, release manifest, and PCC requirements for that release line.</w:t>
      </w:r>
    </w:p>
    <w:bookmarkEnd w:id="54"/>
    <w:bookmarkStart w:id="55" w:name="Xe3ec02e6ed50f129eda5749001a0172487dbfd7"/>
    <w:p>
      <w:pPr>
        <w:pStyle w:val="Heading2"/>
        <w:keepNext/>
        <w:keepLines/>
        <w:pageBreakBefore w:val="0"/>
        <w:widowControl/>
      </w:pPr>
      <w:r>
        <w:rPr>
          <w:rFonts w:ascii="Arial" w:hAnsi="Arial" w:eastAsia="Arial"/>
          <w:b/>
          <w:color w:val="1F4E78"/>
        </w:rPr>
        <w:t xml:space="preserve">2.6A Operational UBR vs Metaphysical AIU (Normative Boundaries and Scope Discipline)</w:t>
      </w:r>
    </w:p>
    <w:p>
      <w:pPr>
        <w:pStyle w:val="FirstParagraph"/>
        <w:widowControl/>
      </w:pPr>
      <w:r>
        <w:t xml:space="preserve">This section clarifies the strongest science-disciplined interpretation of Union-Based Reality (UBR), Union-Based Ethics (UBE), and the Universal/AIU horizon within the RippleLogic Canon v12.5 line. Its purpose is to preserve conceptual clarity, prevent overclaiming, and maintain a clean boundary between what is currently operational, what is normatively stipulated, and what remains philosophical, phenomenological, or future-facing.</w:t>
      </w:r>
    </w:p>
    <w:p>
      <w:pPr>
        <w:pStyle w:val="BodyText"/>
        <w:widowControl/>
      </w:pPr>
      <w:r>
        <w:t xml:space="preserve">Operational UBR. For the purposes of Tier 1 through Tier 3, UBR SHALL be interpreted operationally as a systems ontology of layered and intersecting causal interdependence. In governance-relevant domains, entities and decisions are embedded in coupled structures of consequence such that actions propagate across multiple scopes of impact and accountability. This is a descriptive claim about consequence topology, not a proof that all beings are identical in substance or ultimate ontology.</w:t>
      </w:r>
    </w:p>
    <w:p>
      <w:pPr>
        <w:pStyle w:val="BodyText"/>
        <w:widowControl/>
      </w:pPr>
      <w:r>
        <w:t xml:space="preserve">Scope discipline. Implementations and public claims MUST distinguish among: (i) the operational-descriptive layer, where consequence pathways are modeled across the layered and intersecting analytical scopes; (ii) the normative layer, where UBE enters through explicit commitment; and (iii) the meta-union horizon layer, where Cosmic and Universal/AIU function as philosophical, humility, precautionary, or future-extension concepts. These layers MUST NOT be collapsed into one another.</w:t>
      </w:r>
    </w:p>
    <w:p>
      <w:pPr>
        <w:pStyle w:val="BodyText"/>
        <w:widowControl/>
      </w:pPr>
      <w:r>
        <w:t xml:space="preserve">Operational boundary. The standard scored union stack for Tier 1 through Tier 3 remains U1 Self, U2 Household, U3 Community, U4 Organization, U5 Polity, U6 Humanity / Global Coordination, and U7 Biosphere. U8 Cosmic and U9 Universal / All-Encompassing Infinite Union (AIU) are meta-unions and are non-computational by default in the current release line.</w:t>
      </w:r>
    </w:p>
    <w:p>
      <w:pPr>
        <w:pStyle w:val="BodyText"/>
        <w:widowControl/>
      </w:pPr>
      <w:r>
        <w:t xml:space="preserve">Permitted role of meta-unions. U8 and U9 MAY be used as philosophical boundary conditions, humility reminders, precautionary amplifiers, or future-extension placeholders. They MUST NOT, absent a governed extension protocol, be presented as standard Tier 1 through Tier 3 scoring objects, admissibility overrides, or evidence-bypass mechanisms.</w:t>
      </w:r>
    </w:p>
    <w:p>
      <w:pPr>
        <w:pStyle w:val="BodyText"/>
        <w:widowControl/>
      </w:pPr>
      <w:r>
        <w:t xml:space="preserve">Interpretation of “we are one.” Within RippleLogic Canon v12.5, statements of oneness SHALL be interpreted in three distinct registers: (i) an operational register of strong interdependence and multi-scope accountability; (ii) a structural-unity research register, concerning whether convergent mathematical or physical principles underlie the nested interdependence observed across scales, and whether such principles constrain viable governance architectures; and (iii) an absolute-metaphysical register that remains outside current computational proof status. Only the first register is part of standard Tier 1 through Tier 3 governance computation.</w:t>
      </w:r>
    </w:p>
    <w:p>
      <w:pPr>
        <w:pStyle w:val="BodyText"/>
        <w:widowControl/>
      </w:pPr>
      <w:r>
        <w:t xml:space="preserve">Phenomenology and horizon claims. Reports of unity, non-separation, or all-encompassing union arising from contemplative, mystical, near-death, psychedelic, or out-of-body experiences MAY be treated as phenomenological data, horizon signals, or motivation for future inquiry. They MUST NOT, by themselves, be treated as sufficient evidence for standard parameterization of U9 or for compliance claims under the canon.</w:t>
      </w:r>
    </w:p>
    <w:p>
      <w:pPr>
        <w:pStyle w:val="BodyText"/>
        <w:widowControl/>
      </w:pPr>
      <w:r>
        <w:t xml:space="preserve">Non-overclaiming rule for AIU language. The framework MAY be described as general-purpose and multi-scale, and as aiming toward broadly universalizable governance architecture for embedded intelligences in shared causal reality. It MUST NOT be described as having scientifically proven All-Encompassing Infinite Union, fully resolved all metaphysical disagreements, or already solved universal alignment in the strongest ontological sense.</w:t>
      </w:r>
    </w:p>
    <w:p>
      <w:pPr>
        <w:pStyle w:val="BodyText"/>
        <w:widowControl/>
      </w:pPr>
      <w:r>
        <w:t xml:space="preserve">Canonical summary. RippleLogic adopts UBR as an operational ontology of layered and intersecting interdependence within measurable shared reality, adopts UBE through an explicit normative entry, and retains Cosmic and Universal/AIU language as non-computational horizon layers unless and until a governed extension protocol makes broader parameterization legitimate.</w:t>
      </w:r>
    </w:p>
    <w:bookmarkEnd w:id="55"/>
    <w:bookmarkEnd w:id="56"/>
    <w:bookmarkStart w:id="57" w:name="Xaa3bea1db0a0c9c7711123498f9d0d3ab9f25c8"/>
    <w:p>
      <w:pPr>
        <w:pStyle w:val="Heading1"/>
        <w:keepNext/>
        <w:keepLines/>
        <w:pageBreakBefore w:val="0"/>
        <w:widowControl/>
      </w:pPr>
      <w:r>
        <w:rPr>
          <w:rFonts w:ascii="Arial" w:hAnsi="Arial" w:eastAsia="Arial"/>
          <w:b/>
          <w:color w:val="1F4E78"/>
        </w:rPr>
        <w:t xml:space="preserve">SECTION 3: NORMATIVE FOUNDATIONS: UNION-BASED ETHICS (UBE)</w:t>
      </w:r>
    </w:p>
    <w:bookmarkEnd w:id="57"/>
    <w:bookmarkStart w:id="70" w:name="Xa01bbc9f04fa7443d4707930e0a8525e27563b5"/>
    <w:p>
      <w:pPr>
        <w:pStyle w:val="Heading1"/>
        <w:keepNext/>
        <w:keepLines/>
        <w:pageBreakBefore w:val="0"/>
        <w:widowControl/>
      </w:pPr>
      <w:r>
        <w:rPr>
          <w:rFonts w:ascii="Arial" w:hAnsi="Arial" w:eastAsia="Arial"/>
          <w:b/>
          <w:color w:val="1F4E78"/>
        </w:rPr>
        <w:t xml:space="preserve">3.0A Ethical Reality</w:t>
      </w:r>
    </w:p>
    <w:p>
      <w:pPr>
        <w:pStyle w:val="FirstParagraph"/>
        <w:widowControl/>
      </w:pPr>
      <w:r>
        <w:t xml:space="preserve">Ethical reality is the subset of reality where structures, constraints, and consequences affect welfare-bearing beings and the conditions of flourishing. Ethical reality includes welfare, rights, sentience, agency, dignity, non-domination, catastrophic-risk exposure, ecological dependence, future generations, and flourishing. Access to ethical reality spans measured fact, uncertainty-bound inference, and explicit normative commitment. These layers MUST NOT be collapsed: measured indicators may support claims, SGP may govern uncertain moral-patient evidence, and rights floors operate as declared non-compensatory commitments rather than as empirical measurements alone. Ethical reality is therefore not separate from reality; it is reality where consequence matters to beings and systems capable of being harmed, protected, dominated, liberated, degraded, or enabled to flourish.</w:t>
      </w:r>
    </w:p>
    <w:bookmarkStart w:id="58" w:name="X074d2b452dad60a8427b53bcf73c5497ba8f522"/>
    <w:p>
      <w:pPr>
        <w:pStyle w:val="Heading2"/>
        <w:keepNext/>
        <w:keepLines/>
        <w:pageBreakBefore w:val="0"/>
        <w:widowControl/>
      </w:pPr>
      <w:r>
        <w:rPr>
          <w:rFonts w:ascii="Arial" w:hAnsi="Arial" w:eastAsia="Arial"/>
          <w:b/>
          <w:color w:val="1F4E78"/>
        </w:rPr>
        <w:t xml:space="preserve">3.1 Minimal Normative Axiom (MNA)</w:t>
      </w:r>
    </w:p>
    <w:p>
      <w:pPr>
        <w:pStyle w:val="FirstParagraph"/>
        <w:widowControl/>
      </w:pPr>
      <w:r>
        <w:t xml:space="preserve">RippleLogic adopts one minimal normative entry axiom, then operationalizes it through governed commitments, including rights floors, tail-risk constraints, containment and structural-viability requirements, constitutional weight floors, and auditability rules. These operational commitments are explicit governance priors, not hidden mathematical derivations. The minimal entry axiom is:</w:t>
      </w:r>
    </w:p>
    <w:p>
      <w:pPr>
        <w:pStyle w:val="BodyText"/>
        <w:widowControl/>
      </w:pPr>
      <w:r>
        <w:t xml:space="preserve">MNA: Sentient welfare and flourishing matter. Unnecessary suffering and domination should be reduced. The enabling conditions for viable, non-dominated, and continuing flourishing should be preserved.</w:t>
      </w:r>
    </w:p>
    <w:p>
      <w:pPr>
        <w:pStyle w:val="BodyText"/>
        <w:widowControl/>
      </w:pPr>
      <w:r>
        <w:t xml:space="preserve">This axiom is:</w:t>
      </w:r>
    </w:p>
    <w:p>
      <w:pPr>
        <w:pStyle w:val="BodyText"/>
        <w:widowControl/>
      </w:pPr>
      <w:r>
        <w:t xml:space="preserve">Content-minimal: No single “good life” doctrine is prescribed.</w:t>
      </w:r>
    </w:p>
    <w:p>
      <w:pPr>
        <w:pStyle w:val="BodyText"/>
        <w:widowControl/>
      </w:pPr>
      <w:r>
        <w:t xml:space="preserve">Scope-bounded: Applies where sentience or welfare-relevant moral patienthood is in scope.</w:t>
      </w:r>
    </w:p>
    <w:p>
      <w:pPr>
        <w:pStyle w:val="BodyText"/>
        <w:widowControl/>
      </w:pPr>
      <w:r>
        <w:t xml:space="preserve">Architecturally generative: The framework defines a compositional architecture, rights floor, tail-risk constraint, containment, welfare optimization, and structural safeguards, such that diverse domain-specific instantiations can be generated by declared inputs and then executed through the same cascade.</w:t>
      </w:r>
    </w:p>
    <w:p>
      <w:pPr>
        <w:pStyle w:val="BodyText"/>
        <w:widowControl/>
      </w:pPr>
      <w:r>
        <w:t xml:space="preserve">Normatively explicit: RippleLogic does not claim to derive this axiom from mathematics alone or from descriptive facts alone.</w:t>
      </w:r>
    </w:p>
    <w:bookmarkEnd w:id="58"/>
    <w:bookmarkStart w:id="59" w:name="Xbd8e973a3f23e8a750cbd3b87b105cbcb78a0c9"/>
    <w:p>
      <w:pPr>
        <w:pStyle w:val="Heading2"/>
        <w:keepNext/>
        <w:keepLines/>
        <w:pageBreakBefore w:val="0"/>
        <w:widowControl/>
      </w:pPr>
      <w:r>
        <w:rPr>
          <w:rFonts w:ascii="Arial" w:hAnsi="Arial" w:eastAsia="Arial"/>
          <w:b/>
          <w:color w:val="1F4E78"/>
        </w:rPr>
        <w:t xml:space="preserve">3.1A Core Definitions for the Normative Layer (Normative)</w:t>
      </w:r>
    </w:p>
    <w:p>
      <w:pPr>
        <w:pStyle w:val="FirstParagraph"/>
        <w:widowControl/>
      </w:pPr>
      <w:r>
        <w:t xml:space="preserve">Interpretation rule: RippleLogic protects welfare-bearing subjects directly and protects enabling conditions structurally where their degradation predictably undermines welfare, rights protection, non-domination, or long-run system viability.</w:t>
      </w:r>
    </w:p>
    <w:bookmarkEnd w:id="59"/>
    <w:bookmarkStart w:id="60" w:name="X56f51db7d7d143078f7a7d60c4761469a2c4388"/>
    <w:p>
      <w:pPr>
        <w:pStyle w:val="Heading2"/>
        <w:keepNext/>
        <w:keepLines/>
        <w:pageBreakBefore w:val="0"/>
        <w:widowControl/>
      </w:pPr>
      <w:r>
        <w:rPr>
          <w:rFonts w:ascii="Arial" w:hAnsi="Arial" w:eastAsia="Arial"/>
          <w:b/>
          <w:color w:val="1F4E78"/>
        </w:rPr>
        <w:t xml:space="preserve">3.1B Bridge Premises (Normative support; non-deductive)</w:t>
      </w:r>
    </w:p>
    <w:p>
      <w:pPr>
        <w:pStyle w:val="FirstParagraph"/>
        <w:widowControl/>
      </w:pPr>
      <w:r>
        <w:t xml:space="preserve">The MNA is accompanied by two bridge premises that reduce arbitrariness while preserving honesty about the entry of normativity.</w:t>
      </w:r>
    </w:p>
    <w:p>
      <w:pPr>
        <w:pStyle w:val="BodyText"/>
        <w:widowControl/>
      </w:pPr>
      <w:r>
        <w:t xml:space="preserve">Bridge Premise 1: Embedded Modelling. Any agent seeking reliable action in shared causal reality must model other stakeholders, including their interests, constraints, vulnerabilities, dependence relations, rights exposure, and, where behavior, harm, cooperation, or rights protection depend on them, welfare-relevant states and enabling conditions, to a non-trivial degree.</w:t>
      </w:r>
    </w:p>
    <w:p>
      <w:pPr>
        <w:pStyle w:val="BodyText"/>
        <w:widowControl/>
      </w:pPr>
      <w:r>
        <w:t xml:space="preserve">Bridge Premise 2: Prudential Stability. In plural, uncertain, co-embedded systems, architectures that systematically degrade stakeholders’ welfare conditions, rights floors, or shared enabling conditions increase instability, conflict, tail risk, and long-run governance failure.</w:t>
      </w:r>
    </w:p>
    <w:p>
      <w:pPr>
        <w:pStyle w:val="BodyText"/>
        <w:widowControl/>
      </w:pPr>
      <w:r>
        <w:t xml:space="preserve">These premises do not generate obligation by deduction. They explain why welfare-tracking, rights-tracking, and enabling-condition tracking are structurally relevant to intelligence acting in shared reality.</w:t>
      </w:r>
    </w:p>
    <w:bookmarkEnd w:id="60"/>
    <w:bookmarkStart w:id="61" w:name="X89bb52cba21a7470f9edb626a22e7303e5a98dd"/>
    <w:p>
      <w:pPr>
        <w:pStyle w:val="Heading2"/>
        <w:keepNext/>
        <w:keepLines/>
        <w:pageBreakBefore w:val="0"/>
        <w:widowControl/>
      </w:pPr>
      <w:r>
        <w:rPr>
          <w:rFonts w:ascii="Arial" w:hAnsi="Arial" w:eastAsia="Arial"/>
          <w:b/>
          <w:color w:val="1F4E78"/>
        </w:rPr>
        <w:t xml:space="preserve">3.1C Normative Commitment (Explicit final step)</w:t>
      </w:r>
    </w:p>
    <w:p>
      <w:pPr>
        <w:pStyle w:val="FirstParagraph"/>
        <w:widowControl/>
      </w:pPr>
      <w:r>
        <w:t xml:space="preserve">RippleLogic adopts the commitment that credibly evidenced welfare-relevant states, rights-relevant states, and the enabling conditions on which they depend constitute reasons for action, not merely inputs for prediction.</w:t>
      </w:r>
    </w:p>
    <w:p>
      <w:pPr>
        <w:pStyle w:val="BodyText"/>
        <w:widowControl/>
      </w:pPr>
      <w:r>
        <w:t xml:space="preserve">This final step, treating such states and conditions as reasons rather than mere data, remains a normative commitment, not a deductive conclusion. RippleLogic holds that this is among the narrowest defensible gaps between description and obligation currently achievable in a governance-grade framework without either claiming false deduction or retreating to brute preference, and treats closing it further as an active research question.</w:t>
      </w:r>
    </w:p>
    <w:bookmarkEnd w:id="61"/>
    <w:bookmarkStart w:id="62" w:name="X75c983472ff6f3afe7b03cf7a1f7718300fac37"/>
    <w:p>
      <w:pPr>
        <w:pStyle w:val="Heading2"/>
        <w:keepNext/>
        <w:keepLines/>
        <w:pageBreakBefore w:val="0"/>
        <w:widowControl/>
      </w:pPr>
      <w:r>
        <w:rPr>
          <w:rFonts w:ascii="Arial" w:hAnsi="Arial" w:eastAsia="Arial"/>
          <w:b/>
          <w:color w:val="1F4E78"/>
        </w:rPr>
        <w:t xml:space="preserve">3.1D Evidence Discipline for Normative Claims (Normative)</w:t>
      </w:r>
    </w:p>
    <w:p>
      <w:pPr>
        <w:pStyle w:val="FirstParagraph"/>
        <w:widowControl/>
      </w:pPr>
      <w:r>
        <w:t xml:space="preserve">Within RippleLogic, a putative welfare-relevant state, rights-relevant state, or enabling condition SHALL enter governance computation only through declared evidence, governed interpretation, or an explicit precautionary treatment under uncertainty appropriate to the implementation tier.</w:t>
      </w:r>
    </w:p>
    <w:p>
      <w:pPr>
        <w:pStyle w:val="BodyText"/>
        <w:widowControl/>
      </w:pPr>
      <w:r>
        <w:t xml:space="preserve">If such a state or condition materially affects admissibility, precautionary handling, selection, or tie-break outcome, it MUST be recorded in PCC.NormativeInputRegister with sufficient provenance for independent review.</w:t>
      </w:r>
    </w:p>
    <w:p>
      <w:pPr>
        <w:pStyle w:val="BodyText"/>
        <w:widowControl/>
      </w:pPr>
      <w:r>
        <w:t xml:space="preserve">Unsupported narrative assertion, rhetorical force, linguistic fluency, or undeclared evaluator intuition SHALL NOT by itself constitute a sufficient reason-for-action input within RippleLogic.</w:t>
      </w:r>
    </w:p>
    <w:bookmarkEnd w:id="62"/>
    <w:bookmarkStart w:id="63" w:name="X96ce2576f6777d8b17e9fdb5c7c1d5daa4b637e"/>
    <w:p>
      <w:pPr>
        <w:pStyle w:val="Heading2"/>
        <w:keepNext/>
        <w:keepLines/>
        <w:pageBreakBefore w:val="0"/>
        <w:widowControl/>
      </w:pPr>
      <w:r>
        <w:rPr>
          <w:rFonts w:ascii="Arial" w:hAnsi="Arial" w:eastAsia="Arial"/>
          <w:b/>
          <w:color w:val="1F4E78"/>
        </w:rPr>
        <w:t xml:space="preserve">3.2 Conditional Is-Ought Bridge</w:t>
      </w:r>
    </w:p>
    <w:p>
      <w:pPr>
        <w:pStyle w:val="FirstParagraph"/>
        <w:widowControl/>
      </w:pPr>
      <w:r>
        <w:t xml:space="preserve">RippleLogic avoids deriving values from facts by using a conditional bridge:</w:t>
      </w:r>
    </w:p>
    <w:p>
      <w:pPr>
        <w:pStyle w:val="BodyText"/>
        <w:widowControl/>
      </w:pPr>
      <w:r>
        <w:t xml:space="preserve">IF</w:t>
      </w:r>
    </w:p>
    <w:p>
      <w:pPr>
        <w:pStyle w:val="BodyText"/>
        <w:widowControl/>
      </w:pPr>
      <w:r>
        <w:t xml:space="preserve">(UBR) actions propagate through layered and intersecting analytical scopes,</w:t>
      </w:r>
    </w:p>
    <w:p>
      <w:pPr>
        <w:pStyle w:val="BodyText"/>
        <w:widowControl/>
      </w:pPr>
      <w:r>
        <w:t xml:space="preserve">AND</w:t>
      </w:r>
    </w:p>
    <w:p>
      <w:pPr>
        <w:pStyle w:val="BodyText"/>
        <w:widowControl/>
      </w:pPr>
      <w:r>
        <w:t xml:space="preserve">(MNA) sentient welfare and flourishing matter, unnecessary suffering and domination should be reduced, and the enabling conditions for viable, non-dominated, and continuing flourishing should be preserved,</w:t>
      </w:r>
    </w:p>
    <w:p>
      <w:pPr>
        <w:pStyle w:val="BodyText"/>
        <w:widowControl/>
      </w:pPr>
      <w:r>
        <w:t xml:space="preserve">AND</w:t>
      </w:r>
    </w:p>
    <w:p>
      <w:pPr>
        <w:pStyle w:val="BodyText"/>
        <w:widowControl/>
      </w:pPr>
      <w:r>
        <w:t xml:space="preserve">(BP1) agents operating in shared causal reality must model other stakeholders’ interests, constraints, vulnerabilities, dependence relations, rights exposure, and, where behavior, harm, cooperation, or rights protection depend on them, welfare-relevant states and enabling conditions to act reliably,</w:t>
      </w:r>
    </w:p>
    <w:p>
      <w:pPr>
        <w:pStyle w:val="BodyText"/>
        <w:widowControl/>
      </w:pPr>
      <w:r>
        <w:t xml:space="preserve">AND</w:t>
      </w:r>
    </w:p>
    <w:p>
      <w:pPr>
        <w:pStyle w:val="BodyText"/>
        <w:widowControl/>
      </w:pPr>
      <w:r>
        <w:t xml:space="preserve">(BP2) in plural, uncertain, co-embedded systems, systematic degradation of stakeholders’ welfare conditions, rights floors, or enabling conditions increases instability, conflict, tail risk, and long-run governance failure,</w:t>
      </w:r>
    </w:p>
    <w:p>
      <w:pPr>
        <w:pStyle w:val="BodyText"/>
        <w:widowControl/>
      </w:pPr>
      <w:r>
        <w:t xml:space="preserve">THEN</w:t>
      </w:r>
    </w:p>
    <w:p>
      <w:pPr>
        <w:pStyle w:val="BodyText"/>
        <w:widowControl/>
      </w:pPr>
      <w:r>
        <w:t xml:space="preserve">agents and institutions ought to evaluate choices by cross-union impacts and preservation of enabling conditions, using non-compensable rights floors, explicit tail-risk bounding, containment safeguards, and auditable welfare ranking within the feasible set.</w:t>
      </w:r>
    </w:p>
    <w:p>
      <w:pPr>
        <w:pStyle w:val="BodyText"/>
        <w:widowControl/>
      </w:pPr>
      <w:r>
        <w:t xml:space="preserve">Normativity enters explicitly through the MNA and the final normative commitment. UBR specifies where consequences flow. BP1 and BP2 explain why welfare-tracking, rights-tracking, and enabling-condition tracking are structurally relevant to intelligence acting in shared reality. RippleLogic does not claim that the final normative step is fully deduced from description alone.</w:t>
      </w:r>
    </w:p>
    <w:bookmarkEnd w:id="63"/>
    <w:bookmarkStart w:id="64" w:name="Xda4f5f49480abc124bb3ee73494bec665d55da2"/>
    <w:p>
      <w:pPr>
        <w:pStyle w:val="Heading2"/>
        <w:keepNext/>
        <w:keepLines/>
        <w:pageBreakBefore w:val="0"/>
        <w:widowControl/>
      </w:pPr>
      <w:r>
        <w:rPr>
          <w:rFonts w:ascii="Arial" w:hAnsi="Arial" w:eastAsia="Arial"/>
          <w:b/>
          <w:color w:val="1F4E78"/>
        </w:rPr>
        <w:t xml:space="preserve">3.2A Derived Governance Rule (Normative)</w:t>
      </w:r>
    </w:p>
    <w:p>
      <w:pPr>
        <w:pStyle w:val="FirstParagraph"/>
        <w:widowControl/>
      </w:pPr>
      <w:r>
        <w:t xml:space="preserve">In governance contexts, RippleLogic operationalizes the above commitment through the canonical lexicographic cascade:</w:t>
      </w:r>
    </w:p>
    <w:p>
      <w:pPr>
        <w:pStyle w:val="BodyText"/>
        <w:widowControl/>
      </w:pPr>
      <w:r>
        <w:t xml:space="preserve">Define the qualification predicates without collapsing claim authority into ethical rejection:</w:t>
      </w:r>
    </w:p>
    <w:p>
      <w:pPr>
        <w:pStyle w:val="BodyText"/>
        <w:widowControl/>
      </w:pPr>
      <w:r>
        <w:t xml:space="preserve">RG_qualified(a) := 1 iff RG_status(a) in {RG_SUPPORTED, RG_NARROWED}. RG_NARROWED means the option may be evaluated only inside the narrowed claim boundary. RG_REFUSED means the present claim is not supportable at the requested strength and downstream ordinary evaluation short-circuits; it is not a claim that the option is intrinsically unethical in every possible reformulation.</w:t>
      </w:r>
    </w:p>
    <w:p>
      <w:pPr>
        <w:pStyle w:val="BodyText"/>
        <w:widowControl/>
      </w:pPr>
      <w:r>
        <w:t xml:space="preserve">TRC_qualified(a) := 1 iff TRC_status(a) in {TRC_PASS, TRC_NOT_TRIGGERED}. TRC_NOT_TRIGGERED is available only after a recorded catastrophe-relevance assessment finds no trigger under Section 8.1.1. It is not a silent skip, does not mean CVaR was computed, and must reopen if new catastrophe relevance appears.</w:t>
      </w:r>
    </w:p>
    <w:p>
      <w:pPr>
        <w:pStyle w:val="BodyText"/>
        <w:widowControl/>
      </w:pPr>
      <w:r>
        <w:t xml:space="preserve">A_sel := {a in O : RG_qualified(a) AND NCRC(a) AND TRC_qualified(a) AND CSV_status(a) in {CSV_PASS, CSV_PASS_WITH_CONTROLS, CSV_NOT_MATERIAL}}. This is the Phase 1 qualification set. If A_sel is empty, escalate, redesign, or invoke governed fallback per the canon. Otherwise Phase 2 ranks over A_sel using RLS and the declared tie-break chain.</w:t>
      </w:r>
    </w:p>
    <w:p>
      <w:pPr>
        <w:pStyle w:val="BodyText"/>
        <w:widowControl/>
      </w:pPr>
      <w:r>
        <w:t xml:space="preserve">1. Protect rights floors first through NCRC.</w:t>
      </w:r>
    </w:p>
    <w:p>
      <w:pPr>
        <w:pStyle w:val="BodyText"/>
        <w:widowControl/>
      </w:pPr>
      <w:r>
        <w:t xml:space="preserve">2. Bound catastrophic downside second through TRC.</w:t>
      </w:r>
    </w:p>
    <w:p>
      <w:pPr>
        <w:pStyle w:val="BodyText"/>
        <w:widowControl/>
      </w:pPr>
      <w:r>
        <w:t xml:space="preserve">3. Block pathological containing-scope degradation through CSV as the third option-filtering gate after the RG claim-authority precondition.</w:t>
      </w:r>
    </w:p>
    <w:p>
      <w:pPr>
        <w:pStyle w:val="BodyText"/>
        <w:widowControl/>
      </w:pPr>
      <w:r>
        <w:t xml:space="preserve">4. Rank remaining feasible options fourth through welfare scoring under declared weights, uncertainty rules, and auditability requirements.</w:t>
      </w:r>
    </w:p>
    <w:p>
      <w:pPr>
        <w:pStyle w:val="BodyText"/>
        <w:widowControl/>
      </w:pPr>
      <w:r>
        <w:t xml:space="preserve">5. Resolve non-decisive cases structurally through UCI/HOI tie-breaks and escalation rules.</w:t>
      </w:r>
    </w:p>
    <w:p>
      <w:pPr>
        <w:pStyle w:val="BodyText"/>
        <w:widowControl/>
      </w:pPr>
      <w:r>
        <w:t xml:space="preserve">Interpretation rule: RippleLogic does not define “ought” as unconstrained welfare maximization. It defines “ought,” in governance-grade decision settings, as selection from a rights-safe, tail-bounded, containment-safe feasible set under auditable evidence and uncertainty discipline.</w:t>
      </w:r>
    </w:p>
    <w:bookmarkEnd w:id="64"/>
    <w:bookmarkStart w:id="65" w:name="X9015b63b91104a547b71e8076292c58f6ee169c"/>
    <w:p>
      <w:pPr>
        <w:pStyle w:val="Heading2"/>
        <w:keepNext/>
        <w:keepLines/>
        <w:pageBreakBefore w:val="0"/>
        <w:widowControl/>
      </w:pPr>
      <w:r>
        <w:rPr>
          <w:rFonts w:ascii="Arial" w:hAnsi="Arial" w:eastAsia="Arial"/>
          <w:b/>
          <w:color w:val="1F4E78"/>
        </w:rPr>
        <w:t xml:space="preserve">3.2B Open Research Frontier (Informative)</w:t>
      </w:r>
    </w:p>
    <w:p>
      <w:pPr>
        <w:pStyle w:val="FirstParagraph"/>
        <w:widowControl/>
      </w:pPr>
      <w:r>
        <w:t xml:space="preserve">An active research question remains whether sufficiently accurate multi-agent world-modelling creates deeper constitutive pressure toward non-domination and welfare protection beyond prudential stability alone. RippleLogic does not assume this as a proven result. It treats it as a frontier question concerning whether accurate modelling of shared reality may eventually narrow the remaining descriptive-to-normative gap further. Specifically, this question is tractable through empirical study of whether systems that model co-embedded agents more accurately also exhibit more stable cooperative and non-destructive behaviour, and whether omission of welfare-relevant, rights-relevant, or enabling-condition variables from world models degrades predictive performance in domains where cooperation, conflict, or harm depend on them.</w:t>
      </w:r>
    </w:p>
    <w:bookmarkEnd w:id="65"/>
    <w:bookmarkStart w:id="66" w:name="Xd5f8b60c431ad0f82a09b444119b0cd5c63a3f6"/>
    <w:p>
      <w:pPr>
        <w:pStyle w:val="Heading2"/>
        <w:keepNext/>
        <w:keepLines/>
        <w:pageBreakBefore w:val="0"/>
        <w:widowControl/>
      </w:pPr>
      <w:r>
        <w:rPr>
          <w:rFonts w:ascii="Arial" w:hAnsi="Arial" w:eastAsia="Arial"/>
          <w:b/>
          <w:color w:val="1F4E78"/>
        </w:rPr>
        <w:t xml:space="preserve">3.3 Seven Welfare Dimensions (Canonical)</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Dimension</w:t>
            </w:r>
          </w:p>
        </w:tc>
        <w:tc>
          <w:tcPr>
            <w:shd w:fill="1F4E78" w:val="clear"/>
            <w:tcMar>
              <w:top w:w="80" w:type="dxa"/>
              <w:start w:w="90" w:type="dxa"/>
              <w:bottom w:w="80" w:type="dxa"/>
              <w:end w:w="90" w:type="dxa"/>
            </w:tcMar>
          </w:tcPr>
          <w:p>
            <w:pPr>
              <w:pStyle w:val="Compact"/>
              <w:jc w:val="left"/>
            </w:pPr>
            <w:r>
              <w:rPr>
                <w:b/>
                <w:bCs/>
                <w:color w:val="FFFFFF"/>
              </w:rPr>
              <w:t xml:space="preserve">Name</w:t>
            </w:r>
          </w:p>
        </w:tc>
        <w:tc>
          <w:tcPr>
            <w:shd w:fill="1F4E78" w:val="clear"/>
            <w:tcMar>
              <w:top w:w="80" w:type="dxa"/>
              <w:start w:w="90" w:type="dxa"/>
              <w:bottom w:w="80" w:type="dxa"/>
              <w:end w:w="90" w:type="dxa"/>
            </w:tcMar>
          </w:tcPr>
          <w:p>
            <w:pPr>
              <w:pStyle w:val="Compact"/>
              <w:jc w:val="left"/>
            </w:pPr>
            <w:r>
              <w:rPr>
                <w:b/>
                <w:bCs/>
                <w:color w:val="FFFFFF"/>
              </w:rPr>
              <w:t xml:space="preserve">Description</w:t>
            </w:r>
          </w:p>
        </w:tc>
      </w:tr>
      <w:tr>
        <w:trPr/>
        <w:tc>
          <w:tcPr>
            <w:tcMar>
              <w:top w:w="80" w:type="dxa"/>
              <w:start w:w="90" w:type="dxa"/>
              <w:bottom w:w="80" w:type="dxa"/>
              <w:end w:w="90" w:type="dxa"/>
            </w:tcMar>
            <w:shd w:fill="F7FBFF" w:val="clear"/>
          </w:tcPr>
          <w:p>
            <w:pPr>
              <w:pStyle w:val="Compact"/>
              <w:jc w:val="left"/>
            </w:pPr>
            <w:r>
              <w:t xml:space="preserve">D₁</w:t>
            </w:r>
          </w:p>
        </w:tc>
        <w:tc>
          <w:tcPr>
            <w:tcMar>
              <w:top w:w="80" w:type="dxa"/>
              <w:start w:w="90" w:type="dxa"/>
              <w:bottom w:w="80" w:type="dxa"/>
              <w:end w:w="90" w:type="dxa"/>
            </w:tcMar>
            <w:shd w:fill="F7FBFF" w:val="clear"/>
          </w:tcPr>
          <w:p>
            <w:pPr>
              <w:pStyle w:val="Compact"/>
              <w:jc w:val="left"/>
            </w:pPr>
            <w:r>
              <w:t xml:space="preserve">Material</w:t>
            </w:r>
          </w:p>
        </w:tc>
        <w:tc>
          <w:tcPr>
            <w:tcMar>
              <w:top w:w="80" w:type="dxa"/>
              <w:start w:w="90" w:type="dxa"/>
              <w:bottom w:w="80" w:type="dxa"/>
              <w:end w:w="90" w:type="dxa"/>
            </w:tcMar>
            <w:shd w:fill="F7FBFF" w:val="clear"/>
          </w:tcPr>
          <w:p>
            <w:pPr>
              <w:pStyle w:val="Compact"/>
              <w:jc w:val="left"/>
            </w:pPr>
            <w:r>
              <w:t xml:space="preserve">Resources and infrastructure for survival and functioning</w:t>
            </w:r>
          </w:p>
        </w:tc>
      </w:tr>
      <w:tr>
        <w:trPr/>
        <w:tc>
          <w:tcPr>
            <w:tcMar>
              <w:top w:w="80" w:type="dxa"/>
              <w:start w:w="90" w:type="dxa"/>
              <w:bottom w:w="80" w:type="dxa"/>
              <w:end w:w="90" w:type="dxa"/>
            </w:tcMar>
            <w:shd w:fill="D9EAF7" w:val="clear"/>
          </w:tcPr>
          <w:p>
            <w:pPr>
              <w:pStyle w:val="Compact"/>
              <w:jc w:val="left"/>
            </w:pPr>
            <w:r>
              <w:t xml:space="preserve">D₂</w:t>
            </w:r>
          </w:p>
        </w:tc>
        <w:tc>
          <w:tcPr>
            <w:tcMar>
              <w:top w:w="80" w:type="dxa"/>
              <w:start w:w="90" w:type="dxa"/>
              <w:bottom w:w="80" w:type="dxa"/>
              <w:end w:w="90" w:type="dxa"/>
            </w:tcMar>
            <w:shd w:fill="D9EAF7" w:val="clear"/>
          </w:tcPr>
          <w:p>
            <w:pPr>
              <w:pStyle w:val="Compact"/>
              <w:jc w:val="left"/>
            </w:pPr>
            <w:r>
              <w:t xml:space="preserve">Health</w:t>
            </w:r>
          </w:p>
        </w:tc>
        <w:tc>
          <w:tcPr>
            <w:tcMar>
              <w:top w:w="80" w:type="dxa"/>
              <w:start w:w="90" w:type="dxa"/>
              <w:bottom w:w="80" w:type="dxa"/>
              <w:end w:w="90" w:type="dxa"/>
            </w:tcMar>
            <w:shd w:fill="D9EAF7" w:val="clear"/>
          </w:tcPr>
          <w:p>
            <w:pPr>
              <w:pStyle w:val="Compact"/>
              <w:jc w:val="left"/>
            </w:pPr>
            <w:r>
              <w:t xml:space="preserve">Physical and mental functioning; morbidity and mortality risk</w:t>
            </w:r>
          </w:p>
        </w:tc>
      </w:tr>
      <w:tr>
        <w:trPr/>
        <w:tc>
          <w:tcPr>
            <w:tcMar>
              <w:top w:w="80" w:type="dxa"/>
              <w:start w:w="90" w:type="dxa"/>
              <w:bottom w:w="80" w:type="dxa"/>
              <w:end w:w="90" w:type="dxa"/>
            </w:tcMar>
            <w:shd w:fill="F7FBFF" w:val="clear"/>
          </w:tcPr>
          <w:p>
            <w:pPr>
              <w:pStyle w:val="Compact"/>
              <w:jc w:val="left"/>
            </w:pPr>
            <w:r>
              <w:t xml:space="preserve">D₃</w:t>
            </w:r>
          </w:p>
        </w:tc>
        <w:tc>
          <w:tcPr>
            <w:tcMar>
              <w:top w:w="80" w:type="dxa"/>
              <w:start w:w="90" w:type="dxa"/>
              <w:bottom w:w="80" w:type="dxa"/>
              <w:end w:w="90" w:type="dxa"/>
            </w:tcMar>
            <w:shd w:fill="F7FBFF" w:val="clear"/>
          </w:tcPr>
          <w:p>
            <w:pPr>
              <w:pStyle w:val="Compact"/>
              <w:jc w:val="left"/>
            </w:pPr>
            <w:r>
              <w:t xml:space="preserve">Social</w:t>
            </w:r>
          </w:p>
        </w:tc>
        <w:tc>
          <w:tcPr>
            <w:tcMar>
              <w:top w:w="80" w:type="dxa"/>
              <w:start w:w="90" w:type="dxa"/>
              <w:bottom w:w="80" w:type="dxa"/>
              <w:end w:w="90" w:type="dxa"/>
            </w:tcMar>
            <w:shd w:fill="F7FBFF" w:val="clear"/>
          </w:tcPr>
          <w:p>
            <w:pPr>
              <w:pStyle w:val="Compact"/>
              <w:jc w:val="left"/>
            </w:pPr>
            <w:r>
              <w:t xml:space="preserve">Belonging, trust, relational integrity, cooperation</w:t>
            </w:r>
          </w:p>
        </w:tc>
      </w:tr>
      <w:tr>
        <w:trPr/>
        <w:tc>
          <w:tcPr>
            <w:tcMar>
              <w:top w:w="80" w:type="dxa"/>
              <w:start w:w="90" w:type="dxa"/>
              <w:bottom w:w="80" w:type="dxa"/>
              <w:end w:w="90" w:type="dxa"/>
            </w:tcMar>
            <w:shd w:fill="D9EAF7" w:val="clear"/>
          </w:tcPr>
          <w:p>
            <w:pPr>
              <w:pStyle w:val="Compact"/>
              <w:jc w:val="left"/>
            </w:pPr>
            <w:r>
              <w:t xml:space="preserve">D₄</w:t>
            </w:r>
          </w:p>
        </w:tc>
        <w:tc>
          <w:tcPr>
            <w:tcMar>
              <w:top w:w="80" w:type="dxa"/>
              <w:start w:w="90" w:type="dxa"/>
              <w:bottom w:w="80" w:type="dxa"/>
              <w:end w:w="90" w:type="dxa"/>
            </w:tcMar>
            <w:shd w:fill="D9EAF7" w:val="clear"/>
          </w:tcPr>
          <w:p>
            <w:pPr>
              <w:pStyle w:val="Compact"/>
              <w:jc w:val="left"/>
            </w:pPr>
            <w:r>
              <w:t xml:space="preserve">Knowledge</w:t>
            </w:r>
          </w:p>
        </w:tc>
        <w:tc>
          <w:tcPr>
            <w:tcMar>
              <w:top w:w="80" w:type="dxa"/>
              <w:start w:w="90" w:type="dxa"/>
              <w:bottom w:w="80" w:type="dxa"/>
              <w:end w:w="90" w:type="dxa"/>
            </w:tcMar>
            <w:shd w:fill="D9EAF7" w:val="clear"/>
          </w:tcPr>
          <w:p>
            <w:pPr>
              <w:pStyle w:val="Compact"/>
              <w:jc w:val="left"/>
            </w:pPr>
            <w:r>
              <w:t xml:space="preserve">Epistemic access and learning conditions</w:t>
            </w:r>
          </w:p>
        </w:tc>
      </w:tr>
      <w:tr>
        <w:trPr/>
        <w:tc>
          <w:tcPr>
            <w:tcMar>
              <w:top w:w="80" w:type="dxa"/>
              <w:start w:w="90" w:type="dxa"/>
              <w:bottom w:w="80" w:type="dxa"/>
              <w:end w:w="90" w:type="dxa"/>
            </w:tcMar>
            <w:shd w:fill="F7FBFF" w:val="clear"/>
          </w:tcPr>
          <w:p>
            <w:pPr>
              <w:pStyle w:val="Compact"/>
              <w:jc w:val="left"/>
            </w:pPr>
            <w:r>
              <w:t xml:space="preserve">D₅</w:t>
            </w:r>
          </w:p>
        </w:tc>
        <w:tc>
          <w:tcPr>
            <w:tcMar>
              <w:top w:w="80" w:type="dxa"/>
              <w:start w:w="90" w:type="dxa"/>
              <w:bottom w:w="80" w:type="dxa"/>
              <w:end w:w="90" w:type="dxa"/>
            </w:tcMar>
            <w:shd w:fill="F7FBFF" w:val="clear"/>
          </w:tcPr>
          <w:p>
            <w:pPr>
              <w:pStyle w:val="Compact"/>
              <w:jc w:val="left"/>
            </w:pPr>
            <w:r>
              <w:t xml:space="preserve">Agency</w:t>
            </w:r>
          </w:p>
        </w:tc>
        <w:tc>
          <w:tcPr>
            <w:tcMar>
              <w:top w:w="80" w:type="dxa"/>
              <w:start w:w="90" w:type="dxa"/>
              <w:bottom w:w="80" w:type="dxa"/>
              <w:end w:w="90" w:type="dxa"/>
            </w:tcMar>
            <w:shd w:fill="F7FBFF" w:val="clear"/>
          </w:tcPr>
          <w:p>
            <w:pPr>
              <w:pStyle w:val="Compact"/>
              <w:jc w:val="left"/>
            </w:pPr>
            <w:r>
              <w:t xml:space="preserve">Autonomy and effective choice; freedom from coercion</w:t>
            </w:r>
          </w:p>
        </w:tc>
      </w:tr>
      <w:tr>
        <w:trPr/>
        <w:tc>
          <w:tcPr>
            <w:tcMar>
              <w:top w:w="80" w:type="dxa"/>
              <w:start w:w="90" w:type="dxa"/>
              <w:bottom w:w="80" w:type="dxa"/>
              <w:end w:w="90" w:type="dxa"/>
            </w:tcMar>
            <w:shd w:fill="D9EAF7" w:val="clear"/>
          </w:tcPr>
          <w:p>
            <w:pPr>
              <w:pStyle w:val="Compact"/>
              <w:jc w:val="left"/>
            </w:pPr>
            <w:r>
              <w:t xml:space="preserve">D₆</w:t>
            </w:r>
          </w:p>
        </w:tc>
        <w:tc>
          <w:tcPr>
            <w:tcMar>
              <w:top w:w="80" w:type="dxa"/>
              <w:start w:w="90" w:type="dxa"/>
              <w:bottom w:w="80" w:type="dxa"/>
              <w:end w:w="90" w:type="dxa"/>
            </w:tcMar>
            <w:shd w:fill="D9EAF7" w:val="clear"/>
          </w:tcPr>
          <w:p>
            <w:pPr>
              <w:pStyle w:val="Compact"/>
              <w:jc w:val="left"/>
            </w:pPr>
            <w:r>
              <w:t xml:space="preserve">Meaning</w:t>
            </w:r>
          </w:p>
        </w:tc>
        <w:tc>
          <w:tcPr>
            <w:tcMar>
              <w:top w:w="80" w:type="dxa"/>
              <w:start w:w="90" w:type="dxa"/>
              <w:bottom w:w="80" w:type="dxa"/>
              <w:end w:w="90" w:type="dxa"/>
            </w:tcMar>
            <w:shd w:fill="D9EAF7" w:val="clear"/>
          </w:tcPr>
          <w:p>
            <w:pPr>
              <w:pStyle w:val="Compact"/>
              <w:jc w:val="left"/>
            </w:pPr>
            <w:r>
              <w:t xml:space="preserve">Coherence, purpose, valued life projects (measured cautiously)</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D₇</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Environment</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Ecological and built context integrity sustaining life</w:t>
            </w:r>
          </w:p>
        </w:tc>
      </w:tr>
    </w:tbl>
    <w:p>
      <w:pPr>
        <w:pStyle w:val="BodyText"/>
        <w:widowControl/>
      </w:pPr>
      <w:r>
        <w:t xml:space="preserve">This seven-dimensional choice is a convergence architecture rather than a claim of metaphysical completeness. It aligns with the capability approach (Sen, 1999; Nussbaum, 2011), self-determination theory (Ryan &amp; Deci, 2000), and fundamental human needs theory (Max-Neef, 1991), while also capturing ecological integrity as a life-support substrate consistent with Earth-system boundary research (Rockström et al., 2009, 2023).</w:t>
      </w:r>
    </w:p>
    <w:p>
      <w:pPr>
        <w:pStyle w:val="BodyText"/>
        <w:widowControl/>
      </w:pPr>
      <w:r>
        <w:rPr>
          <w:b/>
          <w:bCs/>
        </w:rPr>
        <w:t xml:space="preserve">7×7 field interpretation rule (Normative for claim language).</w:t>
      </w:r>
      <w:r>
        <w:t xml:space="preserve"> </w:t>
      </w:r>
      <w:r>
        <w:t xml:space="preserve">The canonical 7 Union Scopes × 7 Welfare Dimensions matrix is a multidimensional accountability-and-flourishing field. Depending on the bearer and cell, a recorded condition may represent direct welfare, collective functioning, an enabling condition, structural integrity, ecological condition, epistemic observation or correction capacity, or a symbolic/meaning condition. The stable interface name</w:t>
      </w:r>
      <w:r>
        <w:t xml:space="preserve"> </w:t>
      </w:r>
      <w:r>
        <w:rPr>
          <w:rStyle w:val="VerbatimChar"/>
        </w:rPr>
        <w:t xml:space="preserve">Welfare Dimension</w:t>
      </w:r>
      <w:r>
        <w:t xml:space="preserve"> </w:t>
      </w:r>
      <w:r>
        <w:t xml:space="preserve">is retained for compatibility, but a cell MUST NOT be described as phenomenally experienced welfare of a non-sentient system unless admissible evidence supports that claim. WDBIP records the applicable effect-token and cell-type interpretation and prevents determinants, observation capacities, or system conditions from being mislabeled as directly experienced welfare.</w:t>
      </w:r>
    </w:p>
    <w:bookmarkEnd w:id="66"/>
    <w:bookmarkStart w:id="67" w:name="X96c335cd62872d9a7e152c1bcafdeffd99a3564"/>
    <w:p>
      <w:pPr>
        <w:pStyle w:val="Heading2"/>
        <w:keepNext/>
        <w:keepLines/>
        <w:pageBreakBefore w:val="0"/>
        <w:widowControl/>
      </w:pPr>
      <w:r>
        <w:rPr>
          <w:rFonts w:ascii="Arial" w:hAnsi="Arial" w:eastAsia="Arial"/>
          <w:b/>
          <w:color w:val="1F4E78"/>
        </w:rPr>
        <w:t xml:space="preserve">3.4 Non-Fungibility at Rights Level</w:t>
      </w:r>
    </w:p>
    <w:p>
      <w:pPr>
        <w:pStyle w:val="FirstParagraph"/>
        <w:widowControl/>
      </w:pPr>
      <w:r>
        <w:t xml:space="preserve">Dimensions are treated as non-fungible at the rights layer: gains in one dimension MUST NOT compensate rights-floor violations in another. This is enforced structurally by NCRC (Section 7), not by weight tuning.</w:t>
      </w:r>
    </w:p>
    <w:bookmarkEnd w:id="67"/>
    <w:bookmarkStart w:id="68" w:name="Xd9df6d5c088ae7b96c0b46595e0d1bfc399284e"/>
    <w:p>
      <w:pPr>
        <w:pStyle w:val="Heading2"/>
        <w:keepNext/>
        <w:keepLines/>
        <w:pageBreakBefore w:val="0"/>
        <w:widowControl/>
      </w:pPr>
      <w:r>
        <w:rPr>
          <w:rFonts w:ascii="Arial" w:hAnsi="Arial" w:eastAsia="Arial"/>
          <w:b/>
          <w:color w:val="1F4E78"/>
        </w:rPr>
        <w:t xml:space="preserve">3.5 Unioning (Enacted Practice)</w:t>
      </w:r>
    </w:p>
    <w:p>
      <w:pPr>
        <w:pStyle w:val="FirstParagraph"/>
        <w:widowControl/>
      </w:pPr>
      <w:r>
        <w:t xml:space="preserve">Unioning = redesigning decisions until they are rights-safe (NCRC), tail-safe (TRC), containment-safe, and net-positive across unions under declared uncertainty policy, treating apparent “tradeoffs” as design failures before acceptance.</w:t>
      </w:r>
    </w:p>
    <w:p>
      <w:pPr>
        <w:pStyle w:val="BodyText"/>
        <w:widowControl/>
      </w:pPr>
      <w:r>
        <w:t xml:space="preserve">Unioning worked example (Non-Normative)</w:t>
      </w:r>
    </w:p>
    <w:p>
      <w:pPr>
        <w:pStyle w:val="BodyText"/>
        <w:widowControl/>
      </w:pPr>
      <w:r>
        <w:t xml:space="preserve">Scenario. An organization considers cutting safety training to reduce costs. Initial estimate shows a small material benefit in U4 Organization D1, but a credible safety degradation in U4 D2 and a dignity/procedure risk in U4 D6/D5. Under NCRC, any rights-covered violation depth v_r(a)&gt;0 fails admissibility regardless of aggregate gains.</w:t>
      </w:r>
    </w:p>
    <w:p>
      <w:pPr>
        <w:pStyle w:val="BodyText"/>
        <w:widowControl/>
      </w:pPr>
      <w:r>
        <w:t xml:space="preserve">Step 1, fail. Option A fails NCRC due to increased probability of serious injury and due-process erosion. It is rejected even if it would raise RLS.</w:t>
      </w:r>
    </w:p>
    <w:p>
      <w:pPr>
        <w:pStyle w:val="BodyText"/>
        <w:widowControl/>
      </w:pPr>
      <w:r>
        <w:t xml:space="preserve">Step 2, redesign. The team introduces Option B, maintain safety training, add targeted efficiency changes elsewhere, and add a transparent incident-reporting and remediation pathway. This shifts the harmful impacts above the rights floor while preserving most of the intended cost reduction through non-harmful channels.</w:t>
      </w:r>
    </w:p>
    <w:p>
      <w:pPr>
        <w:pStyle w:val="BodyText"/>
        <w:widowControl/>
      </w:pPr>
      <w:r>
        <w:t xml:space="preserve">Step 3, pass and select. Option B passes NCRC, passes TRC and CSV, then competes on RLS among admissible options. The PCC records the redesign rationale and the rights-floor reasoning, so the improvement is legible and replayable.</w:t>
      </w:r>
    </w:p>
    <w:bookmarkEnd w:id="68"/>
    <w:bookmarkStart w:id="69" w:name="Xa06069e8e97e8fefbc64f508aa7ce6f433bcb4e"/>
    <w:p>
      <w:pPr>
        <w:pStyle w:val="Heading2"/>
        <w:keepNext/>
        <w:keepLines/>
        <w:pageBreakBefore w:val="0"/>
        <w:widowControl/>
      </w:pPr>
      <w:r>
        <w:rPr>
          <w:rFonts w:ascii="Arial" w:hAnsi="Arial" w:eastAsia="Arial"/>
          <w:b/>
          <w:color w:val="1F4E78"/>
        </w:rPr>
        <w:t xml:space="preserve">3.6 NCAR Learning Loop (Corrigibility Requirement)</w:t>
      </w:r>
    </w:p>
    <w:p>
      <w:pPr>
        <w:pStyle w:val="FirstParagraph"/>
        <w:widowControl/>
      </w:pPr>
      <w:r>
        <w:t xml:space="preserve">RippleLogic is embedded in Notice, Choose, Act, Reflect. The system is corrigible: it records assumptions and outcomes, updates kernels and parameters via governed procedures, and preserves accountability through versioned PCCs.</w:t>
      </w:r>
    </w:p>
    <w:bookmarkEnd w:id="69"/>
    <w:bookmarkEnd w:id="70"/>
    <w:bookmarkStart w:id="88" w:name="Xa0639dfba04952623bf5ffd0c96f65572183032"/>
    <w:p>
      <w:pPr>
        <w:pStyle w:val="Heading1"/>
        <w:keepNext/>
        <w:keepLines/>
        <w:pageBreakBefore w:val="0"/>
        <w:widowControl/>
      </w:pPr>
      <w:r>
        <w:rPr>
          <w:rFonts w:ascii="Arial" w:hAnsi="Arial" w:eastAsia="Arial"/>
          <w:b/>
          <w:color w:val="1F4E78"/>
        </w:rPr>
        <w:t xml:space="preserve">SECTION 4: SYSTEM OVERVIEW: THE RIPPLELOGIC ARCHITECTURE</w:t>
      </w:r>
    </w:p>
    <w:p>
      <w:pPr>
        <w:pStyle w:val="FirstParagraph"/>
        <w:widowControl/>
      </w:pPr>
      <w:r>
        <w:t xml:space="preserve">Public method. RippleLogic SHOULD be taught and implemented at the public level as:</w:t>
      </w:r>
    </w:p>
    <w:p>
      <w:pPr>
        <w:pStyle w:val="BodyText"/>
        <w:widowControl/>
      </w:pPr>
      <w:r>
        <w:t xml:space="preserve">Reality Grounding -&gt; Rights Floor -&gt; TRC -&gt; CSV -&gt; RLS</w:t>
      </w:r>
    </w:p>
    <w:p>
      <w:pPr>
        <w:pStyle w:val="BodyText"/>
        <w:widowControl/>
      </w:pPr>
      <w:r>
        <w:t xml:space="preserve">Human mnemonic:</w:t>
      </w:r>
    </w:p>
    <w:p>
      <w:pPr>
        <w:pStyle w:val="BodyText"/>
        <w:widowControl/>
      </w:pPr>
      <w:r>
        <w:t xml:space="preserve">Ground -&gt; Protect -&gt; Bound -&gt; Contain/Verify -&gt; Score</w:t>
      </w:r>
    </w:p>
    <w:p>
      <w:pPr>
        <w:pStyle w:val="BodyText"/>
        <w:widowControl/>
      </w:pPr>
      <w:r>
        <w:t xml:space="preserve">Formal method. In formal notation and audit surfaces, this corresponds to: RG/RSG -&gt; RF/NCRC -&gt; TRC -&gt; CSV -&gt; RLS, where RG is Reality Grounding and RSG is the reality-surface grounding implementation record.</w:t>
      </w:r>
    </w:p>
    <w:p>
      <w:pPr>
        <w:pStyle w:val="BodyText"/>
        <w:widowControl/>
      </w:pPr>
      <w:r>
        <w:t xml:space="preserve">Clarification. Reality Grounding is a claim-authority precondition, not an option-rejecting gate. RF/NCRC, TRC, and CSV gate admissibility and selectability. RLS ranks the selectable set. The five-level method therefore consists of one claim-authority precondition (RG), three hard feasibility/selectability gates (RF/NCRC, TRC, CSV), and one residual ranking layer (RLS).</w:t>
      </w:r>
    </w:p>
    <w:p>
      <w:pPr>
        <w:pStyle w:val="BodyText"/>
        <w:widowControl/>
      </w:pPr>
      <w:r>
        <w:t xml:space="preserve">Two-phase decision model. The five-level method may be taught and implemented as two phases without changing the cascade.</w:t>
      </w:r>
      <w:r>
        <w:t xml:space="preserve"> </w:t>
      </w:r>
      <w:r>
        <w:rPr>
          <w:b/>
          <w:bCs/>
        </w:rPr>
        <w:t xml:space="preserve">Phase 1 qualifies options:</w:t>
      </w:r>
      <w:r>
        <w:t xml:space="preserve"> </w:t>
      </w:r>
      <w:r>
        <w:t xml:space="preserve">RG establishes claim authority; RF/NCRC protects rights; TRC bounds ruin; CSV verifies containment and structural viability.</w:t>
      </w:r>
      <w:r>
        <w:t xml:space="preserve"> </w:t>
      </w:r>
      <w:r>
        <w:rPr>
          <w:b/>
          <w:bCs/>
        </w:rPr>
        <w:t xml:space="preserve">Phase 2 ranks survivors:</w:t>
      </w:r>
      <w:r>
        <w:t xml:space="preserve"> </w:t>
      </w:r>
      <w:r>
        <w:t xml:space="preserve">RLS orders only the options that remain selectable after Phase 1.</w:t>
      </w:r>
    </w:p>
    <w:p>
      <w:pPr>
        <w:pStyle w:val="BodyText"/>
        <w:widowControl/>
      </w:pPr>
      <w:r>
        <w:t xml:space="preserve">Qualification-before-ranking rule. Do not score fantasy, rights violations, ruin paths, or structurally non-viable options as ordinary alternatives. RLS is applied only to the selectable set produced by RG/RSG, RF/NCRC, TRC, and CSV.</w:t>
      </w:r>
    </w:p>
    <w:p>
      <w:pPr>
        <w:pStyle w:val="BodyText"/>
        <w:widowControl/>
      </w:pPr>
      <w:r>
        <w:t xml:space="preserve">TRC/CSV non-collapse rule. TRC is the ruin veto: it asks whether catastrophic, irreversible, lock-in, systemic, or ruin-path downside is acceptably bounded. CSV is the viability and control test: it asks whether an option can structurally stand, execute, remain contained, preserve dependencies, maintain monitoring, and remain governable under real constraints. CSV may discover a TRC-relevant scenario, but it does not absorb TRC. If CSV identifies a new ruin path, TRC MUST be reopened before RLS.</w:t>
      </w:r>
    </w:p>
    <w:p>
      <w:pPr>
        <w:pStyle w:val="BodyText"/>
        <w:widowControl/>
      </w:pPr>
      <w:r>
        <w:t xml:space="preserve">Level 1, Reality Grounding (RG/RSG). Declare the reality surface, evidence trace, material unknowns, transition boundary, consequence pathways, category boundaries, and claim boundary. If grounding is insufficient for a material claim, narrow, escalate, mark exploratory, or refuse the stronger claim.</w:t>
      </w:r>
    </w:p>
    <w:p>
      <w:pPr>
        <w:pStyle w:val="BodyText"/>
        <w:widowControl/>
      </w:pPr>
      <w:r>
        <w:t xml:space="preserve">Level 2, Rights Floor (RF/NCRC). Apply the Non-Compensatory Rights Constraint. Rights-floor harms are non-compensatory and cannot be rescued by welfare score.</w:t>
      </w:r>
    </w:p>
    <w:p>
      <w:pPr>
        <w:pStyle w:val="BodyText"/>
        <w:widowControl/>
      </w:pPr>
      <w:r>
        <w:t xml:space="preserve">Level 3, TRC / Tail-Risk Bound. Apply the Tail-Risk Constraint. Catastrophic or unbounded downside cannot be averaged into ordinary welfare gains.</w:t>
      </w:r>
    </w:p>
    <w:p>
      <w:pPr>
        <w:pStyle w:val="BodyText"/>
        <w:widowControl/>
      </w:pPr>
      <w:r>
        <w:t xml:space="preserve">Level 4, CSV / Containment and Structural Viability. Apply the CSV gate. CSV asks whether the option’s local gain can stand without unacceptably damaging, hollowing, overloading, exploiting, or depending on the larger systems that make the gain possible. UCI/HOI and related structural diagnostics are evaluated inside CSV when material. Structural Viability is explicit inside CSV: resource closure, dependency closure, endpoint/reversibility coherence, operational capacity non-exceedance, and internal non-contradiction.</w:t>
      </w:r>
    </w:p>
    <w:p>
      <w:pPr>
        <w:pStyle w:val="BodyText"/>
        <w:widowControl/>
      </w:pPr>
      <w:r>
        <w:t xml:space="preserve">Level 5, RLS / RippleLogic Score. Rank only the options that remain selectable. If RLS is tied, close, or non-decisive, apply the special-case tie-break rule using residual UCI/HOI where available or return REFUSE_DETERMINISTIC_SELECTION.</w:t>
      </w:r>
    </w:p>
    <w:p>
      <w:pPr>
        <w:pStyle w:val="BodyText"/>
        <w:widowControl/>
      </w:pPr>
      <w:r>
        <w:t xml:space="preserve">Mantra. Ground -&gt; Protect -&gt; Bound -&gt; Contain/Verify -&gt; Score.</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Layer</w:t>
            </w:r>
          </w:p>
        </w:tc>
        <w:tc>
          <w:tcPr>
            <w:shd w:fill="1F4E78" w:val="clear"/>
            <w:tcMar>
              <w:top w:w="80" w:type="dxa"/>
              <w:start w:w="90" w:type="dxa"/>
              <w:bottom w:w="80" w:type="dxa"/>
              <w:end w:w="90" w:type="dxa"/>
            </w:tcMar>
          </w:tcPr>
          <w:p>
            <w:pPr>
              <w:pStyle w:val="Compact"/>
              <w:jc w:val="left"/>
            </w:pPr>
            <w:r>
              <w:rPr>
                <w:b/>
                <w:bCs/>
                <w:color w:val="FFFFFF"/>
              </w:rPr>
              <w:t xml:space="preserve">Question answered</w:t>
            </w:r>
          </w:p>
        </w:tc>
        <w:tc>
          <w:tcPr>
            <w:shd w:fill="1F4E78" w:val="clear"/>
            <w:tcMar>
              <w:top w:w="80" w:type="dxa"/>
              <w:start w:w="90" w:type="dxa"/>
              <w:bottom w:w="80" w:type="dxa"/>
              <w:end w:w="90" w:type="dxa"/>
            </w:tcMar>
          </w:tcPr>
          <w:p>
            <w:pPr>
              <w:pStyle w:val="Compact"/>
              <w:jc w:val="left"/>
            </w:pPr>
            <w:r>
              <w:rPr>
                <w:b/>
                <w:bCs/>
                <w:color w:val="FFFFFF"/>
              </w:rPr>
              <w:t xml:space="preserve">Output</w:t>
            </w:r>
          </w:p>
        </w:tc>
      </w:tr>
      <w:tr>
        <w:trPr/>
        <w:tc>
          <w:tcPr>
            <w:tcMar>
              <w:top w:w="80" w:type="dxa"/>
              <w:start w:w="90" w:type="dxa"/>
              <w:bottom w:w="80" w:type="dxa"/>
              <w:end w:w="90" w:type="dxa"/>
            </w:tcMar>
            <w:shd w:fill="F7FBFF" w:val="clear"/>
          </w:tcPr>
          <w:p>
            <w:pPr>
              <w:pStyle w:val="Compact"/>
              <w:jc w:val="left"/>
            </w:pPr>
            <w:r>
              <w:t xml:space="preserve">RG / Reality Grounding</w:t>
            </w:r>
          </w:p>
        </w:tc>
        <w:tc>
          <w:tcPr>
            <w:tcMar>
              <w:top w:w="80" w:type="dxa"/>
              <w:start w:w="90" w:type="dxa"/>
              <w:bottom w:w="80" w:type="dxa"/>
              <w:end w:w="90" w:type="dxa"/>
            </w:tcMar>
            <w:shd w:fill="F7FBFF" w:val="clear"/>
          </w:tcPr>
          <w:p>
            <w:pPr>
              <w:pStyle w:val="Compact"/>
              <w:jc w:val="left"/>
            </w:pPr>
            <w:r>
              <w:t xml:space="preserve">What reality surface, evidence trace, unknowns, transition boundary, consequence pathways, category boundaries, and claim boundary support this run?</w:t>
            </w:r>
          </w:p>
        </w:tc>
        <w:tc>
          <w:tcPr>
            <w:tcMar>
              <w:top w:w="80" w:type="dxa"/>
              <w:start w:w="90" w:type="dxa"/>
              <w:bottom w:w="80" w:type="dxa"/>
              <w:end w:w="90" w:type="dxa"/>
            </w:tcMar>
            <w:shd w:fill="F7FBFF" w:val="clear"/>
          </w:tcPr>
          <w:p>
            <w:pPr>
              <w:pStyle w:val="Compact"/>
              <w:jc w:val="left"/>
            </w:pPr>
            <w:r>
              <w:t xml:space="preserve">Grounded, narrowed, escalated, exploratory, or refused.</w:t>
            </w:r>
          </w:p>
        </w:tc>
      </w:tr>
      <w:tr>
        <w:trPr/>
        <w:tc>
          <w:tcPr>
            <w:tcMar>
              <w:top w:w="80" w:type="dxa"/>
              <w:start w:w="90" w:type="dxa"/>
              <w:bottom w:w="80" w:type="dxa"/>
              <w:end w:w="90" w:type="dxa"/>
            </w:tcMar>
            <w:shd w:fill="D9EAF7" w:val="clear"/>
          </w:tcPr>
          <w:p>
            <w:pPr>
              <w:pStyle w:val="Compact"/>
              <w:jc w:val="left"/>
            </w:pPr>
            <w:r>
              <w:t xml:space="preserve">NCRC</w:t>
            </w:r>
          </w:p>
        </w:tc>
        <w:tc>
          <w:tcPr>
            <w:tcMar>
              <w:top w:w="80" w:type="dxa"/>
              <w:start w:w="90" w:type="dxa"/>
              <w:bottom w:w="80" w:type="dxa"/>
              <w:end w:w="90" w:type="dxa"/>
            </w:tcMar>
            <w:shd w:fill="D9EAF7" w:val="clear"/>
          </w:tcPr>
          <w:p>
            <w:pPr>
              <w:pStyle w:val="Compact"/>
              <w:jc w:val="left"/>
            </w:pPr>
            <w:r>
              <w:t xml:space="preserve">Does the option violate a non-compensatory rights floor?</w:t>
            </w:r>
          </w:p>
        </w:tc>
        <w:tc>
          <w:tcPr>
            <w:tcMar>
              <w:top w:w="80" w:type="dxa"/>
              <w:start w:w="90" w:type="dxa"/>
              <w:bottom w:w="80" w:type="dxa"/>
              <w:end w:w="90" w:type="dxa"/>
            </w:tcMar>
            <w:shd w:fill="D9EAF7" w:val="clear"/>
          </w:tcPr>
          <w:p>
            <w:pPr>
              <w:pStyle w:val="Compact"/>
              <w:jc w:val="left"/>
            </w:pPr>
            <w:r>
              <w:t xml:space="preserve">Rights-admissible or rejected.</w:t>
            </w:r>
          </w:p>
        </w:tc>
      </w:tr>
      <w:tr>
        <w:trPr/>
        <w:tc>
          <w:tcPr>
            <w:tcMar>
              <w:top w:w="80" w:type="dxa"/>
              <w:start w:w="90" w:type="dxa"/>
              <w:bottom w:w="80" w:type="dxa"/>
              <w:end w:w="90" w:type="dxa"/>
            </w:tcMar>
            <w:shd w:fill="F7FBFF" w:val="clear"/>
          </w:tcPr>
          <w:p>
            <w:pPr>
              <w:pStyle w:val="Compact"/>
              <w:jc w:val="left"/>
            </w:pPr>
            <w:r>
              <w:t xml:space="preserve">TRC</w:t>
            </w:r>
          </w:p>
        </w:tc>
        <w:tc>
          <w:tcPr>
            <w:tcMar>
              <w:top w:w="80" w:type="dxa"/>
              <w:start w:w="90" w:type="dxa"/>
              <w:bottom w:w="80" w:type="dxa"/>
              <w:end w:w="90" w:type="dxa"/>
            </w:tcMar>
            <w:shd w:fill="F7FBFF" w:val="clear"/>
          </w:tcPr>
          <w:p>
            <w:pPr>
              <w:pStyle w:val="Compact"/>
              <w:jc w:val="left"/>
            </w:pPr>
            <w:r>
              <w:t xml:space="preserve">Is catastrophic tail risk acceptably bounded?</w:t>
            </w:r>
          </w:p>
        </w:tc>
        <w:tc>
          <w:tcPr>
            <w:tcMar>
              <w:top w:w="80" w:type="dxa"/>
              <w:start w:w="90" w:type="dxa"/>
              <w:bottom w:w="80" w:type="dxa"/>
              <w:end w:w="90" w:type="dxa"/>
            </w:tcMar>
            <w:shd w:fill="F7FBFF" w:val="clear"/>
          </w:tcPr>
          <w:p>
            <w:pPr>
              <w:pStyle w:val="Compact"/>
              <w:jc w:val="left"/>
            </w:pPr>
            <w:r>
              <w:t xml:space="preserve">Admissible or rejected.</w:t>
            </w:r>
          </w:p>
        </w:tc>
      </w:tr>
      <w:tr>
        <w:trPr/>
        <w:tc>
          <w:tcPr>
            <w:tcMar>
              <w:top w:w="80" w:type="dxa"/>
              <w:start w:w="90" w:type="dxa"/>
              <w:bottom w:w="80" w:type="dxa"/>
              <w:end w:w="90" w:type="dxa"/>
            </w:tcMar>
            <w:shd w:fill="D9EAF7" w:val="clear"/>
          </w:tcPr>
          <w:p>
            <w:pPr>
              <w:pStyle w:val="Compact"/>
              <w:jc w:val="left"/>
            </w:pPr>
            <w:r>
              <w:t xml:space="preserve">CSV</w:t>
            </w:r>
          </w:p>
        </w:tc>
        <w:tc>
          <w:tcPr>
            <w:tcMar>
              <w:top w:w="80" w:type="dxa"/>
              <w:start w:w="90" w:type="dxa"/>
              <w:bottom w:w="80" w:type="dxa"/>
              <w:end w:w="90" w:type="dxa"/>
            </w:tcMar>
            <w:shd w:fill="D9EAF7" w:val="clear"/>
          </w:tcPr>
          <w:p>
            <w:pPr>
              <w:pStyle w:val="Compact"/>
              <w:jc w:val="left"/>
            </w:pPr>
            <w:r>
              <w:t xml:space="preserve">Can the option deliver its claimed good without uncontained harm, hollowing, lock-in, structural non-viability, or degrading containing systems beyond tolerance?</w:t>
            </w:r>
          </w:p>
        </w:tc>
        <w:tc>
          <w:tcPr>
            <w:tcMar>
              <w:top w:w="80" w:type="dxa"/>
              <w:start w:w="90" w:type="dxa"/>
              <w:bottom w:w="80" w:type="dxa"/>
              <w:end w:w="90" w:type="dxa"/>
            </w:tcMar>
            <w:shd w:fill="D9EAF7" w:val="clear"/>
          </w:tcPr>
          <w:p>
            <w:pPr>
              <w:pStyle w:val="Compact"/>
              <w:jc w:val="left"/>
            </w:pPr>
            <w:r>
              <w:t xml:space="preserve">Selectable, pass with controls, redesign required, emergency provisional, excluded, or escalated.</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RLS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Among selectable options, which has the strongest residual welfare pattern?</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Ranked selectable options.</w:t>
            </w:r>
          </w:p>
        </w:tc>
      </w:tr>
    </w:tbl>
    <w:bookmarkStart w:id="71" w:name="X8cf59ec2d0f382cf947ac940e7d2a02f4d4f8b5"/>
    <w:p>
      <w:pPr>
        <w:pStyle w:val="Heading2"/>
        <w:keepNext/>
        <w:keepLines/>
        <w:pageBreakBefore w:val="0"/>
        <w:widowControl/>
      </w:pPr>
      <w:r>
        <w:rPr>
          <w:rFonts w:ascii="Arial" w:hAnsi="Arial" w:eastAsia="Arial"/>
          <w:b/>
          <w:color w:val="1F4E78"/>
        </w:rPr>
        <w:t xml:space="preserve">4.1 Formal Definition</w:t>
      </w:r>
    </w:p>
    <w:p>
      <w:pPr>
        <w:pStyle w:val="FirstParagraph"/>
        <w:widowControl/>
      </w:pPr>
      <w:r>
        <w:t xml:space="preserve">RippleLogic is a rights-first, tail-risk-bounded, union-based decision optimization system with explicit ripple propagation, auditable scoring, and corrigible learning. It is designed to prevent three common governance failures: rights being traded away by aggregate welfare gains, catastrophic downside being averaged away by expected-value logic, and local optimization degrading larger containing systems.</w:t>
      </w:r>
    </w:p>
    <w:bookmarkEnd w:id="71"/>
    <w:bookmarkStart w:id="72" w:name="Xf844ca91169ad65e47de17d213b62cfefcfc0b5"/>
    <w:p>
      <w:pPr>
        <w:pStyle w:val="Heading2"/>
        <w:keepNext/>
        <w:keepLines/>
        <w:pageBreakBefore w:val="0"/>
        <w:widowControl/>
      </w:pPr>
      <w:r>
        <w:rPr>
          <w:rFonts w:ascii="Arial" w:hAnsi="Arial" w:eastAsia="Arial"/>
          <w:b/>
          <w:color w:val="1F4E78"/>
        </w:rPr>
        <w:t xml:space="preserve">4.2 Core Objects and Implementable Data Structures</w:t>
      </w:r>
    </w:p>
    <w:p>
      <w:pPr>
        <w:pStyle w:val="FirstParagraph"/>
        <w:widowControl/>
      </w:pPr>
      <w:r>
        <w:t xml:space="preserve">Every RippleLogic run works from declared objects. These are not decorative labels; they are the minimum data surfaces that make the decision auditable, reproducible, and challengeable.</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Object</w:t>
            </w:r>
          </w:p>
        </w:tc>
        <w:tc>
          <w:tcPr>
            <w:shd w:fill="1F4E78" w:val="clear"/>
            <w:tcMar>
              <w:top w:w="80" w:type="dxa"/>
              <w:start w:w="90" w:type="dxa"/>
              <w:bottom w:w="80" w:type="dxa"/>
              <w:end w:w="90" w:type="dxa"/>
            </w:tcMar>
          </w:tcPr>
          <w:p>
            <w:pPr>
              <w:pStyle w:val="Compact"/>
              <w:jc w:val="left"/>
            </w:pPr>
            <w:r>
              <w:rPr>
                <w:b/>
                <w:bCs/>
                <w:color w:val="FFFFFF"/>
              </w:rPr>
              <w:t xml:space="preserve">Description</w:t>
            </w:r>
          </w:p>
        </w:tc>
      </w:tr>
      <w:tr>
        <w:trPr/>
        <w:tc>
          <w:tcPr>
            <w:tcMar>
              <w:top w:w="80" w:type="dxa"/>
              <w:start w:w="90" w:type="dxa"/>
              <w:bottom w:w="80" w:type="dxa"/>
              <w:end w:w="90" w:type="dxa"/>
            </w:tcMar>
            <w:shd w:fill="F7FBFF" w:val="clear"/>
          </w:tcPr>
          <w:p>
            <w:pPr>
              <w:pStyle w:val="Compact"/>
              <w:jc w:val="left"/>
            </w:pPr>
            <w:r>
              <w:t xml:space="preserve">Option set O</w:t>
            </w:r>
          </w:p>
        </w:tc>
        <w:tc>
          <w:tcPr>
            <w:tcMar>
              <w:top w:w="80" w:type="dxa"/>
              <w:start w:w="90" w:type="dxa"/>
              <w:bottom w:w="80" w:type="dxa"/>
              <w:end w:w="90" w:type="dxa"/>
            </w:tcMar>
            <w:shd w:fill="F7FBFF" w:val="clear"/>
          </w:tcPr>
          <w:p>
            <w:pPr>
              <w:pStyle w:val="Compact"/>
              <w:jc w:val="left"/>
            </w:pPr>
            <w:r>
              <w:t xml:space="preserve">Finite set of candidate actions.</w:t>
            </w:r>
          </w:p>
        </w:tc>
      </w:tr>
      <w:tr>
        <w:trPr/>
        <w:tc>
          <w:tcPr>
            <w:tcMar>
              <w:top w:w="80" w:type="dxa"/>
              <w:start w:w="90" w:type="dxa"/>
              <w:bottom w:w="80" w:type="dxa"/>
              <w:end w:w="90" w:type="dxa"/>
            </w:tcMar>
            <w:shd w:fill="D9EAF7" w:val="clear"/>
          </w:tcPr>
          <w:p>
            <w:pPr>
              <w:pStyle w:val="Compact"/>
              <w:jc w:val="left"/>
            </w:pPr>
            <w:r>
              <w:t xml:space="preserve">Welfare impact matrix per option</w:t>
            </w:r>
          </w:p>
        </w:tc>
        <w:tc>
          <w:tcPr>
            <w:tcMar>
              <w:top w:w="80" w:type="dxa"/>
              <w:start w:w="90" w:type="dxa"/>
              <w:bottom w:w="80" w:type="dxa"/>
              <w:end w:w="90" w:type="dxa"/>
            </w:tcMar>
            <w:shd w:fill="D9EAF7" w:val="clear"/>
          </w:tcPr>
          <w:p>
            <w:pPr>
              <w:pStyle w:val="Compact"/>
              <w:jc w:val="left"/>
            </w:pPr>
            <w:r>
              <w:t xml:space="preserve">I_prop(u,d,a) in [-1,+1], after direct impact construction, propagation, and saturation. Cell interpretation is governed by the canonical 49-cell reference grid and Appendix AD.</w:t>
            </w:r>
          </w:p>
        </w:tc>
      </w:tr>
      <w:tr>
        <w:trPr/>
        <w:tc>
          <w:tcPr>
            <w:tcMar>
              <w:top w:w="80" w:type="dxa"/>
              <w:start w:w="90" w:type="dxa"/>
              <w:bottom w:w="80" w:type="dxa"/>
              <w:end w:w="90" w:type="dxa"/>
            </w:tcMar>
            <w:shd w:fill="F7FBFF" w:val="clear"/>
          </w:tcPr>
          <w:p>
            <w:pPr>
              <w:pStyle w:val="Compact"/>
              <w:jc w:val="left"/>
            </w:pPr>
            <w:r>
              <w:t xml:space="preserve">Rights impacts</w:t>
            </w:r>
          </w:p>
        </w:tc>
        <w:tc>
          <w:tcPr>
            <w:tcMar>
              <w:top w:w="80" w:type="dxa"/>
              <w:start w:w="90" w:type="dxa"/>
              <w:bottom w:w="80" w:type="dxa"/>
              <w:end w:w="90" w:type="dxa"/>
            </w:tcMar>
            <w:shd w:fill="F7FBFF" w:val="clear"/>
          </w:tcPr>
          <w:p>
            <w:pPr>
              <w:pStyle w:val="Compact"/>
              <w:jc w:val="left"/>
            </w:pPr>
            <w:r>
              <w:t xml:space="preserve">I_rights(u,d,a), using worst-off protected subgroup semantics for rights-covered cells.</w:t>
            </w:r>
          </w:p>
        </w:tc>
      </w:tr>
      <w:tr>
        <w:trPr/>
        <w:tc>
          <w:tcPr>
            <w:tcMar>
              <w:top w:w="80" w:type="dxa"/>
              <w:start w:w="90" w:type="dxa"/>
              <w:bottom w:w="80" w:type="dxa"/>
              <w:end w:w="90" w:type="dxa"/>
            </w:tcMar>
            <w:shd w:fill="D9EAF7" w:val="clear"/>
          </w:tcPr>
          <w:p>
            <w:pPr>
              <w:pStyle w:val="Compact"/>
              <w:jc w:val="left"/>
            </w:pPr>
            <w:r>
              <w:t xml:space="preserve">Scenario set S with probabilities p_s</w:t>
            </w:r>
          </w:p>
        </w:tc>
        <w:tc>
          <w:tcPr>
            <w:tcMar>
              <w:top w:w="80" w:type="dxa"/>
              <w:start w:w="90" w:type="dxa"/>
              <w:bottom w:w="80" w:type="dxa"/>
              <w:end w:w="90" w:type="dxa"/>
            </w:tcMar>
            <w:shd w:fill="D9EAF7" w:val="clear"/>
          </w:tcPr>
          <w:p>
            <w:pPr>
              <w:pStyle w:val="Compact"/>
              <w:jc w:val="left"/>
            </w:pPr>
            <w:r>
              <w:t xml:space="preserve">Scenario surface for TRC, including mandatory tail categories and probability floors where required.</w:t>
            </w:r>
          </w:p>
        </w:tc>
      </w:tr>
      <w:tr>
        <w:trPr/>
        <w:tc>
          <w:tcPr>
            <w:tcMar>
              <w:top w:w="80" w:type="dxa"/>
              <w:start w:w="90" w:type="dxa"/>
              <w:bottom w:w="80" w:type="dxa"/>
              <w:end w:w="90" w:type="dxa"/>
            </w:tcMar>
            <w:shd w:fill="F7FBFF" w:val="clear"/>
          </w:tcPr>
          <w:p>
            <w:pPr>
              <w:pStyle w:val="Compact"/>
              <w:jc w:val="left"/>
            </w:pPr>
            <w:r>
              <w:t xml:space="preserve">Catastrophe cells C_cat and weights omega</w:t>
            </w:r>
          </w:p>
        </w:tc>
        <w:tc>
          <w:tcPr>
            <w:tcMar>
              <w:top w:w="80" w:type="dxa"/>
              <w:start w:w="90" w:type="dxa"/>
              <w:bottom w:w="80" w:type="dxa"/>
              <w:end w:w="90" w:type="dxa"/>
            </w:tcMar>
            <w:shd w:fill="F7FBFF" w:val="clear"/>
          </w:tcPr>
          <w:p>
            <w:pPr>
              <w:pStyle w:val="Compact"/>
              <w:jc w:val="left"/>
            </w:pPr>
            <w:r>
              <w:t xml:space="preserve">Catastrophe-relevant welfare cells and tail-risk weights used in TRC.</w:t>
            </w:r>
          </w:p>
        </w:tc>
      </w:tr>
      <w:tr>
        <w:trPr/>
        <w:tc>
          <w:tcPr>
            <w:tcMar>
              <w:top w:w="80" w:type="dxa"/>
              <w:start w:w="90" w:type="dxa"/>
              <w:bottom w:w="80" w:type="dxa"/>
              <w:end w:w="90" w:type="dxa"/>
            </w:tcMar>
            <w:shd w:fill="D9EAF7" w:val="clear"/>
          </w:tcPr>
          <w:p>
            <w:pPr>
              <w:pStyle w:val="Compact"/>
              <w:jc w:val="left"/>
            </w:pPr>
            <w:r>
              <w:t xml:space="preserve">Kernel K, sparse 49x49</w:t>
            </w:r>
          </w:p>
        </w:tc>
        <w:tc>
          <w:tcPr>
            <w:tcMar>
              <w:top w:w="80" w:type="dxa"/>
              <w:start w:w="90" w:type="dxa"/>
              <w:bottom w:w="80" w:type="dxa"/>
              <w:end w:w="90" w:type="dxa"/>
            </w:tcMar>
            <w:shd w:fill="D9EAF7" w:val="clear"/>
          </w:tcPr>
          <w:p>
            <w:pPr>
              <w:pStyle w:val="Compact"/>
              <w:jc w:val="left"/>
            </w:pPr>
            <w:r>
              <w:t xml:space="preserve">Propagation structure. NONE or QUICK modes are permitted in Tier 1-3 subject to the canon.</w:t>
            </w:r>
          </w:p>
        </w:tc>
      </w:tr>
      <w:tr>
        <w:trPr/>
        <w:tc>
          <w:tcPr>
            <w:tcMar>
              <w:top w:w="80" w:type="dxa"/>
              <w:start w:w="90" w:type="dxa"/>
              <w:bottom w:w="80" w:type="dxa"/>
              <w:end w:w="90" w:type="dxa"/>
            </w:tcMar>
            <w:shd w:fill="F7FBFF" w:val="clear"/>
          </w:tcPr>
          <w:p>
            <w:pPr>
              <w:pStyle w:val="Compact"/>
              <w:jc w:val="left"/>
            </w:pPr>
            <w:r>
              <w:t xml:space="preserve">Weights w_u and v_d</w:t>
            </w:r>
          </w:p>
        </w:tc>
        <w:tc>
          <w:tcPr>
            <w:tcMar>
              <w:top w:w="80" w:type="dxa"/>
              <w:start w:w="90" w:type="dxa"/>
              <w:bottom w:w="80" w:type="dxa"/>
              <w:end w:w="90" w:type="dxa"/>
            </w:tcMar>
            <w:shd w:fill="F7FBFF" w:val="clear"/>
          </w:tcPr>
          <w:p>
            <w:pPr>
              <w:pStyle w:val="Compact"/>
              <w:jc w:val="left"/>
            </w:pPr>
            <w:r>
              <w:t xml:space="preserve">Union-scope and dimension weights, governed by HDW where required and constitutional floors where applicable.</w:t>
            </w:r>
          </w:p>
        </w:tc>
      </w:tr>
      <w:tr>
        <w:trPr/>
        <w:tc>
          <w:tcPr>
            <w:tcMar>
              <w:top w:w="80" w:type="dxa"/>
              <w:start w:w="90" w:type="dxa"/>
              <w:bottom w:w="80" w:type="dxa"/>
              <w:end w:w="90" w:type="dxa"/>
            </w:tcMar>
            <w:shd w:fill="D9EAF7" w:val="clear"/>
          </w:tcPr>
          <w:p>
            <w:pPr>
              <w:pStyle w:val="Compact"/>
              <w:jc w:val="left"/>
            </w:pPr>
            <w:r>
              <w:t xml:space="preserve">Structural metrics UCI and HOI</w:t>
            </w:r>
          </w:p>
        </w:tc>
        <w:tc>
          <w:tcPr>
            <w:tcMar>
              <w:top w:w="80" w:type="dxa"/>
              <w:start w:w="90" w:type="dxa"/>
              <w:bottom w:w="80" w:type="dxa"/>
              <w:end w:w="90" w:type="dxa"/>
            </w:tcMar>
            <w:shd w:fill="D9EAF7" w:val="clear"/>
          </w:tcPr>
          <w:p>
            <w:pPr>
              <w:pStyle w:val="Compact"/>
              <w:jc w:val="left"/>
            </w:pPr>
            <w:r>
              <w:t xml:space="preserve">Containment and tie-break diagnostics, subject to maturity boundaries.</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ReferenceStructureRecord</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The declared reference object, evidence status, causal pathway, falsification condition, authority boundary, and refusal trigger for the claim being made.</w:t>
            </w:r>
          </w:p>
        </w:tc>
      </w:tr>
    </w:tbl>
    <w:bookmarkEnd w:id="72"/>
    <w:bookmarkStart w:id="73" w:name="Xda51137882e24b0e3c483c0aee6ae7b609268ee"/>
    <w:p>
      <w:pPr>
        <w:pStyle w:val="Heading2"/>
        <w:keepNext/>
        <w:keepLines/>
        <w:pageBreakBefore w:val="0"/>
        <w:widowControl/>
      </w:pPr>
      <w:r>
        <w:rPr>
          <w:rFonts w:ascii="Arial" w:hAnsi="Arial" w:eastAsia="Arial"/>
          <w:b/>
          <w:color w:val="1F4E78"/>
        </w:rPr>
        <w:t xml:space="preserve">4.3 Reference Structure Discipline</w:t>
      </w:r>
    </w:p>
    <w:p>
      <w:pPr>
        <w:pStyle w:val="FirstParagraph"/>
        <w:widowControl/>
      </w:pPr>
      <w:r>
        <w:t xml:space="preserve">RippleLogic decisions SHALL NOT be interpreted as governance claims merely because a scoring procedure, audit record, or policy wrapper exists. A governance claim is supportable only to the extent that the decision record declares the reference structure against which the claim is evaluated.</w:t>
      </w:r>
    </w:p>
    <w:p>
      <w:pPr>
        <w:pStyle w:val="BodyText"/>
        <w:widowControl/>
      </w:pPr>
      <w:r>
        <w:t xml:space="preserve">For RippleLogic purposes, a reference structure is the declared set of constraints, evidence sources, causal pathways, thresholds, maturity labels, and refusal conditions used to evaluate a decision claim. Reference structures may include physical constraints, biological needs, rights floors, catastrophic-risk corridors, containment conditions, stakeholder impact maps, institutional authority boundaries, evidence-status labels, and auditable records.</w:t>
      </w:r>
    </w:p>
    <w:p>
      <w:pPr>
        <w:pStyle w:val="BodyText"/>
        <w:widowControl/>
      </w:pPr>
      <w:r>
        <w:t xml:space="preserve">RSP and RefStructRecord. The Reference Structure Protocol (RSP) is the discipline. The ReferenceStructureRecord (RefStructRecord) is the run-level artifact that records the discipline in a specific case. RSP tells the system what must be declared; RefStructRecord records what was actually declared.</w:t>
      </w:r>
    </w:p>
    <w:p>
      <w:pPr>
        <w:pStyle w:val="BodyText"/>
        <w:widowControl/>
      </w:pPr>
      <w:r>
        <w:t xml:space="preserve">Reference structure discipline does not create a sixth gate and does not alter the canonical method. Reality Grounding, NCRC, TRC, CSV, RLS, and UCI/HOI diagnostic handling retain their existing roles. The Reference Structure Protocol strengthens the evidence substrate used to evaluate those roles.</w:t>
      </w:r>
    </w:p>
    <w:p>
      <w:pPr>
        <w:pStyle w:val="BodyText"/>
        <w:widowControl/>
      </w:pPr>
      <w:r>
        <w:t xml:space="preserve">A RippleLogic run MUST NOT treat circular, self-validating, missing, unfalsifiable, materially stale, or unsupported reference claims as sufficient for high-stakes admissibility, selection, deployment-readiness, or conformance claims. Where the reference structure is insufficient for the requested claim, the correct outcome is Refusal, escalation, narrower claim scope, additional evidence gathering, or bounded provisional action under an applicable triage rule.</w:t>
      </w:r>
    </w:p>
    <w:p>
      <w:pPr>
        <w:pStyle w:val="BodyText"/>
        <w:widowControl/>
      </w:pPr>
      <w:r>
        <w:t xml:space="preserve">Plain-language rule. Governance without a declared reference structure becomes assumption management. RippleLogic requires declared references, visible evidence, falsifiable claims, and refusal when the reference structure cannot support the claim.</w:t>
      </w:r>
    </w:p>
    <w:bookmarkEnd w:id="73"/>
    <w:bookmarkStart w:id="75" w:name="Xbd6a075bf130109f7ab59d84982a209f1e3cf32"/>
    <w:p>
      <w:pPr>
        <w:pStyle w:val="Heading2"/>
        <w:keepNext/>
        <w:keepLines/>
        <w:pageBreakBefore w:val="0"/>
        <w:widowControl/>
      </w:pPr>
      <w:r>
        <w:rPr>
          <w:rFonts w:ascii="Arial" w:hAnsi="Arial" w:eastAsia="Arial"/>
          <w:b/>
          <w:color w:val="1F4E78"/>
        </w:rPr>
        <w:t xml:space="preserve">4.4 Formal Gate Sequence and Residual Tie-Break (Normative)</w:t>
      </w:r>
    </w:p>
    <w:p>
      <w:pPr>
        <w:pStyle w:val="FirstParagraph"/>
        <w:widowControl/>
      </w:pPr>
      <w:r>
        <w:t xml:space="preserve">RippleLogic evaluates candidate options through a formal gate sequence with a claim-authority precondition. Reality Grounding first establishes whether the requested claim can be made at the declared strength. RF/NCRC, TRC, and CSV then determine admissibility and selectability. RLS ranks only the selectable set. Residual UCI/HOI is a special-case tie-break or monitoring rule, not a regular public cascade level. A later function MUST NOT rescue, compensate for, or reinterpret failure at an earlier function.</w:t>
      </w:r>
    </w:p>
    <w:p>
      <w:pPr>
        <w:pStyle w:val="BodyText"/>
        <w:widowControl/>
      </w:pPr>
      <w:r>
        <w:t xml:space="preserve">Formal gate 1, NCRC: rights feasibility. NCRC determines whether an option is rights-admissible. For rights-covered cells, RippleLogic applies the required subgroup semantics and checks the worst-off protected subgroup against the rights floor. Any option with positive violation depth on any covered right fails NCRC and is inadmissible, regardless of expected welfare gains, downstream rankings, or structural advantages.</w:t>
      </w:r>
    </w:p>
    <w:p>
      <w:pPr>
        <w:pStyle w:val="BodyText"/>
        <w:widowControl/>
      </w:pPr>
      <w:r>
        <w:t xml:space="preserve">Formal gate 2, TRC: catastrophe feasibility. TRC determines whether a rights-admissible option is admissible in the tail-risk sense. It evaluates catastrophic-loss exposure over the governed scenario set using the catastrophe cell set and declared CVaR corridor. Any option whose catastrophic tail exceeds the corridor fails TRC and is inadmissible, even if expected welfare performance is strong.</w:t>
      </w:r>
    </w:p>
    <w:p>
      <w:pPr>
        <w:pStyle w:val="BodyText"/>
        <w:widowControl/>
      </w:pPr>
      <w:r>
        <w:t xml:space="preserve">Formal gate 3, CSV: containment and structural viability feasibility. CSV determines whether an admissible option is selectable with respect to containing-system integrity and execution viability. It asks whether local or sub-scope welfare gains degrade containing unions, hollow out capacities, create lock-in, externalize burdens, exceed operational capacity, or fail structural viability. An option that fails CSV is not selectable, even if it passes NCRC and TRC and would otherwise rank highly on residual welfare.</w:t>
      </w:r>
    </w:p>
    <w:p>
      <w:pPr>
        <w:pStyle w:val="BodyText"/>
        <w:widowControl/>
      </w:pPr>
      <w:r>
        <w:t xml:space="preserve">Ranking stage, RLS: residual welfare ranking. RLS is applied only to options that have already passed RF/NCRC, TRC, and CSV. It ranks surviving options by weighted welfare aggregation over the active cell set, subject to non-maskable-cell rules and weight-governance requirements. RLS MUST NOT override or soften any earlier gate.</w:t>
      </w:r>
    </w:p>
    <w:p>
      <w:pPr>
        <w:pStyle w:val="BodyText"/>
        <w:widowControl/>
      </w:pPr>
      <w:r>
        <w:t xml:space="preserve">Special-case UCI/HOI tie-break rule: structural resolution after RLS non-decisiveness. UCI and HOI are first evaluated inside CSV when material to structural integrity, hollowing risk, or containment. Only after options are already selectable may residual UCI/HOI help document a tied, close, uncertainty-overlapped, or non-decisive RLS result. UCI and HOI do not act as public cascade stages and do not reopen prior gate decisions.</w:t>
      </w:r>
    </w:p>
    <w:p>
      <w:pPr>
        <w:pStyle w:val="BodyText"/>
        <w:widowControl/>
      </w:pPr>
      <w:r>
        <w:t xml:space="preserve">Non-overlap rule. For interpretation and auditability, the formal gate/ranking functions SHALL be read as follows: RG/RSG = claim authority; NCRC = rights feasibility; TRC = catastrophe feasibility; CSV = containment and structural viability feasibility; RLS = residual welfare ranking within the selectable set; UCI/HOI tie-break = special-case non-decisive structural resolution or monitoring within the selectable set, not a regular public cascade level. No implementation, commentary, or downstream artifact may collapse these functions into a single blended score.</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Level</w:t>
            </w:r>
          </w:p>
        </w:tc>
        <w:tc>
          <w:tcPr>
            <w:shd w:fill="1F4E78" w:val="clear"/>
            <w:tcMar>
              <w:top w:w="80" w:type="dxa"/>
              <w:start w:w="90" w:type="dxa"/>
              <w:bottom w:w="80" w:type="dxa"/>
              <w:end w:w="90" w:type="dxa"/>
            </w:tcMar>
          </w:tcPr>
          <w:p>
            <w:pPr>
              <w:pStyle w:val="Compact"/>
              <w:jc w:val="left"/>
            </w:pPr>
            <w:r>
              <w:rPr>
                <w:b/>
                <w:bCs/>
                <w:color w:val="FFFFFF"/>
              </w:rPr>
              <w:t xml:space="preserve">Name</w:t>
            </w:r>
          </w:p>
        </w:tc>
        <w:tc>
          <w:tcPr>
            <w:shd w:fill="1F4E78" w:val="clear"/>
            <w:tcMar>
              <w:top w:w="80" w:type="dxa"/>
              <w:start w:w="90" w:type="dxa"/>
              <w:bottom w:w="80" w:type="dxa"/>
              <w:end w:w="90" w:type="dxa"/>
            </w:tcMar>
          </w:tcPr>
          <w:p>
            <w:pPr>
              <w:pStyle w:val="Compact"/>
              <w:jc w:val="left"/>
            </w:pPr>
            <w:r>
              <w:rPr>
                <w:b/>
                <w:bCs/>
                <w:color w:val="FFFFFF"/>
              </w:rPr>
              <w:t xml:space="preserve">Function</w:t>
            </w:r>
          </w:p>
        </w:tc>
        <w:tc>
          <w:tcPr>
            <w:shd w:fill="1F4E78" w:val="clear"/>
            <w:tcMar>
              <w:top w:w="80" w:type="dxa"/>
              <w:start w:w="90" w:type="dxa"/>
              <w:bottom w:w="80" w:type="dxa"/>
              <w:end w:w="90" w:type="dxa"/>
            </w:tcMar>
          </w:tcPr>
          <w:p>
            <w:pPr>
              <w:pStyle w:val="Compact"/>
              <w:jc w:val="left"/>
            </w:pPr>
            <w:r>
              <w:rPr>
                <w:b/>
                <w:bCs/>
                <w:color w:val="FFFFFF"/>
              </w:rPr>
              <w:t xml:space="preserve">Failure consequence</w:t>
            </w:r>
          </w:p>
        </w:tc>
      </w:tr>
      <w:tr>
        <w:trPr/>
        <w:tc>
          <w:tcPr>
            <w:tcMar>
              <w:top w:w="80" w:type="dxa"/>
              <w:start w:w="90" w:type="dxa"/>
              <w:bottom w:w="80" w:type="dxa"/>
              <w:end w:w="90" w:type="dxa"/>
            </w:tcMar>
            <w:shd w:fill="F7FBFF" w:val="clear"/>
          </w:tcPr>
          <w:p>
            <w:pPr>
              <w:pStyle w:val="Compact"/>
              <w:jc w:val="left"/>
            </w:pPr>
            <w:r>
              <w:t xml:space="preserve">1</w:t>
            </w:r>
          </w:p>
        </w:tc>
        <w:tc>
          <w:tcPr>
            <w:tcMar>
              <w:top w:w="80" w:type="dxa"/>
              <w:start w:w="90" w:type="dxa"/>
              <w:bottom w:w="80" w:type="dxa"/>
              <w:end w:w="90" w:type="dxa"/>
            </w:tcMar>
            <w:shd w:fill="F7FBFF" w:val="clear"/>
          </w:tcPr>
          <w:p>
            <w:pPr>
              <w:pStyle w:val="Compact"/>
              <w:jc w:val="left"/>
            </w:pPr>
            <w:r>
              <w:t xml:space="preserve">RG / Reality Grounding</w:t>
            </w:r>
          </w:p>
        </w:tc>
        <w:tc>
          <w:tcPr>
            <w:tcMar>
              <w:top w:w="80" w:type="dxa"/>
              <w:start w:w="90" w:type="dxa"/>
              <w:bottom w:w="80" w:type="dxa"/>
              <w:end w:w="90" w:type="dxa"/>
            </w:tcMar>
            <w:shd w:fill="F7FBFF" w:val="clear"/>
          </w:tcPr>
          <w:p>
            <w:pPr>
              <w:pStyle w:val="Compact"/>
              <w:jc w:val="left"/>
            </w:pPr>
            <w:r>
              <w:t xml:space="preserve">Claim grounding and reality-surface discipline; claim-authority precondition, not an option-rejecting gate.</w:t>
            </w:r>
          </w:p>
        </w:tc>
        <w:tc>
          <w:tcPr>
            <w:tcMar>
              <w:top w:w="80" w:type="dxa"/>
              <w:start w:w="90" w:type="dxa"/>
              <w:bottom w:w="80" w:type="dxa"/>
              <w:end w:w="90" w:type="dxa"/>
            </w:tcMar>
            <w:shd w:fill="F7FBFF" w:val="clear"/>
          </w:tcPr>
          <w:p>
            <w:pPr>
              <w:pStyle w:val="Compact"/>
              <w:jc w:val="left"/>
            </w:pPr>
            <w:r>
              <w:t xml:space="preserve">Narrow, escalate, mark exploratory, or refuse stronger claim.</w:t>
            </w:r>
          </w:p>
        </w:tc>
      </w:tr>
      <w:tr>
        <w:trPr/>
        <w:tc>
          <w:tcPr>
            <w:tcMar>
              <w:top w:w="80" w:type="dxa"/>
              <w:start w:w="90" w:type="dxa"/>
              <w:bottom w:w="80" w:type="dxa"/>
              <w:end w:w="90" w:type="dxa"/>
            </w:tcMar>
            <w:shd w:fill="D9EAF7" w:val="clear"/>
          </w:tcPr>
          <w:p>
            <w:pPr>
              <w:pStyle w:val="Compact"/>
              <w:jc w:val="left"/>
            </w:pPr>
            <w:r>
              <w:t xml:space="preserve">2</w:t>
            </w:r>
          </w:p>
        </w:tc>
        <w:tc>
          <w:tcPr>
            <w:tcMar>
              <w:top w:w="80" w:type="dxa"/>
              <w:start w:w="90" w:type="dxa"/>
              <w:bottom w:w="80" w:type="dxa"/>
              <w:end w:w="90" w:type="dxa"/>
            </w:tcMar>
            <w:shd w:fill="D9EAF7" w:val="clear"/>
          </w:tcPr>
          <w:p>
            <w:pPr>
              <w:pStyle w:val="Compact"/>
              <w:jc w:val="left"/>
            </w:pPr>
            <w:r>
              <w:t xml:space="preserve">Rights Floor (RF/NCRC)</w:t>
            </w:r>
          </w:p>
        </w:tc>
        <w:tc>
          <w:tcPr>
            <w:tcMar>
              <w:top w:w="80" w:type="dxa"/>
              <w:start w:w="90" w:type="dxa"/>
              <w:bottom w:w="80" w:type="dxa"/>
              <w:end w:w="90" w:type="dxa"/>
            </w:tcMar>
            <w:shd w:fill="D9EAF7" w:val="clear"/>
          </w:tcPr>
          <w:p>
            <w:pPr>
              <w:pStyle w:val="Compact"/>
              <w:jc w:val="left"/>
            </w:pPr>
            <w:r>
              <w:t xml:space="preserve">Rights feasibility.</w:t>
            </w:r>
          </w:p>
        </w:tc>
        <w:tc>
          <w:tcPr>
            <w:tcMar>
              <w:top w:w="80" w:type="dxa"/>
              <w:start w:w="90" w:type="dxa"/>
              <w:bottom w:w="80" w:type="dxa"/>
              <w:end w:w="90" w:type="dxa"/>
            </w:tcMar>
            <w:shd w:fill="D9EAF7" w:val="clear"/>
          </w:tcPr>
          <w:p>
            <w:pPr>
              <w:pStyle w:val="Compact"/>
              <w:jc w:val="left"/>
            </w:pPr>
            <w:r>
              <w:t xml:space="preserve">Rejected except Emergency Mode.</w:t>
            </w:r>
          </w:p>
        </w:tc>
      </w:tr>
      <w:tr>
        <w:trPr/>
        <w:tc>
          <w:tcPr>
            <w:tcMar>
              <w:top w:w="80" w:type="dxa"/>
              <w:start w:w="90" w:type="dxa"/>
              <w:bottom w:w="80" w:type="dxa"/>
              <w:end w:w="90" w:type="dxa"/>
            </w:tcMar>
            <w:shd w:fill="F7FBFF" w:val="clear"/>
          </w:tcPr>
          <w:p>
            <w:pPr>
              <w:pStyle w:val="Compact"/>
              <w:jc w:val="left"/>
            </w:pPr>
            <w:r>
              <w:t xml:space="preserve">3</w:t>
            </w:r>
          </w:p>
        </w:tc>
        <w:tc>
          <w:tcPr>
            <w:tcMar>
              <w:top w:w="80" w:type="dxa"/>
              <w:start w:w="90" w:type="dxa"/>
              <w:bottom w:w="80" w:type="dxa"/>
              <w:end w:w="90" w:type="dxa"/>
            </w:tcMar>
            <w:shd w:fill="F7FBFF" w:val="clear"/>
          </w:tcPr>
          <w:p>
            <w:pPr>
              <w:pStyle w:val="Compact"/>
              <w:jc w:val="left"/>
            </w:pPr>
            <w:r>
              <w:t xml:space="preserve">TRC / Tail-Risk Bound</w:t>
            </w:r>
          </w:p>
        </w:tc>
        <w:tc>
          <w:tcPr>
            <w:tcMar>
              <w:top w:w="80" w:type="dxa"/>
              <w:start w:w="90" w:type="dxa"/>
              <w:bottom w:w="80" w:type="dxa"/>
              <w:end w:w="90" w:type="dxa"/>
            </w:tcMar>
            <w:shd w:fill="F7FBFF" w:val="clear"/>
          </w:tcPr>
          <w:p>
            <w:pPr>
              <w:pStyle w:val="Compact"/>
              <w:jc w:val="left"/>
            </w:pPr>
            <w:r>
              <w:t xml:space="preserve">Catastrophic tail-risk feasibility.</w:t>
            </w:r>
          </w:p>
        </w:tc>
        <w:tc>
          <w:tcPr>
            <w:tcMar>
              <w:top w:w="80" w:type="dxa"/>
              <w:start w:w="90" w:type="dxa"/>
              <w:bottom w:w="80" w:type="dxa"/>
              <w:end w:w="90" w:type="dxa"/>
            </w:tcMar>
            <w:shd w:fill="F7FBFF" w:val="clear"/>
          </w:tcPr>
          <w:p>
            <w:pPr>
              <w:pStyle w:val="Compact"/>
              <w:jc w:val="left"/>
            </w:pPr>
            <w:r>
              <w:t xml:space="preserve">Rejected or escalated.</w:t>
            </w:r>
          </w:p>
        </w:tc>
      </w:tr>
      <w:tr>
        <w:trPr/>
        <w:tc>
          <w:tcPr>
            <w:tcMar>
              <w:top w:w="80" w:type="dxa"/>
              <w:start w:w="90" w:type="dxa"/>
              <w:bottom w:w="80" w:type="dxa"/>
              <w:end w:w="90" w:type="dxa"/>
            </w:tcMar>
            <w:shd w:fill="D9EAF7" w:val="clear"/>
          </w:tcPr>
          <w:p>
            <w:pPr>
              <w:pStyle w:val="Compact"/>
              <w:jc w:val="left"/>
            </w:pPr>
            <w:r>
              <w:t xml:space="preserve">4</w:t>
            </w:r>
          </w:p>
        </w:tc>
        <w:tc>
          <w:tcPr>
            <w:tcMar>
              <w:top w:w="80" w:type="dxa"/>
              <w:start w:w="90" w:type="dxa"/>
              <w:bottom w:w="80" w:type="dxa"/>
              <w:end w:w="90" w:type="dxa"/>
            </w:tcMar>
            <w:shd w:fill="D9EAF7" w:val="clear"/>
          </w:tcPr>
          <w:p>
            <w:pPr>
              <w:pStyle w:val="Compact"/>
              <w:jc w:val="left"/>
            </w:pPr>
            <w:r>
              <w:t xml:space="preserve">CSV / Containment and Structural Viability</w:t>
            </w:r>
          </w:p>
        </w:tc>
        <w:tc>
          <w:tcPr>
            <w:tcMar>
              <w:top w:w="80" w:type="dxa"/>
              <w:start w:w="90" w:type="dxa"/>
              <w:bottom w:w="80" w:type="dxa"/>
              <w:end w:w="90" w:type="dxa"/>
            </w:tcMar>
            <w:shd w:fill="D9EAF7" w:val="clear"/>
          </w:tcPr>
          <w:p>
            <w:pPr>
              <w:pStyle w:val="Compact"/>
              <w:jc w:val="left"/>
            </w:pPr>
            <w:r>
              <w:t xml:space="preserve">Containing-system integrity, structural viability, hollowing/dependency/lock-in screening, and controls/redesign logic.</w:t>
            </w:r>
          </w:p>
        </w:tc>
        <w:tc>
          <w:tcPr>
            <w:tcMar>
              <w:top w:w="80" w:type="dxa"/>
              <w:start w:w="90" w:type="dxa"/>
              <w:bottom w:w="80" w:type="dxa"/>
              <w:end w:w="90" w:type="dxa"/>
            </w:tcMar>
            <w:shd w:fill="D9EAF7" w:val="clear"/>
          </w:tcPr>
          <w:p>
            <w:pPr>
              <w:pStyle w:val="Compact"/>
              <w:jc w:val="left"/>
            </w:pPr>
            <w:r>
              <w:t xml:space="preserve">Pass, pass with controls, redesign required, emergency provisional, excluded, escalated, or refused.</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5</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RLS / RippleLogic Score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Residual welfare ranking among selectable options.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Selection if decisive; if tied/close/non-decisive, apply tie-break rule or refuse deterministic selection.</w:t>
            </w:r>
          </w:p>
        </w:tc>
      </w:tr>
    </w:tbl>
    <w:bookmarkStart w:id="74" w:name="Xaf69c36162a7ef9d39e5207ee6d3bec00596b53"/>
    <w:p>
      <w:pPr>
        <w:pStyle w:val="Heading3"/>
        <w:keepNext/>
        <w:keepLines/>
        <w:pageBreakBefore w:val="0"/>
        <w:widowControl/>
      </w:pPr>
      <w:r>
        <w:rPr>
          <w:rFonts w:ascii="Arial" w:hAnsi="Arial" w:eastAsia="Arial"/>
          <w:b/>
          <w:color w:val="1F4E78"/>
        </w:rPr>
        <w:t xml:space="preserve">4.4A Structural Viability within CSV (Normative clarification)</w:t>
      </w:r>
    </w:p>
    <w:p>
      <w:pPr>
        <w:pStyle w:val="FirstParagraph"/>
        <w:widowControl/>
      </w:pPr>
      <w:r>
        <w:t xml:space="preserve">Structural Viability is explicit inside CSV, not a sixth public method level. It asks whether an option that otherwise passes Reality Grounding, NCRC, TRC, and containment integrity can structurally execute within the declared reality surface without undefined resource, dependency, reversibility, operational-capacity, or internal-contradiction failure.</w:t>
      </w:r>
    </w:p>
    <w:p>
      <w:pPr>
        <w:pStyle w:val="BodyText"/>
        <w:widowControl/>
      </w:pPr>
      <w:r>
        <w:t xml:space="preserve">Formal shorthand: RG/RSG -&gt; RF/NCRC -&gt; TRC -&gt; CSV -&gt; RLS. Where material, the CSV result includes Structural Viability status before any option enters RLS. An option may be ethically preferable as a redesign target while still failing current structural viability for execution. In that case, the option may be documented as SVC_DESIGN_TARGET or CSV_REDESIGN_REQUIRED, but it MUST NOT be claimed as currently selectable, executable, deployment-ready, or deterministically selected.</w:t>
      </w:r>
    </w:p>
    <w:p>
      <w:pPr>
        <w:pStyle w:val="BodyText"/>
        <w:widowControl/>
      </w:pPr>
      <w:r>
        <w:t xml:space="preserve">Non-import boundary. Structural Viability uses only MathGov-native records: resource declarations, dependency declarations, reversibility and endpoint status, operational limits, and contradiction checks. It MUST NOT import capacity/binding ontology, regime coordinates, hidden kernels, or undisclosed reference generators.</w:t>
      </w:r>
    </w:p>
    <w:bookmarkEnd w:id="74"/>
    <w:bookmarkEnd w:id="75"/>
    <w:bookmarkStart w:id="76" w:name="Xa05b142e76a23330ddc27b95b8466363c4a07e7"/>
    <w:p>
      <w:pPr>
        <w:pStyle w:val="Heading2"/>
        <w:keepNext/>
        <w:keepLines/>
        <w:pageBreakBefore w:val="0"/>
        <w:widowControl/>
      </w:pPr>
      <w:r>
        <w:rPr>
          <w:rFonts w:ascii="Arial" w:hAnsi="Arial" w:eastAsia="Arial"/>
          <w:b/>
          <w:color w:val="1F4E78"/>
        </w:rPr>
        <w:t xml:space="preserve">4.5 Cascade Gate Inputs and Outputs (Informative)</w:t>
      </w:r>
    </w:p>
    <w:p>
      <w:pPr>
        <w:pStyle w:val="FirstParagraph"/>
        <w:widowControl/>
      </w:pPr>
      <w:r>
        <w:t xml:space="preserve">This table summarizes what each gate consumes, what it produces, and what it may eliminate or flag. It is a fast correctness check for implementers.</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Gate / layer</w:t>
            </w:r>
          </w:p>
        </w:tc>
        <w:tc>
          <w:tcPr>
            <w:shd w:fill="1F4E78" w:val="clear"/>
            <w:tcMar>
              <w:top w:w="80" w:type="dxa"/>
              <w:start w:w="90" w:type="dxa"/>
              <w:bottom w:w="80" w:type="dxa"/>
              <w:end w:w="90" w:type="dxa"/>
            </w:tcMar>
          </w:tcPr>
          <w:p>
            <w:pPr>
              <w:pStyle w:val="Compact"/>
              <w:jc w:val="left"/>
            </w:pPr>
            <w:r>
              <w:rPr>
                <w:b/>
                <w:bCs/>
                <w:color w:val="FFFFFF"/>
              </w:rPr>
              <w:t xml:space="preserve">Consumes</w:t>
            </w:r>
          </w:p>
        </w:tc>
        <w:tc>
          <w:tcPr>
            <w:shd w:fill="1F4E78" w:val="clear"/>
            <w:tcMar>
              <w:top w:w="80" w:type="dxa"/>
              <w:start w:w="90" w:type="dxa"/>
              <w:bottom w:w="80" w:type="dxa"/>
              <w:end w:w="90" w:type="dxa"/>
            </w:tcMar>
          </w:tcPr>
          <w:p>
            <w:pPr>
              <w:pStyle w:val="Compact"/>
              <w:jc w:val="left"/>
            </w:pPr>
            <w:r>
              <w:rPr>
                <w:b/>
                <w:bCs/>
                <w:color w:val="FFFFFF"/>
              </w:rPr>
              <w:t xml:space="preserve">Produces</w:t>
            </w:r>
          </w:p>
        </w:tc>
        <w:tc>
          <w:tcPr>
            <w:shd w:fill="1F4E78" w:val="clear"/>
            <w:tcMar>
              <w:top w:w="80" w:type="dxa"/>
              <w:start w:w="90" w:type="dxa"/>
              <w:bottom w:w="80" w:type="dxa"/>
              <w:end w:w="90" w:type="dxa"/>
            </w:tcMar>
          </w:tcPr>
          <w:p>
            <w:pPr>
              <w:pStyle w:val="Compact"/>
              <w:jc w:val="left"/>
            </w:pPr>
            <w:r>
              <w:rPr>
                <w:b/>
                <w:bCs/>
                <w:color w:val="FFFFFF"/>
              </w:rPr>
              <w:t xml:space="preserve">Eliminates / flags</w:t>
            </w:r>
          </w:p>
        </w:tc>
      </w:tr>
      <w:tr>
        <w:trPr/>
        <w:tc>
          <w:tcPr>
            <w:tcMar>
              <w:top w:w="80" w:type="dxa"/>
              <w:start w:w="90" w:type="dxa"/>
              <w:bottom w:w="80" w:type="dxa"/>
              <w:end w:w="90" w:type="dxa"/>
            </w:tcMar>
            <w:shd w:fill="F7FBFF" w:val="clear"/>
          </w:tcPr>
          <w:p>
            <w:pPr>
              <w:pStyle w:val="Compact"/>
              <w:jc w:val="left"/>
            </w:pPr>
            <w:r>
              <w:t xml:space="preserve">Reality Grounding layer</w:t>
            </w:r>
          </w:p>
        </w:tc>
        <w:tc>
          <w:tcPr>
            <w:tcMar>
              <w:top w:w="80" w:type="dxa"/>
              <w:start w:w="90" w:type="dxa"/>
              <w:bottom w:w="80" w:type="dxa"/>
              <w:end w:w="90" w:type="dxa"/>
            </w:tcMar>
            <w:shd w:fill="F7FBFF" w:val="clear"/>
          </w:tcPr>
          <w:p>
            <w:pPr>
              <w:pStyle w:val="Compact"/>
              <w:jc w:val="left"/>
            </w:pPr>
            <w:r>
              <w:t xml:space="preserve">Reality surface, evidence trace, material unknowns, transition boundary, consequence pathways, claim boundary, and reviewer/evidence status where material.</w:t>
            </w:r>
          </w:p>
        </w:tc>
        <w:tc>
          <w:tcPr>
            <w:tcMar>
              <w:top w:w="80" w:type="dxa"/>
              <w:start w:w="90" w:type="dxa"/>
              <w:bottom w:w="80" w:type="dxa"/>
              <w:end w:w="90" w:type="dxa"/>
            </w:tcMar>
            <w:shd w:fill="F7FBFF" w:val="clear"/>
          </w:tcPr>
          <w:p>
            <w:pPr>
              <w:pStyle w:val="Compact"/>
              <w:jc w:val="left"/>
            </w:pPr>
            <w:r>
              <w:t xml:space="preserve">RealityGroundingStatus; claim boundary; refusal/escalation/narrowing disposition.</w:t>
            </w:r>
          </w:p>
        </w:tc>
        <w:tc>
          <w:tcPr>
            <w:tcMar>
              <w:top w:w="80" w:type="dxa"/>
              <w:start w:w="90" w:type="dxa"/>
              <w:bottom w:w="80" w:type="dxa"/>
              <w:end w:w="90" w:type="dxa"/>
            </w:tcMar>
            <w:shd w:fill="F7FBFF" w:val="clear"/>
          </w:tcPr>
          <w:p>
            <w:pPr>
              <w:pStyle w:val="Compact"/>
              <w:jc w:val="left"/>
            </w:pPr>
            <w:r>
              <w:t xml:space="preserve">Blocks, narrows, escalates, marks exploratory, or refuses claims that exceed the grounded surface; does not compare options as an admissibility gate.</w:t>
            </w:r>
          </w:p>
        </w:tc>
      </w:tr>
      <w:tr>
        <w:trPr/>
        <w:tc>
          <w:tcPr>
            <w:tcMar>
              <w:top w:w="80" w:type="dxa"/>
              <w:start w:w="90" w:type="dxa"/>
              <w:bottom w:w="80" w:type="dxa"/>
              <w:end w:w="90" w:type="dxa"/>
            </w:tcMar>
            <w:shd w:fill="D9EAF7" w:val="clear"/>
          </w:tcPr>
          <w:p>
            <w:pPr>
              <w:pStyle w:val="Compact"/>
              <w:jc w:val="left"/>
            </w:pPr>
            <w:r>
              <w:t xml:space="preserve">NCRC rights floor</w:t>
            </w:r>
          </w:p>
        </w:tc>
        <w:tc>
          <w:tcPr>
            <w:tcMar>
              <w:top w:w="80" w:type="dxa"/>
              <w:start w:w="90" w:type="dxa"/>
              <w:bottom w:w="80" w:type="dxa"/>
              <w:end w:w="90" w:type="dxa"/>
            </w:tcMar>
            <w:shd w:fill="D9EAF7" w:val="clear"/>
          </w:tcPr>
          <w:p>
            <w:pPr>
              <w:pStyle w:val="Compact"/>
              <w:jc w:val="left"/>
            </w:pPr>
            <w:r>
              <w:t>Rights-specific floor-channel impacts I_RF(u,d,a|g,r) and I_rights(u,d,a,r) for C_r; subgroup operator gamma where governed fallback is required; rights thresholds; categorical and severe-hazard records.</w:t>
            </w:r>
          </w:p>
        </w:tc>
        <w:tc>
          <w:tcPr>
            <w:tcMar>
              <w:top w:w="80" w:type="dxa"/>
              <w:start w:w="90" w:type="dxa"/>
              <w:bottom w:w="80" w:type="dxa"/>
              <w:end w:w="90" w:type="dxa"/>
            </w:tcMar>
            <w:shd w:fill="D9EAF7" w:val="clear"/>
          </w:tcPr>
          <w:p>
            <w:pPr>
              <w:pStyle w:val="Compact"/>
              <w:jc w:val="left"/>
            </w:pPr>
            <w:r>
              <w:t xml:space="preserve">rights_admissible(a) in {0,1}; violation depths v_r(a); redesign targets.</w:t>
            </w:r>
          </w:p>
        </w:tc>
        <w:tc>
          <w:tcPr>
            <w:tcMar>
              <w:top w:w="80" w:type="dxa"/>
              <w:start w:w="90" w:type="dxa"/>
              <w:bottom w:w="80" w:type="dxa"/>
              <w:end w:w="90" w:type="dxa"/>
            </w:tcMar>
            <w:shd w:fill="D9EAF7" w:val="clear"/>
          </w:tcPr>
          <w:p>
            <w:pPr>
              <w:pStyle w:val="Compact"/>
              <w:jc w:val="left"/>
            </w:pPr>
            <w:r>
              <w:t xml:space="preserve">Eliminates any option with v_r(a)&gt;0; flags RIGHTS_CELL_OMITTED_INVALID where required rights cells are omitted, excluded, or undisclosed.</w:t>
            </w:r>
          </w:p>
        </w:tc>
      </w:tr>
      <w:tr>
        <w:trPr/>
        <w:tc>
          <w:tcPr>
            <w:tcMar>
              <w:top w:w="80" w:type="dxa"/>
              <w:start w:w="90" w:type="dxa"/>
              <w:bottom w:w="80" w:type="dxa"/>
              <w:end w:w="90" w:type="dxa"/>
            </w:tcMar>
            <w:shd w:fill="F7FBFF" w:val="clear"/>
          </w:tcPr>
          <w:p>
            <w:pPr>
              <w:pStyle w:val="Compact"/>
              <w:jc w:val="left"/>
            </w:pPr>
            <w:r>
              <w:t xml:space="preserve">TRC tail-risk / CVaR</w:t>
            </w:r>
          </w:p>
        </w:tc>
        <w:tc>
          <w:tcPr>
            <w:tcMar>
              <w:top w:w="80" w:type="dxa"/>
              <w:start w:w="90" w:type="dxa"/>
              <w:bottom w:w="80" w:type="dxa"/>
              <w:end w:w="90" w:type="dxa"/>
            </w:tcMar>
            <w:shd w:fill="F7FBFF" w:val="clear"/>
          </w:tcPr>
          <w:p>
            <w:pPr>
              <w:pStyle w:val="Compact"/>
              <w:jc w:val="left"/>
            </w:pPr>
            <w:r>
              <w:t xml:space="preserve">Scenario set S with categories and floors; catastrophe loss proxy L(a,s) over C_cat; alpha; tau_TRC.</w:t>
            </w:r>
          </w:p>
        </w:tc>
        <w:tc>
          <w:tcPr>
            <w:tcMar>
              <w:top w:w="80" w:type="dxa"/>
              <w:start w:w="90" w:type="dxa"/>
              <w:bottom w:w="80" w:type="dxa"/>
              <w:end w:w="90" w:type="dxa"/>
            </w:tcMar>
            <w:shd w:fill="F7FBFF" w:val="clear"/>
          </w:tcPr>
          <w:p>
            <w:pPr>
              <w:pStyle w:val="Compact"/>
              <w:jc w:val="left"/>
            </w:pPr>
            <w:r>
              <w:t xml:space="preserve">TRC_pass(a) in {0,1}; CVaR_alpha[L(a)].</w:t>
            </w:r>
          </w:p>
        </w:tc>
        <w:tc>
          <w:tcPr>
            <w:tcMar>
              <w:top w:w="80" w:type="dxa"/>
              <w:start w:w="90" w:type="dxa"/>
              <w:bottom w:w="80" w:type="dxa"/>
              <w:end w:w="90" w:type="dxa"/>
            </w:tcMar>
            <w:shd w:fill="F7FBFF" w:val="clear"/>
          </w:tcPr>
          <w:p>
            <w:pPr>
              <w:pStyle w:val="Compact"/>
              <w:jc w:val="left"/>
            </w:pPr>
            <w:r>
              <w:t xml:space="preserve">Eliminates any option with CVaR_alpha &gt; tau_TRC; flags missing mandatory tail categories, probability floor violations, or omitted catastrophe cells.</w:t>
            </w:r>
          </w:p>
        </w:tc>
      </w:tr>
      <w:tr>
        <w:trPr/>
        <w:tc>
          <w:tcPr>
            <w:tcMar>
              <w:top w:w="80" w:type="dxa"/>
              <w:start w:w="90" w:type="dxa"/>
              <w:bottom w:w="80" w:type="dxa"/>
              <w:end w:w="90" w:type="dxa"/>
            </w:tcMar>
            <w:shd w:fill="D9EAF7" w:val="clear"/>
          </w:tcPr>
          <w:p>
            <w:pPr>
              <w:pStyle w:val="Compact"/>
              <w:jc w:val="left"/>
            </w:pPr>
            <w:r>
              <w:t xml:space="preserve">Containment system safety</w:t>
            </w:r>
          </w:p>
        </w:tc>
        <w:tc>
          <w:tcPr>
            <w:tcMar>
              <w:top w:w="80" w:type="dxa"/>
              <w:start w:w="90" w:type="dxa"/>
              <w:bottom w:w="80" w:type="dxa"/>
              <w:end w:w="90" w:type="dxa"/>
            </w:tcMar>
            <w:shd w:fill="D9EAF7" w:val="clear"/>
          </w:tcPr>
          <w:p>
            <w:pPr>
              <w:pStyle w:val="Compact"/>
              <w:jc w:val="left"/>
            </w:pPr>
            <w:r>
              <w:t xml:space="preserve">Containment triggers; structural posture thresholds; Delta UCI / HOI / Adaptive Reserve or equivalent diagnostics where material; reversibility and repair evidence.</w:t>
            </w:r>
          </w:p>
        </w:tc>
        <w:tc>
          <w:tcPr>
            <w:tcMar>
              <w:top w:w="80" w:type="dxa"/>
              <w:start w:w="90" w:type="dxa"/>
              <w:bottom w:w="80" w:type="dxa"/>
              <w:end w:w="90" w:type="dxa"/>
            </w:tcMar>
            <w:shd w:fill="D9EAF7" w:val="clear"/>
          </w:tcPr>
          <w:p>
            <w:pPr>
              <w:pStyle w:val="Compact"/>
              <w:jc w:val="left"/>
            </w:pPr>
            <w:r>
              <w:t xml:space="preserve">containment_pass(a) in {0,1}; containment posture notes; remediation plan if unavailable.</w:t>
            </w:r>
          </w:p>
        </w:tc>
        <w:tc>
          <w:tcPr>
            <w:tcMar>
              <w:top w:w="80" w:type="dxa"/>
              <w:start w:w="90" w:type="dxa"/>
              <w:bottom w:w="80" w:type="dxa"/>
              <w:end w:w="90" w:type="dxa"/>
            </w:tcMar>
            <w:shd w:fill="D9EAF7" w:val="clear"/>
          </w:tcPr>
          <w:p>
            <w:pPr>
              <w:pStyle w:val="Compact"/>
              <w:jc w:val="left"/>
            </w:pPr>
            <w:r>
              <w:t xml:space="preserve">Eliminates or escalates options failing containment; flags CONTAINMENT_STRUCTURAL_DIAGNOSTIC_UNAVAILABLE or CONTAINMENT_UCI_HOI_UNAVAILABLE when required evidence is missing.</w:t>
            </w:r>
          </w:p>
        </w:tc>
      </w:tr>
      <w:tr>
        <w:trPr/>
        <w:tc>
          <w:tcPr>
            <w:tcMar>
              <w:top w:w="80" w:type="dxa"/>
              <w:start w:w="90" w:type="dxa"/>
              <w:bottom w:w="80" w:type="dxa"/>
              <w:end w:w="90" w:type="dxa"/>
            </w:tcMar>
            <w:shd w:fill="F7FBFF" w:val="clear"/>
          </w:tcPr>
          <w:p>
            <w:pPr>
              <w:pStyle w:val="Compact"/>
              <w:jc w:val="left"/>
            </w:pPr>
            <w:r>
              <w:t xml:space="preserve">RLS welfare selection</w:t>
            </w:r>
          </w:p>
        </w:tc>
        <w:tc>
          <w:tcPr>
            <w:tcMar>
              <w:top w:w="80" w:type="dxa"/>
              <w:start w:w="90" w:type="dxa"/>
              <w:bottom w:w="80" w:type="dxa"/>
              <w:end w:w="90" w:type="dxa"/>
            </w:tcMar>
            <w:shd w:fill="F7FBFF" w:val="clear"/>
          </w:tcPr>
          <w:p>
            <w:pPr>
              <w:pStyle w:val="Compact"/>
              <w:jc w:val="left"/>
            </w:pPr>
            <w:r>
              <w:t xml:space="preserve">Active welfare cells, including rights-covered and catastrophe cells subject to non-maskable rules; weights w_u and v_d; applicability mask m(u,d); uncertainty proxies.</w:t>
            </w:r>
          </w:p>
        </w:tc>
        <w:tc>
          <w:tcPr>
            <w:tcMar>
              <w:top w:w="80" w:type="dxa"/>
              <w:start w:w="90" w:type="dxa"/>
              <w:bottom w:w="80" w:type="dxa"/>
              <w:end w:w="90" w:type="dxa"/>
            </w:tcMar>
            <w:shd w:fill="F7FBFF" w:val="clear"/>
          </w:tcPr>
          <w:p>
            <w:pPr>
              <w:pStyle w:val="Compact"/>
              <w:jc w:val="left"/>
            </w:pPr>
            <w:r>
              <w:t xml:space="preserve">RLS(a); Gap(a,b); welfare ranking over remaining options.</w:t>
            </w:r>
          </w:p>
        </w:tc>
        <w:tc>
          <w:tcPr>
            <w:tcMar>
              <w:top w:w="80" w:type="dxa"/>
              <w:start w:w="90" w:type="dxa"/>
              <w:bottom w:w="80" w:type="dxa"/>
              <w:end w:w="90" w:type="dxa"/>
            </w:tcMar>
            <w:shd w:fill="F7FBFF" w:val="clear"/>
          </w:tcPr>
          <w:p>
            <w:pPr>
              <w:pStyle w:val="Compact"/>
              <w:jc w:val="left"/>
            </w:pPr>
            <w:r>
              <w:t xml:space="preserve">Does not override NCRC/TRC/CSV; flags invalid masking of rights or catastrophe cells from RLS aggregation.</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Tie-break / monitoring diagnostics</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Residual UCI/HOI or equivalent structural indicators not already decisive for Containment; monitoring and hollowing documentation.</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Tie-break signal, monitoring warning, or future-run steering.</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Not a gate; may be used only when RLS is tied, close, uncertainty-overlapped, or non-decisive, or for monitoring. Cannot rescue earlier failure.</w:t>
            </w:r>
          </w:p>
        </w:tc>
      </w:tr>
    </w:tbl>
    <w:bookmarkEnd w:id="76"/>
    <w:bookmarkStart w:id="77" w:name="Xcae3556fca4228764eec849df0a48a50b69c0bb"/>
    <w:p>
      <w:pPr>
        <w:pStyle w:val="Heading2"/>
        <w:keepNext/>
        <w:keepLines/>
        <w:pageBreakBefore w:val="0"/>
        <w:widowControl/>
      </w:pPr>
      <w:r>
        <w:rPr>
          <w:rFonts w:ascii="Arial" w:hAnsi="Arial" w:eastAsia="Arial"/>
          <w:b/>
          <w:color w:val="1F4E78"/>
        </w:rPr>
        <w:t xml:space="preserve">4.6 End-to-End Algorithm (Tier 1-3 Executable) (Normative)</w:t>
      </w:r>
    </w:p>
    <w:p>
      <w:pPr>
        <w:pStyle w:val="FirstParagraph"/>
        <w:widowControl/>
      </w:pPr>
      <w:r>
        <w:t xml:space="preserve">Algorithm: RippleLogic_Run</w:t>
      </w:r>
    </w:p>
    <w:p>
      <w:pPr>
        <w:pStyle w:val="BodyText"/>
        <w:widowControl/>
      </w:pPr>
      <w:r>
        <w:t xml:space="preserve">Inputs, minimum: decision scope; baseline; option set O; union and dimension sets; weights; rights canon; TRC canon when required; containment parameters; propagation mode; kernel if used; scenario set where Tier-3 TRC is required.</w:t>
      </w:r>
    </w:p>
    <w:p>
      <w:pPr>
        <w:pStyle w:val="BodyText"/>
        <w:widowControl/>
      </w:pPr>
      <w:r>
        <w:t xml:space="preserve">Outputs: selected option a* or escalation, plus PCC.</w:t>
      </w:r>
    </w:p>
    <w:p>
      <w:pPr>
        <w:pStyle w:val="BodyText"/>
        <w:widowControl/>
      </w:pPr>
      <w:r>
        <w:t xml:space="preserve">Step 1: Reality Grounding and Notice. Record the decision question, scope boundary, time horizon, affected unions, and option set. Declare tier, configuration, reality surface, evidence trace, material unknowns, transition boundary, consequence pathways, claim boundary, and reference-structure requirements. If grounding is insufficient for a material claim, narrow, collect evidence, escalate, mark exploratory, or refuse the stronger claim before proceeding.</w:t>
      </w:r>
    </w:p>
    <w:p>
      <w:pPr>
        <w:pStyle w:val="BodyText"/>
        <w:widowControl/>
      </w:pPr>
      <w:r>
        <w:t xml:space="preserve">Step 2: Impact construction. For each option a, estimate direct impacts from impact instances; saturate into I_dir; propagate in NONE or QUICK to obtain I_prop; apply post-propagation saturation. Record uncertainty notes and missing-data penalties as required.</w:t>
      </w:r>
    </w:p>
    <w:p>
      <w:pPr>
        <w:pStyle w:val="BodyText"/>
        <w:widowControl/>
      </w:pPr>
      <w:r>
        <w:t xml:space="preserve">Step 3: NCRC gate. For rights-covered cells, compute worst-off subgroup impacts I_rights. Compute violation depths v_r(a). Options with any v_r(a) &gt; 0 fail NCRC. If the passing set is empty, invoke Emergency Mode.</w:t>
      </w:r>
    </w:p>
    <w:p>
      <w:pPr>
        <w:pStyle w:val="BodyText"/>
        <w:widowControl/>
      </w:pPr>
      <w:r>
        <w:t xml:space="preserve">Step 4: TRC gate. For each rights-admissible option, compute scenario losses L(a,s) over catastrophe cells and compute CVaR_alpha. Exclude options exceeding tau_TRC. If no option remains, invoke Tail Emergency Mode.</w:t>
      </w:r>
    </w:p>
    <w:p>
      <w:pPr>
        <w:pStyle w:val="BodyText"/>
        <w:widowControl/>
      </w:pPr>
      <w:r>
        <w:t xml:space="preserve">Step 5: CSV gate. For each NCRC/TRC-admissible option, apply the containment predicate using required containing-scope, structural posture, reversibility, repair, and evidence-availability inputs. Where UCI, HOI, Adaptive Reserve, lock-in, hollowing, trust erosion, ecological degradation, governance-capacity loss, or related structural diagnostics are material to cross-scale structural integrity, evaluate those diagnostics inside CSV before RLS. If required structural diagnostic evidence is unavailable, downgrade, collect evidence, rerun, escalate, refuse the stronger claim, or record a permitted waiver where the applicable tier permits waiver.</w:t>
      </w:r>
    </w:p>
    <w:p>
      <w:pPr>
        <w:pStyle w:val="BodyText"/>
        <w:widowControl/>
      </w:pPr>
      <w:r>
        <w:t xml:space="preserve">Step 6: RLS ranking. Compute RLS(a) only for selectable options. Compute uncertainty and apply the discrimination rule where required. If decisive, select the top option.</w:t>
      </w:r>
    </w:p>
    <w:p>
      <w:pPr>
        <w:pStyle w:val="BodyText"/>
        <w:widowControl/>
      </w:pPr>
      <w:r>
        <w:t xml:space="preserve">Step 7: Special-case tie-break / non-decisive handling. If RLS is tied, close, uncertainty-overlapped, or otherwise non-decisive, compare only options already in the selectable set. Apply residual UCI/HOI only as tie-break, monitoring, or hollowing-risk documentation. Do not reopen NCRC, TRC, or CSV. Do not use residual UCI/HOI to rescue failed Containment or compensate for missing containment evidence. If still non-decisive, return REFUSE_DETERMINISTIC_SELECTION, escalate, or record authorized judgment through the proper AuthoritySelectionRecord.</w:t>
      </w:r>
    </w:p>
    <w:p>
      <w:pPr>
        <w:pStyle w:val="BodyText"/>
        <w:widowControl/>
      </w:pPr>
      <w:r>
        <w:t xml:space="preserve">Step 8: Emit PCC. Record inputs, intermediate computations, gate results, sensitivity outputs where required, ReferenceStructureRecord where required, refusal record if applicable, and public rationale.</w:t>
      </w:r>
    </w:p>
    <w:bookmarkEnd w:id="77"/>
    <w:bookmarkStart w:id="78" w:name="Xc35172540d91b1558e578c8e19341acf8d8312b"/>
    <w:p>
      <w:pPr>
        <w:pStyle w:val="Heading2"/>
        <w:keepNext/>
        <w:keepLines/>
        <w:pageBreakBefore w:val="0"/>
        <w:widowControl/>
      </w:pPr>
      <w:r>
        <w:rPr>
          <w:rFonts w:ascii="Arial" w:hAnsi="Arial" w:eastAsia="Arial"/>
          <w:b/>
          <w:color w:val="1F4E78"/>
        </w:rPr>
        <w:t xml:space="preserve">4.7 Canonical 49-Cell Reference Table (v10.6+; Informative)</w:t>
      </w:r>
    </w:p>
    <w:p>
      <w:pPr>
        <w:pStyle w:val="FirstParagraph"/>
        <w:widowControl/>
      </w:pPr>
      <w:r>
        <w:t xml:space="preserve">Each cell in the 7×7 welfare matrix represents a distinct accountability domain. The table below provides a compact one-line meaning for each cell to support comprehension and consistent interpretation across implementations. The table is informative; the governing equations and rules remain in the relevant normative sections and appendices.</w:t>
      </w:r>
    </w:p>
    <w:p>
      <w:pPr>
        <w:pStyle w:val="BodyText"/>
        <w:widowControl/>
      </w:pPr>
      <w:r>
        <w:t xml:space="preserve">Interpretive note. This table gives the compact canonical grid. Appendix AD provides the expanded 49-cell Welfare Dictionary, including plain meanings, positive and negative movement, indicator examples, possible gate relevance, examples, and reviewer checks. Appendix AD does not change the cascade, equations, rights thresholds, TRC mechanics, Containment semantics, RLS formula, HDW, SGP, PCC, RSP/RefStructRecord, or claim boundaries. It governs scoring interpretation and reviewer literacy.</w:t>
      </w:r>
    </w:p>
    <w:tbl>
      <w:tblPr>
        <w:tblStyle w:val="Table"/>
        <w:tblW w:type="pct" w:w="5000"/>
        <w:jc w:val="left"/>
        <w:tblLook w:firstRow="1" w:lastRow="0" w:firstColumn="0" w:lastColumn="0" w:noHBand="0" w:noVBand="0" w:val="0020"/>
        <w:tblInd w:type="dxa" w:w="0"/>
      </w:tblPr>
      <w:tblGrid>
        <w:gridCol w:w="990"/>
        <w:gridCol w:w="990"/>
        <w:gridCol w:w="990"/>
        <w:gridCol w:w="990"/>
        <w:gridCol w:w="990"/>
        <w:gridCol w:w="990"/>
        <w:gridCol w:w="990"/>
        <w:gridCol w:w="990"/>
      </w:tblGrid>
      <w:tr>
        <w:trPr>
          <w:tblHeader w:val="on"/>
        </w:trPr>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Union / Dimension</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D1 Material</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D2 Health</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D3 Social</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D4 Knowledge</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D5 Agency</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D6 Meaning</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D7 Environment</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U1 Self</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personal resources</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personal health and safety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personal relationships and cohesion</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personal knowledge and learning</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personal agency and autonomy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personal meaning and purpose</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personal environmental conditions</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U2 Household</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household resources</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household health and safety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household relationships and cohesion</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household knowledge and learning</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household agency and autonomy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household meaning and purpose</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household environmental conditions</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U3 Community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community resources</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community health and safety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community relationships and cohesion</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community knowledge and learning</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community agency and autonomy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community meaning and purpose</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community environmental conditions</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U4 Organization</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organizational resources</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organizational health and safety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organizational relationships and cohesion</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organizational knowledge and learning</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organizational agency and autonomy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organizational meaning and purpose</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organizational environmental conditions</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U5 Polity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polity/public resources</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polity/public health and safety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polity/public relationships and cohesion</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polity/public knowledge and learning</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polity/public agency and autonomy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polity/public meaning and purpose</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polity/public environmental conditions</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U6 Humanity / Global Coordination</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humanity-wide resources</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humanity-wide health and safety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humanity-wide relationships and cohesion</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humanity-wide knowledge and learning</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humanity-wide agency and autonomy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humanity-wide meaning and purpose</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humanity-wide environmental conditions</w:t>
            </w:r>
          </w:p>
        </w:tc>
      </w:tr>
      <w:tr>
        <w:trPr/>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U7 Biosphere</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biospheric resources</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biospheric health and safety</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biospheric relationships and cohesion</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biospheric knowledge and learning</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Resilience Capacity</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Life Continuity</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biospheric environmental conditions</w:t>
            </w:r>
          </w:p>
        </w:tc>
      </w:tr>
    </w:tbl>
    <w:p>
      <w:pPr>
        <w:pStyle w:val="BodyText"/>
        <w:widowControl/>
      </w:pPr>
      <w:r>
        <w:t xml:space="preserve">Release packaging rule (v10.6+). Every public release PDF MUST include this 49-cell table and the stakeholder-to-scope examples table below, either in Section 4 or in a dedicated reference-table appendix that is directly linked from Section 4.</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Scenario</w:t>
            </w:r>
          </w:p>
        </w:tc>
        <w:tc>
          <w:tcPr>
            <w:shd w:fill="1F4E78" w:val="clear"/>
            <w:tcMar>
              <w:top w:w="80" w:type="dxa"/>
              <w:start w:w="90" w:type="dxa"/>
              <w:bottom w:w="80" w:type="dxa"/>
              <w:end w:w="90" w:type="dxa"/>
            </w:tcMar>
          </w:tcPr>
          <w:p>
            <w:pPr>
              <w:pStyle w:val="Compact"/>
              <w:jc w:val="left"/>
            </w:pPr>
            <w:r>
              <w:rPr>
                <w:b/>
                <w:bCs/>
                <w:color w:val="FFFFFF"/>
              </w:rPr>
              <w:t xml:space="preserve">Primary scope logging</w:t>
            </w:r>
          </w:p>
        </w:tc>
        <w:tc>
          <w:tcPr>
            <w:shd w:fill="1F4E78" w:val="clear"/>
            <w:tcMar>
              <w:top w:w="80" w:type="dxa"/>
              <w:start w:w="90" w:type="dxa"/>
              <w:bottom w:w="80" w:type="dxa"/>
              <w:end w:w="90" w:type="dxa"/>
            </w:tcMar>
          </w:tcPr>
          <w:p>
            <w:pPr>
              <w:pStyle w:val="Compact"/>
              <w:jc w:val="left"/>
            </w:pPr>
            <w:r>
              <w:rPr>
                <w:b/>
                <w:bCs/>
                <w:color w:val="FFFFFF"/>
              </w:rPr>
              <w:t xml:space="preserve">Secondary / cross-scope impacts</w:t>
            </w:r>
          </w:p>
        </w:tc>
        <w:tc>
          <w:tcPr>
            <w:shd w:fill="1F4E78" w:val="clear"/>
            <w:tcMar>
              <w:top w:w="80" w:type="dxa"/>
              <w:start w:w="90" w:type="dxa"/>
              <w:bottom w:w="80" w:type="dxa"/>
              <w:end w:w="90" w:type="dxa"/>
            </w:tcMar>
          </w:tcPr>
          <w:p>
            <w:pPr>
              <w:pStyle w:val="Compact"/>
              <w:jc w:val="left"/>
            </w:pPr>
            <w:r>
              <w:rPr>
                <w:b/>
                <w:bCs/>
                <w:color w:val="FFFFFF"/>
              </w:rPr>
              <w:t xml:space="preserve">Redundancy handling note</w:t>
            </w:r>
          </w:p>
        </w:tc>
      </w:tr>
      <w:tr>
        <w:trPr/>
        <w:tc>
          <w:tcPr>
            <w:tcMar>
              <w:top w:w="80" w:type="dxa"/>
              <w:start w:w="90" w:type="dxa"/>
              <w:bottom w:w="80" w:type="dxa"/>
              <w:end w:w="90" w:type="dxa"/>
            </w:tcMar>
            <w:shd w:fill="F7FBFF" w:val="clear"/>
          </w:tcPr>
          <w:p>
            <w:pPr>
              <w:pStyle w:val="Compact"/>
              <w:jc w:val="left"/>
            </w:pPr>
            <w:r>
              <w:t xml:space="preserve">Parent transfers $100 to adult child.</w:t>
            </w:r>
          </w:p>
        </w:tc>
        <w:tc>
          <w:tcPr>
            <w:tcMar>
              <w:top w:w="80" w:type="dxa"/>
              <w:start w:w="90" w:type="dxa"/>
              <w:bottom w:w="80" w:type="dxa"/>
              <w:end w:w="90" w:type="dxa"/>
            </w:tcMar>
            <w:shd w:fill="F7FBFF" w:val="clear"/>
          </w:tcPr>
          <w:p>
            <w:pPr>
              <w:pStyle w:val="Compact"/>
              <w:jc w:val="left"/>
            </w:pPr>
            <w:r>
              <w:t xml:space="preserve">Recipient: U2 Household (child household) x D1 Material.</w:t>
            </w:r>
          </w:p>
        </w:tc>
        <w:tc>
          <w:tcPr>
            <w:tcMar>
              <w:top w:w="80" w:type="dxa"/>
              <w:start w:w="90" w:type="dxa"/>
              <w:bottom w:w="80" w:type="dxa"/>
              <w:end w:w="90" w:type="dxa"/>
            </w:tcMar>
            <w:shd w:fill="F7FBFF" w:val="clear"/>
          </w:tcPr>
          <w:p>
            <w:pPr>
              <w:pStyle w:val="Compact"/>
              <w:jc w:val="left"/>
            </w:pPr>
            <w:r>
              <w:t xml:space="preserve">Sender household reduced resources, U2 x D1; governance/admin impacts logged separately if applicable.</w:t>
            </w:r>
          </w:p>
        </w:tc>
        <w:tc>
          <w:tcPr>
            <w:tcMar>
              <w:top w:w="80" w:type="dxa"/>
              <w:start w:w="90" w:type="dxa"/>
              <w:bottom w:w="80" w:type="dxa"/>
              <w:end w:w="90" w:type="dxa"/>
            </w:tcMar>
            <w:shd w:fill="F7FBFF" w:val="clear"/>
          </w:tcPr>
          <w:p>
            <w:pPr>
              <w:pStyle w:val="Compact"/>
              <w:jc w:val="left"/>
            </w:pPr>
            <w:r>
              <w:t xml:space="preserve">DEDUPLICATION: log the transfer effect-token once; do not create a second impact instance for the same token.</w:t>
            </w:r>
          </w:p>
        </w:tc>
      </w:tr>
      <w:tr>
        <w:trPr/>
        <w:tc>
          <w:tcPr>
            <w:tcMar>
              <w:top w:w="80" w:type="dxa"/>
              <w:start w:w="90" w:type="dxa"/>
              <w:bottom w:w="80" w:type="dxa"/>
              <w:end w:w="90" w:type="dxa"/>
            </w:tcMar>
            <w:shd w:fill="D9EAF7" w:val="clear"/>
          </w:tcPr>
          <w:p>
            <w:pPr>
              <w:pStyle w:val="Compact"/>
              <w:jc w:val="left"/>
            </w:pPr>
            <w:r>
              <w:t xml:space="preserve">City spends $1M on public hospital upgrades.</w:t>
            </w:r>
          </w:p>
        </w:tc>
        <w:tc>
          <w:tcPr>
            <w:tcMar>
              <w:top w:w="80" w:type="dxa"/>
              <w:start w:w="90" w:type="dxa"/>
              <w:bottom w:w="80" w:type="dxa"/>
              <w:end w:w="90" w:type="dxa"/>
            </w:tcMar>
            <w:shd w:fill="D9EAF7" w:val="clear"/>
          </w:tcPr>
          <w:p>
            <w:pPr>
              <w:pStyle w:val="Compact"/>
              <w:jc w:val="left"/>
            </w:pPr>
            <w:r>
              <w:t xml:space="preserve">Community: U3 Community x D2 Health.</w:t>
            </w:r>
          </w:p>
        </w:tc>
        <w:tc>
          <w:tcPr>
            <w:tcMar>
              <w:top w:w="80" w:type="dxa"/>
              <w:start w:w="90" w:type="dxa"/>
              <w:bottom w:w="80" w:type="dxa"/>
              <w:end w:w="90" w:type="dxa"/>
            </w:tcMar>
            <w:shd w:fill="D9EAF7" w:val="clear"/>
          </w:tcPr>
          <w:p>
            <w:pPr>
              <w:pStyle w:val="Compact"/>
              <w:jc w:val="left"/>
            </w:pPr>
            <w:r>
              <w:t xml:space="preserve">Households benefit; polity accountability impacts may exist.</w:t>
            </w:r>
          </w:p>
        </w:tc>
        <w:tc>
          <w:tcPr>
            <w:tcMar>
              <w:top w:w="80" w:type="dxa"/>
              <w:start w:w="90" w:type="dxa"/>
              <w:bottom w:w="80" w:type="dxa"/>
              <w:end w:w="90" w:type="dxa"/>
            </w:tcMar>
            <w:shd w:fill="D9EAF7" w:val="clear"/>
          </w:tcPr>
          <w:p>
            <w:pPr>
              <w:pStyle w:val="Compact"/>
              <w:jc w:val="left"/>
            </w:pPr>
            <w:r>
              <w:t xml:space="preserve">ALLOCATION if the same investment benefits multiple scopes; record effect-tokens and coefficients.</w:t>
            </w:r>
          </w:p>
        </w:tc>
      </w:tr>
      <w:tr>
        <w:trPr/>
        <w:tc>
          <w:tcPr>
            <w:tcMar>
              <w:top w:w="80" w:type="dxa"/>
              <w:start w:w="90" w:type="dxa"/>
              <w:bottom w:w="80" w:type="dxa"/>
              <w:end w:w="90" w:type="dxa"/>
            </w:tcMar>
            <w:shd w:fill="F7FBFF" w:val="clear"/>
          </w:tcPr>
          <w:p>
            <w:pPr>
              <w:pStyle w:val="Compact"/>
              <w:jc w:val="left"/>
            </w:pPr>
            <w:r>
              <w:t xml:space="preserve">National carbon tax: estimated 60% benefit to biosphere, 40% to Humanity / Global Coordination.</w:t>
            </w:r>
          </w:p>
        </w:tc>
        <w:tc>
          <w:tcPr>
            <w:tcMar>
              <w:top w:w="80" w:type="dxa"/>
              <w:start w:w="90" w:type="dxa"/>
              <w:bottom w:w="80" w:type="dxa"/>
              <w:end w:w="90" w:type="dxa"/>
            </w:tcMar>
            <w:shd w:fill="F7FBFF" w:val="clear"/>
          </w:tcPr>
          <w:p>
            <w:pPr>
              <w:pStyle w:val="Compact"/>
              <w:jc w:val="left"/>
            </w:pPr>
            <w:r>
              <w:t xml:space="preserve">Allocate the policy benefit token across U7 and U6 with coefficients 0.6 and 0.4.</w:t>
            </w:r>
          </w:p>
        </w:tc>
        <w:tc>
          <w:tcPr>
            <w:tcMar>
              <w:top w:w="80" w:type="dxa"/>
              <w:start w:w="90" w:type="dxa"/>
              <w:bottom w:w="80" w:type="dxa"/>
              <w:end w:w="90" w:type="dxa"/>
            </w:tcMar>
            <w:shd w:fill="F7FBFF" w:val="clear"/>
          </w:tcPr>
          <w:p>
            <w:pPr>
              <w:pStyle w:val="Compact"/>
              <w:jc w:val="left"/>
            </w:pPr>
            <w:r>
              <w:t xml:space="preserve">Polity administrative burden and compliance costs logged as distinct impacts.</w:t>
            </w:r>
          </w:p>
        </w:tc>
        <w:tc>
          <w:tcPr>
            <w:tcMar>
              <w:top w:w="80" w:type="dxa"/>
              <w:start w:w="90" w:type="dxa"/>
              <w:bottom w:w="80" w:type="dxa"/>
              <w:end w:w="90" w:type="dxa"/>
            </w:tcMar>
            <w:shd w:fill="F7FBFF" w:val="clear"/>
          </w:tcPr>
          <w:p>
            <w:pPr>
              <w:pStyle w:val="Compact"/>
              <w:jc w:val="left"/>
            </w:pPr>
            <w:r>
              <w:t xml:space="preserve">ALLOCATION: explicit coefficients; no allocation laundering.</w:t>
            </w:r>
          </w:p>
        </w:tc>
      </w:tr>
      <w:tr>
        <w:trPr/>
        <w:tc>
          <w:tcPr>
            <w:tcMar>
              <w:top w:w="80" w:type="dxa"/>
              <w:start w:w="90" w:type="dxa"/>
              <w:bottom w:w="80" w:type="dxa"/>
              <w:end w:w="90" w:type="dxa"/>
            </w:tcMar>
            <w:shd w:fill="D9EAF7" w:val="clear"/>
          </w:tcPr>
          <w:p>
            <w:pPr>
              <w:pStyle w:val="Compact"/>
              <w:jc w:val="left"/>
            </w:pPr>
            <w:r>
              <w:t xml:space="preserve">Factory emissions affect local residents and ecosystem.</w:t>
            </w:r>
          </w:p>
        </w:tc>
        <w:tc>
          <w:tcPr>
            <w:tcMar>
              <w:top w:w="80" w:type="dxa"/>
              <w:start w:w="90" w:type="dxa"/>
              <w:bottom w:w="80" w:type="dxa"/>
              <w:end w:w="90" w:type="dxa"/>
            </w:tcMar>
            <w:shd w:fill="D9EAF7" w:val="clear"/>
          </w:tcPr>
          <w:p>
            <w:pPr>
              <w:pStyle w:val="Compact"/>
              <w:jc w:val="left"/>
            </w:pPr>
            <w:r>
              <w:t xml:space="preserve">Local health harm to residents: U3 Community x D2 Health.</w:t>
            </w:r>
          </w:p>
        </w:tc>
        <w:tc>
          <w:tcPr>
            <w:tcMar>
              <w:top w:w="80" w:type="dxa"/>
              <w:start w:w="90" w:type="dxa"/>
              <w:bottom w:w="80" w:type="dxa"/>
              <w:end w:w="90" w:type="dxa"/>
            </w:tcMar>
            <w:shd w:fill="D9EAF7" w:val="clear"/>
          </w:tcPr>
          <w:p>
            <w:pPr>
              <w:pStyle w:val="Compact"/>
              <w:jc w:val="left"/>
            </w:pPr>
            <w:r>
              <w:t xml:space="preserve">Ecosystem degradation: U7 Biosphere x D7 Environment.</w:t>
            </w:r>
          </w:p>
        </w:tc>
        <w:tc>
          <w:tcPr>
            <w:tcMar>
              <w:top w:w="80" w:type="dxa"/>
              <w:start w:w="90" w:type="dxa"/>
              <w:bottom w:w="80" w:type="dxa"/>
              <w:end w:w="90" w:type="dxa"/>
            </w:tcMar>
            <w:shd w:fill="D9EAF7" w:val="clear"/>
          </w:tcPr>
          <w:p>
            <w:pPr>
              <w:pStyle w:val="Compact"/>
              <w:jc w:val="left"/>
            </w:pPr>
            <w:r>
              <w:t xml:space="preserve">EMERGENT_SCALE_JUSTIFICATION: different mechanisms at different scales, not duplicate counting.</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River communities 50km downstream affected by discharge.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Downstream residents: U3 Community, separate instance from factory-neighbor community.</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Potential rights exposure flagged through stakeholder discovery.</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SDP externality detection: omission-likely stakeholder class logged separately.</w:t>
            </w:r>
          </w:p>
        </w:tc>
      </w:tr>
    </w:tbl>
    <w:bookmarkEnd w:id="78"/>
    <w:bookmarkStart w:id="79" w:name="Xd5bfba8efa5c3d21daef2dd19aa9fec3c12185b"/>
    <w:p>
      <w:pPr>
        <w:pStyle w:val="Heading2"/>
        <w:keepNext/>
        <w:keepLines/>
        <w:pageBreakBefore w:val="0"/>
        <w:widowControl/>
      </w:pPr>
      <w:r>
        <w:rPr>
          <w:rFonts w:ascii="Arial" w:hAnsi="Arial" w:eastAsia="Arial"/>
          <w:b/>
          <w:color w:val="1F4E78"/>
        </w:rPr>
        <w:t xml:space="preserve">4.8 Implementation Tiers (Normative Summary)</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Requirement</w:t>
            </w:r>
          </w:p>
        </w:tc>
        <w:tc>
          <w:tcPr>
            <w:shd w:fill="1F4E78" w:val="clear"/>
            <w:tcMar>
              <w:top w:w="80" w:type="dxa"/>
              <w:start w:w="90" w:type="dxa"/>
              <w:bottom w:w="80" w:type="dxa"/>
              <w:end w:w="90" w:type="dxa"/>
            </w:tcMar>
          </w:tcPr>
          <w:p>
            <w:pPr>
              <w:pStyle w:val="Compact"/>
              <w:jc w:val="left"/>
            </w:pPr>
            <w:r>
              <w:rPr>
                <w:b/>
                <w:bCs/>
                <w:color w:val="FFFFFF"/>
              </w:rPr>
              <w:t xml:space="preserve">Tier 1 Heuristic</w:t>
            </w:r>
          </w:p>
        </w:tc>
        <w:tc>
          <w:tcPr>
            <w:shd w:fill="1F4E78" w:val="clear"/>
            <w:tcMar>
              <w:top w:w="80" w:type="dxa"/>
              <w:start w:w="90" w:type="dxa"/>
              <w:bottom w:w="80" w:type="dxa"/>
              <w:end w:w="90" w:type="dxa"/>
            </w:tcMar>
          </w:tcPr>
          <w:p>
            <w:pPr>
              <w:pStyle w:val="Compact"/>
              <w:jc w:val="left"/>
            </w:pPr>
            <w:r>
              <w:rPr>
                <w:b/>
                <w:bCs/>
                <w:color w:val="FFFFFF"/>
              </w:rPr>
              <w:t xml:space="preserve">Tier 2 Core</w:t>
            </w:r>
          </w:p>
        </w:tc>
        <w:tc>
          <w:tcPr>
            <w:shd w:fill="1F4E78" w:val="clear"/>
            <w:tcMar>
              <w:top w:w="80" w:type="dxa"/>
              <w:start w:w="90" w:type="dxa"/>
              <w:bottom w:w="80" w:type="dxa"/>
              <w:end w:w="90" w:type="dxa"/>
            </w:tcMar>
          </w:tcPr>
          <w:p>
            <w:pPr>
              <w:pStyle w:val="Compact"/>
              <w:jc w:val="left"/>
            </w:pPr>
            <w:r>
              <w:rPr>
                <w:b/>
                <w:bCs/>
                <w:color w:val="FFFFFF"/>
              </w:rPr>
              <w:t xml:space="preserve">Tier 3 Auditable</w:t>
            </w:r>
          </w:p>
        </w:tc>
      </w:tr>
      <w:tr>
        <w:trPr/>
        <w:tc>
          <w:tcPr>
            <w:tcMar>
              <w:top w:w="80" w:type="dxa"/>
              <w:start w:w="90" w:type="dxa"/>
              <w:bottom w:w="80" w:type="dxa"/>
              <w:end w:w="90" w:type="dxa"/>
            </w:tcMar>
            <w:shd w:fill="F7FBFF" w:val="clear"/>
          </w:tcPr>
          <w:p>
            <w:pPr>
              <w:pStyle w:val="Compact"/>
              <w:jc w:val="left"/>
            </w:pPr>
            <w:r>
              <w:t xml:space="preserve">NCRC</w:t>
            </w:r>
          </w:p>
        </w:tc>
        <w:tc>
          <w:tcPr>
            <w:tcMar>
              <w:top w:w="80" w:type="dxa"/>
              <w:start w:w="90" w:type="dxa"/>
              <w:bottom w:w="80" w:type="dxa"/>
              <w:end w:w="90" w:type="dxa"/>
            </w:tcMar>
            <w:shd w:fill="F7FBFF" w:val="clear"/>
          </w:tcPr>
          <w:p>
            <w:pPr>
              <w:pStyle w:val="Compact"/>
              <w:jc w:val="left"/>
            </w:pPr>
            <w:r>
              <w:t xml:space="preserve">Heuristic</w:t>
            </w:r>
          </w:p>
        </w:tc>
        <w:tc>
          <w:tcPr>
            <w:tcMar>
              <w:top w:w="80" w:type="dxa"/>
              <w:start w:w="90" w:type="dxa"/>
              <w:bottom w:w="80" w:type="dxa"/>
              <w:end w:w="90" w:type="dxa"/>
            </w:tcMar>
            <w:shd w:fill="F7FBFF" w:val="clear"/>
          </w:tcPr>
          <w:p>
            <w:pPr>
              <w:pStyle w:val="Compact"/>
              <w:jc w:val="left"/>
            </w:pPr>
            <w:r>
              <w:t xml:space="preserve">REQUIRED</w:t>
            </w:r>
          </w:p>
        </w:tc>
        <w:tc>
          <w:tcPr>
            <w:tcMar>
              <w:top w:w="80" w:type="dxa"/>
              <w:start w:w="90" w:type="dxa"/>
              <w:bottom w:w="80" w:type="dxa"/>
              <w:end w:w="90" w:type="dxa"/>
            </w:tcMar>
            <w:shd w:fill="F7FBFF" w:val="clear"/>
          </w:tcPr>
          <w:p>
            <w:pPr>
              <w:pStyle w:val="Compact"/>
              <w:jc w:val="left"/>
            </w:pPr>
            <w:r>
              <w:t xml:space="preserve">REQUIRED with subgroup semantics</w:t>
            </w:r>
          </w:p>
        </w:tc>
      </w:tr>
      <w:tr>
        <w:trPr/>
        <w:tc>
          <w:tcPr>
            <w:tcMar>
              <w:top w:w="80" w:type="dxa"/>
              <w:start w:w="90" w:type="dxa"/>
              <w:bottom w:w="80" w:type="dxa"/>
              <w:end w:w="90" w:type="dxa"/>
            </w:tcMar>
            <w:shd w:fill="D9EAF7" w:val="clear"/>
          </w:tcPr>
          <w:p>
            <w:pPr>
              <w:pStyle w:val="Compact"/>
              <w:jc w:val="left"/>
            </w:pPr>
            <w:r>
              <w:t xml:space="preserve">TRC</w:t>
            </w:r>
          </w:p>
        </w:tc>
        <w:tc>
          <w:tcPr>
            <w:tcMar>
              <w:top w:w="80" w:type="dxa"/>
              <w:start w:w="90" w:type="dxa"/>
              <w:bottom w:w="80" w:type="dxa"/>
              <w:end w:w="90" w:type="dxa"/>
            </w:tcMar>
            <w:shd w:fill="D9EAF7" w:val="clear"/>
          </w:tcPr>
          <w:p>
            <w:pPr>
              <w:pStyle w:val="Compact"/>
              <w:jc w:val="left"/>
            </w:pPr>
            <w:r>
              <w:t xml:space="preserve">Optional qualitative screen</w:t>
            </w:r>
          </w:p>
        </w:tc>
        <w:tc>
          <w:tcPr>
            <w:tcMar>
              <w:top w:w="80" w:type="dxa"/>
              <w:start w:w="90" w:type="dxa"/>
              <w:bottom w:w="80" w:type="dxa"/>
              <w:end w:w="90" w:type="dxa"/>
            </w:tcMar>
            <w:shd w:fill="D9EAF7" w:val="clear"/>
          </w:tcPr>
          <w:p>
            <w:pPr>
              <w:pStyle w:val="Compact"/>
              <w:jc w:val="left"/>
            </w:pPr>
            <w:r>
              <w:t xml:space="preserve">REQUIRED when catastrophe relevance is plausible</w:t>
            </w:r>
          </w:p>
        </w:tc>
        <w:tc>
          <w:tcPr>
            <w:tcMar>
              <w:top w:w="80" w:type="dxa"/>
              <w:start w:w="90" w:type="dxa"/>
              <w:bottom w:w="80" w:type="dxa"/>
              <w:end w:w="90" w:type="dxa"/>
            </w:tcMar>
            <w:shd w:fill="D9EAF7" w:val="clear"/>
          </w:tcPr>
          <w:p>
            <w:pPr>
              <w:pStyle w:val="Compact"/>
              <w:jc w:val="left"/>
            </w:pPr>
            <w:r>
              <w:t xml:space="preserve">REQUIRED</w:t>
            </w:r>
          </w:p>
        </w:tc>
      </w:tr>
      <w:tr>
        <w:trPr/>
        <w:tc>
          <w:tcPr>
            <w:tcMar>
              <w:top w:w="80" w:type="dxa"/>
              <w:start w:w="90" w:type="dxa"/>
              <w:bottom w:w="80" w:type="dxa"/>
              <w:end w:w="90" w:type="dxa"/>
            </w:tcMar>
            <w:shd w:fill="F7FBFF" w:val="clear"/>
          </w:tcPr>
          <w:p>
            <w:pPr>
              <w:pStyle w:val="Compact"/>
              <w:jc w:val="left"/>
            </w:pPr>
            <w:r>
              <w:t xml:space="preserve">Scenario set size</w:t>
            </w:r>
          </w:p>
        </w:tc>
        <w:tc>
          <w:tcPr>
            <w:tcMar>
              <w:top w:w="80" w:type="dxa"/>
              <w:start w:w="90" w:type="dxa"/>
              <w:bottom w:w="80" w:type="dxa"/>
              <w:end w:w="90" w:type="dxa"/>
            </w:tcMar>
            <w:shd w:fill="F7FBFF" w:val="clear"/>
          </w:tcPr>
          <w:p>
            <w:pPr>
              <w:pStyle w:val="Compact"/>
              <w:jc w:val="left"/>
            </w:pPr>
            <w:r>
              <w:t xml:space="preserve">N/A</w:t>
            </w:r>
          </w:p>
        </w:tc>
        <w:tc>
          <w:tcPr>
            <w:tcMar>
              <w:top w:w="80" w:type="dxa"/>
              <w:start w:w="90" w:type="dxa"/>
              <w:bottom w:w="80" w:type="dxa"/>
              <w:end w:w="90" w:type="dxa"/>
            </w:tcMar>
            <w:shd w:fill="F7FBFF" w:val="clear"/>
          </w:tcPr>
          <w:p>
            <w:pPr>
              <w:pStyle w:val="Compact"/>
              <w:jc w:val="left"/>
            </w:pPr>
            <w:r>
              <w:t xml:space="preserve">5 minimum</w:t>
            </w:r>
          </w:p>
        </w:tc>
        <w:tc>
          <w:tcPr>
            <w:tcMar>
              <w:top w:w="80" w:type="dxa"/>
              <w:start w:w="90" w:type="dxa"/>
              <w:bottom w:w="80" w:type="dxa"/>
              <w:end w:w="90" w:type="dxa"/>
            </w:tcMar>
            <w:shd w:fill="F7FBFF" w:val="clear"/>
          </w:tcPr>
          <w:p>
            <w:pPr>
              <w:pStyle w:val="Compact"/>
              <w:jc w:val="left"/>
            </w:pPr>
            <w:r>
              <w:t xml:space="preserve">20 minimum</w:t>
            </w:r>
          </w:p>
        </w:tc>
      </w:tr>
      <w:tr>
        <w:trPr/>
        <w:tc>
          <w:tcPr>
            <w:tcMar>
              <w:top w:w="80" w:type="dxa"/>
              <w:start w:w="90" w:type="dxa"/>
              <w:bottom w:w="80" w:type="dxa"/>
              <w:end w:w="90" w:type="dxa"/>
            </w:tcMar>
            <w:shd w:fill="D9EAF7" w:val="clear"/>
          </w:tcPr>
          <w:p>
            <w:pPr>
              <w:pStyle w:val="Compact"/>
              <w:jc w:val="left"/>
            </w:pPr>
            <w:r>
              <w:t xml:space="preserve">Kernel propagation</w:t>
            </w:r>
          </w:p>
        </w:tc>
        <w:tc>
          <w:tcPr>
            <w:tcMar>
              <w:top w:w="80" w:type="dxa"/>
              <w:start w:w="90" w:type="dxa"/>
              <w:bottom w:w="80" w:type="dxa"/>
              <w:end w:w="90" w:type="dxa"/>
            </w:tcMar>
            <w:shd w:fill="D9EAF7" w:val="clear"/>
          </w:tcPr>
          <w:p>
            <w:pPr>
              <w:pStyle w:val="Compact"/>
              <w:jc w:val="left"/>
            </w:pPr>
            <w:r>
              <w:t xml:space="preserve">NONE</w:t>
            </w:r>
          </w:p>
        </w:tc>
        <w:tc>
          <w:tcPr>
            <w:tcMar>
              <w:top w:w="80" w:type="dxa"/>
              <w:start w:w="90" w:type="dxa"/>
              <w:bottom w:w="80" w:type="dxa"/>
              <w:end w:w="90" w:type="dxa"/>
            </w:tcMar>
            <w:shd w:fill="D9EAF7" w:val="clear"/>
          </w:tcPr>
          <w:p>
            <w:pPr>
              <w:pStyle w:val="Compact"/>
              <w:jc w:val="left"/>
            </w:pPr>
            <w:r>
              <w:t xml:space="preserve">NONE default; QUICK if KQS policy satisfied</w:t>
            </w:r>
          </w:p>
        </w:tc>
        <w:tc>
          <w:tcPr>
            <w:tcMar>
              <w:top w:w="80" w:type="dxa"/>
              <w:start w:w="90" w:type="dxa"/>
              <w:bottom w:w="80" w:type="dxa"/>
              <w:end w:w="90" w:type="dxa"/>
            </w:tcMar>
            <w:shd w:fill="D9EAF7" w:val="clear"/>
          </w:tcPr>
          <w:p>
            <w:pPr>
              <w:pStyle w:val="Compact"/>
              <w:jc w:val="left"/>
            </w:pPr>
            <w:r>
              <w:t xml:space="preserve">QUICK only if KQS policy satisfied plus sensitivity</w:t>
            </w:r>
          </w:p>
        </w:tc>
      </w:tr>
      <w:tr>
        <w:trPr/>
        <w:tc>
          <w:tcPr>
            <w:tcMar>
              <w:top w:w="80" w:type="dxa"/>
              <w:start w:w="90" w:type="dxa"/>
              <w:bottom w:w="80" w:type="dxa"/>
              <w:end w:w="90" w:type="dxa"/>
            </w:tcMar>
            <w:shd w:fill="F7FBFF" w:val="clear"/>
          </w:tcPr>
          <w:p>
            <w:pPr>
              <w:pStyle w:val="Compact"/>
              <w:jc w:val="left"/>
            </w:pPr>
            <w:r>
              <w:t xml:space="preserve">CSV qualification</w:t>
            </w:r>
          </w:p>
        </w:tc>
        <w:tc>
          <w:tcPr>
            <w:tcMar>
              <w:top w:w="80" w:type="dxa"/>
              <w:start w:w="90" w:type="dxa"/>
              <w:bottom w:w="80" w:type="dxa"/>
              <w:end w:w="90" w:type="dxa"/>
            </w:tcMar>
            <w:shd w:fill="F7FBFF" w:val="clear"/>
          </w:tcPr>
          <w:p>
            <w:pPr>
              <w:pStyle w:val="Compact"/>
              <w:jc w:val="left"/>
            </w:pPr>
            <w:r>
              <w:t xml:space="preserve">REQUIRED before any ordinary ranking/selection claim; qualitative screen or</w:t>
            </w:r>
            <w:r>
              <w:t xml:space="preserve"> </w:t>
            </w:r>
            <w:r>
              <w:rPr>
                <w:rStyle w:val="VerbatimChar"/>
              </w:rPr>
              <w:t xml:space="preserve">CSV_NOT_MATERIAL</w:t>
            </w:r>
            <w:r>
              <w:t xml:space="preserve"> </w:t>
            </w:r>
            <w:r>
              <w:t xml:space="preserve">rationale allowed</w:t>
            </w:r>
          </w:p>
        </w:tc>
        <w:tc>
          <w:tcPr>
            <w:tcMar>
              <w:top w:w="80" w:type="dxa"/>
              <w:start w:w="90" w:type="dxa"/>
              <w:bottom w:w="80" w:type="dxa"/>
              <w:end w:w="90" w:type="dxa"/>
            </w:tcMar>
            <w:shd w:fill="F7FBFF" w:val="clear"/>
          </w:tcPr>
          <w:p>
            <w:pPr>
              <w:pStyle w:val="Compact"/>
              <w:jc w:val="left"/>
            </w:pPr>
            <w:r>
              <w:t xml:space="preserve">REQUIRED proportional/assumption-bounded CSV result before RLS</w:t>
            </w:r>
          </w:p>
        </w:tc>
        <w:tc>
          <w:tcPr>
            <w:tcMar>
              <w:top w:w="80" w:type="dxa"/>
              <w:start w:w="90" w:type="dxa"/>
              <w:bottom w:w="80" w:type="dxa"/>
              <w:end w:w="90" w:type="dxa"/>
            </w:tcMar>
            <w:shd w:fill="F7FBFF" w:val="clear"/>
          </w:tcPr>
          <w:p>
            <w:pPr>
              <w:pStyle w:val="Compact"/>
              <w:jc w:val="left"/>
            </w:pPr>
            <w:r>
              <w:t xml:space="preserve">REQUIRED full and binding</w:t>
            </w:r>
          </w:p>
        </w:tc>
      </w:tr>
      <w:tr>
        <w:trPr/>
        <w:tc>
          <w:tcPr>
            <w:tcMar>
              <w:top w:w="80" w:type="dxa"/>
              <w:start w:w="90" w:type="dxa"/>
              <w:bottom w:w="80" w:type="dxa"/>
              <w:end w:w="90" w:type="dxa"/>
            </w:tcMar>
            <w:shd w:fill="D9EAF7" w:val="clear"/>
          </w:tcPr>
          <w:p>
            <w:pPr>
              <w:pStyle w:val="Compact"/>
              <w:jc w:val="left"/>
            </w:pPr>
            <w:r>
              <w:t xml:space="preserve">PCC</w:t>
            </w:r>
          </w:p>
        </w:tc>
        <w:tc>
          <w:tcPr>
            <w:tcMar>
              <w:top w:w="80" w:type="dxa"/>
              <w:start w:w="90" w:type="dxa"/>
              <w:bottom w:w="80" w:type="dxa"/>
              <w:end w:w="90" w:type="dxa"/>
            </w:tcMar>
            <w:shd w:fill="D9EAF7" w:val="clear"/>
          </w:tcPr>
          <w:p>
            <w:pPr>
              <w:pStyle w:val="Compact"/>
              <w:jc w:val="left"/>
            </w:pPr>
            <w:r>
              <w:t xml:space="preserve">Optional</w:t>
            </w:r>
          </w:p>
        </w:tc>
        <w:tc>
          <w:tcPr>
            <w:tcMar>
              <w:top w:w="80" w:type="dxa"/>
              <w:start w:w="90" w:type="dxa"/>
              <w:bottom w:w="80" w:type="dxa"/>
              <w:end w:w="90" w:type="dxa"/>
            </w:tcMar>
            <w:shd w:fill="D9EAF7" w:val="clear"/>
          </w:tcPr>
          <w:p>
            <w:pPr>
              <w:pStyle w:val="Compact"/>
              <w:jc w:val="left"/>
            </w:pPr>
            <w:r>
              <w:t xml:space="preserve">REQUIRED basic</w:t>
            </w:r>
          </w:p>
        </w:tc>
        <w:tc>
          <w:tcPr>
            <w:tcMar>
              <w:top w:w="80" w:type="dxa"/>
              <w:start w:w="90" w:type="dxa"/>
              <w:bottom w:w="80" w:type="dxa"/>
              <w:end w:w="90" w:type="dxa"/>
            </w:tcMar>
            <w:shd w:fill="D9EAF7" w:val="clear"/>
          </w:tcPr>
          <w:p>
            <w:pPr>
              <w:pStyle w:val="Compact"/>
              <w:jc w:val="left"/>
            </w:pPr>
            <w:r>
              <w:t xml:space="preserve">REQUIRED full</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Sensitivity analysis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Optional</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Recommended</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REQUIRED</w:t>
            </w:r>
          </w:p>
        </w:tc>
      </w:tr>
    </w:tbl>
    <w:p>
      <w:pPr>
        <w:pStyle w:val="BodyText"/>
        <w:widowControl/>
      </w:pPr>
      <w:r>
        <w:t xml:space="preserve">Tier 4 boundary. Tier 4 is a design target only in the current v12.5 release and MUST NOT be claimed until ProofPack is public and independently replayable.</w:t>
      </w:r>
    </w:p>
    <w:bookmarkEnd w:id="79"/>
    <w:bookmarkStart w:id="86" w:name="Xdc0760dd8856d604f937ae84b60cc69f35305fe"/>
    <w:p>
      <w:pPr>
        <w:pStyle w:val="Heading2"/>
        <w:keepNext/>
        <w:keepLines/>
        <w:pageBreakBefore w:val="0"/>
        <w:widowControl/>
      </w:pPr>
      <w:r>
        <w:rPr>
          <w:rFonts w:ascii="Arial" w:hAnsi="Arial" w:eastAsia="Arial"/>
          <w:b/>
          <w:color w:val="1F4E78"/>
        </w:rPr>
        <w:t xml:space="preserve">4.9 Refusal Under Underdetermination (Normative)</w:t>
      </w:r>
    </w:p>
    <w:p>
      <w:pPr>
        <w:pStyle w:val="FirstParagraph"/>
        <w:widowControl/>
      </w:pPr>
      <w:r>
        <w:t xml:space="preserve">Purpose. RippleLogic distinguishes gate failure from underdetermination. Gate failure occurs when a declared option uniquely violates NCRC, TRC, or CSV requirements. Refusal occurs when the framework cannot uniquely determine whether an option passes, fails, or can be selected from the declared inputs and projection rules.</w:t>
      </w:r>
    </w:p>
    <w:p>
      <w:pPr>
        <w:pStyle w:val="BodyText"/>
        <w:widowControl/>
      </w:pPr>
      <w:r>
        <w:t xml:space="preserve">Refusal is not weakness, discretion, or rhetorical caution. It is a formal anti-overclaiming state. A run that enters Refusal MUST NOT claim that the relevant option is admissible, selectable, selected, aligned, safe, or RippleLogic-conformant for the unresolved claim.</w:t>
      </w:r>
    </w:p>
    <w:bookmarkStart w:id="80" w:name="Xbd453fae9e9b0f7def0786f8b80940156795a3b"/>
    <w:p>
      <w:pPr>
        <w:pStyle w:val="Heading3"/>
        <w:keepNext/>
        <w:keepLines/>
        <w:pageBreakBefore w:val="0"/>
        <w:widowControl/>
      </w:pPr>
      <w:r>
        <w:rPr>
          <w:rFonts w:ascii="Arial" w:hAnsi="Arial" w:eastAsia="Arial"/>
          <w:b/>
          <w:color w:val="1F4E78"/>
        </w:rPr>
        <w:t xml:space="preserve">4.9.1 Refusal triggers (Normative)</w:t>
      </w:r>
    </w:p>
    <w:p>
      <w:pPr>
        <w:pStyle w:val="FirstParagraph"/>
        <w:widowControl/>
      </w:pPr>
      <w:r>
        <w:t xml:space="preserve">R-1 Gate-critical unknown. A rights-covered cell, catastrophe cell, Containment indicator, or other gate-critical input remains UNKNOWN_IMPACT after the applicable evidence, phantom-instance, or conservative-default rule has been applied.</w:t>
      </w:r>
    </w:p>
    <w:p>
      <w:pPr>
        <w:pStyle w:val="BodyText"/>
        <w:widowControl/>
      </w:pPr>
      <w:r>
        <w:t xml:space="preserve">R-2 Non-unique projection. The projection from stakeholder instances, subgroup evidence, scenario data, or scope mapping to a gate verdict admits two or more materially different admissibility interpretations under the same declared evidence.</w:t>
      </w:r>
    </w:p>
    <w:p>
      <w:pPr>
        <w:pStyle w:val="BodyText"/>
        <w:widowControl/>
      </w:pPr>
      <w:r>
        <w:t xml:space="preserve">R-3 Material indistinguishability. Two or more options are observationally indistinguishable on available welfare evidence but materially different in possible rights exposure, tail-risk exposure, domination risk, or containment risk.</w:t>
      </w:r>
    </w:p>
    <w:p>
      <w:pPr>
        <w:pStyle w:val="BodyText"/>
        <w:widowControl/>
      </w:pPr>
      <w:r>
        <w:t xml:space="preserve">R-4 Layer ambiguity. The run relies on a category collapse, including treating compliance as correctness, traceability as admissibility, psychological plausibility as evidence, mathematical elegance as validation, moral status as governance authority, or SGP welfare scalars as admissibility modifiers.</w:t>
      </w:r>
    </w:p>
    <w:p>
      <w:pPr>
        <w:pStyle w:val="BodyText"/>
        <w:widowControl/>
      </w:pPr>
      <w:r>
        <w:t xml:space="preserve">R-5 Projection modification after observation. A ProjectionPreRegistration object, threshold, rights coverage set, catastrophe cell set, scenario set, weight rule, SGP MPS/FPP binding, or Containment trigger is materially modified after relevant decision evidence has been consulted, unless the run is voided and restarted.</w:t>
      </w:r>
    </w:p>
    <w:p>
      <w:pPr>
        <w:pStyle w:val="BodyText"/>
        <w:widowControl/>
      </w:pPr>
      <w:r>
        <w:t xml:space="preserve">R-6 Claim-boundary mismatch. The evidence available may support a lower-tier, local, provisional, or exploratory claim but is insufficient for the stronger claim being attempted.</w:t>
      </w:r>
    </w:p>
    <w:bookmarkEnd w:id="80"/>
    <w:bookmarkStart w:id="81" w:name="X45f95298b3b07bfdda4a2fe70c4d7916b1d7998"/>
    <w:p>
      <w:pPr>
        <w:pStyle w:val="Heading3"/>
        <w:keepNext/>
        <w:keepLines/>
        <w:pageBreakBefore w:val="0"/>
        <w:widowControl/>
      </w:pPr>
      <w:r>
        <w:rPr>
          <w:rFonts w:ascii="Arial" w:hAnsi="Arial" w:eastAsia="Arial"/>
          <w:b/>
          <w:color w:val="1F4E78"/>
        </w:rPr>
        <w:t xml:space="preserve">4.9.2 Refusal effects (Normative)</w:t>
      </w:r>
    </w:p>
    <w:p>
      <w:pPr>
        <w:pStyle w:val="FirstParagraph"/>
        <w:widowControl/>
      </w:pPr>
      <w:r>
        <w:t xml:space="preserve">1. stop any claim of admissibility, selectability, selection, conformance, or alignment for the unresolved option or run;</w:t>
      </w:r>
    </w:p>
    <w:p>
      <w:pPr>
        <w:pStyle w:val="BodyText"/>
        <w:widowControl/>
      </w:pPr>
      <w:r>
        <w:t xml:space="preserve">2. emit a PCC.RefusalRecord;</w:t>
      </w:r>
    </w:p>
    <w:p>
      <w:pPr>
        <w:pStyle w:val="BodyText"/>
        <w:widowControl/>
      </w:pPr>
      <w:r>
        <w:t xml:space="preserve">3. identify the unresolved gate, scope, dimension, scenario, stakeholder class, or projection rule;</w:t>
      </w:r>
    </w:p>
    <w:p>
      <w:pPr>
        <w:pStyle w:val="BodyText"/>
        <w:widowControl/>
      </w:pPr>
      <w:r>
        <w:t xml:space="preserve">4. state the minimum evidence or procedural condition required for re-run;</w:t>
      </w:r>
    </w:p>
    <w:p>
      <w:pPr>
        <w:pStyle w:val="BodyText"/>
        <w:widowControl/>
      </w:pPr>
      <w:r>
        <w:t xml:space="preserve">5. route the decision to escalation, redesign, bounded provisional action, or no-action baseline review according to tier and stakes.</w:t>
      </w:r>
    </w:p>
    <w:bookmarkEnd w:id="81"/>
    <w:bookmarkStart w:id="82" w:name="X888030424d460e874b4439a1182c04a892908a8"/>
    <w:p>
      <w:pPr>
        <w:pStyle w:val="Heading3"/>
        <w:keepNext/>
        <w:keepLines/>
        <w:pageBreakBefore w:val="0"/>
        <w:widowControl/>
      </w:pPr>
      <w:r>
        <w:rPr>
          <w:rFonts w:ascii="Arial" w:hAnsi="Arial" w:eastAsia="Arial"/>
          <w:b/>
          <w:color w:val="1F4E78"/>
        </w:rPr>
        <w:t xml:space="preserve">4.9.3 Emergency and provisional action (Normative)</w:t>
      </w:r>
    </w:p>
    <w:p>
      <w:pPr>
        <w:pStyle w:val="FirstParagraph"/>
        <w:widowControl/>
      </w:pPr>
      <w:r>
        <w:t xml:space="preserve">Refusal blocks strong conformance claims. It does not automatically imply inaction in emergency contexts. Where delay itself creates material harm, a provisional action MAY proceed only if all of the following hold:</w:t>
      </w:r>
    </w:p>
    <w:p>
      <w:pPr>
        <w:pStyle w:val="BodyText"/>
        <w:widowControl/>
      </w:pPr>
      <w:r>
        <w:t xml:space="preserve">1. the action is rights-preserving under the best available conservative screen;</w:t>
      </w:r>
    </w:p>
    <w:p>
      <w:pPr>
        <w:pStyle w:val="BodyText"/>
        <w:widowControl/>
      </w:pPr>
      <w:r>
        <w:t xml:space="preserve">2. catastrophic tail-risk is not plausibly increased beyond the declared emergency corridor;</w:t>
      </w:r>
    </w:p>
    <w:p>
      <w:pPr>
        <w:pStyle w:val="BodyText"/>
        <w:widowControl/>
      </w:pPr>
      <w:r>
        <w:t xml:space="preserve">3. the action is reversible, staged, or bounded where feasible;</w:t>
      </w:r>
    </w:p>
    <w:p>
      <w:pPr>
        <w:pStyle w:val="BodyText"/>
        <w:widowControl/>
      </w:pPr>
      <w:r>
        <w:t xml:space="preserve">4. escalation and independent review are triggered;</w:t>
      </w:r>
    </w:p>
    <w:p>
      <w:pPr>
        <w:pStyle w:val="BodyText"/>
        <w:widowControl/>
      </w:pPr>
      <w:r>
        <w:t xml:space="preserve">5. the PCC clearly marks the action as PROVISIONAL_UNDER_REFUSAL rather than admissible, selectable, or selected under normal conformance.</w:t>
      </w:r>
    </w:p>
    <w:bookmarkEnd w:id="82"/>
    <w:bookmarkStart w:id="83" w:name="X9d89d5f5696156f24790b2bf828f7843cdb6916"/>
    <w:p>
      <w:pPr>
        <w:pStyle w:val="Heading3"/>
        <w:keepNext/>
        <w:keepLines/>
        <w:pageBreakBefore w:val="0"/>
        <w:widowControl/>
      </w:pPr>
      <w:r>
        <w:rPr>
          <w:rFonts w:ascii="Arial" w:hAnsi="Arial" w:eastAsia="Arial"/>
          <w:b/>
          <w:color w:val="1F4E78"/>
        </w:rPr>
        <w:t xml:space="preserve">4.9.4 Distinction from gate failure (Normative)</w:t>
      </w:r>
    </w:p>
    <w:p>
      <w:pPr>
        <w:pStyle w:val="FirstParagraph"/>
        <w:widowControl/>
      </w:pPr>
      <w:r>
        <w:t xml:space="preserve">Gate failure is committed: NCRC violation, TRC corridor breach, or CSV failure produces inadmissibility or non-selectability under unique projection. Refusal is uncommitted: the framework cannot uniquely determine admissibility from the declared inputs. Implementations MUST NOT silently convert Refusal into gate failure, gate success, or RLS tie-break, and MUST NOT use Refusal to bypass any earlier gate.</w:t>
      </w:r>
    </w:p>
    <w:bookmarkEnd w:id="83"/>
    <w:bookmarkStart w:id="84" w:name="X020febb94585153370a096c6cdb4f3dc1f3118f"/>
    <w:p>
      <w:pPr>
        <w:pStyle w:val="Heading3"/>
        <w:keepNext/>
        <w:keepLines/>
        <w:pageBreakBefore w:val="0"/>
        <w:widowControl/>
      </w:pPr>
      <w:r>
        <w:rPr>
          <w:rFonts w:ascii="Arial" w:hAnsi="Arial" w:eastAsia="Arial"/>
          <w:b/>
          <w:color w:val="1F4E78"/>
        </w:rPr>
        <w:t xml:space="preserve">4.9.5 PCC fields for Refusal (Normative)</w:t>
      </w:r>
    </w:p>
    <w:p>
      <w:pPr>
        <w:pStyle w:val="FirstParagraph"/>
        <w:widowControl/>
      </w:pPr>
      <w:r>
        <w:t xml:space="preserve">The PCC.RefusalRecord SHALL include at minimum: trigger code R-1 through R-6; evidence basis with provenance; options affected; scopes and dimensions affected; rights, catastrophe, or containment cells affected; no-action baseline status where relevant; escalation route invoked; provisional-action status, if any; and conditions under which a re-run could resolve the Refusal.</w:t>
      </w:r>
    </w:p>
    <w:bookmarkEnd w:id="84"/>
    <w:bookmarkStart w:id="85" w:name="Xa61636e05eb23177f76bcf8c7bf5c7ec5ed9877"/>
    <w:p>
      <w:pPr>
        <w:pStyle w:val="Heading3"/>
        <w:keepNext/>
        <w:keepLines/>
        <w:pageBreakBefore w:val="0"/>
        <w:widowControl/>
      </w:pPr>
      <w:r>
        <w:rPr>
          <w:rFonts w:ascii="Arial" w:hAnsi="Arial" w:eastAsia="Arial"/>
          <w:b/>
          <w:color w:val="1F4E78"/>
        </w:rPr>
        <w:t xml:space="preserve">4.9.6 Relation to ripple.md IND and NA (Informative)</w:t>
      </w:r>
    </w:p>
    <w:p>
      <w:pPr>
        <w:pStyle w:val="FirstParagraph"/>
        <w:widowControl/>
      </w:pPr>
      <w:r>
        <w:t xml:space="preserve">In ripple.md wrapped deployments, IND maps to Refusal where the test applies but evidence, scope lock, target specification, constraint set, verification regime, or projection conditions are insufficient. NA means the test is genuinely not applicable under the declared scope. Implementations MUST NOT use NA where IND is the correct state.</w:t>
      </w:r>
    </w:p>
    <w:bookmarkEnd w:id="85"/>
    <w:bookmarkEnd w:id="86"/>
    <w:bookmarkStart w:id="87" w:name="Xacffe19f317ec1f64e364e404248d6402a2e4d8"/>
    <w:p>
      <w:pPr>
        <w:pStyle w:val="Heading2"/>
        <w:keepNext/>
        <w:keepLines/>
        <w:pageBreakBefore w:val="0"/>
        <w:widowControl/>
      </w:pPr>
      <w:r>
        <w:rPr>
          <w:rFonts w:ascii="Arial" w:hAnsi="Arial" w:eastAsia="Arial"/>
          <w:b/>
          <w:color w:val="1F4E78"/>
        </w:rPr>
        <w:t xml:space="preserve">4.10 Consequence-tempo and responsibility-continuity interface (Normative routing)</w:t>
      </w:r>
    </w:p>
    <w:p>
      <w:pPr>
        <w:pStyle w:val="FirstParagraph"/>
        <w:widowControl/>
      </w:pPr>
      <w:r>
        <w:t xml:space="preserve">Execution assurance must distinguish decision admissibility from the speed and ownership of implementation. For actions involving rapid propagation, material irreversibility, consequential automation, or material lock-in, the worst credible control critical path must be shorter than the time to an unacceptable adverse escalation threshold or irreversible stop-loss boundary. Where no runtime interruption window is technically possible, stronger ex ante assurance, bounded scope and rate, fail-safe design, and explicit residual-risk authorization are required. Delay must also be tested as a possible source of rights, ruin, or structural harm.</w:t>
      </w:r>
    </w:p>
    <w:p>
      <w:pPr>
        <w:pStyle w:val="BodyText"/>
        <w:widowControl/>
      </w:pPr>
      <w:r>
        <w:t xml:space="preserve">Complexity may distribute work but must not dissolve answerability. Claim-bearing high-consequence runs SHALL preserve typed responsibility for evidence, analysis, decision authority, operation, execution, intervention, appeal, communication, remedy, and residual responsibility. Legal liability is not inferred unless separately established by law.</w:t>
      </w:r>
    </w:p>
    <w:p>
      <w:pPr>
        <w:pStyle w:val="Heading3"/>
        <w:keepNext/>
        <w:keepLines/>
        <w:pageBreakBefore w:val="0"/>
        <w:widowControl/>
      </w:pPr>
      <w:r>
        <w:rPr>
          <w:rFonts w:ascii="Arial" w:hAnsi="Arial" w:eastAsia="Arial"/>
          <w:b/>
          <w:color w:val="1F4E78"/>
        </w:rPr>
        <w:t>4.10A Material obligation integrity (Normative)</w:t>
      </w:r>
    </w:p>
    <w:p>
      <w:pPr>
        <w:pStyle w:val="FirstParagraph"/>
        <w:widowControl/>
      </w:pPr>
      <w:r>
        <w:t>Where selectability, execution, review, appeal, intervention, monitoring, rollback, communication, repair, or requalification depends on a material obligation, the PCC SHALL include or reference a MaterialObligationRecord. The record SHALL identify: the obligation; accountable authority; operational carrier or authenticated execution path; authority and capacity basis; activation trigger; scope; required action; response deadline or window; evidence of discharge; review or expiry; challenge route; delegation acceptance; backup or successor; nonperformance trigger; missed-duty escalation; amendment, waiver, suspension, and retirement authority; change-control rule; residual responsibility; and control-effectiveness status.</w:t>
      </w:r>
    </w:p>
    <w:p>
      <w:pPr>
        <w:pStyle w:val="BodyText"/>
        <w:widowControl/>
      </w:pPr>
      <w:r>
        <w:t>A declaration, committee, register, policy, review date, or named owner is not by itself a binding control. The carrier must have the authority, competence, information access, time, resources, and protection necessary to act. A handoff is incomplete until the receiving role accepts it. Failure, absence, conflict, incapacity, or silence by the carrier SHALL activate the declared escalation, substitution, pause, or requalification path. A material change to the control's trigger, threshold, scope, carrier, authority, evidence surface, expiry, escalation path, waiver rule, or retirement rule is a configuration change and SHALL reopen affected qualification.</w:t>
      </w:r>
    </w:p>
    <w:p>
      <w:pPr>
        <w:pStyle w:val="BodyText"/>
        <w:widowControl/>
      </w:pPr>
      <w:r>
        <w:t>Control performance and control effectiveness are distinct. Evidence that a procedure was followed does not establish that the intended right, risk, containment, or repair objective was achieved. Where effectiveness is decision-material, the run SHALL record the outcome evidence or remain assumption-bound, controlled, escalated, or redesigned.</w:t>
      </w:r>
    </w:p>
    <w:p>
      <w:pPr>
        <w:pStyle w:val="Heading3"/>
        <w:keepNext/>
        <w:keepLines/>
        <w:pageBreakBefore w:val="0"/>
        <w:widowControl/>
      </w:pPr>
      <w:r>
        <w:rPr>
          <w:rFonts w:ascii="Arial" w:hAnsi="Arial" w:eastAsia="Arial"/>
          <w:b/>
          <w:color w:val="1F4E78"/>
        </w:rPr>
        <w:t>4.10B Hidden human compensation load (Normative inside CSV when material)</w:t>
      </w:r>
    </w:p>
    <w:p>
      <w:pPr>
        <w:pStyle w:val="FirstParagraph"/>
        <w:widowControl/>
      </w:pPr>
      <w:r>
        <w:t>Before automation, scaling, role removal, or claims of structural resilience, CSV SHALL test whether functioning materially depends on undocumented human compensation, including repeated manual override, exception reconciliation, shadow records, individual memory, relationship-based coordination, after-hours recovery, weak-signal interpretation, informal escalation, or recurrent prevention of visible failure. Such compensation is evidence of a structural dependency; it is not by itself evidence that the system is resilient.</w:t>
      </w:r>
    </w:p>
    <w:p>
      <w:pPr>
        <w:pStyle w:val="BodyText"/>
        <w:widowControl/>
      </w:pPr>
      <w:r>
        <w:t>When material, the PCC SHALL include or reference a HumanCompensationLoadRecord identifying the carrier role classes, hidden work performed, formal-workflow gap, frequency or burden indicators, single-person dependency, recovery and capacity effects, consequence if the compensation stops, evidence sources, privacy and non-retaliation protections, preservation or redesign action, and review trigger. Evidence SHOULD be triangulated from workflow traces, overrides, exceptions, rework, handoffs, near misses, workload and recovery indicators, and protected testimony rather than depending solely on self-report or waiting for carrier collapse.</w:t>
      </w:r>
    </w:p>
    <w:p>
      <w:pPr>
        <w:pStyle w:val="BodyText"/>
        <w:widowControl/>
      </w:pPr>
      <w:r>
        <w:t>These are cross-cutting assurance requirements routed through TRC and CSV and recorded through ripple.md v5.4 and Agent System v12.3. They are not a sixth gate and do not make a completed record proof of safety.</w:t>
      </w:r>
    </w:p>
    <w:bookmarkEnd w:id="87"/>
    <w:bookmarkEnd w:id="88"/>
    <w:bookmarkStart w:id="107" w:name="X47a6519c1d137a160de0f30c797ffe6d6d7016a"/>
    <w:p>
      <w:pPr>
        <w:pStyle w:val="Heading1"/>
        <w:keepNext/>
        <w:keepLines/>
        <w:pageBreakBefore w:val="0"/>
        <w:widowControl/>
      </w:pPr>
      <w:r>
        <w:rPr>
          <w:rFonts w:ascii="Arial" w:hAnsi="Arial" w:eastAsia="Arial"/>
          <w:b/>
          <w:color w:val="1F4E78"/>
        </w:rPr>
        <w:t xml:space="preserve">SECTION 5: WELFARE IMPACT CONSTRUCTION (CALCULABLE)</w:t>
      </w:r>
    </w:p>
    <w:bookmarkStart w:id="90" w:name="Xd3bbb4f52f6babd99956db1c3246968c3d083be"/>
    <w:p>
      <w:pPr>
        <w:pStyle w:val="Heading2"/>
        <w:keepNext/>
        <w:keepLines/>
        <w:pageBreakBefore w:val="0"/>
        <w:widowControl/>
      </w:pPr>
      <w:r>
        <w:rPr>
          <w:rFonts w:ascii="Arial" w:hAnsi="Arial" w:eastAsia="Arial"/>
          <w:b/>
          <w:color w:val="1F4E78"/>
        </w:rPr>
        <w:t xml:space="preserve">5.0 Purpose and Design Requirements (Normative)</w:t>
      </w:r>
    </w:p>
    <w:p>
      <w:pPr>
        <w:pStyle w:val="FirstParagraph"/>
        <w:widowControl/>
      </w:pPr>
      <w:r>
        <w:t xml:space="preserve">This section specifies how RippleLogic converts real-world predictions and evidence into a computable welfare impact matrix for each option. A competent analyst MUST be able to compute all required impacts from (i) a declared baseline, (ii) a declared option, and (iii) a finite list of impact instances per cell, using only the equations and rules in this paper and appendices.</w:t>
      </w:r>
    </w:p>
    <w:p>
      <w:pPr>
        <w:pStyle w:val="BodyText"/>
        <w:widowControl/>
      </w:pPr>
      <w:r>
        <w:t xml:space="preserve">Cell-meaning rule (Normative clarification). A cell score is a reviewable baseline-relative claim, not a preference expression. It SHALL be interpretable as an assertion about one Union Scope and one welfare dimension, with evidence and uncertainty disclosed according to tier requirements. Appendix AD provides the canonical interpretive dictionary for cell meanings, positive/negative movement, possible indicators, gate-relevance cues, examples, and reviewer checks.</w:t>
      </w:r>
    </w:p>
    <w:bookmarkStart w:id="89" w:name="Xd7724264e904b25ea507cb11552b31d4ca4c9d6"/>
    <w:p>
      <w:pPr>
        <w:pStyle w:val="Heading3"/>
        <w:keepNext/>
        <w:keepLines/>
        <w:pageBreakBefore w:val="0"/>
        <w:widowControl/>
      </w:pPr>
      <w:r>
        <w:rPr>
          <w:rFonts w:ascii="Arial" w:hAnsi="Arial" w:eastAsia="Arial"/>
          <w:b/>
          <w:color w:val="1F4E78"/>
        </w:rPr>
        <w:t xml:space="preserve">5.0.1 Stakeholder Coverage Index (SCI) (Normative)</w:t>
      </w:r>
    </w:p>
    <w:p>
      <w:pPr>
        <w:pStyle w:val="FirstParagraph"/>
        <w:widowControl/>
      </w:pPr>
      <w:r>
        <w:t xml:space="preserve">SCI is a tier-governed disclosure ladder describing the stakeholder coverage posture of a run. SCI does not change scoring formulas. It is an auditability and integrity signal that supports comparability and anti-theater enforcement.</w:t>
      </w:r>
    </w:p>
    <w:p>
      <w:pPr>
        <w:pStyle w:val="BodyText"/>
        <w:widowControl/>
      </w:pPr>
      <w:r>
        <w:t xml:space="preserve">SCI levels (minimum definitions): SCI-0: no explicit stakeholder instance logging. SCI-1: instances logged at least for direct stakeholders and primary externality pathways. SCI-2: instances logged with explicit mapping to Union Scopes, including at least one challenger pass for omissions. SCI-3: evidence-backed instance mapping with explicit blind-spot declaration, escalation triggers, and redundancy handling disclosures where multi-scope mapping is used. SCI-4: high-coverage posture with structured discovery, third-party review or validated stakeholder registry linkage, and replay-ready traceability.</w:t>
      </w:r>
    </w:p>
    <w:p>
      <w:pPr>
        <w:pStyle w:val="BodyText"/>
        <w:widowControl/>
      </w:pPr>
      <w:r>
        <w:t xml:space="preserve">Tier minima. Tier 2 runs MUST achieve at least SCI-1. Tier 3 runs MUST achieve at least SCI-2.</w:t>
      </w:r>
    </w:p>
    <w:p>
      <w:pPr>
        <w:pStyle w:val="BodyText"/>
        <w:widowControl/>
      </w:pPr>
      <w:r>
        <w:t xml:space="preserve">Anti-theater ratchet. If SCI equals the tier minimum, the PCC MUST include a concrete Next-Run Upgrade action that would raise SCI by at least one level for the next comparable run. If SCI is below the tier minimum, the run MUST either (a) downgrade the declared tier to one whose SCI minimum is satisfied, or (b) rerun with enhanced stakeholder discovery to meet the SCI minimum for the claimed tier. In either case, the PCC MUST include a remediation plan specifying how SCI will be raised to the target level before the next comparable run. A remediation plan alone does not make the current run compliant at the originally claimed tier.</w:t>
      </w:r>
    </w:p>
    <w:bookmarkEnd w:id="89"/>
    <w:bookmarkEnd w:id="90"/>
    <w:bookmarkStart w:id="91" w:name="Xbf14a9403c76550b79d8d18e9770ba3632c40c6"/>
    <w:p>
      <w:pPr>
        <w:pStyle w:val="Heading2"/>
        <w:keepNext/>
        <w:keepLines/>
        <w:pageBreakBefore w:val="0"/>
        <w:widowControl/>
      </w:pPr>
      <w:r>
        <w:rPr>
          <w:rFonts w:ascii="Arial" w:hAnsi="Arial" w:eastAsia="Arial"/>
          <w:b/>
          <w:color w:val="1F4E78"/>
        </w:rPr>
        <w:t xml:space="preserve">5.0A End-to-End Cell Computation Recipe (Informative)</w:t>
      </w:r>
    </w:p>
    <w:p>
      <w:pPr>
        <w:pStyle w:val="FirstParagraph"/>
        <w:widowControl/>
      </w:pPr>
      <w:r>
        <w:t xml:space="preserve">This recipe is the minimal end-to-end spine for computing any welfare-cell impact in a Tier 1-3 run. It is informative, but the equations and constraints it references are normative in their home sections. For traceability, this recipe is listed in reverse order (8→1), reflecting the final artifact emission back to upstream inputs.</w:t>
      </w:r>
    </w:p>
    <w:p>
      <w:pPr>
        <w:pStyle w:val="BodyText"/>
        <w:widowControl/>
      </w:pPr>
      <w:r>
        <w:t xml:space="preserve">8) Emit PCC: record parameters, ReachBasis, gate results, RLS summary, and the public 5SPR. If reduced-scope mode is used, include the required attestations and blind-spot statement.</w:t>
      </w:r>
    </w:p>
    <w:p>
      <w:pPr>
        <w:pStyle w:val="Compact"/>
        <w:widowControl/>
        <w:numPr>
          <w:ilvl w:val="0"/>
          <w:numId w:val="1002"/>
        </w:numPr>
      </w:pPr>
      <w:r>
        <w:t xml:space="preserve">Run the formal method: RSG / Reality Grounding → RF / Rights Floor (formal NCRC) → TRC / Tail-Risk Bound → CSV / Containment and Structural Viability → RLS / RippleLogic Score. Treat UCI/HOI or equivalent structural diagnostics as CSV evidence when material, and as residual tie-break/monitoring evidence only when RLS is tied, close, uncertainty-overlapped, or non-decisive.</w:t>
      </w:r>
    </w:p>
    <w:p>
      <w:pPr>
        <w:pStyle w:val="FirstParagraph"/>
        <w:widowControl/>
      </w:pPr>
      <w:r>
        <w:t xml:space="preserve">6) Apply kernel propagation only if declared: if KernelPropagation = QUICK, compute I_prop_welfare(u,d,a) per Section 6; else set I_prop_welfare = I_dir. (Redundancy handling such as EMERGENT/DEDUP/ALLOCATION is a separate instance/aggregation mechanism and MUST NOT be treated as a propagation mode.)</w:t>
      </w:r>
    </w:p>
    <w:p>
      <w:pPr>
        <w:pStyle w:val="BodyText"/>
        <w:widowControl/>
      </w:pPr>
      <w:r>
        <w:t xml:space="preserve">5) Compute the direct contribution and accumulate to the cell: Ĩ_dir(u,d,a;h) = Σ_k ( μ_k · r_k · τ(t_k) · ℓ_k · c_k · e_k · h_k ) over k in that cell. Apply the canonical saturation (for example tanh) to obtain I_dir(u,d,a;h) ∈ [-1,+1]. Here h_k is a declared welfare-inclusion hypothesis coefficient, not an MPS score or moral-worth scalar.</w:t>
      </w:r>
    </w:p>
    <w:p>
      <w:pPr>
        <w:pStyle w:val="BodyText"/>
        <w:widowControl/>
      </w:pPr>
      <w:r>
        <w:t xml:space="preserve">Stream note (Normative). For admissibility layers (NCRC, TRC, CSV), compute the Base stream with h_k:=1 for all impact instances. In the Welfare stream used for RLS, MPS evidence determines the required protection posture and hypothesis set, but the MPS band or interval MUST NOT be inserted directly as a cardinal multiplier. Human persons and FPP entities use h_k=1. For a non-FPP stakeholder whose welfare-bearing status is decision-material, the run MUST evaluate the governed inclusion hypotheses required by Section 12 and Appendix G, including h_k=1 and, where exclusion remains evidentially admissible, h_k=0. If the decision changes across the hypothesis set, the run returns MPS_HYPOTHESIS_SENSITIVE and may not conceal the sensitivity with a convenient intermediate value.</w:t>
      </w:r>
    </w:p>
    <w:p>
      <w:pPr>
        <w:pStyle w:val="BodyText"/>
        <w:widowControl/>
      </w:pPr>
      <w:r>
        <w:t xml:space="preserve">4) For each impact instance k, declare its parameters inside canonical bounds: magnitude μ_k ∈ [-1,+1], reach r_k ∈ [0,1] with ReachBasis, time horizon t_k ∈ (0, ∞) years (used via τ(t_k)), likelihood ℓ_k ∈ [0,1], confidence c_k ∈ [0.1, 1], bounded adjustment multiplier e_k ≥ 0 (default 1.00; non-default use governed by Section 5.2 notes and PCC disclosure), and welfare-inclusion hypothesis h_k ∈ {0,1} unless a separately governed and validated welfare-attention profile authorizes additional bounded values. h_k is never inferred mechanically from an MPS interval. Every human person and FPP entity uses h_k=1 (Appendix G).</w:t>
      </w:r>
    </w:p>
    <w:p>
      <w:pPr>
        <w:pStyle w:val="BodyText"/>
        <w:widowControl/>
      </w:pPr>
      <w:r>
        <w:rPr>
          <w:rFonts w:ascii="Arial" w:hAnsi="Arial" w:eastAsia="Arial"/>
        </w:rPr>
        <w:t>Dual-baseline implementation note (Normative clarification). In Appendix P, every gate-relevant cell retained in RLS uses the FLOOR_REFERENCE value in both the gate and welfare streams. A different STATUS_QUO welfare baseline for any such cell is permitted only through a governed BaselineDualExceptionBlock that states the rationale, both values, non-compensation effect, sensitivity result, authority, and review trigger. In the absence of that block, floor-reference remains controlling. For ordinary non-gate welfare cells, STATUS_QUO may remain the declared welfare baseline.</w:t>
      </w:r>
    </w:p>
    <w:p>
      <w:pPr>
        <w:pStyle w:val="BodyText"/>
        <w:widowControl/>
      </w:pPr>
      <w:r>
        <w:t xml:space="preserve">Note on evidence (Normative clarification): Evidence quality is recorded in PCC provenance fields and informs the choice of c_k. Evidence quality is not a separate multiplicative scalar in Ĩ_dir unless explicitly introduced by a future canonical revision.</w:t>
      </w:r>
    </w:p>
    <w:p>
      <w:pPr>
        <w:pStyle w:val="BodyText"/>
        <w:widowControl/>
      </w:pPr>
      <w:r>
        <w:t xml:space="preserve">3) Construct Impact Instances k for each active welfare cell (u,d): each k must reference (a) a stakeholder instance, (b) a cell (u,d), and (c) a direct or indirect pathway description.</w:t>
      </w:r>
    </w:p>
    <w:p>
      <w:pPr>
        <w:pStyle w:val="BodyText"/>
        <w:widowControl/>
      </w:pPr>
      <w:r>
        <w:t xml:space="preserve">2) Build the representation layer: SDP → Stakeholders → Stakeholder Instances (InstanceMap with union-scope coverage).</w:t>
      </w:r>
    </w:p>
    <w:p>
      <w:pPr>
        <w:pStyle w:val="BodyText"/>
        <w:widowControl/>
      </w:pPr>
      <w:r>
        <w:t xml:space="preserve">1) Declare the run: option set A, unions U_run, welfare dimensions D, horizon window, and kernel propagation policy (NONE / QUICK). If effect-token redundancy handling is used, declare the redundancy mode (EMERGENT / DEDUP / ALLOCATION) and α budgets separately.</w:t>
      </w:r>
    </w:p>
    <w:bookmarkEnd w:id="91"/>
    <w:bookmarkStart w:id="92" w:name="Xf30e03af126d8d8bd60eb1000ae106163f17f8e"/>
    <w:p>
      <w:pPr>
        <w:pStyle w:val="Heading2"/>
        <w:keepNext/>
        <w:keepLines/>
        <w:pageBreakBefore w:val="0"/>
        <w:widowControl/>
      </w:pPr>
      <w:r>
        <w:rPr>
          <w:rFonts w:ascii="Arial" w:hAnsi="Arial" w:eastAsia="Arial"/>
          <w:b/>
          <w:color w:val="1F4E78"/>
        </w:rPr>
        <w:t xml:space="preserve">5.0B WDBIP welfare-evidence interface (Normative when WDBIP conformance is claimed)</w:t>
      </w:r>
    </w:p>
    <w:p>
      <w:pPr>
        <w:pStyle w:val="FirstParagraph"/>
        <w:widowControl/>
      </w:pPr>
      <w:r>
        <w:t xml:space="preserve">The Welfare Dimension Boundary and Interaction Protocol v1.5 is the Canon-subordinate companion for primary dimension assignment, token-level welfare pathways, dependence and cross-scope duplication disclosure, time-window and subgroup integrity, measurement uncertainty, and welfare-dimension validation planning.</w:t>
      </w:r>
    </w:p>
    <w:p>
      <w:pPr>
        <w:pStyle w:val="BodyText"/>
        <w:widowControl/>
      </w:pPr>
      <w:r>
        <w:t xml:space="preserve">WDBIP does not alter the seven dimensions, Union Scopes, gate sequence, RLS equation, constitutional weights, or lawful authority. It cannot rescue failed RF/NCRC, TRC, or CSV. When WDBIP conformance is claimed, the exact WDBIP record, schema version, and content hash SHALL be attached to or immutably referenced from the PCC.</w:t>
      </w:r>
    </w:p>
    <w:p>
      <w:pPr>
        <w:pStyle w:val="BodyText"/>
        <w:widowControl/>
      </w:pPr>
      <w:r>
        <w:t xml:space="preserve">The Canon owns effect-token definitions, Union Scope mapping, redundancy methods, allocation constraints, RLS weights, and gate routing. WDBIP consumes those objects by version and pointer and MUST NOT redefine them.</w:t>
      </w:r>
    </w:p>
    <w:bookmarkEnd w:id="92"/>
    <w:bookmarkStart w:id="93" w:name="X8761e760ad26b0e98ce60e0aa8152fa23551d4b"/>
    <w:p>
      <w:pPr>
        <w:pStyle w:val="Heading2"/>
        <w:keepNext/>
        <w:keepLines/>
        <w:pageBreakBefore w:val="0"/>
        <w:widowControl/>
      </w:pPr>
      <w:r>
        <w:rPr>
          <w:rFonts w:ascii="Arial" w:hAnsi="Arial" w:eastAsia="Arial"/>
          <w:b/>
          <w:color w:val="1F4E78"/>
        </w:rPr>
        <w:t xml:space="preserve">5.1 Baseline-Zero Rule (Normative)</w:t>
      </w:r>
    </w:p>
    <w:p>
      <w:pPr>
        <w:pStyle w:val="FirstParagraph"/>
        <w:widowControl/>
      </w:pPr>
      <w:r>
        <w:t xml:space="preserve">Semantic anchor (MUST): For all unions u, dimensions d, and options a:</w:t>
      </w:r>
    </w:p>
    <w:p>
      <w:pPr>
        <w:pStyle w:val="BodyText"/>
        <w:widowControl/>
      </w:pPr>
      <w:r>
        <w:t xml:space="preserve">I(u,d,a) = 0 if and only if the predicted indicator state under option a equals the baseline indicator state.</w:t>
      </w:r>
    </w:p>
    <w:p>
      <w:pPr>
        <w:pStyle w:val="BodyText"/>
        <w:widowControl/>
      </w:pPr>
      <w:r>
        <w:t xml:space="preserve">Interpretation: “0 means no change from baseline” is globally enforced. Any method that produces absolute levels MUST immediately convert them into baseline-relative deltas before entering RippleLogic impact scoring.</w:t>
      </w:r>
    </w:p>
    <w:p>
      <w:pPr>
        <w:pStyle w:val="BodyText"/>
        <w:widowControl/>
      </w:pPr>
      <w:r>
        <w:t xml:space="preserve">Stream binding (Normative): Compute a Base stream and a Welfare stream. The Base stream fixes h_k := 1.0 and is used by TRC and CSV. RF/NCRC begins from the Base stream but MUST apply the rights-specific non-attenuation, categorical-prohibition, and severe-hazard rules in Section 7.4; adverse rights severity MUST NOT be reduced merely because duration is short or analyst confidence is low. The Welfare stream uses the governed welfare-inclusion hypothesis set defined by the SGP binding interface and is used only for RLS. MPS bands and intervals are evidence objects and protection triggers, not cardinal welfare weights. If ranking or selection changes across the hypothesis set, the PCC MUST report MPS_HYPOTHESIS_SENSITIVE and the run must seek evidence, apply a precautionary policy, narrow the claim, preserve multiple options, or refuse a definitive ranking.</w:t>
      </w:r>
    </w:p>
    <w:bookmarkEnd w:id="93"/>
    <w:bookmarkStart w:id="94" w:name="Xc0c805040a7ffde04907e3aa042a5632a537682"/>
    <w:p>
      <w:pPr>
        <w:pStyle w:val="Heading2"/>
        <w:keepNext/>
        <w:keepLines/>
        <w:pageBreakBefore w:val="0"/>
        <w:widowControl/>
      </w:pPr>
      <w:r>
        <w:rPr>
          <w:rFonts w:ascii="Arial" w:hAnsi="Arial" w:eastAsia="Arial"/>
          <w:b/>
          <w:color w:val="1F4E78"/>
        </w:rPr>
        <w:t xml:space="preserve">5.1A Baseline Contract for Admissibility Layers (Normative)</w:t>
      </w:r>
    </w:p>
    <w:p>
      <w:pPr>
        <w:pStyle w:val="FirstParagraph"/>
        <w:widowControl/>
      </w:pPr>
      <w:r>
        <w:t xml:space="preserve">Baseline scope (Normative). RippleLogic welfare impacts are baseline-relative by design (Baseline-Zero Rule). For admissibility layers (NCRC and TRC) and any containment checks that depend on gate-relevant cells, the baseline for any cell that is in a rights coverage set C_r or in the catastrophe set C_cat MUST represent a rights-safe / safe-corridor reference condition (the rights-reference baseline; legacy machine alias</w:t>
      </w:r>
      <w:r>
        <w:t xml:space="preserve"> </w:t>
      </w:r>
      <w:r>
        <w:rPr>
          <w:rStyle w:val="VerbatimChar"/>
        </w:rPr>
        <w:t xml:space="preserve">FLOOR_REFERENCE</w:t>
      </w:r>
      <w:r>
        <w:t xml:space="preserve">), not merely the status quo.</w:t>
      </w:r>
    </w:p>
    <w:p>
      <w:pPr>
        <w:pStyle w:val="BodyText"/>
        <w:widowControl/>
      </w:pPr>
      <w:r>
        <w:t xml:space="preserve">Floor-baseline requirement (Normative). For each active rights or catastrophe cell, the PCC MUST declare the floor baseline reference (indicator definition, target level, jurisdictional or governed source when available, and any conversion assumptions). An option that maintains a rights-violating status quo MUST therefore score below 0 on the gate-relevant baseline-delta scale, because the baseline for gating is the floor reference.</w:t>
      </w:r>
    </w:p>
    <w:p>
      <w:pPr>
        <w:pStyle w:val="BodyText"/>
        <w:widowControl/>
      </w:pPr>
      <w:r>
        <w:t xml:space="preserve">PCC disclosure (Normative). The PCC MUST record BaselineType_Gates = FLOOR_REFERENCE for all cells in C_r ∪ C_cat, and MUST record BaselineType_Welfare for other cells. Allowed values: STATUS_QUO, FLOOR_REFERENCE, OTHER_DECLARED. If OTHER_DECLARED is used, the basis and rationale MUST be specified and MUST NOT weaken NCRC/TRC protection.</w:t>
      </w:r>
    </w:p>
    <w:bookmarkEnd w:id="94"/>
    <w:bookmarkStart w:id="96" w:name="Xc6537caf8b01aaf7457cf8b03e26a42a54ee425"/>
    <w:p>
      <w:pPr>
        <w:pStyle w:val="Heading2"/>
        <w:keepNext/>
        <w:keepLines/>
        <w:pageBreakBefore w:val="0"/>
        <w:widowControl/>
      </w:pPr>
      <w:r>
        <w:rPr>
          <w:rFonts w:ascii="Arial" w:hAnsi="Arial" w:eastAsia="Arial"/>
          <w:b/>
          <w:color w:val="1F4E78"/>
        </w:rPr>
        <w:t xml:space="preserve">5.2 Impact Instances (Normative)</w:t>
      </w:r>
    </w:p>
    <w:p>
      <w:pPr>
        <w:pStyle w:val="FirstParagraph"/>
        <w:widowControl/>
      </w:pPr>
      <w:r>
        <w:t xml:space="preserve">RippleLogic represents impacts in each active welfare cell (u,d) for option a as a finite set of impact instances K(u,d,a). Each instance captures one distinct causal pathway or measurable effect.</w:t>
      </w:r>
    </w:p>
    <w:p>
      <w:pPr>
        <w:pStyle w:val="BodyText"/>
        <w:widowControl/>
      </w:pPr>
      <w:r>
        <w:t xml:space="preserve">InstanceMap vs Impact Instances Bridge (v9.0; Normative): InstanceMap (Section 2.2A) specifies who is represented (stakeholders-in-context). Impact instances k ∈ K(u,d,a) specify how impacts occur (pathways) within a Scope×Dimension cell. These are distinct objects and MUST NOT be conflated. Impact instances inherit scope mapping from the stakeholder instances they affect. Both are required for full auditability at Tier 3.</w:t>
      </w:r>
    </w:p>
    <w:p>
      <w:pPr>
        <w:pStyle w:val="BodyText"/>
        <w:widowControl/>
      </w:pPr>
      <w:r>
        <w:t xml:space="preserve">Informative: Scopes × Dimensions form the welfare matrix. Instances feed the cells.</w:t>
      </w:r>
    </w:p>
    <w:bookmarkStart w:id="95" w:name="Xd4439fcee1fd93b89d3c283544029a0a1284337"/>
    <w:p>
      <w:pPr>
        <w:pStyle w:val="Heading3"/>
        <w:keepNext/>
        <w:keepLines/>
        <w:pageBreakBefore w:val="0"/>
        <w:widowControl/>
      </w:pPr>
      <w:r>
        <w:rPr>
          <w:rFonts w:ascii="Arial" w:hAnsi="Arial" w:eastAsia="Arial"/>
          <w:b/>
          <w:color w:val="1F4E78"/>
        </w:rPr>
        <w:t xml:space="preserve">5.2.1 ReachBasis canon (Tier 2+ required) (Normative)</w:t>
      </w:r>
    </w:p>
    <w:p>
      <w:pPr>
        <w:pStyle w:val="FirstParagraph"/>
        <w:widowControl/>
      </w:pPr>
      <w:r>
        <w:t xml:space="preserve">Definition (Normative). Reach r_k ∈ [0,1] is a scale term representing the fraction of the relevant reference class affected by impact instance k for the specified union scope u and welfare dimension d. r_k is not a moral weight and MUST NOT substitute for rights floors, TRC, or other gates.</w:t>
      </w:r>
    </w:p>
    <w:p>
      <w:pPr>
        <w:pStyle w:val="BodyText"/>
        <w:widowControl/>
      </w:pPr>
      <w:r>
        <w:t xml:space="preserve">ReachBasisType (Normative). For each r_k, the PCC MUST record one ReachBasisType ∈ {POPULATION_FRACTION, ASSET_OR_FLOW_FRACTION, AREA_OR_VOLUME_FRACTION, OTHER_DECLARED}. If OTHER_DECLARED is used, the PCC MUST define the basis and the denominator unambiguously.</w:t>
      </w:r>
    </w:p>
    <w:p>
      <w:pPr>
        <w:pStyle w:val="BodyText"/>
        <w:widowControl/>
      </w:pPr>
      <w:r>
        <w:t xml:space="preserve">Denominator rule (Normative). The denominator MUST match the union scope u and the decision boundary (Section 2.2A), and MUST be disclosed with units (for example: adult residents in district X; monthly platform active users; hectares of watershed; annual procurement spend).</w:t>
      </w:r>
    </w:p>
    <w:p>
      <w:pPr>
        <w:pStyle w:val="BodyText"/>
        <w:widowControl/>
      </w:pPr>
      <w:r>
        <w:t xml:space="preserve">Estimator and bounds (Normative). The PCC MUST record the estimator method and source/provenance for the denominator and numerator, plus conservative bounds when uncertainty is material. If bounds are used, the PCC MUST record r_k_low and r_k_high and use the conservative bound in any gate-relevant analysis when reach uncertainty could affect admissibility or containment.</w:t>
      </w:r>
    </w:p>
    <w:p>
      <w:pPr>
        <w:pStyle w:val="BodyText"/>
        <w:widowControl/>
      </w:pPr>
      <w:r>
        <w:t>Sign-aware reach-bound rule (Normative). When reach uncertainty is material, the PCC MUST use the conservative endpoint relative to the claim being supported: a beneficial effect used to justify selection, safety, control adequacy, or mitigation uses the lowest supported reach; an adverse effect uses the highest supported reach; and a gate-critical adverse effect uses GateAdverseBound. If sign is mixed or unresolved, evaluate both supported endpoints. If admissibility, containment, ranking, or selection changes across the interval, record sensitivity and narrow, escalate, redesign, delay, or refuse the stronger claim. A denominator choice MUST NOT systematically reduce adverse reach or inflate beneficial reach.</w:t>
      </w:r>
    </w:p>
    <w:p>
      <w:pPr>
        <w:pStyle w:val="BodyText"/>
        <w:widowControl/>
      </w:pPr>
      <w:r>
        <w:t xml:space="preserve">Rights-specific reach semantics (Normative). For rights-covered impact instances used in NCRC evaluation, reach SHALL be defined relative to the materially exposed protected subgroup or another subgroup-exposed reference class that prevents attenuation by unaffected population fraction. Reach in rights-covered cells MUST NOT dilute severity by reference to the full union population when only a protected subgroup is exposed. The PCC MUST record the rights-specific denominator when it differs from the general welfare denominator.</w:t>
      </w:r>
    </w:p>
    <w:p>
      <w:pPr>
        <w:pStyle w:val="BodyText"/>
        <w:widowControl/>
      </w:pPr>
      <w:r>
        <w:t xml:space="preserve">Table 5.1: Impact Instance Parameters (Canonical)</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Parameter</w:t>
            </w:r>
          </w:p>
        </w:tc>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Range</w:t>
            </w:r>
          </w:p>
        </w:tc>
        <w:tc>
          <w:tcPr>
            <w:shd w:fill="1F4E78" w:val="clear"/>
            <w:tcMar>
              <w:top w:w="80" w:type="dxa"/>
              <w:start w:w="90" w:type="dxa"/>
              <w:bottom w:w="80" w:type="dxa"/>
              <w:end w:w="90" w:type="dxa"/>
            </w:tcMar>
          </w:tcPr>
          <w:p>
            <w:pPr>
              <w:pStyle w:val="Compact"/>
              <w:jc w:val="left"/>
            </w:pPr>
            <w:r>
              <w:rPr>
                <w:b/>
                <w:bCs/>
                <w:color w:val="FFFFFF"/>
              </w:rPr>
              <w:t xml:space="preserve">Meaning</w:t>
            </w:r>
          </w:p>
        </w:tc>
      </w:tr>
      <w:tr>
        <w:trPr/>
        <w:tc>
          <w:tcPr>
            <w:tcMar>
              <w:top w:w="80" w:type="dxa"/>
              <w:start w:w="90" w:type="dxa"/>
              <w:bottom w:w="80" w:type="dxa"/>
              <w:end w:w="90" w:type="dxa"/>
            </w:tcMar>
            <w:shd w:fill="F7FBFF" w:val="clear"/>
          </w:tcPr>
          <w:p>
            <w:pPr>
              <w:pStyle w:val="Compact"/>
              <w:jc w:val="left"/>
            </w:pPr>
            <w:r>
              <w:t xml:space="preserve">Magnitude</w:t>
            </w:r>
          </w:p>
        </w:tc>
        <w:tc>
          <w:tcPr>
            <w:tcMar>
              <w:top w:w="80" w:type="dxa"/>
              <w:start w:w="90" w:type="dxa"/>
              <w:bottom w:w="80" w:type="dxa"/>
              <w:end w:w="90" w:type="dxa"/>
            </w:tcMar>
            <w:shd w:fill="F7FBFF" w:val="clear"/>
          </w:tcPr>
          <w:p>
            <w:pPr>
              <w:pStyle w:val="Compact"/>
              <w:jc w:val="left"/>
            </w:pPr>
            <w:r>
              <w:t xml:space="preserve">μ_k</w:t>
            </w:r>
          </w:p>
        </w:tc>
        <w:tc>
          <w:tcPr>
            <w:tcMar>
              <w:top w:w="80" w:type="dxa"/>
              <w:start w:w="90" w:type="dxa"/>
              <w:bottom w:w="80" w:type="dxa"/>
              <w:end w:w="90" w:type="dxa"/>
            </w:tcMar>
            <w:shd w:fill="F7FBFF" w:val="clear"/>
          </w:tcPr>
          <w:p>
            <w:pPr>
              <w:pStyle w:val="Compact"/>
              <w:jc w:val="left"/>
            </w:pPr>
            <w:r>
              <w:t xml:space="preserve">[-1,+1]</w:t>
            </w:r>
          </w:p>
        </w:tc>
        <w:tc>
          <w:tcPr>
            <w:tcMar>
              <w:top w:w="80" w:type="dxa"/>
              <w:start w:w="90" w:type="dxa"/>
              <w:bottom w:w="80" w:type="dxa"/>
              <w:end w:w="90" w:type="dxa"/>
            </w:tcMar>
            <w:shd w:fill="F7FBFF" w:val="clear"/>
          </w:tcPr>
          <w:p>
            <w:pPr>
              <w:pStyle w:val="Compact"/>
              <w:jc w:val="left"/>
            </w:pPr>
            <w:r>
              <w:t xml:space="preserve">Signed severity of welfare change (baseline-relative). Positive = improvement; negative = harm.</w:t>
            </w:r>
          </w:p>
        </w:tc>
      </w:tr>
      <w:tr>
        <w:trPr/>
        <w:tc>
          <w:tcPr>
            <w:tcMar>
              <w:top w:w="80" w:type="dxa"/>
              <w:start w:w="90" w:type="dxa"/>
              <w:bottom w:w="80" w:type="dxa"/>
              <w:end w:w="90" w:type="dxa"/>
            </w:tcMar>
            <w:shd w:fill="D9EAF7" w:val="clear"/>
          </w:tcPr>
          <w:p>
            <w:pPr>
              <w:pStyle w:val="Compact"/>
              <w:jc w:val="left"/>
            </w:pPr>
            <w:r>
              <w:t xml:space="preserve">Reach</w:t>
            </w:r>
          </w:p>
        </w:tc>
        <w:tc>
          <w:tcPr>
            <w:tcMar>
              <w:top w:w="80" w:type="dxa"/>
              <w:start w:w="90" w:type="dxa"/>
              <w:bottom w:w="80" w:type="dxa"/>
              <w:end w:w="90" w:type="dxa"/>
            </w:tcMar>
            <w:shd w:fill="D9EAF7" w:val="clear"/>
          </w:tcPr>
          <w:p>
            <w:pPr>
              <w:pStyle w:val="Compact"/>
              <w:jc w:val="left"/>
            </w:pPr>
            <w:r>
              <w:t xml:space="preserve">r_k</w:t>
            </w:r>
          </w:p>
        </w:tc>
        <w:tc>
          <w:tcPr>
            <w:tcMar>
              <w:top w:w="80" w:type="dxa"/>
              <w:start w:w="90" w:type="dxa"/>
              <w:bottom w:w="80" w:type="dxa"/>
              <w:end w:w="90" w:type="dxa"/>
            </w:tcMar>
            <w:shd w:fill="D9EAF7" w:val="clear"/>
          </w:tcPr>
          <w:p>
            <w:pPr>
              <w:pStyle w:val="Compact"/>
              <w:jc w:val="left"/>
            </w:pPr>
            <w:r>
              <w:t xml:space="preserve">[0,1]</w:t>
            </w:r>
          </w:p>
        </w:tc>
        <w:tc>
          <w:tcPr>
            <w:tcMar>
              <w:top w:w="80" w:type="dxa"/>
              <w:start w:w="90" w:type="dxa"/>
              <w:bottom w:w="80" w:type="dxa"/>
              <w:end w:w="90" w:type="dxa"/>
            </w:tcMar>
            <w:shd w:fill="D9EAF7" w:val="clear"/>
          </w:tcPr>
          <w:p>
            <w:pPr>
              <w:pStyle w:val="Compact"/>
              <w:jc w:val="left"/>
            </w:pPr>
            <w:r>
              <w:t xml:space="preserve">Fraction of the relevant stakeholder population materially affected.</w:t>
            </w:r>
          </w:p>
        </w:tc>
      </w:tr>
      <w:tr>
        <w:trPr/>
        <w:tc>
          <w:tcPr>
            <w:tcMar>
              <w:top w:w="80" w:type="dxa"/>
              <w:start w:w="90" w:type="dxa"/>
              <w:bottom w:w="80" w:type="dxa"/>
              <w:end w:w="90" w:type="dxa"/>
            </w:tcMar>
            <w:shd w:fill="F7FBFF" w:val="clear"/>
          </w:tcPr>
          <w:p>
            <w:pPr>
              <w:pStyle w:val="Compact"/>
              <w:jc w:val="left"/>
            </w:pPr>
            <w:r>
              <w:t xml:space="preserve">Time horizon</w:t>
            </w:r>
          </w:p>
        </w:tc>
        <w:tc>
          <w:tcPr>
            <w:tcMar>
              <w:top w:w="80" w:type="dxa"/>
              <w:start w:w="90" w:type="dxa"/>
              <w:bottom w:w="80" w:type="dxa"/>
              <w:end w:w="90" w:type="dxa"/>
            </w:tcMar>
            <w:shd w:fill="F7FBFF" w:val="clear"/>
          </w:tcPr>
          <w:p>
            <w:pPr>
              <w:pStyle w:val="Compact"/>
              <w:jc w:val="left"/>
            </w:pPr>
            <w:r>
              <w:t xml:space="preserve">t_k</w:t>
            </w:r>
          </w:p>
        </w:tc>
        <w:tc>
          <w:tcPr>
            <w:tcMar>
              <w:top w:w="80" w:type="dxa"/>
              <w:start w:w="90" w:type="dxa"/>
              <w:bottom w:w="80" w:type="dxa"/>
              <w:end w:w="90" w:type="dxa"/>
            </w:tcMar>
            <w:shd w:fill="F7FBFF" w:val="clear"/>
          </w:tcPr>
          <w:p>
            <w:pPr>
              <w:pStyle w:val="Compact"/>
              <w:jc w:val="left"/>
            </w:pPr>
            <w:r>
              <w:t xml:space="preserve">(0, ∞) years</w:t>
            </w:r>
          </w:p>
        </w:tc>
        <w:tc>
          <w:tcPr>
            <w:tcMar>
              <w:top w:w="80" w:type="dxa"/>
              <w:start w:w="90" w:type="dxa"/>
              <w:bottom w:w="80" w:type="dxa"/>
              <w:end w:w="90" w:type="dxa"/>
            </w:tcMar>
            <w:shd w:fill="F7FBFF" w:val="clear"/>
          </w:tcPr>
          <w:p>
            <w:pPr>
              <w:pStyle w:val="Compact"/>
              <w:jc w:val="left"/>
            </w:pPr>
            <w:r>
              <w:t xml:space="preserve">Duration over which the effect remains materially relevant.</w:t>
            </w:r>
          </w:p>
        </w:tc>
      </w:tr>
      <w:tr>
        <w:trPr/>
        <w:tc>
          <w:tcPr>
            <w:tcMar>
              <w:top w:w="80" w:type="dxa"/>
              <w:start w:w="90" w:type="dxa"/>
              <w:bottom w:w="80" w:type="dxa"/>
              <w:end w:w="90" w:type="dxa"/>
            </w:tcMar>
            <w:shd w:fill="D9EAF7" w:val="clear"/>
          </w:tcPr>
          <w:p>
            <w:pPr>
              <w:pStyle w:val="Compact"/>
              <w:jc w:val="left"/>
            </w:pPr>
            <w:r>
              <w:t xml:space="preserve">Likelihood</w:t>
            </w:r>
          </w:p>
        </w:tc>
        <w:tc>
          <w:tcPr>
            <w:tcMar>
              <w:top w:w="80" w:type="dxa"/>
              <w:start w:w="90" w:type="dxa"/>
              <w:bottom w:w="80" w:type="dxa"/>
              <w:end w:w="90" w:type="dxa"/>
            </w:tcMar>
            <w:shd w:fill="D9EAF7" w:val="clear"/>
          </w:tcPr>
          <w:p>
            <w:pPr>
              <w:pStyle w:val="Compact"/>
              <w:jc w:val="left"/>
            </w:pPr>
            <w:r>
              <w:t xml:space="preserve">ℓ_k</w:t>
            </w:r>
          </w:p>
        </w:tc>
        <w:tc>
          <w:tcPr>
            <w:tcMar>
              <w:top w:w="80" w:type="dxa"/>
              <w:start w:w="90" w:type="dxa"/>
              <w:bottom w:w="80" w:type="dxa"/>
              <w:end w:w="90" w:type="dxa"/>
            </w:tcMar>
            <w:shd w:fill="D9EAF7" w:val="clear"/>
          </w:tcPr>
          <w:p>
            <w:pPr>
              <w:pStyle w:val="Compact"/>
              <w:jc w:val="left"/>
            </w:pPr>
            <w:r>
              <w:t xml:space="preserve">[0,1]</w:t>
            </w:r>
          </w:p>
        </w:tc>
        <w:tc>
          <w:tcPr>
            <w:tcMar>
              <w:top w:w="80" w:type="dxa"/>
              <w:start w:w="90" w:type="dxa"/>
              <w:bottom w:w="80" w:type="dxa"/>
              <w:end w:w="90" w:type="dxa"/>
            </w:tcMar>
            <w:shd w:fill="D9EAF7" w:val="clear"/>
          </w:tcPr>
          <w:p>
            <w:pPr>
              <w:pStyle w:val="Compact"/>
              <w:jc w:val="left"/>
            </w:pPr>
            <w:r>
              <w:t xml:space="preserve">Conditional probability the instance occurs (conditional on scenario model, if used).</w:t>
            </w:r>
          </w:p>
        </w:tc>
      </w:tr>
      <w:tr>
        <w:trPr/>
        <w:tc>
          <w:tcPr>
            <w:tcMar>
              <w:top w:w="80" w:type="dxa"/>
              <w:start w:w="90" w:type="dxa"/>
              <w:bottom w:w="80" w:type="dxa"/>
              <w:end w:w="90" w:type="dxa"/>
            </w:tcMar>
            <w:shd w:fill="F7FBFF" w:val="clear"/>
          </w:tcPr>
          <w:p>
            <w:pPr>
              <w:pStyle w:val="Compact"/>
              <w:jc w:val="left"/>
            </w:pPr>
            <w:r>
              <w:t xml:space="preserve">Confidence</w:t>
            </w:r>
          </w:p>
        </w:tc>
        <w:tc>
          <w:tcPr>
            <w:tcMar>
              <w:top w:w="80" w:type="dxa"/>
              <w:start w:w="90" w:type="dxa"/>
              <w:bottom w:w="80" w:type="dxa"/>
              <w:end w:w="90" w:type="dxa"/>
            </w:tcMar>
            <w:shd w:fill="F7FBFF" w:val="clear"/>
          </w:tcPr>
          <w:p>
            <w:pPr>
              <w:pStyle w:val="Compact"/>
              <w:jc w:val="left"/>
            </w:pPr>
            <w:r>
              <w:t xml:space="preserve">c_k</w:t>
            </w:r>
          </w:p>
        </w:tc>
        <w:tc>
          <w:tcPr>
            <w:tcMar>
              <w:top w:w="80" w:type="dxa"/>
              <w:start w:w="90" w:type="dxa"/>
              <w:bottom w:w="80" w:type="dxa"/>
              <w:end w:w="90" w:type="dxa"/>
            </w:tcMar>
            <w:shd w:fill="F7FBFF" w:val="clear"/>
          </w:tcPr>
          <w:p>
            <w:pPr>
              <w:pStyle w:val="Compact"/>
              <w:jc w:val="left"/>
            </w:pPr>
            <w:r>
              <w:t xml:space="preserve">[0.1,1]</w:t>
            </w:r>
          </w:p>
        </w:tc>
        <w:tc>
          <w:tcPr>
            <w:tcMar>
              <w:top w:w="80" w:type="dxa"/>
              <w:start w:w="90" w:type="dxa"/>
              <w:bottom w:w="80" w:type="dxa"/>
              <w:end w:w="90" w:type="dxa"/>
            </w:tcMar>
            <w:shd w:fill="F7FBFF" w:val="clear"/>
          </w:tcPr>
          <w:p>
            <w:pPr>
              <w:pStyle w:val="Compact"/>
              <w:jc w:val="left"/>
            </w:pPr>
            <w:r>
              <w:t xml:space="preserve">Analyst confidence in the instance specification and mapping (floor prevents “zeroing out”).</w:t>
            </w:r>
          </w:p>
        </w:tc>
      </w:tr>
      <w:tr>
        <w:trPr/>
        <w:tc>
          <w:tcPr>
            <w:tcMar>
              <w:top w:w="80" w:type="dxa"/>
              <w:start w:w="90" w:type="dxa"/>
              <w:bottom w:w="80" w:type="dxa"/>
              <w:end w:w="90" w:type="dxa"/>
            </w:tcMar>
            <w:shd w:fill="D9EAF7" w:val="clear"/>
          </w:tcPr>
          <w:p>
            <w:pPr>
              <w:pStyle w:val="Compact"/>
              <w:jc w:val="left"/>
            </w:pPr>
            <w:r>
              <w:t xml:space="preserve">Equity/resilience multiplier</w:t>
            </w:r>
          </w:p>
        </w:tc>
        <w:tc>
          <w:tcPr>
            <w:tcMar>
              <w:top w:w="80" w:type="dxa"/>
              <w:start w:w="90" w:type="dxa"/>
              <w:bottom w:w="80" w:type="dxa"/>
              <w:end w:w="90" w:type="dxa"/>
            </w:tcMar>
            <w:shd w:fill="D9EAF7" w:val="clear"/>
          </w:tcPr>
          <w:p>
            <w:pPr>
              <w:pStyle w:val="Compact"/>
              <w:jc w:val="left"/>
            </w:pPr>
            <w:r>
              <w:t xml:space="preserve">e_k</w:t>
            </w:r>
          </w:p>
        </w:tc>
        <w:tc>
          <w:tcPr>
            <w:tcMar>
              <w:top w:w="80" w:type="dxa"/>
              <w:start w:w="90" w:type="dxa"/>
              <w:bottom w:w="80" w:type="dxa"/>
              <w:end w:w="90" w:type="dxa"/>
            </w:tcMar>
            <w:shd w:fill="D9EAF7" w:val="clear"/>
          </w:tcPr>
          <w:p>
            <w:pPr>
              <w:pStyle w:val="Compact"/>
              <w:jc w:val="left"/>
            </w:pPr>
            <w:r>
              <w:t xml:space="preserve">Tier 2: 1.00 only unless named governed instrument; Tier 3: [0.75, 1.25] default 1.00</w:t>
            </w:r>
          </w:p>
        </w:tc>
        <w:tc>
          <w:tcPr>
            <w:tcMar>
              <w:top w:w="80" w:type="dxa"/>
              <w:start w:w="90" w:type="dxa"/>
              <w:bottom w:w="80" w:type="dxa"/>
              <w:end w:w="90" w:type="dxa"/>
            </w:tcMar>
            <w:shd w:fill="D9EAF7" w:val="clear"/>
          </w:tcPr>
          <w:p>
            <w:pPr>
              <w:pStyle w:val="Compact"/>
              <w:jc w:val="left"/>
            </w:pPr>
            <w:r>
              <w:t xml:space="preserve">Governed multiplier for declared equity/resilience/context corrections only; MUST NOT function as a hidden weight or sign-changing control.</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Welfare-inclusion hypothesis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h_k</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Ordinarily 0 or 1; h_k=1 for every human person and FPP entity</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Declared welfare-accounting hypothesis used for robust RLS sensitivity. It is not an MPS score, probability of consciousness, quantity of experience, or measure of intrinsic worth. Additional bounded values require a separately governed and validated welfare-attention profile.</w:t>
            </w:r>
          </w:p>
        </w:tc>
      </w:tr>
    </w:tbl>
    <w:p>
      <w:pPr>
        <w:pStyle w:val="BodyText"/>
        <w:widowControl/>
      </w:pPr>
      <w:r>
        <w:t xml:space="preserve">Normative notes:</w:t>
      </w:r>
    </w:p>
    <w:p>
      <w:pPr>
        <w:pStyle w:val="Compact"/>
        <w:widowControl/>
        <w:numPr>
          <w:ilvl w:val="0"/>
          <w:numId w:val="1003"/>
        </w:numPr>
      </w:pPr>
      <w:r>
        <w:t xml:space="preserve">c_k has a floor of 0.1 to prevent omission-by-zeroing. In the residual Welfare stream, c_k is a governed evidence-support shrinkage coefficient toward the declared no-material-change prior; it is not the complete uncertainty model and it is not a claim that the unshrunk effect is absent. The PCC MUST separately report uncertainty under Section 10.3 and MUST test whether ranking changes under a governed unshrunk or adverse-bound sensitivity when low-confidence adverse impacts are material. In RF/NCRC, TRC, and material CSV use, the Gate-critical confidence guard below controls: low confidence cannot operate as a protective discount.</w:t>
      </w:r>
    </w:p>
    <w:p>
      <w:pPr>
        <w:pStyle w:val="FirstParagraph"/>
        <w:widowControl/>
      </w:pPr>
      <w:r>
        <w:t xml:space="preserve">Gate-critical confidence guard (Normative). For an adverse gate-critical instance k in a rights coverage set C_r, catastrophe cell set C_cat, or material CSV indicator, define GateAdverseBound(k) deterministically before the run. If an admissible interval or scenario bound is available, GateAdverseBound(k) is the most adverse supported endpoint for harm claims and the least favourable supported endpoint for beneficial control, capacity, or mitigation claims. If only a point estimate and c_k are available, the adverse gate calculation removes confidence shrinkage by setting c_gate,k:=1, while a beneficial claim used to establish gate safety retains c_gate,k:=c_k. Likelihood and scenario probability remain separately represented and MUST NOT be double-counted. If no reproducible conservative bound can be justified and the gate outcome could change, the result is UNKNOWN, ESCALATE, NARROW, or REFUSE rather than PASS. The PCC MUST record the bound method, evidence source, endpoint, and disposition. Confidence MUST NOT launder severe but uncertain gate-critical harm into pass status.</w:t>
      </w:r>
    </w:p>
    <w:p>
      <w:pPr>
        <w:pStyle w:val="Compact"/>
        <w:widowControl/>
        <w:numPr>
          <w:ilvl w:val="0"/>
          <w:numId w:val="1004"/>
        </w:numPr>
      </w:pPr>
      <w:r>
        <w:t xml:space="preserve">e_k is tightly governed. Tier 2 MUST set e_k = 1.00 for all impact instances unless a named governed instrument from PCC.EKRegistry is invoked explicitly. Tier 3 MAY use non-default e_k only from a pre-declared registry of allowed instruments, with each instrument carrying a declared purpose, source, allowed range, and replayable reason code. Unless a stricter charter rule exists, allowed non-default values are bounded to 0.75 ≤ e_k ≤ 1.25. e_k MUST NOT reverse sign, erase or dilute a rights-floor breach, function as a hidden weight, or be used asymmetrically across compared options without explicit justification and sensitivity disclosure. Any non-default e_k requires PCC justification, declared reason code, source or instrument note, stated bounds, default-counterfactual disclosure (what happens at e_k = 1.00), and tier-appropriate sensitivity if the non-default value could materially affect admissibility or selection.</w:t>
      </w:r>
    </w:p>
    <w:p>
      <w:pPr>
        <w:pStyle w:val="FirstParagraph"/>
        <w:widowControl/>
      </w:pPr>
      <w:r>
        <w:t xml:space="preserve">Audit trigger (Normative). If a non-default e_k is used without declared rationale, source or instrument note, stated bounds, or the required sensitivity record for the claimed tier, implementations MUST set audit flag EK_PARAMETER_UNJUSTIFIED. EK_PARAMETER_UNJUSTIFIED is INVALID for Tier 2-3 claimability until corrected or downgraded.</w:t>
      </w:r>
    </w:p>
    <w:p>
      <w:pPr>
        <w:pStyle w:val="BodyText"/>
        <w:widowControl/>
      </w:pPr>
      <w:r>
        <w:t xml:space="preserve">Registry omission rule (Normative clarification). PCC.EKRegistry MAY be omitted when all impact instances in the run use e_k = 1.00 and no Tier-2 named-instrument exception is invoked.</w:t>
      </w:r>
    </w:p>
    <w:p>
      <w:pPr>
        <w:pStyle w:val="BodyText"/>
        <w:widowControl/>
      </w:pPr>
      <w:r>
        <w:t xml:space="preserve">Registry note (Normative clarification). Implementations SHOULD restrict non-default e_k uses to a small declared registry (for example EQ_CORR, RESILIENCE_CORR, CONTEXT_CORR, or OTHER_DECLARED) and MUST apply the declared rule symmetrically across compared options unless the asymmetry itself is the subject of evaluation.</w:t>
      </w:r>
    </w:p>
    <w:p>
      <w:pPr>
        <w:pStyle w:val="BodyText"/>
        <w:widowControl/>
      </w:pPr>
      <w:r>
        <w:rPr>
          <w:b/>
          <w:bCs/>
        </w:rPr>
        <w:t xml:space="preserve">Confidence-versus-uncertainty distinction (Normative clarification).</w:t>
      </w:r>
      <w:r>
        <w:t xml:space="preserve"> </w:t>
      </w:r>
      <w:r>
        <w:t xml:space="preserve">The instance factor</w:t>
      </w:r>
      <w:r>
        <w:t xml:space="preserve"> </w:t>
      </w:r>
      <w:r>
        <w:rPr>
          <w:rStyle w:val="VerbatimChar"/>
        </w:rPr>
        <w:t xml:space="preserve">c_k</w:t>
      </w:r>
      <w:r>
        <w:t xml:space="preserve"> </w:t>
      </w:r>
      <w:r>
        <w:t xml:space="preserve">is a declared governance shrinkage operator used to construct a conservative point estimate; it is not itself the uncertainty interval or probability that the effect is true. Cell-level</w:t>
      </w:r>
      <w:r>
        <w:t xml:space="preserve"> </w:t>
      </w:r>
      <w:r>
        <w:rPr>
          <w:rStyle w:val="VerbatimChar"/>
        </w:rPr>
        <w:t xml:space="preserve">σ(u,d,a)</w:t>
      </w:r>
      <w:r>
        <w:t xml:space="preserve"> </w:t>
      </w:r>
      <w:r>
        <w:t xml:space="preserve">represents a separate uncertainty surface. When the combined use of shrinkage and uncertainty could change admissibility, ranking, or decisiveness, the PCC MUST report an unshrunk effect sensitivity or an equivalent interval/distributional treatment and explain why the two operators are not double-counting the same evidence weakness.</w:t>
      </w:r>
    </w:p>
    <w:p>
      <w:pPr>
        <w:pStyle w:val="Compact"/>
        <w:widowControl/>
        <w:numPr>
          <w:ilvl w:val="0"/>
          <w:numId w:val="1005"/>
        </w:numPr>
      </w:pPr>
      <w:r>
        <w:t xml:space="preserve">SGP v8.4 MPS records may affect protection posture, evidence requirements, and the welfare-inclusion hypothesis set used for robust RLS sensitivity. They MUST NOT be inserted directly as cardinal welfare multipliers. Every human person and FPP entity uses h_k=1. For other SGP-aware cases, include h_k=1 whenever direct welfare is a realistic or credible possibility; include h_k=0 as an exclusion hypothesis only where supported by admissible evidence. MPS-NE requires both inclusion and exclusion hypotheses when decision-material. SGP outputs MUST NOT weaken protection or alter NCRC, TRC, or CSV (Section 12; Appendix G).</w:t>
      </w:r>
    </w:p>
    <w:bookmarkEnd w:id="95"/>
    <w:bookmarkEnd w:id="96"/>
    <w:bookmarkStart w:id="98" w:name="Xd361fa995de573e42e96567fdfc4112d74b3758"/>
    <w:p>
      <w:pPr>
        <w:pStyle w:val="Heading2"/>
        <w:keepNext/>
        <w:keepLines/>
        <w:pageBreakBefore w:val="0"/>
        <w:widowControl/>
      </w:pPr>
      <w:r>
        <w:rPr>
          <w:rFonts w:ascii="Arial" w:hAnsi="Arial" w:eastAsia="Arial"/>
          <w:b/>
          <w:color w:val="1F4E78"/>
        </w:rPr>
        <w:t xml:space="preserve">5.3 Temporal Weighting (Normative)</w:t>
      </w:r>
    </w:p>
    <w:p>
      <w:pPr>
        <w:pStyle w:val="FirstParagraph"/>
        <w:widowControl/>
      </w:pPr>
      <w:r>
        <w:t xml:space="preserve">τ(t) = min(1, ln(1 + max(t, t_min)) / ln(1 + T_ref))</w:t>
      </w:r>
    </w:p>
    <w:p>
      <w:pPr>
        <w:pStyle w:val="BodyText"/>
        <w:widowControl/>
      </w:pPr>
      <w:r>
        <w:t xml:space="preserve">Intuition anchor (informative): τ(t) is the fraction of full governance-horizon weight an effect receives.</w:t>
      </w:r>
    </w:p>
    <w:p>
      <w:pPr>
        <w:pStyle w:val="BodyText"/>
        <w:widowControl/>
      </w:pPr>
      <w:r>
        <w:t xml:space="preserve">Defaults:</w:t>
      </w:r>
    </w:p>
    <w:p>
      <w:pPr>
        <w:pStyle w:val="BodyText"/>
        <w:widowControl/>
      </w:pPr>
      <w:r>
        <w:t xml:space="preserve">t_min = 0.083 years (approximately 1 month; prevents τ(0) = 0)</w:t>
      </w:r>
    </w:p>
    <w:p>
      <w:pPr>
        <w:pStyle w:val="BodyText"/>
        <w:widowControl/>
      </w:pPr>
      <w:r>
        <w:t xml:space="preserve">T_ref = 25 years (governance reference horizon)</w:t>
      </w:r>
    </w:p>
    <w:p>
      <w:pPr>
        <w:pStyle w:val="BodyText"/>
        <w:widowControl/>
      </w:pPr>
      <w:r>
        <w:t xml:space="preserve">Illustrative values (with defaults):</w:t>
      </w:r>
    </w:p>
    <w:p>
      <w:pPr>
        <w:pStyle w:val="BodyText"/>
        <w:widowControl/>
      </w:pPr>
      <w:r>
        <w:t xml:space="preserve">Design rationale: Logarithmic weighting preserves intergenerational salience relative to exponential discounting, which aggressively devalues future generations. The cap at T_ref prevents the anomaly where distant-future effects receive more weight than the governance horizon itself. T_ref is a governed parameter: governance bodies may adjust it (with PCC documentation and sensitivity analysis) but MUST NOT set T_ref &lt; 10 years without charter-level justification, as this would effectively suppress long-horizon considerations.</w:t>
      </w:r>
    </w:p>
    <w:p>
      <w:pPr>
        <w:pStyle w:val="BodyText"/>
        <w:widowControl/>
      </w:pPr>
      <w:r>
        <w:t xml:space="preserve">Sensitivity note (Tier 3): T_ref SHOULD be perturbed (for example, T_ref = 15 and T_ref = 50) as part of the sensitivity bundle. If selection changes under T_ref perturbation, the PCC MUST document this sensitivity.</w:t>
      </w:r>
    </w:p>
    <w:p>
      <w:pPr>
        <w:pStyle w:val="BodyText"/>
        <w:widowControl/>
      </w:pPr>
      <w:r>
        <w:t xml:space="preserve">Historical change note (v7.5.0; carried forward unchanged in v9.0): This replaces the uncapped τ(t) = ln(1+t)/ln(1+T_ref) used in v7.4.5, which produced τ(50) ≈ 1.22. The capped version is normatively preferred because temporal weight beyond the governance horizon should not exceed the horizon weight. All prior PCCs computed under v7.4.5 remain valid as lineage material; recomputation is recommended for active decisions with t &gt; T_ref impacts.</w:t>
      </w:r>
    </w:p>
    <w:p>
      <w:pPr>
        <w:pStyle w:val="BodyText"/>
        <w:widowControl/>
      </w:pPr>
      <w:r>
        <w:t xml:space="preserve">τ(100) = 1.00 (capped)</w:t>
      </w:r>
    </w:p>
    <w:p>
      <w:pPr>
        <w:pStyle w:val="BodyText"/>
        <w:widowControl/>
      </w:pPr>
      <w:r>
        <w:t xml:space="preserve">τ(50) = 1.00 (capped: no bonus beyond T_ref)</w:t>
      </w:r>
    </w:p>
    <w:p>
      <w:pPr>
        <w:pStyle w:val="BodyText"/>
        <w:widowControl/>
      </w:pPr>
      <w:r>
        <w:t xml:space="preserve">τ(25) = 1.00 (reference horizon: full weight)</w:t>
      </w:r>
    </w:p>
    <w:p>
      <w:pPr>
        <w:pStyle w:val="BodyText"/>
        <w:widowControl/>
      </w:pPr>
      <w:r>
        <w:t xml:space="preserve">τ(10) ≈ 0.74 (10 years)</w:t>
      </w:r>
    </w:p>
    <w:p>
      <w:pPr>
        <w:pStyle w:val="BodyText"/>
        <w:widowControl/>
      </w:pPr>
      <w:r>
        <w:t xml:space="preserve">τ(5) ≈ 0.55 (5 years)</w:t>
      </w:r>
    </w:p>
    <w:p>
      <w:pPr>
        <w:pStyle w:val="BodyText"/>
        <w:widowControl/>
      </w:pPr>
      <w:r>
        <w:t xml:space="preserve">τ(1) ≈ 0.21 (1 year)</w:t>
      </w:r>
    </w:p>
    <w:p>
      <w:pPr>
        <w:pStyle w:val="BodyText"/>
        <w:widowControl/>
      </w:pPr>
      <w:r>
        <w:t xml:space="preserve">τ(0.083) ≈ 0.025 (1 month: minimal but nonzero)</w:t>
      </w:r>
    </w:p>
    <w:p>
      <w:pPr>
        <w:pStyle w:val="BodyText"/>
        <w:widowControl/>
      </w:pPr>
      <w:r>
        <w:t xml:space="preserve">The min(1, ·) cap ensures that no effect receives more temporal weight than the reference horizon. Effects at or beyond T_ref receive full weight (τ = 1.0); effects below T_ref receive proportionally less weight on a logarithmic curve. The t_min floor ensures that very short-term effects are not zeroed out.</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Time Horizon (years)</w:t>
            </w:r>
          </w:p>
        </w:tc>
        <w:tc>
          <w:tcPr>
            <w:shd w:fill="1F4E78" w:val="clear"/>
            <w:tcMar>
              <w:top w:w="80" w:type="dxa"/>
              <w:start w:w="90" w:type="dxa"/>
              <w:bottom w:w="80" w:type="dxa"/>
              <w:end w:w="90" w:type="dxa"/>
            </w:tcMar>
          </w:tcPr>
          <w:p>
            <w:pPr>
              <w:pStyle w:val="Compact"/>
              <w:jc w:val="left"/>
            </w:pPr>
            <w:r>
              <w:rPr>
                <w:b/>
                <w:bCs/>
                <w:color w:val="FFFFFF"/>
              </w:rPr>
              <w:t xml:space="preserve">τ(t) Value</w:t>
            </w:r>
          </w:p>
        </w:tc>
      </w:tr>
      <w:tr>
        <w:trPr/>
        <w:tc>
          <w:tcPr>
            <w:tcMar>
              <w:top w:w="80" w:type="dxa"/>
              <w:start w:w="90" w:type="dxa"/>
              <w:bottom w:w="80" w:type="dxa"/>
              <w:end w:w="90" w:type="dxa"/>
            </w:tcMar>
            <w:shd w:fill="F7FBFF" w:val="clear"/>
          </w:tcPr>
          <w:p>
            <w:pPr>
              <w:pStyle w:val="Compact"/>
              <w:jc w:val="left"/>
            </w:pPr>
            <w:r>
              <w:t xml:space="preserve">1</w:t>
            </w:r>
          </w:p>
        </w:tc>
        <w:tc>
          <w:tcPr>
            <w:tcMar>
              <w:top w:w="80" w:type="dxa"/>
              <w:start w:w="90" w:type="dxa"/>
              <w:bottom w:w="80" w:type="dxa"/>
              <w:end w:w="90" w:type="dxa"/>
            </w:tcMar>
            <w:shd w:fill="F7FBFF" w:val="clear"/>
          </w:tcPr>
          <w:p>
            <w:pPr>
              <w:pStyle w:val="Compact"/>
              <w:jc w:val="left"/>
            </w:pPr>
            <w:r>
              <w:t xml:space="preserve">≈ 0.21</w:t>
            </w:r>
          </w:p>
        </w:tc>
      </w:tr>
      <w:tr>
        <w:trPr/>
        <w:tc>
          <w:tcPr>
            <w:tcMar>
              <w:top w:w="80" w:type="dxa"/>
              <w:start w:w="90" w:type="dxa"/>
              <w:bottom w:w="80" w:type="dxa"/>
              <w:end w:w="90" w:type="dxa"/>
            </w:tcMar>
            <w:shd w:fill="D9EAF7" w:val="clear"/>
          </w:tcPr>
          <w:p>
            <w:pPr>
              <w:pStyle w:val="Compact"/>
              <w:jc w:val="left"/>
            </w:pPr>
            <w:r>
              <w:t xml:space="preserve">5</w:t>
            </w:r>
          </w:p>
        </w:tc>
        <w:tc>
          <w:tcPr>
            <w:tcMar>
              <w:top w:w="80" w:type="dxa"/>
              <w:start w:w="90" w:type="dxa"/>
              <w:bottom w:w="80" w:type="dxa"/>
              <w:end w:w="90" w:type="dxa"/>
            </w:tcMar>
            <w:shd w:fill="D9EAF7" w:val="clear"/>
          </w:tcPr>
          <w:p>
            <w:pPr>
              <w:pStyle w:val="Compact"/>
              <w:jc w:val="left"/>
            </w:pPr>
            <w:r>
              <w:t xml:space="preserve">≈ 0.55</w:t>
            </w:r>
          </w:p>
        </w:tc>
      </w:tr>
      <w:tr>
        <w:trPr/>
        <w:tc>
          <w:tcPr>
            <w:tcMar>
              <w:top w:w="80" w:type="dxa"/>
              <w:start w:w="90" w:type="dxa"/>
              <w:bottom w:w="80" w:type="dxa"/>
              <w:end w:w="90" w:type="dxa"/>
            </w:tcMar>
            <w:shd w:fill="F7FBFF" w:val="clear"/>
          </w:tcPr>
          <w:p>
            <w:pPr>
              <w:pStyle w:val="Compact"/>
              <w:jc w:val="left"/>
            </w:pPr>
            <w:r>
              <w:t xml:space="preserve">10</w:t>
            </w:r>
          </w:p>
        </w:tc>
        <w:tc>
          <w:tcPr>
            <w:tcMar>
              <w:top w:w="80" w:type="dxa"/>
              <w:start w:w="90" w:type="dxa"/>
              <w:bottom w:w="80" w:type="dxa"/>
              <w:end w:w="90" w:type="dxa"/>
            </w:tcMar>
            <w:shd w:fill="F7FBFF" w:val="clear"/>
          </w:tcPr>
          <w:p>
            <w:pPr>
              <w:pStyle w:val="Compact"/>
              <w:jc w:val="left"/>
            </w:pPr>
            <w:r>
              <w:t xml:space="preserve">≈ 0.74</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25</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1.00</w:t>
            </w:r>
          </w:p>
        </w:tc>
      </w:tr>
    </w:tbl>
    <w:bookmarkStart w:id="97" w:name="Xc7ab501d2f1b11b4f5ec87ebbd92872aa94e203"/>
    <w:p>
      <w:pPr>
        <w:pStyle w:val="Heading3"/>
        <w:keepNext/>
        <w:keepLines/>
        <w:pageBreakBefore w:val="0"/>
        <w:widowControl/>
      </w:pPr>
      <w:r>
        <w:rPr>
          <w:rFonts w:ascii="Arial" w:hAnsi="Arial" w:eastAsia="Arial"/>
          <w:b/>
          <w:color w:val="1F4E78"/>
        </w:rPr>
        <w:t xml:space="preserve">5.3A Short-Duration Peak-Harm Diagnostic (Normative supplement)</w:t>
      </w:r>
    </w:p>
    <w:p>
      <w:pPr>
        <w:pStyle w:val="FirstParagraph"/>
        <w:widowControl/>
      </w:pPr>
      <w:r>
        <w:t xml:space="preserve">Temporal weighting estimates duration-integrated welfare burden. It MUST NOT be interpreted as evidence that an intense short-duration harm is trivial. For every adverse non-rights instance with</w:t>
      </w:r>
      <w:r>
        <w:t xml:space="preserve"> </w:t>
      </w:r>
      <w:r>
        <w:rPr>
          <w:rStyle w:val="VerbatimChar"/>
        </w:rPr>
        <w:t xml:space="preserve">|μ_k| &gt;= 0.50</w:t>
      </w:r>
      <w:r>
        <w:t xml:space="preserve"> </w:t>
      </w:r>
      <w:r>
        <w:t xml:space="preserve">and</w:t>
      </w:r>
      <w:r>
        <w:t xml:space="preserve"> </w:t>
      </w:r>
      <w:r>
        <w:rPr>
          <w:rStyle w:val="VerbatimChar"/>
        </w:rPr>
        <w:t xml:space="preserve">τ(t_k) &lt; 0.10</w:t>
      </w:r>
      <w:r>
        <w:t xml:space="preserve">, the PCC MUST record a</w:t>
      </w:r>
      <w:r>
        <w:t xml:space="preserve"> </w:t>
      </w:r>
      <w:r>
        <w:rPr>
          <w:rStyle w:val="VerbatimChar"/>
        </w:rPr>
        <w:t xml:space="preserve">PeakHarmReview</w:t>
      </w:r>
      <w:r>
        <w:t xml:space="preserve"> </w:t>
      </w:r>
      <w:r>
        <w:t xml:space="preserve">containing unattenuated peak severity, affected subgroup, reversibility, recurrence risk, mitigation, and whether the harm should enter RF/NCRC, TRC, or CSV instead of remaining ordinary welfare. Tier 3 and high-stakes Tier 2 runs MUST include a sensitivity result that combines the ordinary duration-weighted contribution with a separately disclosed peak-severity diagnostic. This supplement does not convert every brief harm into a rights violation; it prevents duration weighting from hiding intense episodic burdens. | 50 | 1.00 (capped) |</w:t>
      </w:r>
    </w:p>
    <w:bookmarkEnd w:id="97"/>
    <w:bookmarkEnd w:id="98"/>
    <w:bookmarkStart w:id="99" w:name="Xab3dfd5cd8a286f3d0036538fb86cf8ae0a7c19"/>
    <w:p>
      <w:pPr>
        <w:pStyle w:val="Heading2"/>
        <w:keepNext/>
        <w:keepLines/>
        <w:pageBreakBefore w:val="0"/>
        <w:widowControl/>
      </w:pPr>
      <w:r>
        <w:rPr>
          <w:rFonts w:ascii="Arial" w:hAnsi="Arial" w:eastAsia="Arial"/>
          <w:b/>
          <w:color w:val="1F4E78"/>
        </w:rPr>
        <w:t xml:space="preserve">5.4 Pre-Saturation Direct Impact Aggregation (Normative)</w:t>
      </w:r>
    </w:p>
    <w:p>
      <w:pPr>
        <w:pStyle w:val="FirstParagraph"/>
        <w:widowControl/>
      </w:pPr>
      <w:r>
        <w:t xml:space="preserve">For option a, union u, dimension d, define the pre-saturation direct impact per stream x ∈ {base, welfare}:</w:t>
      </w:r>
    </w:p>
    <w:p>
      <w:pPr>
        <w:pStyle w:val="BodyText"/>
        <w:widowControl/>
      </w:pPr>
      <w:r>
        <w:t xml:space="preserve">Ĩ_dir,x(u,d,a) = Σ_{k ∈ K(u,d,a)} [r_k × τ(t_k) × ℓ_k × c_k × e_k × h_{k,x} × μ_k]</w:t>
      </w:r>
    </w:p>
    <w:p>
      <w:pPr>
        <w:pStyle w:val="BodyText"/>
        <w:widowControl/>
      </w:pPr>
      <w:r>
        <w:t xml:space="preserve">where h_{k,base} := 1.0 for all impact instances. For the Welfare stream, each sensitivity evaluation j uses h_{k,welfare}^{(j)} from the governed welfare-inclusion hypothesis set permitted by Section 12 and Appendix G. MPS bands and intervals inform evidence posture and which hypotheses must be tested; they do not numerically set h_k. Every decision-material hypothesis endpoint MUST be evaluated. When the stream is clear from context, the shorthand Ĩ_dir(u,d,a) may be used. Appendix B controls the stream-separated equations.</w:t>
      </w:r>
    </w:p>
    <w:bookmarkEnd w:id="99"/>
    <w:bookmarkStart w:id="100" w:name="X899dd46cf844a454b963add008f642e1a007c53"/>
    <w:p>
      <w:pPr>
        <w:pStyle w:val="Heading2"/>
        <w:keepNext/>
        <w:keepLines/>
        <w:pageBreakBefore w:val="0"/>
        <w:widowControl/>
      </w:pPr>
      <w:r>
        <w:rPr>
          <w:rFonts w:ascii="Arial" w:hAnsi="Arial" w:eastAsia="Arial"/>
          <w:b/>
          <w:color w:val="1F4E78"/>
        </w:rPr>
        <w:t xml:space="preserve">5.5 Saturation (Normative)</w:t>
      </w:r>
    </w:p>
    <w:p>
      <w:pPr>
        <w:pStyle w:val="FirstParagraph"/>
        <w:widowControl/>
      </w:pPr>
      <w:r>
        <w:t xml:space="preserve">To ensure all direct impacts lie in [-1,+1] and avoid runaway totals, RippleLogic uses smooth saturation:</w:t>
      </w:r>
    </w:p>
    <w:p>
      <w:pPr>
        <w:pStyle w:val="BodyText"/>
        <w:widowControl/>
      </w:pPr>
      <w:r>
        <w:t xml:space="preserve">I_dir(u,d,a) = tanh(β × Ĩ_dir(u,d,a))</w:t>
      </w:r>
    </w:p>
    <w:p>
      <w:pPr>
        <w:pStyle w:val="BodyText"/>
        <w:widowControl/>
      </w:pPr>
      <w:r>
        <w:t xml:space="preserve">Default: β = 2.</w:t>
      </w:r>
    </w:p>
    <w:p>
      <w:pPr>
        <w:pStyle w:val="BodyText"/>
      </w:pPr>
      <w:r>
        <w:t>Saturation-parameter governance (Normative). β is a governed shaping parameter, not a natural constant. Every Tier 2-3 PCC MUST record beta_direct; every Tier 3 and high-stakes Tier 2 run MUST report sensitivity over a preregistered range that includes the identity-near case and the canonical default (normally at least β ∈ {1.0, 1.5, 2.0, 2.5} unless the domain profile justifies another range). A non-default value MUST be set before outcome inspection, justified by a named domain or governance source, applied symmetrically across compared options, and accompanied by the default counterfactual. If admissibility, ranking, or decisiveness changes materially across the required range, the result is saturation-sensitive and MUST be narrowed, escalated, routed to accountable authority, or treated as non-decisive for the stronger claim.</w:t>
      </w:r>
    </w:p>
    <w:bookmarkEnd w:id="100"/>
    <w:bookmarkStart w:id="103" w:name="X7df25728a0c01132c329456cdb95b079a70490f"/>
    <w:p>
      <w:pPr>
        <w:pStyle w:val="Heading2"/>
        <w:keepNext/>
        <w:keepLines/>
        <w:pageBreakBefore w:val="0"/>
        <w:widowControl/>
      </w:pPr>
      <w:r>
        <w:rPr>
          <w:rFonts w:ascii="Arial" w:hAnsi="Arial" w:eastAsia="Arial"/>
          <w:b/>
          <w:color w:val="1F4E78"/>
        </w:rPr>
        <w:t xml:space="preserve">5.6 Magnitude Construction μ_k: Canonical Anchoring Methods (Normative)</w:t>
      </w:r>
    </w:p>
    <w:p>
      <w:pPr>
        <w:pStyle w:val="FirstParagraph"/>
        <w:widowControl/>
      </w:pPr>
      <w:r>
        <w:t xml:space="preserve">Magnitude μ_k MUST represent a baseline-relative change on the normalized [-1,+1] scale. RippleLogic permits two canonical anchoring families:</w:t>
      </w:r>
    </w:p>
    <w:bookmarkStart w:id="101" w:name="X797eacc5b11bd3cd425ee0d3428cbf22d0f354b"/>
    <w:p>
      <w:pPr>
        <w:pStyle w:val="Heading3"/>
        <w:keepNext/>
        <w:keepLines/>
        <w:pageBreakBefore w:val="0"/>
        <w:widowControl/>
      </w:pPr>
      <w:r>
        <w:rPr>
          <w:rFonts w:ascii="Arial" w:hAnsi="Arial" w:eastAsia="Arial"/>
          <w:b/>
          <w:color w:val="1F4E78"/>
        </w:rPr>
        <w:t xml:space="preserve">5.6.1 Percentile Anchoring (Default for non-rights cells)</w:t>
      </w:r>
    </w:p>
    <w:p>
      <w:pPr>
        <w:pStyle w:val="FirstParagraph"/>
        <w:widowControl/>
      </w:pPr>
      <w:r>
        <w:t xml:space="preserve">Let x be the raw indicator (higher-is-better unless specified). Let P₅, P₅₀, P₉₅ be the 5th, 50th, and 95th percentiles of x in a declared reference class.</w:t>
      </w:r>
    </w:p>
    <w:p>
      <w:pPr>
        <w:pStyle w:val="BodyText"/>
        <w:widowControl/>
      </w:pPr>
      <w:r>
        <w:t xml:space="preserve">Define a bounded level score:</w:t>
      </w:r>
    </w:p>
    <w:p>
      <w:pPr>
        <w:pStyle w:val="BodyText"/>
        <w:widowControl/>
      </w:pPr>
      <w:r>
        <w:t xml:space="preserve">If x ≥ P₅₀:</w:t>
      </w:r>
    </w:p>
    <w:p>
      <w:pPr>
        <w:pStyle w:val="BodyText"/>
        <w:widowControl/>
      </w:pPr>
      <w:r>
        <w:t xml:space="preserve">S(x) = clip((x − P₅₀) / (P₉₅ − P₅₀), 0, +1)</w:t>
      </w:r>
    </w:p>
    <w:p>
      <w:pPr>
        <w:pStyle w:val="BodyText"/>
        <w:widowControl/>
      </w:pPr>
      <w:r>
        <w:t xml:space="preserve">If x &lt; P₅₀:</w:t>
      </w:r>
    </w:p>
    <w:p>
      <w:pPr>
        <w:pStyle w:val="BodyText"/>
        <w:widowControl/>
      </w:pPr>
      <w:r>
        <w:t xml:space="preserve">S(x) = clip((x − P₅₀) / (P₅₀ − P₅), −1, 0)</w:t>
      </w:r>
    </w:p>
    <w:p>
      <w:pPr>
        <w:pStyle w:val="BodyText"/>
        <w:widowControl/>
      </w:pPr>
      <w:r>
        <w:t xml:space="preserve">Edge-case guard (Normative). If (P₉₅ − P₅₀) = 0 OR (P₅₀ − P₅) = 0 (or numerically indistinguishable), percentile anchoring is undefined. The analyst MUST either (a) change the declared reference class, (b) use an alternate canonical anchoring method with explicit PCC justification, or (c) mark the affected impact instances as UNKNOWN_IMPACT and treat the cell as phantom-active under the Phantom Instance Rule until repaired. A run MUST NOT silently divide by zero or substitute arbitrary epsilons without PCC disclosure.</w:t>
      </w:r>
    </w:p>
    <w:p>
      <w:pPr>
        <w:pStyle w:val="BodyText"/>
        <w:widowControl/>
      </w:pPr>
      <w:r>
        <w:t xml:space="preserve">Then define magnitude as a baseline-relative delta:</w:t>
      </w:r>
    </w:p>
    <w:p>
      <w:pPr>
        <w:pStyle w:val="BodyText"/>
        <w:widowControl/>
      </w:pPr>
      <w:r>
        <w:t xml:space="preserve">μ_k = clip(S(x_a) − S(x₀), -1, +1)</w:t>
      </w:r>
    </w:p>
    <w:p>
      <w:pPr>
        <w:pStyle w:val="BodyText"/>
        <w:widowControl/>
      </w:pPr>
      <w:r>
        <w:t xml:space="preserve">Where x₀ is baseline indicator value, and x_a is the predicted value under option a.</w:t>
      </w:r>
    </w:p>
    <w:p>
      <w:pPr>
        <w:pStyle w:val="BodyText"/>
        <w:widowControl/>
      </w:pPr>
      <w:r>
        <w:t xml:space="preserve">If higher values are worse (for example, mortality rate), use:</w:t>
      </w:r>
    </w:p>
    <w:p>
      <w:pPr>
        <w:pStyle w:val="BodyText"/>
        <w:widowControl/>
      </w:pPr>
      <w:r>
        <w:t xml:space="preserve">S_worse(x) = −S(x)</w:t>
      </w:r>
    </w:p>
    <w:p>
      <w:pPr>
        <w:pStyle w:val="BodyText"/>
        <w:widowControl/>
      </w:pPr>
      <w:r>
        <w:t xml:space="preserve">Normative requirement: The PCC MUST record the reference class and percentile values used.</w:t>
      </w:r>
    </w:p>
    <w:bookmarkEnd w:id="101"/>
    <w:bookmarkStart w:id="102" w:name="X1c1dc9d920ddcabe3972d7b505889fc2e5b7b9a"/>
    <w:p>
      <w:pPr>
        <w:pStyle w:val="Heading3"/>
        <w:keepNext/>
        <w:keepLines/>
        <w:pageBreakBefore w:val="0"/>
        <w:widowControl/>
      </w:pPr>
      <w:r>
        <w:rPr>
          <w:rFonts w:ascii="Arial" w:hAnsi="Arial" w:eastAsia="Arial"/>
          <w:b/>
          <w:color w:val="1F4E78"/>
        </w:rPr>
        <w:t xml:space="preserve">5.6.2 Threshold Anchoring (Required for rights-covered cells unless invariant reference is declared)</w:t>
      </w:r>
    </w:p>
    <w:p>
      <w:pPr>
        <w:pStyle w:val="FirstParagraph"/>
        <w:widowControl/>
      </w:pPr>
      <w:r>
        <w:t xml:space="preserve">For rights-covered cells (cells in any rights coverage set C_r), analysts MUST NOT use context-local percentile anchoring unless the reference class is declared invariant under governance.</w:t>
      </w:r>
    </w:p>
    <w:p>
      <w:pPr>
        <w:pStyle w:val="BodyText"/>
        <w:widowControl/>
      </w:pPr>
      <w:r>
        <w:t xml:space="preserve">Default rule (Tier 1-3): Rights-covered magnitudes MUST be derived using threshold anchoring with explicit “good/bad” anchors so that rights semantics do not drift.</w:t>
      </w:r>
    </w:p>
    <w:p>
      <w:pPr>
        <w:pStyle w:val="BodyText"/>
        <w:widowControl/>
      </w:pPr>
      <w:r>
        <w:t xml:space="preserve">Let x_good be the indicator level consistent with rights-safe conditions and x_bad be the indicator level representing a severe rights violation onset. Map to a bounded level score:</w:t>
      </w:r>
    </w:p>
    <w:p>
      <w:pPr>
        <w:pStyle w:val="BodyText"/>
        <w:widowControl/>
      </w:pPr>
      <w:r>
        <w:t xml:space="preserve">For higher-is-better indicators: S(x) = clip((x − x_bad) / (x_good − x_bad), -1, +1)</w:t>
      </w:r>
    </w:p>
    <w:p>
      <w:pPr>
        <w:pStyle w:val="BodyText"/>
        <w:widowControl/>
      </w:pPr>
      <w:r>
        <w:t xml:space="preserve">Edge-case guard (Normative). If (x_good − x_bad) = 0 (or anchors are otherwise degenerate), threshold anchoring is undefined. The analyst MUST either (a) repair anchors via governed reference conditions, or (b) mark the affected impacts as UNKNOWN_IMPACT and treat the cell as phantom-active under the Phantom Instance Rule until repaired. A run MUST NOT compute a finite score from degenerate anchors.</w:t>
      </w:r>
    </w:p>
    <w:p>
      <w:pPr>
        <w:pStyle w:val="BodyText"/>
        <w:widowControl/>
      </w:pPr>
      <w:r>
        <w:t xml:space="preserve">For higher-is-worse indicators: S(x) = clip((x_bad − x) / (x_bad − x_good), -1, +1)</w:t>
      </w:r>
    </w:p>
    <w:p>
      <w:pPr>
        <w:pStyle w:val="BodyText"/>
        <w:widowControl/>
      </w:pPr>
      <w:r>
        <w:t xml:space="preserve">Then compute baseline-delta magnitude:</w:t>
      </w:r>
    </w:p>
    <w:p>
      <w:pPr>
        <w:pStyle w:val="BodyText"/>
        <w:widowControl/>
      </w:pPr>
      <w:r>
        <w:t xml:space="preserve">μ_k = clip(S(x_a) − S(x₀), -1, +1)</w:t>
      </w:r>
    </w:p>
    <w:p>
      <w:pPr>
        <w:pStyle w:val="BodyText"/>
        <w:widowControl/>
      </w:pPr>
      <w:r>
        <w:t xml:space="preserve">Normative requirement: The PCC MUST record x_good, x_bad, indicator definition, and direction.</w:t>
      </w:r>
    </w:p>
    <w:p>
      <w:pPr>
        <w:pStyle w:val="BodyText"/>
        <w:widowControl/>
      </w:pPr>
      <w:r>
        <w:t xml:space="preserve">Magnitude construction for rights-covered cells (C_r cells). For rights-covered cells, magnitudes MUST be derived using threshold anchoring with explicit reference conditions aligned to rights semantics (Section 7.1.1), preventing the context-local drift that percentile anchoring would permit. The PCC MUST record x_good, x_bad, indicator definition, direction, and the source/justification for the anchor values. This requirement applies to all tiers when rights-covered cells are quantitatively assessed.</w:t>
      </w:r>
    </w:p>
    <w:bookmarkEnd w:id="102"/>
    <w:bookmarkEnd w:id="103"/>
    <w:bookmarkStart w:id="104" w:name="X67ea088558c3acb63113efb8f8e0f8a56db0160"/>
    <w:p>
      <w:pPr>
        <w:pStyle w:val="Heading2"/>
        <w:keepNext/>
        <w:keepLines/>
        <w:pageBreakBefore w:val="0"/>
        <w:widowControl/>
      </w:pPr>
      <w:r>
        <w:rPr>
          <w:rFonts w:ascii="Arial" w:hAnsi="Arial" w:eastAsia="Arial"/>
          <w:b/>
          <w:color w:val="1F4E78"/>
        </w:rPr>
        <w:t xml:space="preserve">5.7 Missing Data Rule (Ignorance Penalty) (Normative)</w:t>
      </w:r>
    </w:p>
    <w:p>
      <w:pPr>
        <w:pStyle w:val="FirstParagraph"/>
        <w:widowControl/>
      </w:pPr>
      <w:r>
        <w:t xml:space="preserve">To prevent score inflation by omission:</w:t>
      </w:r>
    </w:p>
    <w:p>
      <w:pPr>
        <w:pStyle w:val="BodyText"/>
        <w:widowControl/>
      </w:pPr>
      <w:r>
        <w:t xml:space="preserve">If a welfare cell (u,d) is active (required by tier context and not masked for RLS), but no defensible instances can be specified, the PCC MUST:</w:t>
      </w:r>
    </w:p>
    <w:p>
      <w:pPr>
        <w:pStyle w:val="Compact"/>
        <w:widowControl/>
        <w:numPr>
          <w:ilvl w:val="0"/>
          <w:numId w:val="1006"/>
        </w:numPr>
      </w:pPr>
      <w:r>
        <w:t xml:space="preserve">Mark the cell as “UNKNOWN_IMPACT”, and</w:t>
      </w:r>
    </w:p>
    <w:p>
      <w:pPr>
        <w:pStyle w:val="Compact"/>
        <w:widowControl/>
        <w:numPr>
          <w:ilvl w:val="0"/>
          <w:numId w:val="1007"/>
        </w:numPr>
      </w:pPr>
      <w:r>
        <w:t xml:space="preserve">Include a phantom instance with canonical parameters: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Parameter</w:t>
            </w:r>
          </w:p>
        </w:tc>
        <w:tc>
          <w:tcPr>
            <w:shd w:fill="1F4E78" w:val="clear"/>
            <w:tcMar>
              <w:top w:w="80" w:type="dxa"/>
              <w:start w:w="90" w:type="dxa"/>
              <w:bottom w:w="80" w:type="dxa"/>
              <w:end w:w="90" w:type="dxa"/>
            </w:tcMar>
          </w:tcPr>
          <w:p>
            <w:pPr>
              <w:pStyle w:val="Compact"/>
              <w:jc w:val="left"/>
            </w:pPr>
            <w:r>
              <w:rPr>
                <w:b/>
                <w:bCs/>
                <w:color w:val="FFFFFF"/>
              </w:rPr>
              <w:t xml:space="preserve">Phantom Value</w:t>
            </w:r>
          </w:p>
        </w:tc>
      </w:tr>
      <w:tr>
        <w:trPr/>
        <w:tc>
          <w:tcPr>
            <w:tcMar>
              <w:top w:w="80" w:type="dxa"/>
              <w:start w:w="90" w:type="dxa"/>
              <w:bottom w:w="80" w:type="dxa"/>
              <w:end w:w="90" w:type="dxa"/>
            </w:tcMar>
            <w:shd w:fill="F7FBFF" w:val="clear"/>
          </w:tcPr>
          <w:p>
            <w:pPr>
              <w:pStyle w:val="Compact"/>
              <w:jc w:val="left"/>
            </w:pPr>
            <w:r>
              <w:t xml:space="preserve">μ_phantom</w:t>
            </w:r>
          </w:p>
        </w:tc>
        <w:tc>
          <w:tcPr>
            <w:tcMar>
              <w:top w:w="80" w:type="dxa"/>
              <w:start w:w="90" w:type="dxa"/>
              <w:bottom w:w="80" w:type="dxa"/>
              <w:end w:w="90" w:type="dxa"/>
            </w:tcMar>
            <w:shd w:fill="F7FBFF" w:val="clear"/>
          </w:tcPr>
          <w:p>
            <w:pPr>
              <w:pStyle w:val="Compact"/>
              <w:jc w:val="left"/>
            </w:pPr>
            <w:r>
              <w:t xml:space="preserve">-0.10</w:t>
            </w:r>
          </w:p>
        </w:tc>
      </w:tr>
      <w:tr>
        <w:trPr/>
        <w:tc>
          <w:tcPr>
            <w:tcMar>
              <w:top w:w="80" w:type="dxa"/>
              <w:start w:w="90" w:type="dxa"/>
              <w:bottom w:w="80" w:type="dxa"/>
              <w:end w:w="90" w:type="dxa"/>
            </w:tcMar>
            <w:shd w:fill="D9EAF7" w:val="clear"/>
          </w:tcPr>
          <w:p>
            <w:pPr>
              <w:pStyle w:val="Compact"/>
              <w:jc w:val="left"/>
            </w:pPr>
            <w:r>
              <w:t xml:space="preserve">r</w:t>
            </w:r>
          </w:p>
        </w:tc>
        <w:tc>
          <w:tcPr>
            <w:tcMar>
              <w:top w:w="80" w:type="dxa"/>
              <w:start w:w="90" w:type="dxa"/>
              <w:bottom w:w="80" w:type="dxa"/>
              <w:end w:w="90" w:type="dxa"/>
            </w:tcMar>
            <w:shd w:fill="D9EAF7" w:val="clear"/>
          </w:tcPr>
          <w:p>
            <w:pPr>
              <w:pStyle w:val="Compact"/>
              <w:jc w:val="left"/>
            </w:pPr>
            <w:r>
              <w:t xml:space="preserve">1</w:t>
            </w:r>
          </w:p>
        </w:tc>
      </w:tr>
      <w:tr>
        <w:trPr/>
        <w:tc>
          <w:tcPr>
            <w:tcMar>
              <w:top w:w="80" w:type="dxa"/>
              <w:start w:w="90" w:type="dxa"/>
              <w:bottom w:w="80" w:type="dxa"/>
              <w:end w:w="90" w:type="dxa"/>
            </w:tcMar>
            <w:shd w:fill="F7FBFF" w:val="clear"/>
          </w:tcPr>
          <w:p>
            <w:pPr>
              <w:pStyle w:val="Compact"/>
              <w:jc w:val="left"/>
            </w:pPr>
            <w:r>
              <w:t xml:space="preserve">t</w:t>
            </w:r>
          </w:p>
        </w:tc>
        <w:tc>
          <w:tcPr>
            <w:tcMar>
              <w:top w:w="80" w:type="dxa"/>
              <w:start w:w="90" w:type="dxa"/>
              <w:bottom w:w="80" w:type="dxa"/>
              <w:end w:w="90" w:type="dxa"/>
            </w:tcMar>
            <w:shd w:fill="F7FBFF" w:val="clear"/>
          </w:tcPr>
          <w:p>
            <w:pPr>
              <w:pStyle w:val="Compact"/>
              <w:jc w:val="left"/>
            </w:pPr>
            <w:r>
              <w:t xml:space="preserve">T_ref (25 years)</w:t>
            </w:r>
          </w:p>
        </w:tc>
      </w:tr>
      <w:tr>
        <w:trPr/>
        <w:tc>
          <w:tcPr>
            <w:tcMar>
              <w:top w:w="80" w:type="dxa"/>
              <w:start w:w="90" w:type="dxa"/>
              <w:bottom w:w="80" w:type="dxa"/>
              <w:end w:w="90" w:type="dxa"/>
            </w:tcMar>
            <w:shd w:fill="D9EAF7" w:val="clear"/>
          </w:tcPr>
          <w:p>
            <w:pPr>
              <w:pStyle w:val="Compact"/>
              <w:jc w:val="left"/>
            </w:pPr>
            <w:r>
              <w:t xml:space="preserve">ℓ</w:t>
            </w:r>
          </w:p>
        </w:tc>
        <w:tc>
          <w:tcPr>
            <w:tcMar>
              <w:top w:w="80" w:type="dxa"/>
              <w:start w:w="90" w:type="dxa"/>
              <w:bottom w:w="80" w:type="dxa"/>
              <w:end w:w="90" w:type="dxa"/>
            </w:tcMar>
            <w:shd w:fill="D9EAF7" w:val="clear"/>
          </w:tcPr>
          <w:p>
            <w:pPr>
              <w:pStyle w:val="Compact"/>
              <w:jc w:val="left"/>
            </w:pPr>
            <w:r>
              <w:t xml:space="preserve">1</w:t>
            </w:r>
          </w:p>
        </w:tc>
      </w:tr>
      <w:tr>
        <w:trPr/>
        <w:tc>
          <w:tcPr>
            <w:tcMar>
              <w:top w:w="80" w:type="dxa"/>
              <w:start w:w="90" w:type="dxa"/>
              <w:bottom w:w="80" w:type="dxa"/>
              <w:end w:w="90" w:type="dxa"/>
            </w:tcMar>
            <w:shd w:fill="F7FBFF" w:val="clear"/>
          </w:tcPr>
          <w:p>
            <w:pPr>
              <w:pStyle w:val="Compact"/>
              <w:jc w:val="left"/>
            </w:pPr>
            <w:r>
              <w:t xml:space="preserve">c</w:t>
            </w:r>
          </w:p>
        </w:tc>
        <w:tc>
          <w:tcPr>
            <w:tcMar>
              <w:top w:w="80" w:type="dxa"/>
              <w:start w:w="90" w:type="dxa"/>
              <w:bottom w:w="80" w:type="dxa"/>
              <w:end w:w="90" w:type="dxa"/>
            </w:tcMar>
            <w:shd w:fill="F7FBFF" w:val="clear"/>
          </w:tcPr>
          <w:p>
            <w:pPr>
              <w:pStyle w:val="Compact"/>
              <w:jc w:val="left"/>
            </w:pPr>
            <w:r>
              <w:t xml:space="preserve">1</w:t>
            </w:r>
          </w:p>
        </w:tc>
      </w:tr>
      <w:tr>
        <w:trPr/>
        <w:tc>
          <w:tcPr>
            <w:tcMar>
              <w:top w:w="80" w:type="dxa"/>
              <w:start w:w="90" w:type="dxa"/>
              <w:bottom w:w="80" w:type="dxa"/>
              <w:end w:w="90" w:type="dxa"/>
            </w:tcMar>
            <w:shd w:fill="D9EAF7" w:val="clear"/>
          </w:tcPr>
          <w:p>
            <w:pPr>
              <w:pStyle w:val="Compact"/>
              <w:jc w:val="left"/>
            </w:pPr>
            <w:r>
              <w:t xml:space="preserve">e</w:t>
            </w:r>
          </w:p>
        </w:tc>
        <w:tc>
          <w:tcPr>
            <w:tcMar>
              <w:top w:w="80" w:type="dxa"/>
              <w:start w:w="90" w:type="dxa"/>
              <w:bottom w:w="80" w:type="dxa"/>
              <w:end w:w="90" w:type="dxa"/>
            </w:tcMar>
            <w:shd w:fill="D9EAF7" w:val="clear"/>
          </w:tcPr>
          <w:p>
            <w:pPr>
              <w:pStyle w:val="Compact"/>
              <w:jc w:val="left"/>
            </w:pPr>
            <w:r>
              <w:t xml:space="preserve">1</w:t>
            </w:r>
          </w:p>
        </w:tc>
      </w:tr>
      <w:tr>
        <w:trPr/>
        <w:tc>
          <w:tcPr>
            <w:tcMar>
              <w:top w:w="80" w:type="dxa"/>
              <w:start w:w="90" w:type="dxa"/>
              <w:bottom w:w="80" w:type="dxa"/>
              <w:end w:w="90" w:type="dxa"/>
            </w:tcMar>
            <w:shd w:fill="F7FBFF" w:val="clear"/>
          </w:tcPr>
          <w:p>
            <w:pPr>
              <w:pStyle w:val="Compact"/>
              <w:jc w:val="left"/>
            </w:pPr>
            <w:r>
              <w:t xml:space="preserve">h_{k,base}</w:t>
            </w:r>
          </w:p>
        </w:tc>
        <w:tc>
          <w:tcPr>
            <w:tcMar>
              <w:top w:w="80" w:type="dxa"/>
              <w:start w:w="90" w:type="dxa"/>
              <w:bottom w:w="80" w:type="dxa"/>
              <w:end w:w="90" w:type="dxa"/>
            </w:tcMar>
            <w:shd w:fill="F7FBFF" w:val="clear"/>
          </w:tcPr>
          <w:p>
            <w:pPr>
              <w:pStyle w:val="Compact"/>
              <w:jc w:val="left"/>
            </w:pPr>
            <w:r>
              <w:t xml:space="preserve">1</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h_{k,welfare}</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1</w:t>
            </w:r>
          </w:p>
        </w:tc>
      </w:tr>
    </w:tbl>
    <w:p>
      <w:pPr>
        <w:pStyle w:val="BodyText"/>
        <w:widowControl/>
      </w:pPr>
      <w:r>
        <w:t xml:space="preserve">This yields a mild negative default rather than unjustified neutrality.</w:t>
      </w:r>
    </w:p>
    <w:p>
      <w:pPr>
        <w:pStyle w:val="BodyText"/>
        <w:widowControl/>
      </w:pPr>
      <w:r>
        <w:t xml:space="preserve">Calibration rationale (Informative). The phantom magnitude mu_phantom = -0.10 is a governance prior set to satisfy two constraints simultaneously: it must be negative enough that omitting evidence is worse than reporting neutral impact (preventing score inflation by ignorance), and it must be small enough in absolute value that phantom instances do not dominate well-evidenced cells when multiple unknowns coexist in a run. At mu = -0.10 with default parameters (r=1, t=T_ref, l=1, c=1), the phantom produces a saturated direct impact of approximately -0.20 per cell. In a run with uniform weights across 49 cells, a single phantom cell contributes roughly 0.004 to the total RLS magnitude, which is detectable in audit but not decisive unless many cells are unknown simultaneously. If five or more cells carry phantom instances, the cumulative penalty becomes material (approximately -0.02 to -0.03 in RLS), creating a meaningful incentive to gather evidence. The value -0.10 is a governance prior, not an empirically validated optimum. It is explicitly challengeable under standard governance rules; any revision requires justification, version increment, and sensitivity analysis over a reference decision suite.</w:t>
      </w:r>
    </w:p>
    <w:p>
      <w:pPr>
        <w:pStyle w:val="BodyText"/>
        <w:widowControl/>
      </w:pPr>
      <w:r>
        <w:rPr>
          <w:b/>
          <w:bCs/>
        </w:rPr>
        <w:t xml:space="preserve">Phantom-dependence rule (Normative).</w:t>
      </w:r>
      <w:r>
        <w:t xml:space="preserve"> </w:t>
      </w:r>
      <w:r>
        <w:t xml:space="preserve">A phantom value is an ignorance-management convention, not evidence that harm occurred. For Tier 3 and decision-material or high-stakes Tier 2 runs, the PCC MUST report the number and locations of phantom-active cells, the RLS ranking with and without phantom instances, and a governed unknown or adverse-bound sensitivity where feasible. If the preferred option, decisiveness classification, or public conclusion changes materially because of the phantom convention, the result MUST be treated as phantom-sensitive and therefore non-decisive, narrowed, escalated, or refused for the stronger claim. Analysts MUST NOT add weak estimates merely to avoid the phantom rule or manipulate the active-cell set to advantage an option.</w:t>
      </w:r>
    </w:p>
    <w:p>
      <w:pPr>
        <w:pStyle w:val="BodyText"/>
        <w:widowControl/>
      </w:pPr>
      <w:r>
        <w:t xml:space="preserve">Clarification: This rule does not apply to cells that are legitimately out of scope and properly masked with justification; it DOES apply to non-maskable cells and to any cell required by the tier’s minimum coverage rules.</w:t>
      </w:r>
    </w:p>
    <w:p>
      <w:pPr>
        <w:pStyle w:val="BodyText"/>
        <w:widowControl/>
      </w:pPr>
      <w:r>
        <w:t xml:space="preserve">Gate-Critical Unknown Rule (Normative). If a cell within C_r or C_cat is declared UNKNOWN_IMPACT, admissibility for that cell SHALL NOT be resolved using only the standard phantom-instance fallback. Default handling path: for rights-covered cells, the run MUST either (i) apply a governed conservative bound sufficient to preserve the rights gate, or (ii) treat the gate as unresolved and rerun, downgrade, or escalate. For catastrophe-covered cells, the run MUST either (i) apply a governed conservative scenario/cell bound sufficient to preserve TRC, or (ii) treat TRC as unresolved and rerun, downgrade, or escalate. Implementations MUST set RIGHTS_CELL_UNKNOWN_GATE_CRITICAL or CATASTROPHE_CELL_UNKNOWN_GATE_CRITICAL, as applicable, using only canonical severities defined in Section 14.3.</w:t>
      </w:r>
    </w:p>
    <w:bookmarkEnd w:id="104"/>
    <w:bookmarkStart w:id="105" w:name="X21d6aecf4677295fa1105ddf59bf12daa550447"/>
    <w:p>
      <w:pPr>
        <w:pStyle w:val="Heading2"/>
        <w:keepNext/>
        <w:keepLines/>
        <w:pageBreakBefore w:val="0"/>
        <w:widowControl/>
      </w:pPr>
      <w:r>
        <w:rPr>
          <w:rFonts w:ascii="Arial" w:hAnsi="Arial" w:eastAsia="Arial"/>
          <w:b/>
          <w:color w:val="1F4E78"/>
        </w:rPr>
        <w:t xml:space="preserve">5.8 Scenario-Conditioned Impacts (Normative for TRC runs)</w:t>
      </w:r>
    </w:p>
    <w:p>
      <w:pPr>
        <w:pStyle w:val="FirstParagraph"/>
        <w:widowControl/>
      </w:pPr>
      <w:r>
        <w:t xml:space="preserve">When TRC is in use (Tier 3 required; Tier 2 required when catastrophe relevance plausible), impacts MUST be scenario-conditioned at least for catastrophe cells:</w:t>
      </w:r>
    </w:p>
    <w:p>
      <w:pPr>
        <w:pStyle w:val="BodyText"/>
        <w:widowControl/>
      </w:pPr>
      <w:r>
        <w:t xml:space="preserve">Scenario probabilities p_s are governed (Appendix D). Scenario conditioning enters through ℓ_k and/or instance presence, and through propagation if scenario-specific kernels are declared.</w:t>
      </w:r>
    </w:p>
    <w:bookmarkEnd w:id="105"/>
    <w:bookmarkStart w:id="106" w:name="X3251e1e214fb598573d0c1b10f370ce290d2600"/>
    <w:p>
      <w:pPr>
        <w:pStyle w:val="Heading2"/>
        <w:keepNext/>
        <w:keepLines/>
        <w:pageBreakBefore w:val="0"/>
        <w:widowControl/>
      </w:pPr>
      <w:r>
        <w:rPr>
          <w:rFonts w:ascii="Arial" w:hAnsi="Arial" w:eastAsia="Arial"/>
          <w:b/>
          <w:color w:val="1F4E78"/>
        </w:rPr>
        <w:t xml:space="preserve">5.9 Worked Examples (Non-Normative, Computation-Illustrative)</w:t>
      </w:r>
    </w:p>
    <w:p>
      <w:pPr>
        <w:pStyle w:val="FirstParagraph"/>
        <w:widowControl/>
      </w:pPr>
      <w:r>
        <w:t xml:space="preserve">Example 5.1: Direct impact, Community-Social cell</w:t>
      </w:r>
    </w:p>
    <w:p>
      <w:pPr>
        <w:pStyle w:val="BodyText"/>
        <w:widowControl/>
      </w:pPr>
      <w:r>
        <w:t xml:space="preserve">Decision: Remote-work policy option a. Cell: u=3 (Community), d=3 (Social).</w:t>
      </w:r>
    </w:p>
    <w:p>
      <w:pPr>
        <w:pStyle w:val="BodyText"/>
        <w:widowControl/>
      </w:pPr>
      <w:r>
        <w:t xml:space="preserve">Assume T_ref = 25, β = 2.</w:t>
      </w:r>
    </w:p>
    <w:p>
      <w:pPr>
        <w:pStyle w:val="BodyText"/>
        <w:widowControl/>
      </w:pPr>
      <w:r>
        <w:t xml:space="preserve">Instance 1: Reduced in-person interaction</w:t>
      </w:r>
    </w:p>
    <w:p>
      <w:pPr>
        <w:pStyle w:val="Compact"/>
        <w:widowControl/>
        <w:numPr>
          <w:ilvl w:val="0"/>
          <w:numId w:val="1008"/>
        </w:numPr>
      </w:pPr>
      <w:r>
        <w:t xml:space="preserve">μ₁ = -0.30, r₁ = 0.80, t₁ = 3 years, ℓ₁ = 0.90, c₁ = 0.70, e₁ = 1, h_{1,base} = 1, h_{1,welfare} = 1</w:t>
      </w:r>
    </w:p>
    <w:p>
      <w:pPr>
        <w:pStyle w:val="FirstParagraph"/>
        <w:widowControl/>
      </w:pPr>
      <w:r>
        <w:t xml:space="preserve">Instance 2: Increased online community participation</w:t>
      </w:r>
    </w:p>
    <w:p>
      <w:pPr>
        <w:pStyle w:val="Compact"/>
        <w:widowControl/>
        <w:numPr>
          <w:ilvl w:val="0"/>
          <w:numId w:val="1009"/>
        </w:numPr>
      </w:pPr>
      <w:r>
        <w:t xml:space="preserve">μ₂ = +0.15, r₂ = 0.50, t₂ = 5 years, ℓ₂ = 0.70, c₂ = 0.50, e₂ = 1, h_{2,base} = 1, h_{2,welfare} = 1</w:t>
      </w:r>
    </w:p>
    <w:p>
      <w:pPr>
        <w:pStyle w:val="FirstParagraph"/>
        <w:widowControl/>
      </w:pPr>
      <w:r>
        <w:t xml:space="preserve">Compute temporal weights:</w:t>
      </w:r>
    </w:p>
    <w:p>
      <w:pPr>
        <w:pStyle w:val="Compact"/>
        <w:widowControl/>
        <w:numPr>
          <w:ilvl w:val="0"/>
          <w:numId w:val="1010"/>
        </w:numPr>
      </w:pPr>
      <w:r>
        <w:t xml:space="preserve">τ(3) = ln(4)/ln(26) ≈ 0.43</w:t>
      </w:r>
    </w:p>
    <w:p>
      <w:pPr>
        <w:pStyle w:val="Compact"/>
        <w:widowControl/>
        <w:numPr>
          <w:ilvl w:val="0"/>
          <w:numId w:val="1011"/>
        </w:numPr>
      </w:pPr>
      <w:r>
        <w:t xml:space="preserve">τ(5) = ln(6)/ln(26) ≈ 0.55</w:t>
      </w:r>
    </w:p>
    <w:p>
      <w:pPr>
        <w:pStyle w:val="FirstParagraph"/>
        <w:widowControl/>
      </w:pPr>
      <w:r>
        <w:t xml:space="preserve">Compute contributions:</w:t>
      </w:r>
    </w:p>
    <w:p>
      <w:pPr>
        <w:pStyle w:val="Compact"/>
        <w:widowControl/>
        <w:numPr>
          <w:ilvl w:val="0"/>
          <w:numId w:val="1012"/>
        </w:numPr>
      </w:pPr>
      <w:r>
        <w:t xml:space="preserve">Inst1: 0.80 × 0.43 × 0.90 × 0.70 × 1 × 1 × (-0.30) ≈ -0.065</w:t>
      </w:r>
    </w:p>
    <w:p>
      <w:pPr>
        <w:pStyle w:val="Compact"/>
        <w:widowControl/>
        <w:numPr>
          <w:ilvl w:val="0"/>
          <w:numId w:val="1013"/>
        </w:numPr>
      </w:pPr>
      <w:r>
        <w:t xml:space="preserve">Inst2: 0.50 × 0.55 × 0.70 × 0.50 × 1 × 1 × (+0.15) ≈ +0.014</w:t>
      </w:r>
    </w:p>
    <w:p>
      <w:pPr>
        <w:pStyle w:val="FirstParagraph"/>
        <w:widowControl/>
      </w:pPr>
      <w:r>
        <w:t xml:space="preserve">Aggregate pre-saturation:</w:t>
      </w:r>
    </w:p>
    <w:p>
      <w:pPr>
        <w:pStyle w:val="Compact"/>
        <w:widowControl/>
        <w:numPr>
          <w:ilvl w:val="0"/>
          <w:numId w:val="1014"/>
        </w:numPr>
      </w:pPr>
      <w:r>
        <w:t xml:space="preserve">Ĩ_dir = -0.065 + 0.014 = -0.051</w:t>
      </w:r>
    </w:p>
    <w:p>
      <w:pPr>
        <w:pStyle w:val="FirstParagraph"/>
        <w:widowControl/>
      </w:pPr>
      <w:r>
        <w:t xml:space="preserve">Saturate:</w:t>
      </w:r>
    </w:p>
    <w:p>
      <w:pPr>
        <w:pStyle w:val="Compact"/>
        <w:widowControl/>
        <w:numPr>
          <w:ilvl w:val="0"/>
          <w:numId w:val="1015"/>
        </w:numPr>
      </w:pPr>
      <w:r>
        <w:t xml:space="preserve">I_dir(3,3,a) = tanh(2 × -0.051) = tanh(-0.102) ≈ -0.10</w:t>
      </w:r>
    </w:p>
    <w:p>
      <w:pPr>
        <w:pStyle w:val="FirstParagraph"/>
        <w:widowControl/>
      </w:pPr>
      <w:r>
        <w:t xml:space="preserve">Example 5.2: Missing-data penalty</w:t>
      </w:r>
    </w:p>
    <w:p>
      <w:pPr>
        <w:pStyle w:val="BodyText"/>
        <w:widowControl/>
      </w:pPr>
      <w:r>
        <w:t xml:space="preserve">Cell u=7 (Biosphere), d=7 (Environment) is active (non-maskable for environment-relevant decisions). Analyst lacks defensible estimates.</w:t>
      </w:r>
    </w:p>
    <w:p>
      <w:pPr>
        <w:pStyle w:val="BodyText"/>
        <w:widowControl/>
      </w:pPr>
      <w:r>
        <w:t xml:space="preserve">Phantom instance yields:</w:t>
      </w:r>
    </w:p>
    <w:p>
      <w:pPr>
        <w:pStyle w:val="Compact"/>
        <w:widowControl/>
        <w:numPr>
          <w:ilvl w:val="0"/>
          <w:numId w:val="1016"/>
        </w:numPr>
      </w:pPr>
      <w:r>
        <w:t xml:space="preserve">Ĩ_dir = 1 × 1 × 1 × 1 × 1 × 1 × (-0.10) = -0.10</w:t>
      </w:r>
    </w:p>
    <w:p>
      <w:pPr>
        <w:pStyle w:val="Compact"/>
        <w:widowControl/>
        <w:numPr>
          <w:ilvl w:val="0"/>
          <w:numId w:val="1017"/>
        </w:numPr>
      </w:pPr>
      <w:r>
        <w:t xml:space="preserve">I_dir = tanh(2 × -0.10) ≈ -0.20</w:t>
      </w:r>
    </w:p>
    <w:p>
      <w:pPr>
        <w:pStyle w:val="FirstParagraph"/>
        <w:widowControl/>
      </w:pPr>
      <w:r>
        <w:t xml:space="preserve">This enforces humility: missing evidence is mildly negative, not neutral.</w:t>
      </w:r>
    </w:p>
    <w:bookmarkEnd w:id="106"/>
    <w:bookmarkEnd w:id="107"/>
    <w:bookmarkStart w:id="118" w:name="X48a7ffb759511b287ff8303a6aff4e38228c667"/>
    <w:p>
      <w:pPr>
        <w:pStyle w:val="Heading1"/>
        <w:keepNext/>
        <w:keepLines/>
        <w:pageBreakBefore w:val="0"/>
        <w:widowControl/>
      </w:pPr>
      <w:r>
        <w:rPr>
          <w:rFonts w:ascii="Arial" w:hAnsi="Arial" w:eastAsia="Arial"/>
          <w:b/>
          <w:color w:val="1F4E78"/>
        </w:rPr>
        <w:t xml:space="preserve">SECTION 6: RIPPLE PROPAGATION: KERNEL AND EPISTEMIC HUMILITY</w:t>
      </w:r>
    </w:p>
    <w:bookmarkStart w:id="108" w:name="Xa18ff76e6b61ef9ea7d672acf6eac39d28ad7a7"/>
    <w:p>
      <w:pPr>
        <w:pStyle w:val="Heading2"/>
        <w:keepNext/>
        <w:keepLines/>
        <w:pageBreakBefore w:val="0"/>
        <w:widowControl/>
      </w:pPr>
      <w:r>
        <w:rPr>
          <w:rFonts w:ascii="Arial" w:hAnsi="Arial" w:eastAsia="Arial"/>
          <w:b/>
          <w:color w:val="1F4E78"/>
        </w:rPr>
        <w:t xml:space="preserve">6.0 Purpose (Normative)</w:t>
      </w:r>
    </w:p>
    <w:p>
      <w:pPr>
        <w:pStyle w:val="FirstParagraph"/>
        <w:widowControl/>
      </w:pPr>
      <w:r>
        <w:t xml:space="preserve">Ripple propagation models how direct impacts in one cell causally and institutionally ripple into other cells across unions and dimensions. This makes cross-scale externalities explicit and auditable.</w:t>
      </w:r>
    </w:p>
    <w:p>
      <w:pPr>
        <w:pStyle w:val="BodyText"/>
        <w:widowControl/>
      </w:pPr>
      <w:r>
        <w:t xml:space="preserve">Tier posture: Tier 1-3 permit NONE or QUICK propagation. FULL propagation is a Tier-4 design target only and MUST NOT be used for Tier 1-3 compliance claims.</w:t>
      </w:r>
    </w:p>
    <w:bookmarkEnd w:id="108"/>
    <w:bookmarkStart w:id="109" w:name="Xbbaa9f0013bc605d5b56b9ffb1a8326bf59efb4"/>
    <w:p>
      <w:pPr>
        <w:pStyle w:val="Heading2"/>
        <w:keepNext/>
        <w:keepLines/>
        <w:pageBreakBefore w:val="0"/>
        <w:widowControl/>
      </w:pPr>
      <w:r>
        <w:rPr>
          <w:rFonts w:ascii="Arial" w:hAnsi="Arial" w:eastAsia="Arial"/>
          <w:b/>
          <w:color w:val="1F4E78"/>
        </w:rPr>
        <w:t xml:space="preserve">6.1 Kernel Definition and Convention (Normative)</w:t>
      </w:r>
    </w:p>
    <w:p>
      <w:pPr>
        <w:pStyle w:val="FirstParagraph"/>
        <w:widowControl/>
      </w:pPr>
      <w:r>
        <w:t xml:space="preserve">Let the 49 welfare cells be indexed by i = φ(u,d) with φ(u,d) = 7(u-1) + d. The ripple kernel is a sparse matrix K ∈ ℝ^{49×49}.</w:t>
      </w:r>
    </w:p>
    <w:p>
      <w:pPr>
        <w:pStyle w:val="BodyText"/>
        <w:widowControl/>
      </w:pPr>
      <w:r>
        <w:t xml:space="preserve">Kernel convention (MUST):</w:t>
      </w:r>
    </w:p>
    <w:p>
      <w:pPr>
        <w:pStyle w:val="Compact"/>
        <w:widowControl/>
        <w:numPr>
          <w:ilvl w:val="0"/>
          <w:numId w:val="1018"/>
        </w:numPr>
      </w:pPr>
      <w:r>
        <w:t xml:space="preserve">K_{ij} maps effect from source cell j to target cell i (target-row, source-column).</w:t>
      </w:r>
    </w:p>
    <w:p>
      <w:pPr>
        <w:pStyle w:val="Compact"/>
        <w:widowControl/>
        <w:numPr>
          <w:ilvl w:val="0"/>
          <w:numId w:val="1019"/>
        </w:numPr>
      </w:pPr>
      <w:r>
        <w:t xml:space="preserve">Propagation uses left multiplication: Ĩ_prop = I_dir + K × I_dir</w:t>
      </w:r>
    </w:p>
    <w:p>
      <w:pPr>
        <w:pStyle w:val="FirstParagraph"/>
        <w:widowControl/>
      </w:pPr>
      <w:r>
        <w:t xml:space="preserve">Interpretation:</w:t>
      </w:r>
    </w:p>
    <w:p>
      <w:pPr>
        <w:pStyle w:val="BodyText"/>
        <w:widowControl/>
      </w:pPr>
      <w:r>
        <w:t xml:space="preserve">Scale semantics and first-order propagation note (Normative clarification). The bounded cell impacts used by RippleLogic are governance scores anchored to declared indicators and baselines, not claims that dignity, liberty, or meaning are measured as cardinal utility in nature. The kernel K is a declared first-order propagation operator for bounded local approximation under the chosen decision horizon. It does not claim that all socio-technical dynamics are globally linear. Non-linearities and threshold behavior are handled elsewhere in the architecture through saturation, scenario branching, rights floors, tail-risk screening, containment, escalation, and versioned recalibration of K. Implementations MUST NOT present K as a proof of empirical linearity; they MAY present it as a transparent, auditable approximation layer governed by the PCC.</w:t>
      </w:r>
    </w:p>
    <w:p>
      <w:pPr>
        <w:pStyle w:val="Compact"/>
        <w:widowControl/>
        <w:numPr>
          <w:ilvl w:val="0"/>
          <w:numId w:val="1020"/>
        </w:numPr>
      </w:pPr>
      <w:r>
        <w:t xml:space="preserve">κ &gt; 0: improving source j tends to improve target i.</w:t>
      </w:r>
    </w:p>
    <w:p>
      <w:pPr>
        <w:pStyle w:val="Compact"/>
        <w:widowControl/>
        <w:numPr>
          <w:ilvl w:val="0"/>
          <w:numId w:val="1021"/>
        </w:numPr>
      </w:pPr>
      <w:r>
        <w:t xml:space="preserve">κ &lt; 0: improving source j tends to harm target i.</w:t>
      </w:r>
    </w:p>
    <w:p>
      <w:pPr>
        <w:pStyle w:val="Compact"/>
        <w:widowControl/>
        <w:numPr>
          <w:ilvl w:val="0"/>
          <w:numId w:val="1022"/>
        </w:numPr>
      </w:pPr>
      <w:r>
        <w:t xml:space="preserve">κ = 0: no modeled pathway.</w:t>
      </w:r>
    </w:p>
    <w:bookmarkEnd w:id="109"/>
    <w:bookmarkStart w:id="110" w:name="X6e76b73b8f1a9f7318fb1915f69ebc2b265ce31"/>
    <w:p>
      <w:pPr>
        <w:pStyle w:val="Heading2"/>
        <w:keepNext/>
        <w:keepLines/>
        <w:pageBreakBefore w:val="0"/>
        <w:widowControl/>
      </w:pPr>
      <w:r>
        <w:rPr>
          <w:rFonts w:ascii="Arial" w:hAnsi="Arial" w:eastAsia="Arial"/>
          <w:b/>
          <w:color w:val="1F4E78"/>
        </w:rPr>
        <w:t xml:space="preserve">6.2 Propagation Modes (Tier 1-3) (Normative)</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Mode</w:t>
            </w:r>
          </w:p>
        </w:tc>
        <w:tc>
          <w:tcPr>
            <w:shd w:fill="1F4E78" w:val="clear"/>
            <w:tcMar>
              <w:top w:w="80" w:type="dxa"/>
              <w:start w:w="90" w:type="dxa"/>
              <w:bottom w:w="80" w:type="dxa"/>
              <w:end w:w="90" w:type="dxa"/>
            </w:tcMar>
          </w:tcPr>
          <w:p>
            <w:pPr>
              <w:pStyle w:val="Compact"/>
              <w:jc w:val="left"/>
            </w:pPr>
            <w:r>
              <w:rPr>
                <w:b/>
                <w:bCs/>
                <w:color w:val="FFFFFF"/>
              </w:rPr>
              <w:t xml:space="preserve">Formula</w:t>
            </w:r>
          </w:p>
        </w:tc>
        <w:tc>
          <w:tcPr>
            <w:shd w:fill="1F4E78" w:val="clear"/>
            <w:tcMar>
              <w:top w:w="80" w:type="dxa"/>
              <w:start w:w="90" w:type="dxa"/>
              <w:bottom w:w="80" w:type="dxa"/>
              <w:end w:w="90" w:type="dxa"/>
            </w:tcMar>
          </w:tcPr>
          <w:p>
            <w:pPr>
              <w:pStyle w:val="Compact"/>
              <w:jc w:val="left"/>
            </w:pPr>
            <w:r>
              <w:rPr>
                <w:b/>
                <w:bCs/>
                <w:color w:val="FFFFFF"/>
              </w:rPr>
              <w:t xml:space="preserve">Use Case</w:t>
            </w:r>
          </w:p>
        </w:tc>
      </w:tr>
      <w:tr>
        <w:trPr/>
        <w:tc>
          <w:tcPr>
            <w:tcMar>
              <w:top w:w="80" w:type="dxa"/>
              <w:start w:w="90" w:type="dxa"/>
              <w:bottom w:w="80" w:type="dxa"/>
              <w:end w:w="90" w:type="dxa"/>
            </w:tcMar>
            <w:shd w:fill="F7FBFF" w:val="clear"/>
          </w:tcPr>
          <w:p>
            <w:pPr>
              <w:pStyle w:val="Compact"/>
              <w:jc w:val="left"/>
            </w:pPr>
            <w:r>
              <w:t xml:space="preserve">NONE (Direct-only)</w:t>
            </w:r>
          </w:p>
        </w:tc>
        <w:tc>
          <w:tcPr>
            <w:tcMar>
              <w:top w:w="80" w:type="dxa"/>
              <w:start w:w="90" w:type="dxa"/>
              <w:bottom w:w="80" w:type="dxa"/>
              <w:end w:w="90" w:type="dxa"/>
            </w:tcMar>
            <w:shd w:fill="F7FBFF" w:val="clear"/>
          </w:tcPr>
          <w:p>
            <w:pPr>
              <w:pStyle w:val="Compact"/>
              <w:jc w:val="left"/>
            </w:pPr>
            <w:r>
              <w:t xml:space="preserve">I_prop := I_dir</w:t>
            </w:r>
          </w:p>
        </w:tc>
        <w:tc>
          <w:tcPr>
            <w:tcMar>
              <w:top w:w="80" w:type="dxa"/>
              <w:start w:w="90" w:type="dxa"/>
              <w:bottom w:w="80" w:type="dxa"/>
              <w:end w:w="90" w:type="dxa"/>
            </w:tcMar>
            <w:shd w:fill="F7FBFF" w:val="clear"/>
          </w:tcPr>
          <w:p>
            <w:pPr>
              <w:pStyle w:val="Compact"/>
              <w:jc w:val="left"/>
            </w:pPr>
            <w:r>
              <w:t xml:space="preserve">Tier 1-2 default</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QUICK (First-order)</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Ĩ_prop = I_dir + K × I_dir</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Tier 3 with sensitivity</w:t>
            </w:r>
          </w:p>
        </w:tc>
      </w:tr>
    </w:tbl>
    <w:p>
      <w:pPr>
        <w:pStyle w:val="BodyText"/>
        <w:widowControl/>
      </w:pPr>
      <w:r>
        <w:t xml:space="preserve">Stream note (Normative). Propagation is applied per stream x∈{base, welfare} as defined in Appendix B. In Section 6 (and any tables using shorthand), I_dir and I_prop are shorthand for I_dir,x and I_prop,x when the stream is clear from context. Admissibility gates (NCRC, TRC, CSV) use the Base stream; RLS uses the Welfare stream.</w:t>
      </w:r>
    </w:p>
    <w:p>
      <w:pPr>
        <w:pStyle w:val="BodyText"/>
        <w:widowControl/>
      </w:pPr>
      <w:r>
        <w:t xml:space="preserve">Normative restriction: FULL propagation is PROHIBITED for Tier 1-3 claims in the current v12.5 release line.</w:t>
      </w:r>
    </w:p>
    <w:bookmarkEnd w:id="110"/>
    <w:bookmarkStart w:id="111" w:name="X8b455f58987a36be15320959fcf34c99ca54283"/>
    <w:p>
      <w:pPr>
        <w:pStyle w:val="Heading2"/>
        <w:keepNext/>
        <w:keepLines/>
        <w:pageBreakBefore w:val="0"/>
        <w:widowControl/>
      </w:pPr>
      <w:r>
        <w:rPr>
          <w:rFonts w:ascii="Arial" w:hAnsi="Arial" w:eastAsia="Arial"/>
          <w:b/>
          <w:color w:val="1F4E78"/>
        </w:rPr>
        <w:t xml:space="preserve">6.3 Post-Propagation Saturation (Normative)</w:t>
      </w:r>
    </w:p>
    <w:p>
      <w:pPr>
        <w:pStyle w:val="FirstParagraph"/>
        <w:widowControl/>
      </w:pPr>
      <w:r>
        <w:t xml:space="preserve">Because propagation can push values outside [-1,+1], apply elementwise saturation:</w:t>
      </w:r>
    </w:p>
    <w:p>
      <w:pPr>
        <w:pStyle w:val="BodyText"/>
        <w:widowControl/>
      </w:pPr>
      <w:r>
        <w:t xml:space="preserve">I_prop_x(u,d,a) = tanh(β_prop × Ĩ_prop_x(u,d,a))</w:t>
      </w:r>
    </w:p>
    <w:p>
      <w:pPr>
        <w:pStyle w:val="BodyText"/>
        <w:widowControl/>
      </w:pPr>
      <w:r>
        <w:t xml:space="preserve">Notation: I_prop_base and I_prop_welfare denote the x=base and x=welfare outputs respectively.</w:t>
      </w:r>
    </w:p>
    <w:p>
      <w:pPr>
        <w:pStyle w:val="BodyText"/>
        <w:widowControl/>
      </w:pPr>
      <w:r>
        <w:t xml:space="preserve">Default: β_prop = 1.</w:t>
      </w:r>
    </w:p>
    <w:bookmarkEnd w:id="111"/>
    <w:bookmarkStart w:id="112" w:name="X4596457785e73887171035f2e1d5cb69b15859d"/>
    <w:p>
      <w:pPr>
        <w:pStyle w:val="BodyText"/>
      </w:pPr>
      <w:r>
        <w:t>Propagation-mode comparability rule (Normative clarification). NONE and QUICK are different declared transformations: QUICK includes a second saturation step while NONE preserves the direct saturated value. Consequently, a NONE-versus-QUICK comparison is not a pure estimate of the kernel term alone, and a humility fallback from QUICK to NONE is a model change rather than simple deletion of K. The PCC MUST disclose that distinction, recompute the complete result under each declared mode, and separate kernel sensitivity from mode/saturation sensitivity. If the preferred option or gate interpretation changes because of the mode boundary, the stronger deterministic claim MUST be narrowed or treated as unresolved. A future formula change intended to make the null-kernel limit identical across modes requires a versioned equation change and reference-suite replay; it MUST NOT be introduced silently as a same-run implementation convenience.</w:t>
      </w:r>
    </w:p>
    <w:p>
      <w:pPr>
        <w:pStyle w:val="Heading2"/>
        <w:keepNext/>
        <w:keepLines/>
        <w:pageBreakBefore w:val="0"/>
        <w:widowControl/>
      </w:pPr>
      <w:r>
        <w:rPr>
          <w:rFonts w:ascii="Arial" w:hAnsi="Arial" w:eastAsia="Arial"/>
          <w:b/>
          <w:color w:val="1F4E78"/>
        </w:rPr>
        <w:t xml:space="preserve">6.4 Stability Constraints and Humility Fallbacks (Normative)</w:t>
      </w:r>
    </w:p>
    <w:p>
      <w:pPr>
        <w:pStyle w:val="FirstParagraph"/>
        <w:widowControl/>
      </w:pPr>
      <w:r>
        <w:t xml:space="preserve">Kernel stability guardrails (defaults; may be tightened by governance):</w:t>
      </w:r>
    </w:p>
    <w:p>
      <w:pPr>
        <w:pStyle w:val="Compact"/>
        <w:widowControl/>
        <w:numPr>
          <w:ilvl w:val="0"/>
          <w:numId w:val="1023"/>
        </w:numPr>
      </w:pPr>
      <w:r>
        <w:t xml:space="preserve">Entry bound: |K_{ij}| ≤ κ_max, default κ_max = 0.5</w:t>
      </w:r>
    </w:p>
    <w:p>
      <w:pPr>
        <w:pStyle w:val="Compact"/>
        <w:widowControl/>
        <w:numPr>
          <w:ilvl w:val="0"/>
          <w:numId w:val="1024"/>
        </w:numPr>
      </w:pPr>
      <w:r>
        <w:t xml:space="preserve">Absolute row-sum bound (required): ∥K∥∞ := max_i Σ_j |K_{ij}| ≤ ρ_max, default ρ_max = 0.9.</w:t>
      </w:r>
    </w:p>
    <w:p>
      <w:pPr>
        <w:pStyle w:val="Compact"/>
        <w:widowControl/>
        <w:numPr>
          <w:ilvl w:val="0"/>
          <w:numId w:val="1025"/>
        </w:numPr>
      </w:pPr>
      <w:r>
        <w:t xml:space="preserve">Spectral radius constraint (satisfied by construction under the row-sum bound): If ∥K∥∞ &lt; 1, then ρ(K) &lt; 1 is treated as satisfied for Tier 1-3 purposes because ρ(K) ≤ ∥K∥∞. Implementations MUST NOT require additional spectral-radius computation to claim Tier 1-3 conformance when the row-sum bound holds.</w:t>
      </w:r>
    </w:p>
    <w:p>
      <w:pPr>
        <w:pStyle w:val="FirstParagraph"/>
        <w:widowControl/>
      </w:pPr>
      <w:r>
        <w:t xml:space="preserve">Kernel stability verification rule (Normative). A Tier 1-3 implementation MUST compute and record (in PCC when kernel is used): (i) max_{ij} |K_{ij}| and (ii) ∥K∥∞. If either exceeds its bound (entry bound or row-sum bound), the run MUST execute the humility fallback (propagation_mode = NONE) and record KERNEL_HUMILITY_FALLBACK = TRUE.</w:t>
      </w:r>
    </w:p>
    <w:p>
      <w:pPr>
        <w:pStyle w:val="BodyText"/>
        <w:widowControl/>
      </w:pPr>
      <w:r>
        <w:t xml:space="preserve">If the declared kernel violates entry bounds or row-sum bounds (and therefore fails the Tier 1-3 stability verification rule above), the run MUST:</w:t>
      </w:r>
    </w:p>
    <w:p>
      <w:pPr>
        <w:pStyle w:val="Compact"/>
        <w:widowControl/>
        <w:numPr>
          <w:ilvl w:val="0"/>
          <w:numId w:val="1026"/>
        </w:numPr>
      </w:pPr>
      <w:r>
        <w:t xml:space="preserve">Set propagation_mode = NONE, and</w:t>
      </w:r>
    </w:p>
    <w:p>
      <w:pPr>
        <w:pStyle w:val="Compact"/>
        <w:widowControl/>
        <w:numPr>
          <w:ilvl w:val="0"/>
          <w:numId w:val="1027"/>
        </w:numPr>
      </w:pPr>
      <w:r>
        <w:t xml:space="preserve">Record a PCC limitation: KERNEL_HUMILITY_FALLBACK = TRUE.</w:t>
      </w:r>
    </w:p>
    <w:p>
      <w:pPr>
        <w:pStyle w:val="FirstParagraph"/>
        <w:widowControl/>
      </w:pPr>
      <w:r>
        <w:t xml:space="preserve">Rationale: An unstable or over-amplifying kernel is worse than no kernel; it creates false certainty and is easy to game.</w:t>
      </w:r>
    </w:p>
    <w:bookmarkEnd w:id="112"/>
    <w:bookmarkStart w:id="114" w:name="X144d3678ed7c80c91adb536afdf657a3688618f"/>
    <w:p>
      <w:pPr>
        <w:pStyle w:val="Heading2"/>
        <w:keepNext/>
        <w:keepLines/>
        <w:pageBreakBefore w:val="0"/>
        <w:widowControl/>
      </w:pPr>
      <w:r>
        <w:rPr>
          <w:rFonts w:ascii="Arial" w:hAnsi="Arial" w:eastAsia="Arial"/>
          <w:b/>
          <w:color w:val="1F4E78"/>
        </w:rPr>
        <w:t xml:space="preserve">6.5 Kernel Quality Score (KQS) (Normative)</w:t>
      </w:r>
    </w:p>
    <w:p>
      <w:pPr>
        <w:pStyle w:val="FirstParagraph"/>
        <w:widowControl/>
      </w:pPr>
      <w:r>
        <w:t xml:space="preserve">KQS summarizes readiness of the kernel for decision-relevant propagation:</w:t>
      </w:r>
    </w:p>
    <w:p>
      <w:pPr>
        <w:pStyle w:val="BodyText"/>
        <w:widowControl/>
      </w:pPr>
      <w:r>
        <w:t xml:space="preserve">KQS = w_cov × C_cov + w_id × C_id + w_stab × C_stab + w_pred × C_pred</w:t>
      </w:r>
    </w:p>
    <w:p>
      <w:pPr>
        <w:pStyle w:val="BodyText"/>
        <w:widowControl/>
      </w:pPr>
      <w:r>
        <w:t xml:space="preserve">Default component weights: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Component</w:t>
            </w:r>
          </w:p>
        </w:tc>
        <w:tc>
          <w:tcPr>
            <w:shd w:fill="1F4E78" w:val="clear"/>
            <w:tcMar>
              <w:top w:w="80" w:type="dxa"/>
              <w:start w:w="90" w:type="dxa"/>
              <w:bottom w:w="80" w:type="dxa"/>
              <w:end w:w="90" w:type="dxa"/>
            </w:tcMar>
          </w:tcPr>
          <w:p>
            <w:pPr>
              <w:pStyle w:val="Compact"/>
              <w:jc w:val="left"/>
            </w:pPr>
            <w:r>
              <w:rPr>
                <w:b/>
                <w:bCs/>
                <w:color w:val="FFFFFF"/>
              </w:rPr>
              <w:t xml:space="preserve">Weight</w:t>
            </w:r>
          </w:p>
        </w:tc>
      </w:tr>
      <w:tr>
        <w:trPr/>
        <w:tc>
          <w:tcPr>
            <w:tcMar>
              <w:top w:w="80" w:type="dxa"/>
              <w:start w:w="90" w:type="dxa"/>
              <w:bottom w:w="80" w:type="dxa"/>
              <w:end w:w="90" w:type="dxa"/>
            </w:tcMar>
            <w:shd w:fill="F7FBFF" w:val="clear"/>
          </w:tcPr>
          <w:p>
            <w:pPr>
              <w:pStyle w:val="Compact"/>
              <w:jc w:val="left"/>
            </w:pPr>
            <w:r>
              <w:t xml:space="preserve">Coverage (C_cov)</w:t>
            </w:r>
          </w:p>
        </w:tc>
        <w:tc>
          <w:tcPr>
            <w:tcMar>
              <w:top w:w="80" w:type="dxa"/>
              <w:start w:w="90" w:type="dxa"/>
              <w:bottom w:w="80" w:type="dxa"/>
              <w:end w:w="90" w:type="dxa"/>
            </w:tcMar>
            <w:shd w:fill="F7FBFF" w:val="clear"/>
          </w:tcPr>
          <w:p>
            <w:pPr>
              <w:pStyle w:val="Compact"/>
              <w:jc w:val="left"/>
            </w:pPr>
            <w:r>
              <w:t xml:space="preserve">0.25</w:t>
            </w:r>
          </w:p>
        </w:tc>
      </w:tr>
      <w:tr>
        <w:trPr/>
        <w:tc>
          <w:tcPr>
            <w:tcMar>
              <w:top w:w="80" w:type="dxa"/>
              <w:start w:w="90" w:type="dxa"/>
              <w:bottom w:w="80" w:type="dxa"/>
              <w:end w:w="90" w:type="dxa"/>
            </w:tcMar>
            <w:shd w:fill="D9EAF7" w:val="clear"/>
          </w:tcPr>
          <w:p>
            <w:pPr>
              <w:pStyle w:val="Compact"/>
              <w:jc w:val="left"/>
            </w:pPr>
            <w:r>
              <w:t xml:space="preserve">Identifiability (C_id)</w:t>
            </w:r>
          </w:p>
        </w:tc>
        <w:tc>
          <w:tcPr>
            <w:tcMar>
              <w:top w:w="80" w:type="dxa"/>
              <w:start w:w="90" w:type="dxa"/>
              <w:bottom w:w="80" w:type="dxa"/>
              <w:end w:w="90" w:type="dxa"/>
            </w:tcMar>
            <w:shd w:fill="D9EAF7" w:val="clear"/>
          </w:tcPr>
          <w:p>
            <w:pPr>
              <w:pStyle w:val="Compact"/>
              <w:jc w:val="left"/>
            </w:pPr>
            <w:r>
              <w:t xml:space="preserve">0.30</w:t>
            </w:r>
          </w:p>
        </w:tc>
      </w:tr>
      <w:tr>
        <w:trPr/>
        <w:tc>
          <w:tcPr>
            <w:tcMar>
              <w:top w:w="80" w:type="dxa"/>
              <w:start w:w="90" w:type="dxa"/>
              <w:bottom w:w="80" w:type="dxa"/>
              <w:end w:w="90" w:type="dxa"/>
            </w:tcMar>
            <w:shd w:fill="F7FBFF" w:val="clear"/>
          </w:tcPr>
          <w:p>
            <w:pPr>
              <w:pStyle w:val="Compact"/>
              <w:jc w:val="left"/>
            </w:pPr>
            <w:r>
              <w:t xml:space="preserve">Stability (C_stab)</w:t>
            </w:r>
          </w:p>
        </w:tc>
        <w:tc>
          <w:tcPr>
            <w:tcMar>
              <w:top w:w="80" w:type="dxa"/>
              <w:start w:w="90" w:type="dxa"/>
              <w:bottom w:w="80" w:type="dxa"/>
              <w:end w:w="90" w:type="dxa"/>
            </w:tcMar>
            <w:shd w:fill="F7FBFF" w:val="clear"/>
          </w:tcPr>
          <w:p>
            <w:pPr>
              <w:pStyle w:val="Compact"/>
              <w:jc w:val="left"/>
            </w:pPr>
            <w:r>
              <w:t xml:space="preserve">0.20</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Prediction (C_pred)</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0.25</w:t>
            </w:r>
          </w:p>
        </w:tc>
      </w:tr>
    </w:tbl>
    <w:p>
      <w:pPr>
        <w:pStyle w:val="BodyText"/>
        <w:widowControl/>
      </w:pPr>
      <w:r>
        <w:t xml:space="preserve">Component meanings (each in [0,1]):</w:t>
      </w:r>
    </w:p>
    <w:p>
      <w:pPr>
        <w:pStyle w:val="Compact"/>
        <w:widowControl/>
        <w:numPr>
          <w:ilvl w:val="0"/>
          <w:numId w:val="1028"/>
        </w:numPr>
      </w:pPr>
      <w:r>
        <w:t xml:space="preserve">C_cov: coverage evidence proportion (share of relied-upon edges with cited evidence)</w:t>
      </w:r>
    </w:p>
    <w:p>
      <w:pPr>
        <w:pStyle w:val="Compact"/>
        <w:widowControl/>
        <w:numPr>
          <w:ilvl w:val="0"/>
          <w:numId w:val="1029"/>
        </w:numPr>
      </w:pPr>
      <w:r>
        <w:t xml:space="preserve">C_id: identifiability (edges are specified with clear endpoints and sign; replayable)</w:t>
      </w:r>
    </w:p>
    <w:p>
      <w:pPr>
        <w:pStyle w:val="Compact"/>
        <w:widowControl/>
        <w:numPr>
          <w:ilvl w:val="0"/>
          <w:numId w:val="1030"/>
        </w:numPr>
      </w:pPr>
      <w:r>
        <w:t xml:space="preserve">C_stab: stability margin (satisfies bounds with margin)</w:t>
      </w:r>
    </w:p>
    <w:p>
      <w:pPr>
        <w:pStyle w:val="Compact"/>
        <w:widowControl/>
        <w:numPr>
          <w:ilvl w:val="0"/>
          <w:numId w:val="1031"/>
        </w:numPr>
      </w:pPr>
      <w:r>
        <w:t xml:space="preserve">C_pred: predictive accuracy (backtest/pilot performance where available; otherwise conservative prior)</w:t>
      </w:r>
    </w:p>
    <w:bookmarkStart w:id="113" w:name="Xfb32cef3fd1f0eb69c759a0781deadfd0e203b2"/>
    <w:p>
      <w:pPr>
        <w:pStyle w:val="Heading3"/>
        <w:keepNext/>
        <w:keepLines/>
        <w:pageBreakBefore w:val="0"/>
        <w:widowControl/>
      </w:pPr>
      <w:r>
        <w:rPr>
          <w:rFonts w:ascii="Arial" w:hAnsi="Arial" w:eastAsia="Arial"/>
          <w:b/>
          <w:color w:val="1F4E78"/>
        </w:rPr>
        <w:t xml:space="preserve">6.5.1 Canonical KQS computation (Tier 1-3 deterministic) (Normative)</w:t>
      </w:r>
    </w:p>
    <w:p>
      <w:pPr>
        <w:pStyle w:val="FirstParagraph"/>
        <w:widowControl/>
      </w:pPr>
      <w:r>
        <w:t xml:space="preserve">Definition (Normative). A ‘relied-upon edge’ is any kernel edge (i,j) with |K_ij| ≥ κ_use_min that touches at least one active cell (Section 10.3) or any non-maskable cell in C_r or C_cat. Default κ_use_min = 0.05 unless the PCC declares a stricter value.</w:t>
      </w:r>
    </w:p>
    <w:p>
      <w:pPr>
        <w:pStyle w:val="BodyText"/>
        <w:widowControl/>
      </w:pPr>
      <w:r>
        <w:t xml:space="preserve">C_cov (Normative). Let E_use be the set of relied-upon edges. Let E_evid be those edges in E_use whose evidence fields include (i) an EvidenceClass ∈ {A,B,C} and (ii) a citation or provenance reference sufficient for retrieval. Then C_cov := |E_evid| / max(1, |E_use|).</w:t>
      </w:r>
    </w:p>
    <w:p>
      <w:pPr>
        <w:pStyle w:val="BodyText"/>
        <w:widowControl/>
      </w:pPr>
      <w:r>
        <w:t xml:space="preserve">C_id (Normative). Let E_id be those edges in E_use with declared source union/dimension, target union/dimension, sign, and numeric magnitude fields present and within canonical bounds. Then C_id := |E_id| / max(1, |E_use|).</w:t>
      </w:r>
    </w:p>
    <w:p>
      <w:pPr>
        <w:pStyle w:val="BodyText"/>
        <w:widowControl/>
      </w:pPr>
      <w:r>
        <w:t xml:space="preserve">C_stab (Normative). If QUICK is used, compute PCC.Kernel.RowSumAbsMax = ||K||_∞ and PCC.Kernel.EntryAbsMax = max_ij |K_ij| per Section 6.4. Set C_stab := 0 if any bound is violated; otherwise C_stab := clip((ρ_max - ||K||_∞)/ρ_max, 0, 1), with default ρ_max = 0.9.</w:t>
      </w:r>
    </w:p>
    <w:p>
      <w:pPr>
        <w:pStyle w:val="BodyText"/>
        <w:widowControl/>
      </w:pPr>
      <w:r>
        <w:t xml:space="preserve">C_pred (Normative). If no backtest or pilot evidence exists for the decision domain, set C_pred := 0.30 (NO_EVIDENCE_DEFAULT) as already required. If empirical evidence exists, the PCC MUST declare the predictive metric used and compute C_pred as clip((MetricScore - MetricBaseline) / (MetricTarget - MetricBaseline), 0, 1) with all three values disclosed in PCC so an auditor can recompute.</w:t>
      </w:r>
    </w:p>
    <w:p>
      <w:pPr>
        <w:pStyle w:val="BodyText"/>
        <w:widowControl/>
      </w:pPr>
      <w:r>
        <w:t xml:space="preserve">Disclosure rule (Normative). The PCC MUST record κ_use_min, the edge counts |E_use|, |E_evid|, |E_id|, and the computed component values C_cov, C_id, C_stab, C_pred used in the KQS calculation.</w:t>
      </w:r>
    </w:p>
    <w:p>
      <w:pPr>
        <w:pStyle w:val="BodyText"/>
        <w:widowControl/>
      </w:pPr>
      <w:r>
        <w:t xml:space="preserve">Default C_pred prior (Normative). If no backtest/pilot evidence exists for the decision domain, set C_pred := 0.30 (NO_EVIDENCE_DEFAULT). The PCC MUST (i) mark this basis as NO_EVIDENCE_DEFAULT, and (ii) include a plan and timeline to obtain empirical validation evidence; until such evidence exists, C_pred SHALL NOT be reported as higher than the prior.</w:t>
      </w:r>
    </w:p>
    <w:p>
      <w:pPr>
        <w:pStyle w:val="BodyText"/>
        <w:widowControl/>
      </w:pPr>
      <w:r>
        <w:t xml:space="preserve">KQS policy (MUST) for Tier 3:</w:t>
      </w:r>
    </w:p>
    <w:p>
      <w:pPr>
        <w:pStyle w:val="Compact"/>
      </w:pPr>
      <w:r>
        <w:rPr>
          <w:b/>
        </w:rPr>
        <w:t>Evidence-coverage eligibility floor:</w:t>
      </w:r>
      <w:r>
        <w:t xml:space="preserve"> if C_cov &lt; 0.40, the kernel MUST NOT be used for QUICK propagation regardless of the aggregate KQS; set propagation_mode = NONE and record KERNEL_EVIDENCE_COVERAGE_INSUFFICIENT. Formal field completeness, stability, or a no-evidence prediction prior cannot compensate for inadequate evidence coverage.</w:t>
      </w:r>
    </w:p>
    <w:p>
      <w:pPr>
        <w:pStyle w:val="Compact"/>
        <w:widowControl/>
        <w:numPr>
          <w:ilvl w:val="0"/>
          <w:numId w:val="1032"/>
        </w:numPr>
      </w:pPr>
      <w:r>
        <w:t xml:space="preserve">If KQS &lt; 0.40: Kernel MUST NOT be used; propagation_mode = NONE.</w:t>
      </w:r>
    </w:p>
    <w:p>
      <w:pPr>
        <w:pStyle w:val="Compact"/>
        <w:widowControl/>
        <w:numPr>
          <w:ilvl w:val="0"/>
          <w:numId w:val="1033"/>
        </w:numPr>
      </w:pPr>
      <w:r>
        <w:t xml:space="preserve">If 0.40 ≤ KQS &lt; 0.50: QUICK allowed only with mandatory kernel sensitivity; otherwise use NONE.</w:t>
      </w:r>
    </w:p>
    <w:p>
      <w:pPr>
        <w:pStyle w:val="Compact"/>
        <w:widowControl/>
        <w:numPr>
          <w:ilvl w:val="0"/>
          <w:numId w:val="1034"/>
        </w:numPr>
      </w:pPr>
      <w:r>
        <w:t xml:space="preserve">If KQS ≥ 0.50: Kernel use permitted with required sensitivity at Tier 3.</w:t>
      </w:r>
    </w:p>
    <w:p>
      <w:pPr>
        <w:pStyle w:val="FirstParagraph"/>
        <w:widowControl/>
      </w:pPr>
      <w:r>
        <w:t xml:space="preserve">Tier 1-2 default: propagation_mode = NONE unless the PCC explicitly declares kernel use and its KQS.</w:t>
      </w:r>
    </w:p>
    <w:bookmarkEnd w:id="113"/>
    <w:bookmarkEnd w:id="114"/>
    <w:bookmarkStart w:id="115" w:name="X7790a2e5b99dd3a4bee3bb1ba09ef76d1108490"/>
    <w:p>
      <w:pPr>
        <w:pStyle w:val="Heading2"/>
        <w:keepNext/>
        <w:keepLines/>
        <w:pageBreakBefore w:val="0"/>
        <w:widowControl/>
      </w:pPr>
      <w:r>
        <w:rPr>
          <w:rFonts w:ascii="Arial" w:hAnsi="Arial" w:eastAsia="Arial"/>
          <w:b/>
          <w:color w:val="1F4E78"/>
        </w:rPr>
        <w:t xml:space="preserve">6.6 Kernel Sensitivity Requirements (Normative for Tier 3 when QUICK is used)</w:t>
      </w:r>
    </w:p>
    <w:p>
      <w:pPr>
        <w:pStyle w:val="FirstParagraph"/>
        <w:widowControl/>
      </w:pPr>
      <w:r>
        <w:t xml:space="preserve">When QUICK propagation is used at Tier 3, the PCC MUST include sensitivity analysis:</w:t>
      </w:r>
    </w:p>
    <w:p>
      <w:pPr>
        <w:pStyle w:val="Compact"/>
        <w:widowControl/>
        <w:numPr>
          <w:ilvl w:val="0"/>
          <w:numId w:val="1035"/>
        </w:numPr>
      </w:pPr>
      <w:r>
        <w:t xml:space="preserve">Perturb each relied-upon edge in E_use (as defined in Section 6.5.1) by ±0.05 (or ±10% of its magnitude, whichever is larger; declare the rule).</w:t>
      </w:r>
    </w:p>
    <w:p>
      <w:pPr>
        <w:pStyle w:val="Compact"/>
        <w:widowControl/>
        <w:numPr>
          <w:ilvl w:val="0"/>
          <w:numId w:val="1036"/>
        </w:numPr>
      </w:pPr>
      <w:r>
        <w:t xml:space="preserve">Recompute the cascade for each perturbation set (at minimum one-at-a-time).</w:t>
      </w:r>
    </w:p>
    <w:p>
      <w:pPr>
        <w:pStyle w:val="Compact"/>
        <w:widowControl/>
        <w:numPr>
          <w:ilvl w:val="0"/>
          <w:numId w:val="1037"/>
        </w:numPr>
      </w:pPr>
      <w:r>
        <w:t xml:space="preserve">If admissibility outcomes (NCRC, TRC, CSV) or the selected option changes, set audit_flag = DECISION_FRAGILE_KERNEL and escalate per tier policy.</w:t>
      </w:r>
    </w:p>
    <w:bookmarkEnd w:id="115"/>
    <w:bookmarkStart w:id="116" w:name="X63237f469fe04a8089974e5bfd1ff38abf86317"/>
    <w:p>
      <w:pPr>
        <w:pStyle w:val="Heading2"/>
        <w:keepNext/>
        <w:keepLines/>
        <w:pageBreakBefore w:val="0"/>
        <w:widowControl/>
      </w:pPr>
      <w:r>
        <w:rPr>
          <w:rFonts w:ascii="Arial" w:hAnsi="Arial" w:eastAsia="Arial"/>
          <w:b/>
          <w:color w:val="1F4E78"/>
        </w:rPr>
        <w:t xml:space="preserve">6.7 KOPS and Starter Kernel (Tier 2-3) (Normative plus Provisional Labeling)</w:t>
      </w:r>
    </w:p>
    <w:p>
      <w:pPr>
        <w:pStyle w:val="FirstParagraph"/>
        <w:widowControl/>
      </w:pPr>
      <w:r>
        <w:t xml:space="preserve">RippleLogic permits a governed subset of kernel edges called the Key Operational Pathways Set (KOPS). KOPS is the set of “load-bearing” pathways that are documented with evidence notes, sign-checked against literature or backtests, and sensitivity-audited.</w:t>
      </w:r>
    </w:p>
    <w:p>
      <w:pPr>
        <w:pStyle w:val="BodyText"/>
        <w:widowControl/>
      </w:pPr>
      <w:r>
        <w:t xml:space="preserve">A Starter KOPS may be provided (Appendix K) and MUST be labeled PROVISIONAL with evidence classes and a global shrink factor for elicited edges (default 0.35). If a starter kernel is used, the PCC MUST disclose this and MUST include kernel sensitivity.</w:t>
      </w:r>
    </w:p>
    <w:bookmarkEnd w:id="116"/>
    <w:bookmarkStart w:id="117" w:name="X6f00188e2dd85b06c06fc2609b4b461021c0d70"/>
    <w:p>
      <w:pPr>
        <w:pStyle w:val="Heading2"/>
        <w:keepNext/>
        <w:keepLines/>
        <w:pageBreakBefore w:val="0"/>
        <w:widowControl/>
      </w:pPr>
      <w:r>
        <w:rPr>
          <w:rFonts w:ascii="Arial" w:hAnsi="Arial" w:eastAsia="Arial"/>
          <w:b/>
          <w:color w:val="1F4E78"/>
        </w:rPr>
        <w:t xml:space="preserve">6.8 Scenario-Conditioned Propagation (Tier 1-3 Default Rule)</w:t>
      </w:r>
    </w:p>
    <w:p>
      <w:pPr>
        <w:pStyle w:val="FirstParagraph"/>
        <w:widowControl/>
      </w:pPr>
      <w:r>
        <w:t xml:space="preserve">Default: Kernel is not scenario-conditioned; scenario enters via instance likelihoods ℓ_k and scenario-specific instance activation. Scenario-conditioned kernels K_s may be used only with explicit PCC justification and must carry KQS and sensitivity per scenario class.</w:t>
      </w:r>
    </w:p>
    <w:bookmarkEnd w:id="117"/>
    <w:bookmarkEnd w:id="118"/>
    <w:bookmarkStart w:id="137" w:name="X5a0d83b91cd58284c513865880458f3920e19ba"/>
    <w:p>
      <w:pPr>
        <w:pStyle w:val="Heading1"/>
        <w:keepNext/>
        <w:keepLines/>
        <w:pageBreakBefore w:val="0"/>
        <w:widowControl/>
      </w:pPr>
      <w:r>
        <w:rPr>
          <w:rFonts w:ascii="Arial" w:hAnsi="Arial" w:eastAsia="Arial"/>
          <w:b/>
          <w:color w:val="1F4E78"/>
        </w:rPr>
        <w:t xml:space="preserve">SECTION 7: RIGHTS LAYER: NON-COMPENSATORY RIGHTS CONSTRAINT (NCRC)</w:t>
      </w:r>
    </w:p>
    <w:bookmarkStart w:id="119" w:name="X251a100b436a3593ecd279e32f9bf977efd7de3"/>
    <w:p>
      <w:pPr>
        <w:pStyle w:val="Heading2"/>
        <w:keepNext/>
        <w:keepLines/>
        <w:pageBreakBefore w:val="0"/>
        <w:widowControl/>
      </w:pPr>
      <w:r>
        <w:rPr>
          <w:rFonts w:ascii="Arial" w:hAnsi="Arial" w:eastAsia="Arial"/>
          <w:b/>
          <w:color w:val="1F4E78"/>
        </w:rPr>
        <w:t xml:space="preserve">7.0 Purpose and Union-Based Ethics Rationale (Normative)</w:t>
      </w:r>
    </w:p>
    <w:p>
      <w:pPr>
        <w:pStyle w:val="FirstParagraph"/>
        <w:widowControl/>
      </w:pPr>
      <w:r>
        <w:t xml:space="preserve">RippleLogic enforces non-compensability: certain harms are not permitted to be “paid for” by aggregate benefits elsewhere. NCRC operationalizes this by removing rights-violating options prior to any welfare optimization.</w:t>
      </w:r>
    </w:p>
    <w:p>
      <w:pPr>
        <w:pStyle w:val="BodyText"/>
        <w:widowControl/>
      </w:pPr>
      <w:r>
        <w:t xml:space="preserve">Union-Based Ethics (UBE) justification: Under UBR, harms propagate across layered and intersecting analytical scopes and dependency paths; without a rights-first constraint, local optimization systematically externalizes costs onto vulnerable subgroups and future stakeholders. NCRC is therefore a structural safeguard against value scalarization and moral laundering (Rawls, 1971; Sen, 2009).</w:t>
      </w:r>
    </w:p>
    <w:bookmarkEnd w:id="119"/>
    <w:bookmarkStart w:id="121" w:name="Xe5b1086145c9f708ae1f7d278b11d3c0cab0388"/>
    <w:p>
      <w:pPr>
        <w:pStyle w:val="Heading2"/>
        <w:keepNext/>
        <w:keepLines/>
        <w:pageBreakBefore w:val="0"/>
        <w:widowControl/>
      </w:pPr>
      <w:r>
        <w:rPr>
          <w:rFonts w:ascii="Arial" w:hAnsi="Arial" w:eastAsia="Arial"/>
          <w:b/>
          <w:color w:val="1F4E78"/>
        </w:rPr>
        <w:t xml:space="preserve">7.1 Canonical Rights Set (Normative)</w:t>
      </w:r>
    </w:p>
    <w:p>
      <w:pPr>
        <w:pStyle w:val="FirstParagraph"/>
        <w:widowControl/>
      </w:pPr>
      <w:r>
        <w:t xml:space="preserve">RippleLogic defines eight core rights as feasibility floors:</w:t>
      </w:r>
    </w:p>
    <w:p>
      <w:pPr>
        <w:pStyle w:val="BodyText"/>
        <w:widowControl/>
      </w:pPr>
      <w:r>
        <w:t xml:space="preserve">Table 7.1: Canonical Rights Thresholds (Normative)</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Right</w:t>
            </w:r>
          </w:p>
        </w:tc>
        <w:tc>
          <w:tcPr>
            <w:shd w:fill="1F4E78" w:val="clear"/>
            <w:tcMar>
              <w:top w:w="80" w:type="dxa"/>
              <w:start w:w="90" w:type="dxa"/>
              <w:bottom w:w="80" w:type="dxa"/>
              <w:end w:w="90" w:type="dxa"/>
            </w:tcMar>
          </w:tcPr>
          <w:p>
            <w:pPr>
              <w:pStyle w:val="Compact"/>
              <w:jc w:val="left"/>
            </w:pPr>
            <w:r>
              <w:rPr>
                <w:b/>
                <w:bCs/>
                <w:color w:val="FFFFFF"/>
              </w:rPr>
              <w:t xml:space="preserve">Code</w:t>
            </w:r>
          </w:p>
        </w:tc>
        <w:tc>
          <w:tcPr>
            <w:shd w:fill="1F4E78" w:val="clear"/>
            <w:tcMar>
              <w:top w:w="80" w:type="dxa"/>
              <w:start w:w="90" w:type="dxa"/>
              <w:bottom w:w="80" w:type="dxa"/>
              <w:end w:w="90" w:type="dxa"/>
            </w:tcMar>
          </w:tcPr>
          <w:p>
            <w:pPr>
              <w:pStyle w:val="Compact"/>
              <w:jc w:val="left"/>
            </w:pPr>
            <w:r>
              <w:rPr>
                <w:b/>
                <w:bCs/>
                <w:color w:val="FFFFFF"/>
              </w:rPr>
              <w:t xml:space="preserve">Threshold θ_r</w:t>
            </w:r>
          </w:p>
        </w:tc>
        <w:tc>
          <w:tcPr>
            <w:shd w:fill="1F4E78" w:val="clear"/>
            <w:tcMar>
              <w:top w:w="80" w:type="dxa"/>
              <w:start w:w="90" w:type="dxa"/>
              <w:bottom w:w="80" w:type="dxa"/>
              <w:end w:w="90" w:type="dxa"/>
            </w:tcMar>
          </w:tcPr>
          <w:p>
            <w:pPr>
              <w:pStyle w:val="Compact"/>
              <w:jc w:val="left"/>
            </w:pPr>
            <w:r>
              <w:rPr>
                <w:b/>
                <w:bCs/>
                <w:color w:val="FFFFFF"/>
              </w:rPr>
              <w:t xml:space="preserve">Normative Anchor</w:t>
            </w:r>
          </w:p>
        </w:tc>
      </w:tr>
      <w:tr>
        <w:trPr/>
        <w:tc>
          <w:tcPr>
            <w:tcMar>
              <w:top w:w="80" w:type="dxa"/>
              <w:start w:w="90" w:type="dxa"/>
              <w:bottom w:w="80" w:type="dxa"/>
              <w:end w:w="90" w:type="dxa"/>
            </w:tcMar>
            <w:shd w:fill="F7FBFF" w:val="clear"/>
          </w:tcPr>
          <w:p>
            <w:pPr>
              <w:pStyle w:val="Compact"/>
              <w:jc w:val="left"/>
            </w:pPr>
            <w:r>
              <w:t xml:space="preserve">Life</w:t>
            </w:r>
          </w:p>
        </w:tc>
        <w:tc>
          <w:tcPr>
            <w:tcMar>
              <w:top w:w="80" w:type="dxa"/>
              <w:start w:w="90" w:type="dxa"/>
              <w:bottom w:w="80" w:type="dxa"/>
              <w:end w:w="90" w:type="dxa"/>
            </w:tcMar>
            <w:shd w:fill="F7FBFF" w:val="clear"/>
          </w:tcPr>
          <w:p>
            <w:pPr>
              <w:pStyle w:val="Compact"/>
              <w:jc w:val="left"/>
            </w:pPr>
            <w:r>
              <w:t xml:space="preserve">LIFE</w:t>
            </w:r>
          </w:p>
        </w:tc>
        <w:tc>
          <w:tcPr>
            <w:tcMar>
              <w:top w:w="80" w:type="dxa"/>
              <w:start w:w="90" w:type="dxa"/>
              <w:bottom w:w="80" w:type="dxa"/>
              <w:end w:w="90" w:type="dxa"/>
            </w:tcMar>
            <w:shd w:fill="F7FBFF" w:val="clear"/>
          </w:tcPr>
          <w:p>
            <w:pPr>
              <w:pStyle w:val="Compact"/>
              <w:jc w:val="left"/>
            </w:pPr>
            <w:r>
              <w:t xml:space="preserve">-0.90</w:t>
            </w:r>
          </w:p>
        </w:tc>
        <w:tc>
          <w:tcPr>
            <w:tcMar>
              <w:top w:w="80" w:type="dxa"/>
              <w:start w:w="90" w:type="dxa"/>
              <w:bottom w:w="80" w:type="dxa"/>
              <w:end w:w="90" w:type="dxa"/>
            </w:tcMar>
            <w:shd w:fill="F7FBFF" w:val="clear"/>
          </w:tcPr>
          <w:p>
            <w:pPr>
              <w:pStyle w:val="Compact"/>
              <w:jc w:val="left"/>
            </w:pPr>
            <w:r>
              <w:t xml:space="preserve">Near-certain or highly probable death or lethal exposure</w:t>
            </w:r>
          </w:p>
        </w:tc>
      </w:tr>
      <w:tr>
        <w:trPr/>
        <w:tc>
          <w:tcPr>
            <w:tcMar>
              <w:top w:w="80" w:type="dxa"/>
              <w:start w:w="90" w:type="dxa"/>
              <w:bottom w:w="80" w:type="dxa"/>
              <w:end w:w="90" w:type="dxa"/>
            </w:tcMar>
            <w:shd w:fill="D9EAF7" w:val="clear"/>
          </w:tcPr>
          <w:p>
            <w:pPr>
              <w:pStyle w:val="Compact"/>
              <w:jc w:val="left"/>
            </w:pPr>
            <w:r>
              <w:t xml:space="preserve">Bodily Integrity</w:t>
            </w:r>
          </w:p>
        </w:tc>
        <w:tc>
          <w:tcPr>
            <w:tcMar>
              <w:top w:w="80" w:type="dxa"/>
              <w:start w:w="90" w:type="dxa"/>
              <w:bottom w:w="80" w:type="dxa"/>
              <w:end w:w="90" w:type="dxa"/>
            </w:tcMar>
            <w:shd w:fill="D9EAF7" w:val="clear"/>
          </w:tcPr>
          <w:p>
            <w:pPr>
              <w:pStyle w:val="Compact"/>
              <w:jc w:val="left"/>
            </w:pPr>
            <w:r>
              <w:t xml:space="preserve">BODY</w:t>
            </w:r>
          </w:p>
        </w:tc>
        <w:tc>
          <w:tcPr>
            <w:tcMar>
              <w:top w:w="80" w:type="dxa"/>
              <w:start w:w="90" w:type="dxa"/>
              <w:bottom w:w="80" w:type="dxa"/>
              <w:end w:w="90" w:type="dxa"/>
            </w:tcMar>
            <w:shd w:fill="D9EAF7" w:val="clear"/>
          </w:tcPr>
          <w:p>
            <w:pPr>
              <w:pStyle w:val="Compact"/>
              <w:jc w:val="left"/>
            </w:pPr>
            <w:r>
              <w:t xml:space="preserve">-0.70</w:t>
            </w:r>
          </w:p>
        </w:tc>
        <w:tc>
          <w:tcPr>
            <w:tcMar>
              <w:top w:w="80" w:type="dxa"/>
              <w:start w:w="90" w:type="dxa"/>
              <w:bottom w:w="80" w:type="dxa"/>
              <w:end w:w="90" w:type="dxa"/>
            </w:tcMar>
            <w:shd w:fill="D9EAF7" w:val="clear"/>
          </w:tcPr>
          <w:p>
            <w:pPr>
              <w:pStyle w:val="Compact"/>
              <w:jc w:val="left"/>
            </w:pPr>
            <w:r>
              <w:t xml:space="preserve">Severe injury, disability, torture, serious bodily violation</w:t>
            </w:r>
          </w:p>
        </w:tc>
      </w:tr>
      <w:tr>
        <w:trPr/>
        <w:tc>
          <w:tcPr>
            <w:tcMar>
              <w:top w:w="80" w:type="dxa"/>
              <w:start w:w="90" w:type="dxa"/>
              <w:bottom w:w="80" w:type="dxa"/>
              <w:end w:w="90" w:type="dxa"/>
            </w:tcMar>
            <w:shd w:fill="F7FBFF" w:val="clear"/>
          </w:tcPr>
          <w:p>
            <w:pPr>
              <w:pStyle w:val="Compact"/>
              <w:jc w:val="left"/>
            </w:pPr>
            <w:r>
              <w:t xml:space="preserve">Liberty</w:t>
            </w:r>
          </w:p>
        </w:tc>
        <w:tc>
          <w:tcPr>
            <w:tcMar>
              <w:top w:w="80" w:type="dxa"/>
              <w:start w:w="90" w:type="dxa"/>
              <w:bottom w:w="80" w:type="dxa"/>
              <w:end w:w="90" w:type="dxa"/>
            </w:tcMar>
            <w:shd w:fill="F7FBFF" w:val="clear"/>
          </w:tcPr>
          <w:p>
            <w:pPr>
              <w:pStyle w:val="Compact"/>
              <w:jc w:val="left"/>
            </w:pPr>
            <w:r>
              <w:t xml:space="preserve">LBTY</w:t>
            </w:r>
          </w:p>
        </w:tc>
        <w:tc>
          <w:tcPr>
            <w:tcMar>
              <w:top w:w="80" w:type="dxa"/>
              <w:start w:w="90" w:type="dxa"/>
              <w:bottom w:w="80" w:type="dxa"/>
              <w:end w:w="90" w:type="dxa"/>
            </w:tcMar>
            <w:shd w:fill="F7FBFF" w:val="clear"/>
          </w:tcPr>
          <w:p>
            <w:pPr>
              <w:pStyle w:val="Compact"/>
              <w:jc w:val="left"/>
            </w:pPr>
            <w:r>
              <w:t xml:space="preserve">-0.65</w:t>
            </w:r>
          </w:p>
        </w:tc>
        <w:tc>
          <w:tcPr>
            <w:tcMar>
              <w:top w:w="80" w:type="dxa"/>
              <w:start w:w="90" w:type="dxa"/>
              <w:bottom w:w="80" w:type="dxa"/>
              <w:end w:w="90" w:type="dxa"/>
            </w:tcMar>
            <w:shd w:fill="F7FBFF" w:val="clear"/>
          </w:tcPr>
          <w:p>
            <w:pPr>
              <w:pStyle w:val="Compact"/>
              <w:jc w:val="left"/>
            </w:pPr>
            <w:r>
              <w:t xml:space="preserve">Arbitrary detention, forced labor, coercive confinement</w:t>
            </w:r>
          </w:p>
        </w:tc>
      </w:tr>
      <w:tr>
        <w:trPr/>
        <w:tc>
          <w:tcPr>
            <w:tcMar>
              <w:top w:w="80" w:type="dxa"/>
              <w:start w:w="90" w:type="dxa"/>
              <w:bottom w:w="80" w:type="dxa"/>
              <w:end w:w="90" w:type="dxa"/>
            </w:tcMar>
            <w:shd w:fill="D9EAF7" w:val="clear"/>
          </w:tcPr>
          <w:p>
            <w:pPr>
              <w:pStyle w:val="Compact"/>
              <w:jc w:val="left"/>
            </w:pPr>
            <w:r>
              <w:t xml:space="preserve">Basic Needs</w:t>
            </w:r>
          </w:p>
        </w:tc>
        <w:tc>
          <w:tcPr>
            <w:tcMar>
              <w:top w:w="80" w:type="dxa"/>
              <w:start w:w="90" w:type="dxa"/>
              <w:bottom w:w="80" w:type="dxa"/>
              <w:end w:w="90" w:type="dxa"/>
            </w:tcMar>
            <w:shd w:fill="D9EAF7" w:val="clear"/>
          </w:tcPr>
          <w:p>
            <w:pPr>
              <w:pStyle w:val="Compact"/>
              <w:jc w:val="left"/>
            </w:pPr>
            <w:r>
              <w:t xml:space="preserve">NEED</w:t>
            </w:r>
          </w:p>
        </w:tc>
        <w:tc>
          <w:tcPr>
            <w:tcMar>
              <w:top w:w="80" w:type="dxa"/>
              <w:start w:w="90" w:type="dxa"/>
              <w:bottom w:w="80" w:type="dxa"/>
              <w:end w:w="90" w:type="dxa"/>
            </w:tcMar>
            <w:shd w:fill="D9EAF7" w:val="clear"/>
          </w:tcPr>
          <w:p>
            <w:pPr>
              <w:pStyle w:val="Compact"/>
              <w:jc w:val="left"/>
            </w:pPr>
            <w:r>
              <w:t xml:space="preserve">-0.50</w:t>
            </w:r>
          </w:p>
        </w:tc>
        <w:tc>
          <w:tcPr>
            <w:tcMar>
              <w:top w:w="80" w:type="dxa"/>
              <w:start w:w="90" w:type="dxa"/>
              <w:bottom w:w="80" w:type="dxa"/>
              <w:end w:w="90" w:type="dxa"/>
            </w:tcMar>
            <w:shd w:fill="D9EAF7" w:val="clear"/>
          </w:tcPr>
          <w:p>
            <w:pPr>
              <w:pStyle w:val="Compact"/>
              <w:jc w:val="left"/>
            </w:pPr>
            <w:r>
              <w:t xml:space="preserve">Severe deprivation: food insecurity, homelessness, loss of basic subsistence</w:t>
            </w:r>
          </w:p>
        </w:tc>
      </w:tr>
      <w:tr>
        <w:trPr/>
        <w:tc>
          <w:tcPr>
            <w:tcMar>
              <w:top w:w="80" w:type="dxa"/>
              <w:start w:w="90" w:type="dxa"/>
              <w:bottom w:w="80" w:type="dxa"/>
              <w:end w:w="90" w:type="dxa"/>
            </w:tcMar>
            <w:shd w:fill="F7FBFF" w:val="clear"/>
          </w:tcPr>
          <w:p>
            <w:pPr>
              <w:pStyle w:val="Compact"/>
              <w:jc w:val="left"/>
            </w:pPr>
            <w:r>
              <w:t xml:space="preserve">Dignity</w:t>
            </w:r>
          </w:p>
        </w:tc>
        <w:tc>
          <w:tcPr>
            <w:tcMar>
              <w:top w:w="80" w:type="dxa"/>
              <w:start w:w="90" w:type="dxa"/>
              <w:bottom w:w="80" w:type="dxa"/>
              <w:end w:w="90" w:type="dxa"/>
            </w:tcMar>
            <w:shd w:fill="F7FBFF" w:val="clear"/>
          </w:tcPr>
          <w:p>
            <w:pPr>
              <w:pStyle w:val="Compact"/>
              <w:jc w:val="left"/>
            </w:pPr>
            <w:r>
              <w:t xml:space="preserve">DIGN</w:t>
            </w:r>
          </w:p>
        </w:tc>
        <w:tc>
          <w:tcPr>
            <w:tcMar>
              <w:top w:w="80" w:type="dxa"/>
              <w:start w:w="90" w:type="dxa"/>
              <w:bottom w:w="80" w:type="dxa"/>
              <w:end w:w="90" w:type="dxa"/>
            </w:tcMar>
            <w:shd w:fill="F7FBFF" w:val="clear"/>
          </w:tcPr>
          <w:p>
            <w:pPr>
              <w:pStyle w:val="Compact"/>
              <w:jc w:val="left"/>
            </w:pPr>
            <w:r>
              <w:t xml:space="preserve">-0.55</w:t>
            </w:r>
          </w:p>
        </w:tc>
        <w:tc>
          <w:tcPr>
            <w:tcMar>
              <w:top w:w="80" w:type="dxa"/>
              <w:start w:w="90" w:type="dxa"/>
              <w:bottom w:w="80" w:type="dxa"/>
              <w:end w:w="90" w:type="dxa"/>
            </w:tcMar>
            <w:shd w:fill="F7FBFF" w:val="clear"/>
          </w:tcPr>
          <w:p>
            <w:pPr>
              <w:pStyle w:val="Compact"/>
              <w:jc w:val="left"/>
            </w:pPr>
            <w:r>
              <w:t xml:space="preserve">Systematic humiliation, dehumanization, targeted degradation</w:t>
            </w:r>
          </w:p>
        </w:tc>
      </w:tr>
      <w:tr>
        <w:trPr/>
        <w:tc>
          <w:tcPr>
            <w:tcMar>
              <w:top w:w="80" w:type="dxa"/>
              <w:start w:w="90" w:type="dxa"/>
              <w:bottom w:w="80" w:type="dxa"/>
              <w:end w:w="90" w:type="dxa"/>
            </w:tcMar>
            <w:shd w:fill="D9EAF7" w:val="clear"/>
          </w:tcPr>
          <w:p>
            <w:pPr>
              <w:pStyle w:val="Compact"/>
              <w:jc w:val="left"/>
            </w:pPr>
            <w:r>
              <w:t xml:space="preserve">Due Process</w:t>
            </w:r>
          </w:p>
        </w:tc>
        <w:tc>
          <w:tcPr>
            <w:tcMar>
              <w:top w:w="80" w:type="dxa"/>
              <w:start w:w="90" w:type="dxa"/>
              <w:bottom w:w="80" w:type="dxa"/>
              <w:end w:w="90" w:type="dxa"/>
            </w:tcMar>
            <w:shd w:fill="D9EAF7" w:val="clear"/>
          </w:tcPr>
          <w:p>
            <w:pPr>
              <w:pStyle w:val="Compact"/>
              <w:jc w:val="left"/>
            </w:pPr>
            <w:r>
              <w:t xml:space="preserve">PROC</w:t>
            </w:r>
          </w:p>
        </w:tc>
        <w:tc>
          <w:tcPr>
            <w:tcMar>
              <w:top w:w="80" w:type="dxa"/>
              <w:start w:w="90" w:type="dxa"/>
              <w:bottom w:w="80" w:type="dxa"/>
              <w:end w:w="90" w:type="dxa"/>
            </w:tcMar>
            <w:shd w:fill="D9EAF7" w:val="clear"/>
          </w:tcPr>
          <w:p>
            <w:pPr>
              <w:pStyle w:val="Compact"/>
              <w:jc w:val="left"/>
            </w:pPr>
            <w:r>
              <w:t xml:space="preserve">-0.45</w:t>
            </w:r>
          </w:p>
        </w:tc>
        <w:tc>
          <w:tcPr>
            <w:tcMar>
              <w:top w:w="80" w:type="dxa"/>
              <w:start w:w="90" w:type="dxa"/>
              <w:bottom w:w="80" w:type="dxa"/>
              <w:end w:w="90" w:type="dxa"/>
            </w:tcMar>
            <w:shd w:fill="D9EAF7" w:val="clear"/>
          </w:tcPr>
          <w:p>
            <w:pPr>
              <w:pStyle w:val="Compact"/>
              <w:jc w:val="left"/>
            </w:pPr>
            <w:r>
              <w:t xml:space="preserve">Denial of fair hearing, non-transparent coercive procedure</w:t>
            </w:r>
          </w:p>
        </w:tc>
      </w:tr>
      <w:tr>
        <w:trPr/>
        <w:tc>
          <w:tcPr>
            <w:tcMar>
              <w:top w:w="80" w:type="dxa"/>
              <w:start w:w="90" w:type="dxa"/>
              <w:bottom w:w="80" w:type="dxa"/>
              <w:end w:w="90" w:type="dxa"/>
            </w:tcMar>
            <w:shd w:fill="F7FBFF" w:val="clear"/>
          </w:tcPr>
          <w:p>
            <w:pPr>
              <w:pStyle w:val="Compact"/>
              <w:jc w:val="left"/>
            </w:pPr>
            <w:r>
              <w:t xml:space="preserve">Information</w:t>
            </w:r>
          </w:p>
        </w:tc>
        <w:tc>
          <w:tcPr>
            <w:tcMar>
              <w:top w:w="80" w:type="dxa"/>
              <w:start w:w="90" w:type="dxa"/>
              <w:bottom w:w="80" w:type="dxa"/>
              <w:end w:w="90" w:type="dxa"/>
            </w:tcMar>
            <w:shd w:fill="F7FBFF" w:val="clear"/>
          </w:tcPr>
          <w:p>
            <w:pPr>
              <w:pStyle w:val="Compact"/>
              <w:jc w:val="left"/>
            </w:pPr>
            <w:r>
              <w:t xml:space="preserve">INFO</w:t>
            </w:r>
          </w:p>
        </w:tc>
        <w:tc>
          <w:tcPr>
            <w:tcMar>
              <w:top w:w="80" w:type="dxa"/>
              <w:start w:w="90" w:type="dxa"/>
              <w:bottom w:w="80" w:type="dxa"/>
              <w:end w:w="90" w:type="dxa"/>
            </w:tcMar>
            <w:shd w:fill="F7FBFF" w:val="clear"/>
          </w:tcPr>
          <w:p>
            <w:pPr>
              <w:pStyle w:val="Compact"/>
              <w:jc w:val="left"/>
            </w:pPr>
            <w:r>
              <w:t xml:space="preserve">-0.40</w:t>
            </w:r>
          </w:p>
        </w:tc>
        <w:tc>
          <w:tcPr>
            <w:tcMar>
              <w:top w:w="80" w:type="dxa"/>
              <w:start w:w="90" w:type="dxa"/>
              <w:bottom w:w="80" w:type="dxa"/>
              <w:end w:w="90" w:type="dxa"/>
            </w:tcMar>
            <w:shd w:fill="F7FBFF" w:val="clear"/>
          </w:tcPr>
          <w:p>
            <w:pPr>
              <w:pStyle w:val="Compact"/>
              <w:jc w:val="left"/>
            </w:pPr>
            <w:r>
              <w:t xml:space="preserve">Systematic censorship, epistemic coercion, pervasive disinformation constraints</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Ecological Integrity</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ECOL</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-0.65</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Material biosphere integrity breach or planetary boundary transgression corridor</w:t>
            </w:r>
          </w:p>
        </w:tc>
      </w:tr>
    </w:tbl>
    <w:p>
      <w:pPr>
        <w:pStyle w:val="BodyText"/>
        <w:widowControl/>
      </w:pPr>
      <w:r>
        <w:t xml:space="preserve">Ecological Integrity boundary. ECOL is a MathGov non-compensatory enabling-condition protection for biosphere integrity and life-supporting ecological conditions. It may overlap with legal environmental rights where recognized, but this Canon does not claim universal legal status by itself.</w:t>
      </w:r>
    </w:p>
    <w:p>
      <w:pPr>
        <w:pStyle w:val="BodyText"/>
        <w:widowControl/>
      </w:pPr>
      <w:r>
        <w:t xml:space="preserve">Normative interpretation rule: Thresholds θ_r are admissibility floors, not weights. They do not represent “how important” a right is; they represent the minimum allowable protection level.</w:t>
      </w:r>
    </w:p>
    <w:p>
      <w:pPr>
        <w:pStyle w:val="BodyText"/>
        <w:widowControl/>
      </w:pPr>
      <w:r>
        <w:t xml:space="preserve">Threshold governance. All thresholds are explicitly challengeable. Revisions require justification, version increment, PCC documentation preserving prior values, and sensitivity outcomes over a reference decision suite.</w:t>
      </w:r>
    </w:p>
    <w:p>
      <w:pPr>
        <w:pStyle w:val="BodyText"/>
        <w:widowControl/>
      </w:pPr>
      <w:r>
        <w:t xml:space="preserve">Threshold epistemic boundary. Rights thresholds are versioned governance priors, not discovered empirical constants or jurisdiction-specific legal conclusions. They may be challenged, localized, stress-tested, and revised under governed update rules, but they remain non-compensatory while active in a run.</w:t>
      </w:r>
    </w:p>
    <w:p>
      <w:pPr>
        <w:pStyle w:val="BodyText"/>
        <w:widowControl/>
      </w:pPr>
      <w:r>
        <w:t xml:space="preserve">Sensitivity requirement. In Tier 3 runs, each θ_r MUST be perturbed by ±0.05 and the cascade recomputed. If admissibility changes for any option under perturbation, the decision is flagged as threshold-sensitive and the PCC MUST document which rights are near-binding, which options are affected, and how the final selection responds to that near-binding status.</w:t>
      </w:r>
    </w:p>
    <w:p>
      <w:pPr>
        <w:pStyle w:val="BodyText"/>
        <w:widowControl/>
      </w:pPr>
      <w:r>
        <w:t xml:space="preserve">Proxy disclaimer. Governance indices (such as press freedom or rule-of-law indices) may be used as operational proxies for anchoring reference conditions, but are not treated as moral ground truth and MUST be accompanied by documented limitations in the PCC.</w:t>
      </w:r>
    </w:p>
    <w:p>
      <w:pPr>
        <w:pStyle w:val="BodyText"/>
        <w:widowControl/>
      </w:pPr>
      <w:r>
        <w:t xml:space="preserve">Right INFO (θ = -0.40). Normative anchor: systematic censorship, epistemic coercion, or deliberate degradation of the information environment such that agents cannot form informed preferences. Example anchors: systematic media control and censorship per RSF Press Freedom Index “Very Serious Situation” (score below 40); persistent large-scale disinformation operations affecting public health, safety, or governance; surveillance-driven chilling effects that measurably suppress information seeking or expression.</w:t>
      </w:r>
    </w:p>
    <w:p>
      <w:pPr>
        <w:pStyle w:val="BodyText"/>
        <w:widowControl/>
      </w:pPr>
      <w:r>
        <w:t xml:space="preserve">Right PROC (θ = -0.45). Normative anchor: denial of fair hearing, non-transparent coercive procedure, or absence of meaningful recourse against institutional power. Example anchors: no meaningful access to justice or independent review per WJP Rule of Law Index bottom quintile; consequential automated decisions without explanation, appeal, or human review; systematic procedural exclusion; coercive institutional action without proportionality review.</w:t>
      </w:r>
    </w:p>
    <w:p>
      <w:pPr>
        <w:pStyle w:val="BodyText"/>
        <w:widowControl/>
      </w:pPr>
      <w:r>
        <w:t xml:space="preserve">Right NEED (θ = -0.50). Normative anchor: severe deprivation of material conditions necessary for survival and minimally adequate functioning. Example anchors: sustained severe food insecurity at IPC Phase 3 or above; homelessness or severe housing deprivation per UN-Habitat standards; lack of safe water and sanitation; denial of essential healthcare access such that treatable conditions become severe or lethal.</w:t>
      </w:r>
    </w:p>
    <w:p>
      <w:pPr>
        <w:pStyle w:val="BodyText"/>
        <w:widowControl/>
      </w:pPr>
      <w:r>
        <w:t xml:space="preserve">Right DIGN (θ = -0.55). Normative anchor: systematic humiliation, dehumanization, or targeted degradation that denies inherent worth and equal standing. Example anchors: institutionalized dehumanization of groups per the UN Framework of Analysis for Atrocity Crimes; degrading treatment per ECHR Article 3; systematic exclusion from participation in social and civic life; discriminatory institutions that deny equal standing below capability thresholds (Nussbaum, 2011).</w:t>
      </w:r>
    </w:p>
    <w:p>
      <w:pPr>
        <w:pStyle w:val="BodyText"/>
        <w:widowControl/>
      </w:pPr>
      <w:r>
        <w:t xml:space="preserve">Right ECOL (θ = -0.65). Normative anchor: breach of biosphere integrity or entry into high-risk Earth-system transgression corridors that threaten enabling conditions for continued life. Example anchors: actions that materially increase probability of crossing critical climate or ecosystem tipping elements per Lenton et al. (2008); ecosystem regime shifts effectively irreversible on human-relevant timescales; depletion of foundational natural capital (aquifers, soils, fisheries) beyond recharge capacity; biodiversity loss sufficient to undermine ecosystem services.</w:t>
      </w:r>
    </w:p>
    <w:p>
      <w:pPr>
        <w:pStyle w:val="BodyText"/>
        <w:widowControl/>
      </w:pPr>
      <w:r>
        <w:t xml:space="preserve">Right LBTY (θ = -0.65). Normative anchor: arbitrary detention, forced labor, coercive confinement, or systematic deprivation of freedom of movement and association. Example anchors: deprivation of liberty without legal basis or review per ICCPR Article 9; forced labor patterns consistent with ILO indicator bundles (restriction of movement, debt bondage, retention of identity documents, isolation); coercive confinement not justified by legitimate, proportionate public safety measures.</w:t>
      </w:r>
    </w:p>
    <w:p>
      <w:pPr>
        <w:pStyle w:val="BodyText"/>
        <w:widowControl/>
      </w:pPr>
      <w:r>
        <w:t xml:space="preserve">Right BODY (θ = -0.70). Normative anchor: severe injury, disability, torture, or serious violation of bodily autonomy falling short of lethality but constituting fundamental harm to physical and psychological functioning. Example anchors: torture or cruel treatment as defined by the UN Convention Against Torture; serious bodily injury resulting in permanent disability or substantial loss of function per WHO disability classification frameworks (ICF; WHODAS 2.0); forced medical procedures or systematic bodily violations; sustained exposure to hazards expected to cause serious chronic illness.</w:t>
      </w:r>
    </w:p>
    <w:p>
      <w:pPr>
        <w:pStyle w:val="BodyText"/>
        <w:widowControl/>
      </w:pPr>
      <w:r>
        <w:t xml:space="preserve">Right LIFE (θ = -0.90). Normative anchor: near-certain or highly probable death, lethal exposure, or elimination of conditions necessary for continued biological existence for the worst-off subgroup. Example anchors: direct lethal violence or exposure; catastrophic deprivation conditions such as IPC Phase 5 famine (≥20% extreme food gaps, crude death rate &gt;2 per 10,000 per day); collapse of life-sustaining infrastructure (water, sanitation, shelter) without viable alternatives; mass-casualty disaster exposures. The threshold is set above -1.0 because -1.0 corresponds to guaranteed death for all affected persons, a theoretical maximum rarely achieved even in extreme scenarios.</w:t>
      </w:r>
    </w:p>
    <w:bookmarkStart w:id="120" w:name="X8a4c407ca39128818e8126500b2d5173b56b9de"/>
    <w:p>
      <w:pPr>
        <w:pStyle w:val="Heading3"/>
        <w:keepNext/>
        <w:keepLines/>
        <w:pageBreakBefore w:val="0"/>
        <w:widowControl/>
      </w:pPr>
      <w:r>
        <w:rPr>
          <w:rFonts w:ascii="Arial" w:hAnsi="Arial" w:eastAsia="Arial"/>
          <w:b/>
          <w:color w:val="1F4E78"/>
        </w:rPr>
        <w:t xml:space="preserve">7.1.1 Threshold Calibration Protocol (Normative)</w:t>
      </w:r>
    </w:p>
    <w:p>
      <w:pPr>
        <w:pStyle w:val="FirstParagraph"/>
        <w:widowControl/>
      </w:pPr>
      <w:r>
        <w:t xml:space="preserve">The eight canonical rights thresholds are normative governance priors, not empirically derived frequencies. Each threshold encodes a severity level on the normalized impact scale [-1, +1] at which a predicted impact is treated as a rights-floor violation that cannot be traded away for aggregate benefit elsewhere.</w:t>
      </w:r>
    </w:p>
    <w:p>
      <w:pPr>
        <w:pStyle w:val="BodyText"/>
        <w:widowControl/>
      </w:pPr>
      <w:r>
        <w:t xml:space="preserve">Calibration follows two principles:</w:t>
      </w:r>
    </w:p>
    <w:p>
      <w:pPr>
        <w:pStyle w:val="BodyText"/>
        <w:widowControl/>
      </w:pPr>
      <w:r>
        <w:t xml:space="preserve">First, thresholds are placed relative to the semantics of the impact scale: -1.0 denotes an extreme, worst-case welfare decrement in the relevant domain; +1.0 denotes an extreme improvement.</w:t>
      </w:r>
    </w:p>
    <w:p>
      <w:pPr>
        <w:pStyle w:val="BodyText"/>
        <w:widowControl/>
      </w:pPr>
      <w:r>
        <w:t xml:space="preserve">Second, the ordering of thresholds reflects both a severity gradient and an enabling-conditions logic: rights protecting against lethal and bodily harms sit closer to the floor, while rights protecting procedural and epistemic conditions are set closer to zero because their violation can enable cascading downstream rights failures. When information environments are degraded or due process is absent, communities lose the epistemic and procedural capacity to detect and contest violations of life, bodily integrity, and liberty.</w:t>
      </w:r>
    </w:p>
    <w:p>
      <w:pPr>
        <w:pStyle w:val="BodyText"/>
        <w:widowControl/>
      </w:pPr>
      <w:r>
        <w:t xml:space="preserve">Operationally, a threshold is justified by two to four anchor conditions per right, a mapping rule from anchors to the [-1, +1] scale using threshold anchoring (Section 5.6.2), and a mandatory sensitivity sweep.</w:t>
      </w:r>
    </w:p>
    <w:bookmarkEnd w:id="120"/>
    <w:bookmarkEnd w:id="121"/>
    <w:bookmarkStart w:id="122" w:name="X0eba022227f4077be112b62cc64327d48ecc689"/>
    <w:p>
      <w:pPr>
        <w:pStyle w:val="Heading2"/>
        <w:keepNext/>
        <w:keepLines/>
        <w:pageBreakBefore w:val="0"/>
        <w:widowControl/>
      </w:pPr>
      <w:r>
        <w:rPr>
          <w:rFonts w:ascii="Arial" w:hAnsi="Arial" w:eastAsia="Arial"/>
          <w:b/>
          <w:color w:val="1F4E78"/>
        </w:rPr>
        <w:t xml:space="preserve">7.2 Rights Coverage Sets C_r (Normative)</w:t>
      </w:r>
    </w:p>
    <w:p>
      <w:pPr>
        <w:pStyle w:val="FirstParagraph"/>
        <w:widowControl/>
      </w:pPr>
      <w:r>
        <w:t xml:space="preserve">Each right applies to a defined subset of welfare cells C_r. NCRC evaluates each right across its coverage set and uses the worst-off subgroup for rights-covered cells.</w:t>
      </w:r>
    </w:p>
    <w:p>
      <w:pPr>
        <w:pStyle w:val="BodyText"/>
        <w:widowControl/>
      </w:pPr>
      <w:r>
        <w:t xml:space="preserve">Canonical coverage sets (authoritative):</w:t>
      </w:r>
    </w:p>
    <w:p>
      <w:pPr>
        <w:pStyle w:val="BodyText"/>
        <w:widowControl/>
      </w:pPr>
      <w:r>
        <w:t xml:space="preserve">Coverage note (Normative clarification). ECOL is scoped to capture enabling-conditions harms to the biosphere and to humanity’s life-support systems. Canonically this is implemented via Environment-dimension cells in the Humanity / Global Coordination and Biosphere unions (and any additional declared cells via governed extension). Implementations MAY extend ECOL coverage to additional cells only by explicit governance declaration in the PCC, and MUST NOT silently re-scope ECOL between runs.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Right</w:t>
            </w:r>
          </w:p>
        </w:tc>
        <w:tc>
          <w:tcPr>
            <w:shd w:fill="1F4E78" w:val="clear"/>
            <w:tcMar>
              <w:top w:w="80" w:type="dxa"/>
              <w:start w:w="90" w:type="dxa"/>
              <w:bottom w:w="80" w:type="dxa"/>
              <w:end w:w="90" w:type="dxa"/>
            </w:tcMar>
          </w:tcPr>
          <w:p>
            <w:pPr>
              <w:pStyle w:val="Compact"/>
              <w:jc w:val="left"/>
            </w:pPr>
            <w:r>
              <w:rPr>
                <w:b/>
                <w:bCs/>
                <w:color w:val="FFFFFF"/>
              </w:rPr>
              <w:t xml:space="preserve">Coverage Set C_r</w:t>
            </w:r>
          </w:p>
        </w:tc>
      </w:tr>
      <w:tr>
        <w:trPr/>
        <w:tc>
          <w:tcPr>
            <w:tcMar>
              <w:top w:w="80" w:type="dxa"/>
              <w:start w:w="90" w:type="dxa"/>
              <w:bottom w:w="80" w:type="dxa"/>
              <w:end w:w="90" w:type="dxa"/>
            </w:tcMar>
            <w:shd w:fill="F7FBFF" w:val="clear"/>
          </w:tcPr>
          <w:p>
            <w:pPr>
              <w:pStyle w:val="Compact"/>
              <w:jc w:val="left"/>
            </w:pPr>
            <w:r>
              <w:t xml:space="preserve">LIFE</w:t>
            </w:r>
          </w:p>
        </w:tc>
        <w:tc>
          <w:tcPr>
            <w:tcMar>
              <w:top w:w="80" w:type="dxa"/>
              <w:start w:w="90" w:type="dxa"/>
              <w:bottom w:w="80" w:type="dxa"/>
              <w:end w:w="90" w:type="dxa"/>
            </w:tcMar>
            <w:shd w:fill="F7FBFF" w:val="clear"/>
          </w:tcPr>
          <w:p>
            <w:pPr>
              <w:pStyle w:val="Compact"/>
              <w:jc w:val="left"/>
            </w:pPr>
            <w:r>
              <w:t xml:space="preserve">{(u, Health): u ∈ {1,2,3,4,5,6}} ∪ {(6, Environment)}</w:t>
            </w:r>
          </w:p>
        </w:tc>
      </w:tr>
      <w:tr>
        <w:trPr/>
        <w:tc>
          <w:tcPr>
            <w:tcMar>
              <w:top w:w="80" w:type="dxa"/>
              <w:start w:w="90" w:type="dxa"/>
              <w:bottom w:w="80" w:type="dxa"/>
              <w:end w:w="90" w:type="dxa"/>
            </w:tcMar>
            <w:shd w:fill="D9EAF7" w:val="clear"/>
          </w:tcPr>
          <w:p>
            <w:pPr>
              <w:pStyle w:val="Compact"/>
              <w:jc w:val="left"/>
            </w:pPr>
            <w:r>
              <w:t xml:space="preserve">BODY</w:t>
            </w:r>
          </w:p>
        </w:tc>
        <w:tc>
          <w:tcPr>
            <w:tcMar>
              <w:top w:w="80" w:type="dxa"/>
              <w:start w:w="90" w:type="dxa"/>
              <w:bottom w:w="80" w:type="dxa"/>
              <w:end w:w="90" w:type="dxa"/>
            </w:tcMar>
            <w:shd w:fill="D9EAF7" w:val="clear"/>
          </w:tcPr>
          <w:p>
            <w:pPr>
              <w:pStyle w:val="Compact"/>
              <w:jc w:val="left"/>
            </w:pPr>
            <w:r>
              <w:t xml:space="preserve">{(u, Health): u ∈ {1,2,3,4,5,6}}</w:t>
            </w:r>
          </w:p>
        </w:tc>
      </w:tr>
      <w:tr>
        <w:trPr/>
        <w:tc>
          <w:tcPr>
            <w:tcMar>
              <w:top w:w="80" w:type="dxa"/>
              <w:start w:w="90" w:type="dxa"/>
              <w:bottom w:w="80" w:type="dxa"/>
              <w:end w:w="90" w:type="dxa"/>
            </w:tcMar>
            <w:shd w:fill="F7FBFF" w:val="clear"/>
          </w:tcPr>
          <w:p>
            <w:pPr>
              <w:pStyle w:val="Compact"/>
              <w:jc w:val="left"/>
            </w:pPr>
            <w:r>
              <w:t xml:space="preserve">LBTY</w:t>
            </w:r>
          </w:p>
        </w:tc>
        <w:tc>
          <w:tcPr>
            <w:tcMar>
              <w:top w:w="80" w:type="dxa"/>
              <w:start w:w="90" w:type="dxa"/>
              <w:bottom w:w="80" w:type="dxa"/>
              <w:end w:w="90" w:type="dxa"/>
            </w:tcMar>
            <w:shd w:fill="F7FBFF" w:val="clear"/>
          </w:tcPr>
          <w:p>
            <w:pPr>
              <w:pStyle w:val="Compact"/>
              <w:jc w:val="left"/>
            </w:pPr>
            <w:r>
              <w:t xml:space="preserve">{(u, Agency): u ∈ {1,2,3,4,5,6}} ∪ {(u, Social): u ∈ {3,4,5,6}}</w:t>
            </w:r>
          </w:p>
        </w:tc>
      </w:tr>
      <w:tr>
        <w:trPr/>
        <w:tc>
          <w:tcPr>
            <w:tcMar>
              <w:top w:w="80" w:type="dxa"/>
              <w:start w:w="90" w:type="dxa"/>
              <w:bottom w:w="80" w:type="dxa"/>
              <w:end w:w="90" w:type="dxa"/>
            </w:tcMar>
            <w:shd w:fill="D9EAF7" w:val="clear"/>
          </w:tcPr>
          <w:p>
            <w:pPr>
              <w:pStyle w:val="Compact"/>
              <w:jc w:val="left"/>
            </w:pPr>
            <w:r>
              <w:t xml:space="preserve">NEED</w:t>
            </w:r>
          </w:p>
        </w:tc>
        <w:tc>
          <w:tcPr>
            <w:tcMar>
              <w:top w:w="80" w:type="dxa"/>
              <w:start w:w="90" w:type="dxa"/>
              <w:bottom w:w="80" w:type="dxa"/>
              <w:end w:w="90" w:type="dxa"/>
            </w:tcMar>
            <w:shd w:fill="D9EAF7" w:val="clear"/>
          </w:tcPr>
          <w:p>
            <w:pPr>
              <w:pStyle w:val="Compact"/>
              <w:jc w:val="left"/>
            </w:pPr>
            <w:r>
              <w:t xml:space="preserve">{(u, Material): u ∈ {1,2,3,4,5,6}} ∪ {(u, Health): u ∈ {1,2,3,4,5,6}}</w:t>
            </w:r>
          </w:p>
        </w:tc>
      </w:tr>
      <w:tr>
        <w:trPr/>
        <w:tc>
          <w:tcPr>
            <w:tcMar>
              <w:top w:w="80" w:type="dxa"/>
              <w:start w:w="90" w:type="dxa"/>
              <w:bottom w:w="80" w:type="dxa"/>
              <w:end w:w="90" w:type="dxa"/>
            </w:tcMar>
            <w:shd w:fill="F7FBFF" w:val="clear"/>
          </w:tcPr>
          <w:p>
            <w:pPr>
              <w:pStyle w:val="Compact"/>
              <w:jc w:val="left"/>
            </w:pPr>
            <w:r>
              <w:t xml:space="preserve">DIGN</w:t>
            </w:r>
          </w:p>
        </w:tc>
        <w:tc>
          <w:tcPr>
            <w:tcMar>
              <w:top w:w="80" w:type="dxa"/>
              <w:start w:w="90" w:type="dxa"/>
              <w:bottom w:w="80" w:type="dxa"/>
              <w:end w:w="90" w:type="dxa"/>
            </w:tcMar>
            <w:shd w:fill="F7FBFF" w:val="clear"/>
          </w:tcPr>
          <w:p>
            <w:pPr>
              <w:pStyle w:val="Compact"/>
              <w:jc w:val="left"/>
            </w:pPr>
            <w:r>
              <w:t xml:space="preserve">{(u, Social): u ∈ {1,2,3,4,5,6}} ∪ {(u, Agency): u ∈ {1,2,3,4,5,6}}</w:t>
            </w:r>
          </w:p>
        </w:tc>
      </w:tr>
      <w:tr>
        <w:trPr/>
        <w:tc>
          <w:tcPr>
            <w:tcMar>
              <w:top w:w="80" w:type="dxa"/>
              <w:start w:w="90" w:type="dxa"/>
              <w:bottom w:w="80" w:type="dxa"/>
              <w:end w:w="90" w:type="dxa"/>
            </w:tcMar>
            <w:shd w:fill="D9EAF7" w:val="clear"/>
          </w:tcPr>
          <w:p>
            <w:pPr>
              <w:pStyle w:val="Compact"/>
              <w:jc w:val="left"/>
            </w:pPr>
            <w:r>
              <w:t xml:space="preserve">PROC</w:t>
            </w:r>
          </w:p>
        </w:tc>
        <w:tc>
          <w:tcPr>
            <w:tcMar>
              <w:top w:w="80" w:type="dxa"/>
              <w:start w:w="90" w:type="dxa"/>
              <w:bottom w:w="80" w:type="dxa"/>
              <w:end w:w="90" w:type="dxa"/>
            </w:tcMar>
            <w:shd w:fill="D9EAF7" w:val="clear"/>
          </w:tcPr>
          <w:p>
            <w:pPr>
              <w:pStyle w:val="Compact"/>
              <w:jc w:val="left"/>
            </w:pPr>
            <w:r>
              <w:t xml:space="preserve">{(u, Agency): u ∈ {4,5,6}} ∪ {(u, Knowledge): u ∈ {4,5,6}} ∪ {(u, Social): u ∈ {4,5,6}}</w:t>
            </w:r>
          </w:p>
        </w:tc>
      </w:tr>
      <w:tr>
        <w:trPr/>
        <w:tc>
          <w:tcPr>
            <w:tcMar>
              <w:top w:w="80" w:type="dxa"/>
              <w:start w:w="90" w:type="dxa"/>
              <w:bottom w:w="80" w:type="dxa"/>
              <w:end w:w="90" w:type="dxa"/>
            </w:tcMar>
            <w:shd w:fill="F7FBFF" w:val="clear"/>
          </w:tcPr>
          <w:p>
            <w:pPr>
              <w:pStyle w:val="Compact"/>
              <w:jc w:val="left"/>
            </w:pPr>
            <w:r>
              <w:t xml:space="preserve">INFO</w:t>
            </w:r>
          </w:p>
        </w:tc>
        <w:tc>
          <w:tcPr>
            <w:tcMar>
              <w:top w:w="80" w:type="dxa"/>
              <w:start w:w="90" w:type="dxa"/>
              <w:bottom w:w="80" w:type="dxa"/>
              <w:end w:w="90" w:type="dxa"/>
            </w:tcMar>
            <w:shd w:fill="F7FBFF" w:val="clear"/>
          </w:tcPr>
          <w:p>
            <w:pPr>
              <w:pStyle w:val="Compact"/>
              <w:jc w:val="left"/>
            </w:pPr>
            <w:r>
              <w:t xml:space="preserve">{(u, Knowledge): u ∈ {1,2,3,4,5,6}} ∪ {(u, Agency): u ∈ {1,2,3,4,5,6}}</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ECOL</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{(6, Environment), (7, Environment)}</w:t>
            </w:r>
          </w:p>
        </w:tc>
      </w:tr>
    </w:tbl>
    <w:bookmarkEnd w:id="122"/>
    <w:bookmarkStart w:id="125" w:name="X51f4a67324fd7a6362512a06b56a53b650dfa29"/>
    <w:p>
      <w:pPr>
        <w:pStyle w:val="Heading2"/>
        <w:keepNext/>
        <w:keepLines/>
        <w:pageBreakBefore w:val="0"/>
        <w:widowControl/>
      </w:pPr>
      <w:r>
        <w:rPr>
          <w:rFonts w:ascii="Arial" w:hAnsi="Arial" w:eastAsia="Arial"/>
          <w:b/>
          <w:color w:val="1F4E78"/>
        </w:rPr>
        <w:t xml:space="preserve">7.3 Worst-Off Subgroup Semantics (Normative)</w:t>
      </w:r>
    </w:p>
    <w:p>
      <w:pPr>
        <w:pStyle w:val="FirstParagraph"/>
        <w:widowControl/>
      </w:pPr>
      <w:r>
        <w:t xml:space="preserve">Rights cannot be averaged away. For every rights-covered cell (u,d) in any C_r, define:</w:t>
      </w:r>
    </w:p>
    <w:p>
      <w:pPr>
        <w:pStyle w:val="BodyText"/>
        <w:widowControl/>
      </w:pPr>
      <w:r>
        <w:t>I_rights(u,d,a,r) = min_{g ∈ G_RF(u,d,a,r)} I_RF(u,d,a|g,r)</w:t>
      </w:r>
    </w:p>
    <w:p>
      <w:pPr>
        <w:pStyle w:val="BodyText"/>
        <w:widowControl/>
      </w:pPr>
      <w:r>
        <w:t>Where G_RF(u,d,a,r) is the governed set of protected subgroups relevant to that right and cell. The right identifier r MUST remain explicit in machine records even where display equations suppress it for readability. The ordinary Welfare/Base-stream value I_prop_base may inform evidence discovery, but it is not the canonical rights-floor input unless separately reconstructed under the Section 7.4 non-attenuation rules.</w:t>
      </w:r>
    </w:p>
    <w:p>
      <w:pPr>
        <w:pStyle w:val="BodyText"/>
        <w:widowControl/>
      </w:pPr>
      <w:r>
        <w:t xml:space="preserve">Tier requirements:</w:t>
      </w:r>
    </w:p>
    <w:p>
      <w:pPr>
        <w:pStyle w:val="Compact"/>
        <w:widowControl/>
        <w:numPr>
          <w:ilvl w:val="0"/>
          <w:numId w:val="1038"/>
        </w:numPr>
      </w:pPr>
      <w:r>
        <w:t xml:space="preserve">Tier 3: Subgroup enumeration is REQUIRED for rights-covered cells (Appendix H PCC requirements).</w:t>
      </w:r>
    </w:p>
    <w:p>
      <w:pPr>
        <w:pStyle w:val="Compact"/>
        <w:widowControl/>
        <w:numPr>
          <w:ilvl w:val="0"/>
          <w:numId w:val="1039"/>
        </w:numPr>
      </w:pPr>
      <w:r>
        <w:t xml:space="preserve">Tier 2 (strict posture): Subgroup enumeration is REQUIRED at least for directly affected populations in rights-covered cells; when infeasible, the PCC MUST record SUBGROUP_LIMITATION and apply a conservative bound rule (Section 7.3.2).</w:t>
      </w:r>
    </w:p>
    <w:bookmarkStart w:id="123" w:name="X39d0047e6eeb655931cd543785c41ea4ba97db2"/>
    <w:p>
      <w:pPr>
        <w:pStyle w:val="Heading3"/>
        <w:keepNext/>
        <w:keepLines/>
        <w:pageBreakBefore w:val="0"/>
        <w:widowControl/>
      </w:pPr>
      <w:r>
        <w:rPr>
          <w:rFonts w:ascii="Arial" w:hAnsi="Arial" w:eastAsia="Arial"/>
          <w:b/>
          <w:color w:val="1F4E78"/>
        </w:rPr>
        <w:t xml:space="preserve">7.3.1 Minimum subgroup categories (Normative minimum)</w:t>
      </w:r>
    </w:p>
    <w:p>
      <w:pPr>
        <w:pStyle w:val="FirstParagraph"/>
        <w:widowControl/>
      </w:pPr>
      <w:r>
        <w:t xml:space="preserve">At minimum, when applicable and feasible, G_{u,d} SHOULD include subgroups defined by:</w:t>
      </w:r>
    </w:p>
    <w:p>
      <w:pPr>
        <w:pStyle w:val="Compact"/>
        <w:widowControl/>
        <w:numPr>
          <w:ilvl w:val="0"/>
          <w:numId w:val="1040"/>
        </w:numPr>
      </w:pPr>
      <w:r>
        <w:t xml:space="preserve">Age (children; elderly)</w:t>
      </w:r>
    </w:p>
    <w:p>
      <w:pPr>
        <w:pStyle w:val="Compact"/>
        <w:widowControl/>
        <w:numPr>
          <w:ilvl w:val="0"/>
          <w:numId w:val="1041"/>
        </w:numPr>
      </w:pPr>
      <w:r>
        <w:t xml:space="preserve">Disability status</w:t>
      </w:r>
    </w:p>
    <w:p>
      <w:pPr>
        <w:pStyle w:val="Compact"/>
        <w:widowControl/>
        <w:numPr>
          <w:ilvl w:val="0"/>
          <w:numId w:val="1042"/>
        </w:numPr>
      </w:pPr>
      <w:r>
        <w:t xml:space="preserve">Legally protected characteristics relevant in jurisdiction</w:t>
      </w:r>
    </w:p>
    <w:p>
      <w:pPr>
        <w:pStyle w:val="Compact"/>
        <w:widowControl/>
        <w:numPr>
          <w:ilvl w:val="0"/>
          <w:numId w:val="1043"/>
        </w:numPr>
      </w:pPr>
      <w:r>
        <w:t xml:space="preserve">Economic vulnerability (for example, bottom income quintile)</w:t>
      </w:r>
    </w:p>
    <w:p>
      <w:pPr>
        <w:pStyle w:val="Compact"/>
        <w:widowControl/>
        <w:numPr>
          <w:ilvl w:val="0"/>
          <w:numId w:val="1044"/>
        </w:numPr>
      </w:pPr>
      <w:r>
        <w:t xml:space="preserve">Geographic exposure (for example, high-risk locations)</w:t>
      </w:r>
    </w:p>
    <w:p>
      <w:pPr>
        <w:pStyle w:val="Compact"/>
        <w:widowControl/>
        <w:numPr>
          <w:ilvl w:val="0"/>
          <w:numId w:val="1045"/>
        </w:numPr>
      </w:pPr>
      <w:r>
        <w:t xml:space="preserve">Domain-specific protected groups (for example, patients, detainees, precarious workers, indigenous communities)</w:t>
      </w:r>
    </w:p>
    <w:bookmarkEnd w:id="123"/>
    <w:bookmarkStart w:id="124" w:name="Xeb6e7943885dcac122a0e553ca0b702f6ba8779"/>
    <w:p>
      <w:pPr>
        <w:pStyle w:val="Heading3"/>
        <w:keepNext/>
        <w:keepLines/>
        <w:pageBreakBefore w:val="0"/>
        <w:widowControl/>
      </w:pPr>
      <w:r>
        <w:rPr>
          <w:rFonts w:ascii="Arial" w:hAnsi="Arial" w:eastAsia="Arial"/>
          <w:b/>
          <w:color w:val="1F4E78"/>
        </w:rPr>
        <w:t xml:space="preserve">7.3.2 Conservative fallback when subgroup disaggregation is infeasible (Tier 2-3) (Normative)</w:t>
      </w:r>
    </w:p>
    <w:p>
      <w:pPr>
        <w:pStyle w:val="FirstParagraph"/>
        <w:widowControl/>
      </w:pPr>
      <w:r>
        <w:t>If subgroup-specific rights-floor impacts I_RF(u,d,a|g,r) cannot be produced for a rights-covered cell, the run MUST:</w:t>
      </w:r>
    </w:p>
    <w:p>
      <w:pPr>
        <w:pStyle w:val="Compact"/>
        <w:widowControl/>
        <w:numPr>
          <w:ilvl w:val="0"/>
          <w:numId w:val="1046"/>
        </w:numPr>
      </w:pPr>
      <w:r>
        <w:t xml:space="preserve">Record SUBGROUP_LIMITATION in the PCC, and</w:t>
      </w:r>
    </w:p>
    <w:p>
      <w:pPr>
        <w:pStyle w:val="Compact"/>
        <w:widowControl/>
        <w:numPr>
          <w:ilvl w:val="0"/>
          <w:numId w:val="1047"/>
        </w:numPr>
      </w:pPr>
      <w:r>
        <w:t xml:space="preserve">Apply a conservative rights bound for that cell:</w:t>
      </w:r>
    </w:p>
    <w:p>
      <w:pPr>
        <w:pStyle w:val="FirstParagraph"/>
        <w:widowControl/>
      </w:pPr>
      <w:r>
        <w:t xml:space="preserve">Let γ_subgroup be a conservatism factor (default γ_subgroup = 1.5). Then define:</w:t>
      </w:r>
    </w:p>
    <w:p>
      <w:pPr>
        <w:pStyle w:val="Compact"/>
        <w:widowControl/>
        <w:numPr>
          <w:ilvl w:val="0"/>
          <w:numId w:val="1048"/>
        </w:numPr>
      </w:pPr>
      <w:r>
        <w:t>If the separately constructed base-population rights-floor impact I_RF_base(u,d,a,r) &lt; 0, set I_rights(u,d,a,r) = max(-1, γ_subgroup × I_RF_base(u,d,a,r))</w:t>
      </w:r>
    </w:p>
    <w:p>
      <w:pPr>
        <w:pStyle w:val="Compact"/>
        <w:widowControl/>
        <w:numPr>
          <w:ilvl w:val="0"/>
          <w:numId w:val="1049"/>
        </w:numPr>
      </w:pPr>
      <w:r>
        <w:t>Else set I_rights(u,d,a,r) = I_RF_base(u,d,a,r)</w:t>
      </w:r>
    </w:p>
    <w:p>
      <w:pPr>
        <w:pStyle w:val="FirstParagraph"/>
        <w:widowControl/>
      </w:pPr>
      <w:r>
        <w:t xml:space="preserve">This bound applies only for NCRC checking, not for RLS scoring.</w:t>
      </w:r>
    </w:p>
    <w:p>
      <w:pPr>
        <w:widowControl/>
      </w:pPr>
      <w:r>
        <w:t>If I_RF_base cannot be constructed from reviewed rights-floor instances, the cell is NCRC_UNKNOWN; the run MUST collect evidence, narrow, escalate, or refuse rather than reuse a temporally or confidence-attenuated welfare value as a rights pass.</w:t>
      </w:r>
    </w:p>
    <w:p>
      <w:pPr>
        <w:pStyle w:val="BodyText"/>
        <w:widowControl/>
      </w:pPr>
      <w:r>
        <w:t xml:space="preserve">Calibration note (Normative guidance). The default γ_subgroup = 1.5 is a conservative governance prior rather than an empirically estimated constant. The value is set as a moderate worst-off uplift between the identity case (γ_subgroup = 1.0) and stronger stress-test settings used to examine subgroup vulnerability under uncertainty. It is intended to reduce subgroup erasure without asserting a precise empirical constant across domains. Tier 3 deployments SHOULD review γ_subgroup against their reference decision suite at least annually or after a material accumulation of rights-sensitive runs. Any non-default γ_subgroup MUST be declared in the PCC, justified, and accompanied by sensitivity reruns over the reference suite. The sensitivity sweep for γ_subgroup SHOULD include at minimum γ_subgroup ∈ {1.0, 1.3, 1.5, 2.0} to test whether admissibility outcomes or selection change materially.</w:t>
      </w:r>
    </w:p>
    <w:bookmarkEnd w:id="124"/>
    <w:bookmarkEnd w:id="125"/>
    <w:bookmarkStart w:id="130" w:name="X1902d601e0e19a1b48a588c8d34e52a771e5703"/>
    <w:p>
      <w:pPr>
        <w:pStyle w:val="Heading2"/>
        <w:keepNext/>
        <w:keepLines/>
        <w:pageBreakBefore w:val="0"/>
        <w:widowControl/>
      </w:pPr>
      <w:r>
        <w:rPr>
          <w:rFonts w:ascii="Arial" w:hAnsi="Arial" w:eastAsia="Arial"/>
          <w:b/>
          <w:color w:val="1F4E78"/>
        </w:rPr>
        <w:t xml:space="preserve">7.4 Rights-Specific Severity, Hazard, and NCRC Admissibility (Normative)</w:t>
      </w:r>
    </w:p>
    <w:bookmarkStart w:id="126" w:name="X90a1da8b86f9bb513da9ce09fd6b867db8f1cdc"/>
    <w:p>
      <w:pPr>
        <w:pStyle w:val="Heading3"/>
        <w:keepNext/>
        <w:keepLines/>
        <w:pageBreakBefore w:val="0"/>
        <w:widowControl/>
      </w:pPr>
      <w:r>
        <w:rPr>
          <w:rFonts w:ascii="Arial" w:hAnsi="Arial" w:eastAsia="Arial"/>
          <w:b/>
          <w:color w:val="1F4E78"/>
        </w:rPr>
        <w:t xml:space="preserve">7.4.1 Rights-floor impact channel (Normative)</w:t>
      </w:r>
    </w:p>
    <w:p>
      <w:pPr>
        <w:pStyle w:val="FirstParagraph"/>
        <w:widowControl/>
      </w:pPr>
      <w:r>
        <w:t xml:space="preserve">The welfare-impact stream is not by itself sufficient to decide rights admissibility. For every adverse impact instance k that is material to a protected right r, the run MUST construct a rights-floor instance using the exposed protected subgroup as the reach denominator.</w:t>
      </w:r>
    </w:p>
    <w:p>
      <w:pPr>
        <w:pStyle w:val="BodyText"/>
        <w:widowControl/>
      </w:pPr>
      <w:r>
        <w:t xml:space="preserve">For adverse rights-floor instances, set the rights temporal factor τ_RF(t_k) := 1.0. Duration remains recorded and may aggravate severity, remedy, and emergency comparison, but short duration MUST NOT attenuate a categorical or severe rights violation into admissibility. Analyst confidence c_k is evidence metadata rather than a protective discount: low confidence MUST trigger conservative bounding, evidence collection, narrowing, escalation, or refusal, not a weaker rights check.</w:t>
      </w:r>
    </w:p>
    <w:p>
      <w:pPr>
        <w:pStyle w:val="BodyText"/>
        <w:widowControl/>
      </w:pPr>
      <w:r>
        <w:t xml:space="preserve">Let ℓ_k^U be the declared conservative upper likelihood bound for the rights event. The rights-floor contribution is:</w:t>
      </w:r>
    </w:p>
    <w:p>
      <w:pPr>
        <w:pStyle w:val="BodyText"/>
        <w:widowControl/>
      </w:pPr>
      <w:r>
        <w:t xml:space="preserve">x_RF(k,r,a) = μ_k · r_k^R · ℓ_k^U · e_k</w:t>
      </w:r>
    </w:p>
    <w:p>
      <w:pPr>
        <w:pStyle w:val="BodyText"/>
        <w:widowControl/>
      </w:pPr>
      <w:r>
        <w:t xml:space="preserve">where r_k^R uses rights-specific exposed-subgroup reach. Only adverse rights-floor instances enter this channel; positive effects remain in welfare analysis and cannot offset a protected loss.</w:t>
      </w:r>
    </w:p>
    <w:p>
      <w:pPr>
        <w:pStyle w:val="BodyText"/>
        <w:widowControl/>
      </w:pPr>
      <w:r>
        <w:t xml:space="preserve">For each rights-covered cell, let K_RF(u,d,a) be the reviewed set of material adverse rights-floor instances and define:</w:t>
      </w:r>
    </w:p>
    <w:p>
      <w:pPr>
        <w:pStyle w:val="BodyText"/>
        <w:widowControl/>
      </w:pPr>
      <w:r>
        <w:t xml:space="preserve">X_RF(u,d,a) = Σ_{k ∈ K_RF(u,d,a)} x_RF(k,r,a)</w:t>
      </w:r>
    </w:p>
    <w:p>
      <w:pPr>
        <w:pStyle w:val="BodyText"/>
        <w:widowControl/>
      </w:pPr>
      <w:r>
        <w:t xml:space="preserve">I_RF(u,d,a) = tanh(β_RF · X_RF(u,d,a))</w:t>
      </w:r>
    </w:p>
    <w:p>
      <w:pPr>
        <w:pStyle w:val="BodyText"/>
        <w:widowControl/>
      </w:pPr>
      <w:r>
        <w:t>The canonical default is β_RF = β, the governed saturation parameter used for direct welfare impacts in Section 5.5. In this rights-specific channel, I_RF and I_rights are evaluated separately for each protected right r; the r subscript is suppressed in legacy display equations only. Machine records and validators MUST preserve the right identifier and MUST NOT merge overlapping rights into one compensable cell value. β_RF is a governed rights parameter, not an empirical constant. Every Tier 2-3 PCC MUST record it. Tier 3 and high-stakes Tier 2 runs MUST test the canonical value and at least one lower and one higher preregistered value whenever a plausible change could cross a rights threshold. Larger positive β_RF magnifies both positive and negative pre-saturation values toward the bounds and therefore makes a negative floor breach more likely for a fixed negative X_RF; “tighter” MUST NOT be used without stating that direction. A non-default β_RF MUST be set ex ante, justified, applied symmetrically, and accompanied by the canonical-default counterfactual. If rights admissibility changes across the required sensitivity range, the run MUST report RIGHTS_SATURATION_SENSITIVE and MAY NOT claim an unqualified RF/NCRC result until governed review resolves the parameter basis. For the subgroup set G_RF(u,d,a) required by Section 7.3, define I_rights(u,d,a) = min_{g ∈ G_RF(u,d,a)} I_RF(u,d,a|g); when no governed subgroup split is material, the declared base population is the sole member of G_RF. Apply the remaining Section 7.3 visibility and evidence rules without attenuation. Low confidence, short duration, or positive welfare elsewhere cannot attenuate this rights-floor channel.</w:t>
      </w:r>
      <w:r/>
      <w:r>
        <w:rPr>
          <w:rStyle w:val="VerbatimChar"/>
        </w:rPr>
      </w:r>
      <w:r/>
      <w:r/>
      <w:r/>
      <w:r>
        <w:rPr>
          <w:rStyle w:val="VerbatimChar"/>
        </w:rPr>
      </w:r>
      <w:r/>
      <w:r/>
      <w:r/>
      <w:r>
        <w:rPr>
          <w:rStyle w:val="VerbatimChar"/>
        </w:rPr>
      </w:r>
      <w:r/>
      <w:r/>
      <w:r>
        <w:rPr>
          <w:rStyle w:val="VerbatimChar"/>
        </w:rPr>
      </w:r>
      <w:r/>
      <w:r/>
    </w:p>
    <w:bookmarkEnd w:id="126"/>
    <w:bookmarkStart w:id="127" w:name="X339a00ec04e1d78f19ed8513386ef500f210baf"/>
    <w:p>
      <w:pPr>
        <w:pStyle w:val="Heading3"/>
        <w:keepNext/>
        <w:keepLines/>
        <w:pageBreakBefore w:val="0"/>
        <w:widowControl/>
      </w:pPr>
      <w:r>
        <w:rPr>
          <w:rFonts w:ascii="Arial" w:hAnsi="Arial" w:eastAsia="Arial"/>
          <w:b/>
          <w:color w:val="1F4E78"/>
        </w:rPr>
        <w:t xml:space="preserve">7.4.2 Categorical-prohibition channel (Normative)</w:t>
      </w:r>
    </w:p>
    <w:p>
      <w:pPr>
        <w:pStyle w:val="FirstParagraph"/>
        <w:widowControl/>
      </w:pPr>
      <w:r>
        <w:t xml:space="preserve">For each material rights instance, declare z_k,r ∈ {0,1}, where z_k,r = 1 means the option authorizes, requires, or knowingly imposes a categorical rights violation under the declared rights profile. Examples may include torture, intentional killing outside a lawful protective exception, non-consensual invasive medical intervention, arbitrary detention, deliberate deprivation below a basic-needs floor, or another prohibition explicitly declared by the governing profile.</w:t>
      </w:r>
    </w:p>
    <w:p>
      <w:pPr>
        <w:pStyle w:val="BodyText"/>
        <w:widowControl/>
      </w:pPr>
      <w:r>
        <w:t xml:space="preserve">A categorical flag is profile-governed and challengeable. It MUST NOT be inferred merely from rhetoric, and it MUST NOT be removed because the event is brief, affects a small protected subgroup, or produces benefits elsewhere.</w:t>
      </w:r>
    </w:p>
    <w:bookmarkEnd w:id="127"/>
    <w:bookmarkStart w:id="128" w:name="X106f5201a513d0d1447c8757a1bab9b6ee0a944"/>
    <w:p>
      <w:pPr>
        <w:pStyle w:val="Heading3"/>
        <w:keepNext/>
        <w:keepLines/>
        <w:pageBreakBefore w:val="0"/>
        <w:widowControl/>
      </w:pPr>
      <w:r>
        <w:rPr>
          <w:rFonts w:ascii="Arial" w:hAnsi="Arial" w:eastAsia="Arial"/>
          <w:b/>
          <w:color w:val="1F4E78"/>
        </w:rPr>
        <w:t xml:space="preserve">7.4.3 Severe rights-hazard channel (Normative)</w:t>
      </w:r>
    </w:p>
    <w:p>
      <w:pPr>
        <w:pStyle w:val="FirstParagraph"/>
        <w:widowControl/>
      </w:pPr>
      <w:r>
        <w:rPr>
          <w:b/>
        </w:rPr>
        <w:t>The severe-rights-hazard channel is distinct from the ordinary rights-floor threshold.</w:t>
      </w:r>
      <w:r>
        <w:t xml:space="preserve"> It is activated by either a governed event class or a separate hazard-activation threshold. Decision-materiality screen. The background existence of a severe event class in a domain does not by itself activate the channel for every option. The run MUST determine whether the option creates, increases, transfers, conceals, controls, or makes a material claim about the protected population’s exposure relative to the declared baseline. A reviewed NOT_MATERIAL finding requires an option-specific rationale, evidence source, reviewer status, and reopen trigger; it MUST NOT be represented as proof that background risk is zero.</w:t>
      </w:r>
    </w:p>
    <w:p>
      <w:pPr>
        <w:pStyle w:val="BodyText"/>
        <w:widowControl/>
      </w:pPr>
      <w:r>
        <w:t xml:space="preserve">For impact instance k and right r, define:</w:t>
      </w:r>
    </w:p>
    <w:p>
      <w:pPr>
        <w:pStyle w:val="BodyText"/>
        <w:widowControl/>
      </w:pPr>
      <w:r>
        <w:t xml:space="preserve">SevereRightsHazardActive(k,r) := (EventClass_k ∈ C_severe,r) OR (h_sev,k,r ≥ η_r).</w:t>
      </w:r>
    </w:p>
    <w:p>
      <w:pPr>
        <w:pStyle w:val="BodyText"/>
        <w:widowControl/>
      </w:pPr>
      <w:r>
        <w:t xml:space="preserve">Canonical default: η_r := min(0.50, |θ_r|). Domain profiles MAY tighten η_r but MUST NOT set it above 0.50 or disable a canonical event-class trigger.</w:t>
      </w:r>
    </w:p>
    <w:p>
      <w:pPr>
        <w:pStyle w:val="BodyText"/>
        <w:widowControl/>
      </w:pPr>
      <w:r>
        <w:t xml:space="preserve">C_severe,r includes, where applicable: credible fatality pathways; torture or cruel, inhuman, or degrading treatment; serious bodily injury or forced invasive intervention; arbitrary detention or confinement; deprivation of basic subsistence; collapse of due process or remedy; severe information coercion or manipulation; and irreversible or severe ecological destruction affecting protected life-support conditions.</w:t>
      </w:r>
    </w:p>
    <w:p>
      <w:pPr>
        <w:pStyle w:val="BodyText"/>
        <w:widowControl/>
      </w:pPr>
      <w:r>
        <w:t xml:space="preserve">When the channel is active, the run MUST separately declare intrinsic severity conditional on occurrence, likelihood or scenario probability, reversibility, consent/authority status, worst-affected subgroup, evidence status, and the governed tolerance or prohibition. The ordinary temporally weighted welfare product does not determine whether the hazard is reviewed. Missing gate-critical evidence produces NCRC_UNKNOWN, escalation, or refusal rather than an implied pass.</w:t>
      </w:r>
    </w:p>
    <w:bookmarkEnd w:id="128"/>
    <w:bookmarkStart w:id="129" w:name="X6f5447af78a526f68607fc939979baaf73a1a6c"/>
    <w:p>
      <w:pPr>
        <w:pStyle w:val="Heading3"/>
        <w:keepNext/>
        <w:keepLines/>
        <w:pageBreakBefore w:val="0"/>
        <w:widowControl/>
      </w:pPr>
      <w:r>
        <w:rPr>
          <w:rFonts w:ascii="Arial" w:hAnsi="Arial" w:eastAsia="Arial"/>
          <w:b/>
          <w:color w:val="1F4E78"/>
        </w:rPr>
        <w:t xml:space="preserve">7.4.4 Violation components and predicate (Normative)</w:t>
      </w:r>
    </w:p>
    <w:p>
      <w:pPr>
        <w:pStyle w:val="FirstParagraph"/>
        <w:widowControl/>
      </w:pPr>
      <w:r>
        <w:t xml:space="preserve">For each right r, define:</w:t>
      </w:r>
    </w:p>
    <w:p>
      <w:pPr>
        <w:pStyle w:val="BodyText"/>
        <w:widowControl/>
      </w:pPr>
      <w:r>
        <w:t xml:space="preserve">v_r^floor(a) = max_(u,d in C_r) (θ_r - I_rights(u,d,a))^+</w:t>
      </w:r>
    </w:p>
    <w:p>
      <w:pPr>
        <w:pStyle w:val="BodyText"/>
        <w:widowControl/>
      </w:pPr>
      <w:r>
        <w:t xml:space="preserve">v_r^cat(a) = max_(k in K_r(a)) z_k,r</w:t>
      </w:r>
    </w:p>
    <w:p>
      <w:pPr>
        <w:pStyle w:val="BodyText"/>
        <w:widowControl/>
      </w:pPr>
      <w:r>
        <w:t xml:space="preserve">v_r^risk(a) = max_(k in K_r(a): SevereRightsHazardActive(k,r)) (p_k,r^U - ρ_r)^+</w:t>
      </w:r>
    </w:p>
    <w:p>
      <w:pPr>
        <w:pStyle w:val="BodyText"/>
        <w:widowControl/>
      </w:pPr>
      <w:r>
        <w:t xml:space="preserve">where (x)^+ = max(x,0).</w:t>
      </w:r>
    </w:p>
    <w:p>
      <w:pPr>
        <w:pStyle w:val="BodyText"/>
        <w:widowControl/>
      </w:pPr>
      <w:r>
        <w:rPr>
          <w:b/>
          <w:bCs/>
        </w:rPr>
        <w:t xml:space="preserve">Reviewed-empty-set convention (Normative).</w:t>
      </w:r>
      <w:r>
        <w:t xml:space="preserve"> </w:t>
      </w:r>
      <w:r>
        <w:t xml:space="preserve">For the categorical and severe-risk channels,</w:t>
      </w:r>
      <w:r>
        <w:t xml:space="preserve"> </w:t>
      </w:r>
      <w:r>
        <w:rPr>
          <w:rStyle w:val="VerbatimChar"/>
        </w:rPr>
        <w:t xml:space="preserve">max ∅ = 0</w:t>
      </w:r>
      <w:r>
        <w:t xml:space="preserve"> </w:t>
      </w:r>
      <w:r>
        <w:t xml:space="preserve">only after the run has completed the required stakeholder, event-class, and evidence review and has established that no material instance belongs in the applicable set. This convention does not apply when a required field, stakeholder, event class, or evidence trace is missing or unresolved; such cases produce</w:t>
      </w:r>
      <w:r>
        <w:t xml:space="preserve"> </w:t>
      </w:r>
      <w:r>
        <w:rPr>
          <w:rStyle w:val="VerbatimChar"/>
        </w:rPr>
        <w:t xml:space="preserve">NCRC_UNKNOWN</w:t>
      </w:r>
      <w:r>
        <w:t xml:space="preserve">, escalation, or refusal rather than zero.</w:t>
      </w:r>
    </w:p>
    <w:p>
      <w:pPr>
        <w:pStyle w:val="BodyText"/>
        <w:widowControl/>
      </w:pPr>
      <w:r>
        <w:t xml:space="preserve">If a required severe-hazard field is missing, set the rights evidence status to UNKNOWN rather than zero.</w:t>
      </w:r>
    </w:p>
    <w:p>
      <w:pPr>
        <w:pStyle w:val="BodyText"/>
      </w:pPr>
      <w:r>
        <w:rPr>
          <w:b/>
        </w:rPr>
        <w:t>Rights-risk tolerance provenance rule (Normative).</w:t>
      </w:r>
      <w:r>
        <w:t xml:space="preserve"> rho_r is a governed maximum tolerated probability for an already activated severe-rights hazard; it is not inferred from the ordinary floor theta_r, analyst convenience, or the option’s welfare score. Every non-zero rho_r MUST identify the governing authority or domain profile, protected population and event class, evidence date, uncertainty basis, challenge/appeal path, and review trigger. Categorical prohibitions ordinarily use rho_r=0. If rho_r is missing, stale, unauthorized, or contested at a gate-material point, the severe-risk channel is NCRC_UNKNOWN, not zero.</w:t>
      </w:r>
    </w:p>
    <w:p>
      <w:pPr>
        <w:pStyle w:val="BodyText"/>
      </w:pPr>
      <w:r>
        <w:rPr>
          <w:b/>
        </w:rPr>
        <w:t>Activation/computation examples (Normative).</w:t>
      </w:r>
      <w:r>
        <w:t xml:space="preserve"> Failing case: for LIFE, let theta_LIFE=-0.90, eta_LIFE=0.50, intrinsic fatality-pathway severity h_sev=0.80, conservative probability bound p^U=0.03, and governed tolerance rho_LIFE=0.01. The hazard activates because 0.80 &gt;= 0.50; therefore v_LIFE^risk=(0.03-0.01)^+=0.02 and ordinary NCRC passage is blocked. Passing case: under an authorized domain profile for the same event class, let p^U=0.004 and rho_LIFE=0.005, with complete provenance, conservative uncertainty, independent review, and a reopen trigger. Then v_LIFE^risk=(0.004-0.005)^+=0; the severe-risk channel passes, but the floor, categorical, evidence-completeness, TRC, CSV, and authority conditions remain independently binding. These examples do not establish a universal rho_r; tolerances remain right-, population-, event-, domain-, and authority-specific.</w:t>
      </w:r>
    </w:p>
    <w:p>
      <w:pPr>
        <w:pStyle w:val="Heading3"/>
        <w:keepNext/>
        <w:keepLines/>
        <w:pageBreakBefore w:val="0"/>
        <w:widowControl/>
      </w:pPr>
      <w:r>
        <w:rPr>
          <w:rFonts w:ascii="Arial" w:hAnsi="Arial" w:eastAsia="Arial"/>
          <w:b/>
          <w:color w:val="1F4E78"/>
        </w:rPr>
        <w:t>Three-channel worked illustration (Informative; equations normative in Section 7.4.4).</w:t>
      </w:r>
    </w:p>
    <w:p>
      <w:pPr>
        <w:widowControl/>
      </w:pPr>
      <w:r>
        <w:t>The three channels are non-substitutable: a pass on one channel cannot compensate a violation on another, and an unresolved material field yields NCRC_UNKNOWN rather than zero.</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widowControl/>
              <w:spacing w:before="0" w:after="40"/>
            </w:pPr>
            <w:r>
              <w:rPr>
                <w:rFonts w:ascii="Arial" w:hAnsi="Arial" w:eastAsia="Arial"/>
                <w:b/>
                <w:color w:val="FFFFFF"/>
                <w:sz w:val="18"/>
              </w:rPr>
              <w:t>Right / channel</w:t>
            </w:r>
          </w:p>
        </w:tc>
        <w:tc>
          <w:tcPr>
            <w:shd w:fill="1F4E78" w:val="clear"/>
            <w:tcMar>
              <w:top w:w="80" w:type="dxa"/>
              <w:start w:w="90" w:type="dxa"/>
              <w:bottom w:w="80" w:type="dxa"/>
              <w:end w:w="90" w:type="dxa"/>
            </w:tcMar>
          </w:tcPr>
          <w:p>
            <w:pPr>
              <w:widowControl/>
              <w:spacing w:before="0" w:after="40"/>
            </w:pPr>
            <w:r>
              <w:rPr>
                <w:rFonts w:ascii="Arial" w:hAnsi="Arial" w:eastAsia="Arial"/>
                <w:b/>
                <w:color w:val="FFFFFF"/>
                <w:sz w:val="18"/>
              </w:rPr>
              <w:t>Declared input</w:t>
            </w:r>
          </w:p>
        </w:tc>
        <w:tc>
          <w:tcPr>
            <w:shd w:fill="1F4E78" w:val="clear"/>
            <w:tcMar>
              <w:top w:w="80" w:type="dxa"/>
              <w:start w:w="90" w:type="dxa"/>
              <w:bottom w:w="80" w:type="dxa"/>
              <w:end w:w="90" w:type="dxa"/>
            </w:tcMar>
          </w:tcPr>
          <w:p>
            <w:pPr>
              <w:widowControl/>
              <w:spacing w:before="0" w:after="40"/>
            </w:pPr>
            <w:r>
              <w:rPr>
                <w:rFonts w:ascii="Arial" w:hAnsi="Arial" w:eastAsia="Arial"/>
                <w:b/>
                <w:color w:val="FFFFFF"/>
                <w:sz w:val="18"/>
              </w:rPr>
              <w:t>Computed component</w:t>
            </w:r>
          </w:p>
        </w:tc>
        <w:tc>
          <w:tcPr>
            <w:shd w:fill="1F4E78" w:val="clear"/>
            <w:tcMar>
              <w:top w:w="80" w:type="dxa"/>
              <w:start w:w="90" w:type="dxa"/>
              <w:bottom w:w="80" w:type="dxa"/>
              <w:end w:w="90" w:type="dxa"/>
            </w:tcMar>
          </w:tcPr>
          <w:p>
            <w:pPr>
              <w:widowControl/>
              <w:spacing w:before="0" w:after="40"/>
            </w:pPr>
            <w:r>
              <w:rPr>
                <w:rFonts w:ascii="Arial" w:hAnsi="Arial" w:eastAsia="Arial"/>
                <w:b/>
                <w:color w:val="FFFFFF"/>
                <w:sz w:val="18"/>
              </w:rPr>
              <w:t>Interpretation</w:t>
            </w:r>
          </w:p>
        </w:tc>
      </w:tr>
      <w:tr>
        <w:trPr/>
        <w:tc>
          <w:tcPr>
            <w:tcMar>
              <w:top w:w="80" w:type="dxa"/>
              <w:start w:w="90" w:type="dxa"/>
              <w:bottom w:w="80" w:type="dxa"/>
              <w:end w:w="90" w:type="dxa"/>
            </w:tcMar>
            <w:shd w:fill="F7FBFF" w:val="clear"/>
          </w:tcPr>
          <w:p>
            <w:pPr>
              <w:widowControl/>
              <w:spacing w:before="0" w:after="40"/>
            </w:pPr>
            <w:r>
              <w:rPr>
                <w:rFonts w:ascii="Arial" w:hAnsi="Arial" w:eastAsia="Arial"/>
                <w:sz w:val="18"/>
              </w:rPr>
              <w:t>LIFE floor</w:t>
            </w:r>
          </w:p>
        </w:tc>
        <w:tc>
          <w:tcPr>
            <w:tcMar>
              <w:top w:w="80" w:type="dxa"/>
              <w:start w:w="90" w:type="dxa"/>
              <w:bottom w:w="80" w:type="dxa"/>
              <w:end w:w="90" w:type="dxa"/>
            </w:tcMar>
            <w:shd w:fill="F7FBFF" w:val="clear"/>
          </w:tcPr>
          <w:p>
            <w:pPr>
              <w:widowControl/>
              <w:spacing w:before="0" w:after="40"/>
            </w:pPr>
            <w:r>
              <w:rPr>
                <w:rFonts w:ascii="Arial" w:hAnsi="Arial" w:eastAsia="Arial"/>
                <w:sz w:val="18"/>
              </w:rPr>
              <w:t>I_RF = -0.88; theta_LIFE = -0.90</w:t>
            </w:r>
          </w:p>
        </w:tc>
        <w:tc>
          <w:tcPr>
            <w:tcMar>
              <w:top w:w="80" w:type="dxa"/>
              <w:start w:w="90" w:type="dxa"/>
              <w:bottom w:w="80" w:type="dxa"/>
              <w:end w:w="90" w:type="dxa"/>
            </w:tcMar>
            <w:shd w:fill="F7FBFF" w:val="clear"/>
          </w:tcPr>
          <w:p>
            <w:pPr>
              <w:widowControl/>
              <w:spacing w:before="0" w:after="40"/>
            </w:pPr>
            <w:r>
              <w:rPr>
                <w:rFonts w:ascii="Arial" w:hAnsi="Arial" w:eastAsia="Arial"/>
                <w:sz w:val="18"/>
              </w:rPr>
              <w:t>v_floor = max(-0.90 - (-0.88),0) = 0.00</w:t>
            </w:r>
          </w:p>
        </w:tc>
        <w:tc>
          <w:tcPr>
            <w:tcMar>
              <w:top w:w="80" w:type="dxa"/>
              <w:start w:w="90" w:type="dxa"/>
              <w:bottom w:w="80" w:type="dxa"/>
              <w:end w:w="90" w:type="dxa"/>
            </w:tcMar>
            <w:shd w:fill="F7FBFF" w:val="clear"/>
          </w:tcPr>
          <w:p>
            <w:pPr>
              <w:widowControl/>
              <w:spacing w:before="0" w:after="40"/>
            </w:pPr>
            <w:r>
              <w:rPr>
                <w:rFonts w:ascii="Arial" w:hAnsi="Arial" w:eastAsia="Arial"/>
                <w:sz w:val="18"/>
              </w:rPr>
              <w:t>The floor channel passes.</w:t>
            </w:r>
          </w:p>
        </w:tc>
      </w:tr>
      <w:tr>
        <w:trPr/>
        <w:tc>
          <w:tcPr>
            <w:tcMar>
              <w:top w:w="80" w:type="dxa"/>
              <w:start w:w="90" w:type="dxa"/>
              <w:bottom w:w="80" w:type="dxa"/>
              <w:end w:w="90" w:type="dxa"/>
            </w:tcMar>
            <w:shd w:fill="D9EAF7" w:val="clear"/>
          </w:tcPr>
          <w:p>
            <w:pPr>
              <w:widowControl/>
              <w:spacing w:before="0" w:after="40"/>
            </w:pPr>
            <w:r>
              <w:rPr>
                <w:rFonts w:ascii="Arial" w:hAnsi="Arial" w:eastAsia="Arial"/>
                <w:sz w:val="18"/>
              </w:rPr>
              <w:t>LIFE categorical</w:t>
            </w:r>
          </w:p>
        </w:tc>
        <w:tc>
          <w:tcPr>
            <w:tcMar>
              <w:top w:w="80" w:type="dxa"/>
              <w:start w:w="90" w:type="dxa"/>
              <w:bottom w:w="80" w:type="dxa"/>
              <w:end w:w="90" w:type="dxa"/>
            </w:tcMar>
            <w:shd w:fill="D9EAF7" w:val="clear"/>
          </w:tcPr>
          <w:p>
            <w:pPr>
              <w:widowControl/>
              <w:spacing w:before="0" w:after="40"/>
            </w:pPr>
            <w:r>
              <w:rPr>
                <w:rFonts w:ascii="Arial" w:hAnsi="Arial" w:eastAsia="Arial"/>
                <w:sz w:val="18"/>
              </w:rPr>
              <w:t>No reviewed categorical prohibition instance</w:t>
            </w:r>
          </w:p>
        </w:tc>
        <w:tc>
          <w:tcPr>
            <w:tcMar>
              <w:top w:w="80" w:type="dxa"/>
              <w:start w:w="90" w:type="dxa"/>
              <w:bottom w:w="80" w:type="dxa"/>
              <w:end w:w="90" w:type="dxa"/>
            </w:tcMar>
            <w:shd w:fill="D9EAF7" w:val="clear"/>
          </w:tcPr>
          <w:p>
            <w:pPr>
              <w:widowControl/>
              <w:spacing w:before="0" w:after="40"/>
            </w:pPr>
            <w:r>
              <w:rPr>
                <w:rFonts w:ascii="Arial" w:hAnsi="Arial" w:eastAsia="Arial"/>
                <w:sz w:val="18"/>
              </w:rPr>
              <w:t>v_cat = 0.00</w:t>
            </w:r>
          </w:p>
        </w:tc>
        <w:tc>
          <w:tcPr>
            <w:tcMar>
              <w:top w:w="80" w:type="dxa"/>
              <w:start w:w="90" w:type="dxa"/>
              <w:bottom w:w="80" w:type="dxa"/>
              <w:end w:w="90" w:type="dxa"/>
            </w:tcMar>
            <w:shd w:fill="D9EAF7" w:val="clear"/>
          </w:tcPr>
          <w:p>
            <w:pPr>
              <w:widowControl/>
              <w:spacing w:before="0" w:after="40"/>
            </w:pPr>
            <w:r>
              <w:rPr>
                <w:rFonts w:ascii="Arial" w:hAnsi="Arial" w:eastAsia="Arial"/>
                <w:sz w:val="18"/>
              </w:rPr>
              <w:t>Zero follows only after the required reviewed-empty-set check.</w:t>
            </w:r>
          </w:p>
        </w:tc>
      </w:tr>
      <w:tr>
        <w:trPr/>
        <w:tc>
          <w:tcPr>
            <w:tcMar>
              <w:top w:w="80" w:type="dxa"/>
              <w:start w:w="90" w:type="dxa"/>
              <w:bottom w:w="80" w:type="dxa"/>
              <w:end w:w="90" w:type="dxa"/>
            </w:tcMar>
            <w:shd w:fill="F7FBFF" w:val="clear"/>
          </w:tcPr>
          <w:p>
            <w:pPr>
              <w:widowControl/>
              <w:spacing w:before="0" w:after="40"/>
            </w:pPr>
            <w:r>
              <w:rPr>
                <w:rFonts w:ascii="Arial" w:hAnsi="Arial" w:eastAsia="Arial"/>
                <w:sz w:val="18"/>
              </w:rPr>
              <w:t>LIFE severe-risk</w:t>
            </w:r>
          </w:p>
        </w:tc>
        <w:tc>
          <w:tcPr>
            <w:tcMar>
              <w:top w:w="80" w:type="dxa"/>
              <w:start w:w="90" w:type="dxa"/>
              <w:bottom w:w="80" w:type="dxa"/>
              <w:end w:w="90" w:type="dxa"/>
            </w:tcMar>
            <w:shd w:fill="F7FBFF" w:val="clear"/>
          </w:tcPr>
          <w:p>
            <w:pPr>
              <w:widowControl/>
              <w:spacing w:before="0" w:after="40"/>
            </w:pPr>
            <w:r>
              <w:rPr>
                <w:rFonts w:ascii="Arial" w:hAnsi="Arial" w:eastAsia="Arial"/>
                <w:sz w:val="18"/>
              </w:rPr>
              <w:t>p^U = 0.03; rho_LIFE = 0.01; severe hazard active</w:t>
            </w:r>
          </w:p>
        </w:tc>
        <w:tc>
          <w:tcPr>
            <w:tcMar>
              <w:top w:w="80" w:type="dxa"/>
              <w:start w:w="90" w:type="dxa"/>
              <w:bottom w:w="80" w:type="dxa"/>
              <w:end w:w="90" w:type="dxa"/>
            </w:tcMar>
            <w:shd w:fill="F7FBFF" w:val="clear"/>
          </w:tcPr>
          <w:p>
            <w:pPr>
              <w:widowControl/>
              <w:spacing w:before="0" w:after="40"/>
            </w:pPr>
            <w:r>
              <w:rPr>
                <w:rFonts w:ascii="Arial" w:hAnsi="Arial" w:eastAsia="Arial"/>
                <w:sz w:val="18"/>
              </w:rPr>
              <w:t>v_risk = 0.02</w:t>
            </w:r>
          </w:p>
        </w:tc>
        <w:tc>
          <w:tcPr>
            <w:tcMar>
              <w:top w:w="80" w:type="dxa"/>
              <w:start w:w="90" w:type="dxa"/>
              <w:bottom w:w="80" w:type="dxa"/>
              <w:end w:w="90" w:type="dxa"/>
            </w:tcMar>
            <w:shd w:fill="F7FBFF" w:val="clear"/>
          </w:tcPr>
          <w:p>
            <w:pPr>
              <w:widowControl/>
              <w:spacing w:before="0" w:after="40"/>
            </w:pPr>
            <w:r>
              <w:rPr>
                <w:rFonts w:ascii="Arial" w:hAnsi="Arial" w:eastAsia="Arial"/>
                <w:sz w:val="18"/>
              </w:rPr>
              <w:t>NCRC fails despite the floor-channel pass.</w:t>
            </w:r>
          </w:p>
        </w:tc>
      </w:tr>
      <w:tr>
        <w:trPr/>
        <w:tc>
          <w:tcPr>
            <w:tcMar>
              <w:top w:w="80" w:type="dxa"/>
              <w:start w:w="90" w:type="dxa"/>
              <w:bottom w:w="80" w:type="dxa"/>
              <w:end w:w="90" w:type="dxa"/>
            </w:tcMar>
            <w:shd w:fill="D9EAF7" w:val="clear"/>
            <w:tcBorders>
              <w:bottom w:val="single" w:sz="8" w:space="0" w:color="1F4E78"/>
            </w:tcBorders>
          </w:tcPr>
          <w:p>
            <w:pPr>
              <w:widowControl/>
              <w:spacing w:before="0" w:after="40"/>
            </w:pPr>
            <w:r>
              <w:rPr>
                <w:rFonts w:ascii="Arial" w:hAnsi="Arial" w:eastAsia="Arial"/>
                <w:sz w:val="18"/>
              </w:rPr>
              <w:t>DIGN floor</w:t>
            </w:r>
          </w:p>
        </w:tc>
        <w:tc>
          <w:tcPr>
            <w:tcMar>
              <w:top w:w="80" w:type="dxa"/>
              <w:start w:w="90" w:type="dxa"/>
              <w:bottom w:w="80" w:type="dxa"/>
              <w:end w:w="90" w:type="dxa"/>
            </w:tcMar>
            <w:shd w:fill="D9EAF7" w:val="clear"/>
            <w:tcBorders>
              <w:bottom w:val="single" w:sz="8" w:space="0" w:color="1F4E78"/>
            </w:tcBorders>
          </w:tcPr>
          <w:p>
            <w:pPr>
              <w:widowControl/>
              <w:spacing w:before="0" w:after="40"/>
            </w:pPr>
            <w:r>
              <w:rPr>
                <w:rFonts w:ascii="Arial" w:hAnsi="Arial" w:eastAsia="Arial"/>
                <w:sz w:val="18"/>
              </w:rPr>
              <w:t>I_RF = -0.70; theta_DIGN = -0.55</w:t>
            </w:r>
          </w:p>
        </w:tc>
        <w:tc>
          <w:tcPr>
            <w:tcMar>
              <w:top w:w="80" w:type="dxa"/>
              <w:start w:w="90" w:type="dxa"/>
              <w:bottom w:w="80" w:type="dxa"/>
              <w:end w:w="90" w:type="dxa"/>
            </w:tcMar>
            <w:shd w:fill="D9EAF7" w:val="clear"/>
            <w:tcBorders>
              <w:bottom w:val="single" w:sz="8" w:space="0" w:color="1F4E78"/>
            </w:tcBorders>
          </w:tcPr>
          <w:p>
            <w:pPr>
              <w:widowControl/>
              <w:spacing w:before="0" w:after="40"/>
            </w:pPr>
            <w:r>
              <w:rPr>
                <w:rFonts w:ascii="Arial" w:hAnsi="Arial" w:eastAsia="Arial"/>
                <w:sz w:val="18"/>
              </w:rPr>
              <w:t>v_floor = 0.15</w:t>
            </w:r>
          </w:p>
        </w:tc>
        <w:tc>
          <w:tcPr>
            <w:tcMar>
              <w:top w:w="80" w:type="dxa"/>
              <w:start w:w="90" w:type="dxa"/>
              <w:bottom w:w="80" w:type="dxa"/>
              <w:end w:w="90" w:type="dxa"/>
            </w:tcMar>
            <w:shd w:fill="D9EAF7" w:val="clear"/>
            <w:tcBorders>
              <w:bottom w:val="single" w:sz="8" w:space="0" w:color="1F4E78"/>
            </w:tcBorders>
          </w:tcPr>
          <w:p>
            <w:pPr>
              <w:widowControl/>
              <w:spacing w:before="0" w:after="40"/>
            </w:pPr>
            <w:r>
              <w:rPr>
                <w:rFonts w:ascii="Arial" w:hAnsi="Arial" w:eastAsia="Arial"/>
                <w:sz w:val="18"/>
              </w:rPr>
              <w:t>A direct floor breach independently fails NCRC.</w:t>
            </w:r>
          </w:p>
        </w:tc>
      </w:tr>
    </w:tbl>
    <w:p>
      <w:pPr>
        <w:pStyle w:val="BodyText"/>
        <w:widowControl/>
      </w:pPr>
      <w:r>
        <w:t xml:space="preserve">NCRC(a) = TRUE if and only if, for every right r:</w:t>
      </w:r>
    </w:p>
    <w:p>
      <w:pPr>
        <w:pStyle w:val="Compact"/>
        <w:widowControl/>
        <w:numPr>
          <w:ilvl w:val="0"/>
          <w:numId w:val="1050"/>
        </w:numPr>
      </w:pPr>
      <w:r>
        <w:t xml:space="preserve">v_r^floor(a) = 0;</w:t>
      </w:r>
    </w:p>
    <w:p>
      <w:pPr>
        <w:pStyle w:val="Compact"/>
        <w:widowControl/>
        <w:numPr>
          <w:ilvl w:val="0"/>
          <w:numId w:val="1050"/>
        </w:numPr>
      </w:pPr>
      <w:r>
        <w:t xml:space="preserve">v_r^cat(a) = 0;</w:t>
      </w:r>
    </w:p>
    <w:p>
      <w:pPr>
        <w:pStyle w:val="Compact"/>
        <w:widowControl/>
        <w:numPr>
          <w:ilvl w:val="0"/>
          <w:numId w:val="1050"/>
        </w:numPr>
      </w:pPr>
      <w:r>
        <w:t xml:space="preserve">v_r^risk(a) = 0; and</w:t>
      </w:r>
    </w:p>
    <w:p>
      <w:pPr>
        <w:pStyle w:val="Compact"/>
        <w:widowControl/>
        <w:numPr>
          <w:ilvl w:val="0"/>
          <w:numId w:val="1050"/>
        </w:numPr>
      </w:pPr>
      <w:r>
        <w:t xml:space="preserve">no material rights evidence field is unresolved.</w:t>
      </w:r>
    </w:p>
    <w:p>
      <w:pPr>
        <w:pStyle w:val="FirstParagraph"/>
        <w:widowControl/>
      </w:pPr>
      <w:r>
        <w:t xml:space="preserve">The NCRC-passing set is:</w:t>
      </w:r>
    </w:p>
    <w:p>
      <w:pPr>
        <w:pStyle w:val="BodyText"/>
        <w:widowControl/>
      </w:pPr>
      <w:r>
        <w:t xml:space="preserve">A_NCRC = {a in O : NCRC(a) = TRUE}</w:t>
      </w:r>
    </w:p>
    <w:p>
      <w:pPr>
        <w:pStyle w:val="BodyText"/>
        <w:widowControl/>
      </w:pPr>
      <w:r>
        <w:t xml:space="preserve">Interpretation: a short-duration or low-confidence rights violation cannot pass merely because welfare-style temporal or confidence multipliers are small. Rights-floor impact, categorical prohibition, and severe-hazard exposure are tested separately and non-compensatorily.</w:t>
      </w:r>
    </w:p>
    <w:bookmarkEnd w:id="129"/>
    <w:bookmarkEnd w:id="130"/>
    <w:bookmarkStart w:id="135" w:name="X2943439575d8569646383bedb1fb5005db93244"/>
    <w:p>
      <w:pPr>
        <w:pStyle w:val="BodyText"/>
        <w:widowControl/>
      </w:pPr>
      <w:r>
        <w:t>Rights-conflict precondition (Normative). Before Rights Emergency Mode is invoked, the run MUST attempt and document feasible alternative generation, redesign, scope narrowing, sequencing, delay, mitigation, or other means of producing at least one RF/NCRC-passing option. An unresolved rights conflict remains a structured rights-vector problem; it MUST NOT be converted into an ordinary welfare trade-off. Only when no rights-passing option remains may Section 7.5 be used, subject to necessity, least-rights-infringing means, time limitation, independent challenge, remedy, and return-to-normal requirements.</w:t>
      </w:r>
    </w:p>
    <w:p>
      <w:pPr>
        <w:pStyle w:val="Heading2"/>
        <w:keepNext/>
        <w:keepLines/>
        <w:pageBreakBefore w:val="0"/>
        <w:widowControl/>
      </w:pPr>
      <w:r>
        <w:rPr>
          <w:rFonts w:ascii="Arial" w:hAnsi="Arial" w:eastAsia="Arial"/>
          <w:b/>
          <w:color w:val="1F4E78"/>
        </w:rPr>
        <w:t xml:space="preserve">7.5 Emergency Mode (Rights-Failure Handling) (Normative)</w:t>
      </w:r>
    </w:p>
    <w:p>
      <w:pPr>
        <w:pStyle w:val="FirstParagraph"/>
        <w:widowControl/>
      </w:pPr>
      <w:r>
        <w:t xml:space="preserve">If A_NCRC = ∅ (no option passes rights), RippleLogic enters Emergency Mode. Emergency Mode is not a loophole; it is a controlled failure protocol.</w:t>
      </w:r>
    </w:p>
    <w:bookmarkStart w:id="131" w:name="X8a4c8ec4f8902ac34e1143b9cdb409025bd61be"/>
    <w:p>
      <w:pPr>
        <w:pStyle w:val="Heading3"/>
        <w:keepNext/>
        <w:keepLines/>
        <w:pageBreakBefore w:val="0"/>
        <w:widowControl/>
      </w:pPr>
      <w:r>
        <w:rPr>
          <w:rFonts w:ascii="Arial" w:hAnsi="Arial" w:eastAsia="Arial"/>
          <w:b/>
          <w:color w:val="1F4E78"/>
        </w:rPr>
        <w:t xml:space="preserve">7.5.1 Emergency Mode rights priority order (Normative)</w:t>
      </w:r>
    </w:p>
    <w:p>
      <w:pPr>
        <w:pStyle w:val="FirstParagraph"/>
        <w:widowControl/>
      </w:pPr>
      <w:r>
        <w:t xml:space="preserve">Rights are ordered lexicographically by the canonical emergency priority:</w:t>
      </w:r>
    </w:p>
    <w:p>
      <w:pPr>
        <w:pStyle w:val="BodyText"/>
        <w:widowControl/>
      </w:pPr>
      <w:r>
        <w:t xml:space="preserve">[LIFE, BODY, ECOL, LBTY, NEED, DIGN, PROC, INFO]</w:t>
      </w:r>
    </w:p>
    <w:p>
      <w:pPr>
        <w:pStyle w:val="BodyText"/>
        <w:widowControl/>
      </w:pPr>
      <w:r>
        <w:t>This ordering MUST be used exactly for the canonical emergency result. It is a provisional governance default for constrained emergency comparison, not a discovered universal moral ranking. It prioritizes immediate survival and bodily integrity, then ecological conditions capable of undermining life-support systems, while retaining liberty, need, dignity, procedure, and information as independently non-compensatory rights outside Emergency Mode. Every Tier 3 or high-stakes emergency run MUST also test at least one defensible alternative ordering that moves PROC and INFO earlier when procedural or epistemic failure could causally enable LIFE, BODY, LBTY, or NEED harms. If the selected option changes under a defensible alternative order, RippleLogic MUST report EMERGENCY_RIGHTS_ORDER_SENSITIVE, refuse to portray the result as uniquely entailed by the framework, and route the decision to lawful accountable authority with independent challenge and the complete rights vector disclosed.</w:t>
      </w:r>
    </w:p>
    <w:bookmarkEnd w:id="131"/>
    <w:bookmarkStart w:id="132" w:name="X79d04667074de093d35186af21846841a688934"/>
    <w:p>
      <w:pPr>
        <w:pStyle w:val="Heading3"/>
        <w:keepNext/>
        <w:keepLines/>
        <w:pageBreakBefore w:val="0"/>
        <w:widowControl/>
      </w:pPr>
      <w:r>
        <w:rPr>
          <w:rFonts w:ascii="Arial" w:hAnsi="Arial" w:eastAsia="Arial"/>
          <w:b/>
          <w:color w:val="1F4E78"/>
        </w:rPr>
        <w:t xml:space="preserve">7.5.2 Emergency Mode selection rule (Normative)</w:t>
      </w:r>
    </w:p>
    <w:p>
      <w:pPr>
        <w:pStyle w:val="FirstParagraph"/>
        <w:widowControl/>
      </w:pPr>
      <w:r>
        <w:t xml:space="preserve">Construct a compound violation tuple for each right r:</w:t>
      </w:r>
    </w:p>
    <w:p>
      <w:pPr>
        <w:pStyle w:val="BodyText"/>
        <w:widowControl/>
      </w:pPr>
      <w:r>
        <w:t xml:space="preserve">q_r(a) = (v_r^cat(a), v_r^risk(a), v_r^floor(a))</w:t>
      </w:r>
    </w:p>
    <w:p>
      <w:pPr>
        <w:pStyle w:val="BodyText"/>
        <w:widowControl/>
      </w:pPr>
      <w:r>
        <w:t xml:space="preserve">and the option vector:</w:t>
      </w:r>
    </w:p>
    <w:p>
      <w:pPr>
        <w:pStyle w:val="BodyText"/>
        <w:widowControl/>
      </w:pPr>
      <w:r>
        <w:t xml:space="preserve">q(a) = (q_LIFE(a), q_BODY(a), q_ECOL(a), q_LBTY(a), q_NEED(a), q_DIGN(a), q_PROC(a), q_INFO(a))</w:t>
      </w:r>
    </w:p>
    <w:p>
      <w:pPr>
        <w:pStyle w:val="BodyText"/>
        <w:widowControl/>
      </w:pPr>
      <w:r>
        <w:t xml:space="preserve">Select the option that lexicographically minimizes q(a), so categorical prohibition is considered before severe-hazard excess and floor depth within each right. If tied:</w:t>
      </w:r>
    </w:p>
    <w:p>
      <w:pPr>
        <w:pStyle w:val="Compact"/>
        <w:widowControl/>
        <w:numPr>
          <w:ilvl w:val="0"/>
          <w:numId w:val="1051"/>
        </w:numPr>
      </w:pPr>
      <w:r>
        <w:t xml:space="preserve">Minimize TRC CVaR (if TRC scenarios exist or are rapidly constructed), then</w:t>
      </w:r>
    </w:p>
    <w:p>
      <w:pPr>
        <w:pStyle w:val="Compact"/>
        <w:widowControl/>
        <w:numPr>
          <w:ilvl w:val="0"/>
          <w:numId w:val="1052"/>
        </w:numPr>
      </w:pPr>
      <w:r>
        <w:t xml:space="preserve">If at least one tied emergency candidate passes TRC, compare residual welfare only among those tied TRC-passing candidates. If every tied candidate also fails TRC, apply Section 8.8 Tail Emergency Mode and do not use ordinary RLS ranking.</w:t>
      </w:r>
    </w:p>
    <w:bookmarkEnd w:id="132"/>
    <w:bookmarkStart w:id="133" w:name="X3a2d25d13b5de8ec45d6a5be81ce5762b4271d2"/>
    <w:p>
      <w:pPr>
        <w:pStyle w:val="Heading3"/>
        <w:keepNext/>
        <w:keepLines/>
        <w:pageBreakBefore w:val="0"/>
        <w:widowControl/>
      </w:pPr>
      <w:r>
        <w:rPr>
          <w:rFonts w:ascii="Arial" w:hAnsi="Arial" w:eastAsia="Arial"/>
          <w:b/>
          <w:color w:val="1F4E78"/>
        </w:rPr>
        <w:t xml:space="preserve">7.5.3 Independent Challenger Requirement (Normative)</w:t>
      </w:r>
    </w:p>
    <w:p>
      <w:pPr>
        <w:pStyle w:val="FirstParagraph"/>
        <w:widowControl/>
      </w:pPr>
      <w:r>
        <w:t xml:space="preserve">Before Emergency Mode can be invoked, an independent challenger MUST propose at least one alternative option.</w:t>
      </w:r>
    </w:p>
    <w:p>
      <w:pPr>
        <w:pStyle w:val="BodyText"/>
        <w:widowControl/>
      </w:pPr>
      <w:r>
        <w:t xml:space="preserve">Independence requirements (MUST):</w:t>
      </w:r>
    </w:p>
    <w:p>
      <w:pPr>
        <w:pStyle w:val="Compact"/>
        <w:widowControl/>
        <w:numPr>
          <w:ilvl w:val="0"/>
          <w:numId w:val="1053"/>
        </w:numPr>
      </w:pPr>
      <w:r>
        <w:t xml:space="preserve">No reporting relationship to decision owner</w:t>
      </w:r>
    </w:p>
    <w:p>
      <w:pPr>
        <w:pStyle w:val="Compact"/>
        <w:widowControl/>
        <w:numPr>
          <w:ilvl w:val="0"/>
          <w:numId w:val="1054"/>
        </w:numPr>
      </w:pPr>
      <w:r>
        <w:t xml:space="preserve">No material interest in decision outcome</w:t>
      </w:r>
    </w:p>
    <w:p>
      <w:pPr>
        <w:pStyle w:val="Compact"/>
        <w:widowControl/>
        <w:numPr>
          <w:ilvl w:val="0"/>
          <w:numId w:val="1055"/>
        </w:numPr>
      </w:pPr>
      <w:r>
        <w:t xml:space="preserve">Access to the same information set</w:t>
      </w:r>
    </w:p>
    <w:p>
      <w:pPr>
        <w:pStyle w:val="FirstParagraph"/>
        <w:widowControl/>
      </w:pPr>
      <w:r>
        <w:t xml:space="preserve">Minimum challenger effort:</w:t>
      </w:r>
    </w:p>
    <w:p>
      <w:pPr>
        <w:pStyle w:val="Compact"/>
        <w:widowControl/>
        <w:numPr>
          <w:ilvl w:val="0"/>
          <w:numId w:val="1056"/>
        </w:numPr>
      </w:pPr>
      <w:r>
        <w:t xml:space="preserve">Tier 2: ≥30 minutes active option generation</w:t>
      </w:r>
    </w:p>
    <w:p>
      <w:pPr>
        <w:pStyle w:val="Compact"/>
        <w:widowControl/>
        <w:numPr>
          <w:ilvl w:val="0"/>
          <w:numId w:val="1057"/>
        </w:numPr>
      </w:pPr>
      <w:r>
        <w:t xml:space="preserve">Tier 3: ≥2 hours active option generation</w:t>
      </w:r>
    </w:p>
    <w:p>
      <w:pPr>
        <w:pStyle w:val="FirstParagraph"/>
        <w:widowControl/>
      </w:pPr>
      <w:r>
        <w:t xml:space="preserve">If time pressure prevents this, PCC MUST record CHALLENGE_DEFERRED_EMERGENCY and a retrospective challenge review MUST occur within 24 hours (or earliest feasible time) with an addendum PCC.</w:t>
      </w:r>
    </w:p>
    <w:bookmarkEnd w:id="133"/>
    <w:bookmarkStart w:id="134" w:name="X9fcf31bbe3a4e6ec9c73631f6d69ca7db9df5cf"/>
    <w:p>
      <w:pPr>
        <w:pStyle w:val="Heading3"/>
        <w:keepNext/>
        <w:keepLines/>
        <w:pageBreakBefore w:val="0"/>
        <w:widowControl/>
      </w:pPr>
      <w:r>
        <w:rPr>
          <w:rFonts w:ascii="Arial" w:hAnsi="Arial" w:eastAsia="Arial"/>
          <w:b/>
          <w:color w:val="1F4E78"/>
        </w:rPr>
        <w:t xml:space="preserve">7.5.4 Emergency documentation requirements (Normative)</w:t>
      </w:r>
    </w:p>
    <w:p>
      <w:pPr>
        <w:pStyle w:val="FirstParagraph"/>
        <w:widowControl/>
      </w:pPr>
      <w:r>
        <w:t xml:space="preserve">PCC MUST include:</w:t>
      </w:r>
    </w:p>
    <w:p>
      <w:pPr>
        <w:pStyle w:val="Compact"/>
        <w:widowControl/>
        <w:numPr>
          <w:ilvl w:val="0"/>
          <w:numId w:val="1058"/>
        </w:numPr>
      </w:pPr>
      <w:r>
        <w:t xml:space="preserve">Emergency declaration and trigger conditions</w:t>
      </w:r>
    </w:p>
    <w:p>
      <w:pPr>
        <w:pStyle w:val="Compact"/>
        <w:widowControl/>
        <w:numPr>
          <w:ilvl w:val="0"/>
          <w:numId w:val="1059"/>
        </w:numPr>
      </w:pPr>
      <w:r>
        <w:t xml:space="preserve">v_r(a) for each option</w:t>
      </w:r>
    </w:p>
    <w:p>
      <w:pPr>
        <w:pStyle w:val="Compact"/>
        <w:widowControl/>
        <w:numPr>
          <w:ilvl w:val="0"/>
          <w:numId w:val="1060"/>
        </w:numPr>
      </w:pPr>
      <w:r>
        <w:t xml:space="preserve">Lexicographic comparison trace</w:t>
      </w:r>
    </w:p>
    <w:p>
      <w:pPr>
        <w:pStyle w:val="Compact"/>
        <w:widowControl/>
        <w:numPr>
          <w:ilvl w:val="0"/>
          <w:numId w:val="1061"/>
        </w:numPr>
      </w:pPr>
      <w:r>
        <w:t xml:space="preserve">Mitigation/remediation plan</w:t>
      </w:r>
    </w:p>
    <w:p>
      <w:pPr>
        <w:pStyle w:val="Compact"/>
        <w:widowControl/>
        <w:numPr>
          <w:ilvl w:val="0"/>
          <w:numId w:val="1062"/>
        </w:numPr>
      </w:pPr>
      <w:r>
        <w:t xml:space="preserve">Review cadence and return-to-normal triggers</w:t>
      </w:r>
    </w:p>
    <w:bookmarkEnd w:id="134"/>
    <w:bookmarkEnd w:id="135"/>
    <w:bookmarkStart w:id="136" w:name="X8704c7918a079e8312e1fd8a8aa3536e1596b87"/>
    <w:p>
      <w:pPr>
        <w:pStyle w:val="Heading2"/>
        <w:keepNext/>
        <w:keepLines/>
        <w:pageBreakBefore w:val="0"/>
        <w:widowControl/>
      </w:pPr>
      <w:r>
        <w:rPr>
          <w:rFonts w:ascii="Arial" w:hAnsi="Arial" w:eastAsia="Arial"/>
          <w:b/>
          <w:color w:val="1F4E78"/>
        </w:rPr>
        <w:t xml:space="preserve">7.6 Anti-Gaming Rules Specific to NCRC (Normative)</w:t>
      </w:r>
    </w:p>
    <w:p>
      <w:pPr>
        <w:pStyle w:val="Compact"/>
        <w:widowControl/>
        <w:numPr>
          <w:ilvl w:val="0"/>
          <w:numId w:val="1063"/>
        </w:numPr>
      </w:pPr>
      <w:r>
        <w:t xml:space="preserve">Rights-covered cells MUST NOT be masked out of RLS aggregation if they are non-maskable by policy (Appendix H audit flags).</w:t>
      </w:r>
    </w:p>
    <w:p>
      <w:pPr>
        <w:pStyle w:val="Compact"/>
        <w:widowControl/>
        <w:numPr>
          <w:ilvl w:val="0"/>
          <w:numId w:val="1064"/>
        </w:numPr>
      </w:pPr>
      <w:r>
        <w:t xml:space="preserve">Rights checks MUST use worst-off subgroup semantics and must not be evaluated on averages.</w:t>
      </w:r>
    </w:p>
    <w:p>
      <w:pPr>
        <w:pStyle w:val="Compact"/>
        <w:widowControl/>
        <w:numPr>
          <w:ilvl w:val="0"/>
          <w:numId w:val="1065"/>
        </w:numPr>
      </w:pPr>
      <w:r>
        <w:t xml:space="preserve">“Unknown” data MUST NOT be treated as neutral; missing data triggers ignorance penalties (Section 5.7).</w:t>
      </w:r>
    </w:p>
    <w:p>
      <w:pPr>
        <w:pStyle w:val="Compact"/>
        <w:widowControl/>
        <w:numPr>
          <w:ilvl w:val="0"/>
          <w:numId w:val="1066"/>
        </w:numPr>
      </w:pPr>
      <w:r>
        <w:t xml:space="preserve">Emergency Mode MUST NOT be used without challenger protocol and remediation plan.</w:t>
      </w:r>
    </w:p>
    <w:bookmarkEnd w:id="136"/>
    <w:bookmarkEnd w:id="137"/>
    <w:bookmarkStart w:id="153" w:name="X1c1ef2bcfd94fb93dbb2f42d9d5882e949b77ee"/>
    <w:p>
      <w:pPr>
        <w:pStyle w:val="Heading1"/>
        <w:keepNext/>
        <w:keepLines/>
        <w:pageBreakBefore w:val="0"/>
        <w:widowControl/>
      </w:pPr>
      <w:r>
        <w:rPr>
          <w:rFonts w:ascii="Arial" w:hAnsi="Arial" w:eastAsia="Arial"/>
          <w:b/>
          <w:color w:val="1F4E78"/>
        </w:rPr>
        <w:t xml:space="preserve">SECTION 8: CATASTROPHIC RISK LAYER: TAIL-RISK CONSTRAINT (TRC)</w:t>
      </w:r>
    </w:p>
    <w:bookmarkStart w:id="138" w:name="X6a88aecbee246d514a3fda0e56212041ec5bf44"/>
    <w:p>
      <w:pPr>
        <w:pStyle w:val="Heading2"/>
        <w:keepNext/>
        <w:keepLines/>
        <w:pageBreakBefore w:val="0"/>
        <w:widowControl/>
      </w:pPr>
      <w:r>
        <w:rPr>
          <w:rFonts w:ascii="Arial" w:hAnsi="Arial" w:eastAsia="Arial"/>
          <w:b/>
          <w:color w:val="1F4E78"/>
        </w:rPr>
        <w:t xml:space="preserve">8.0 Purpose and UBE Rationale (Normative)</w:t>
      </w:r>
    </w:p>
    <w:p>
      <w:pPr>
        <w:pStyle w:val="FirstParagraph"/>
        <w:widowControl/>
      </w:pPr>
      <w:r>
        <w:t xml:space="preserve">Even when rights floors are respected in expectation, a decision can carry non-trivial probability of catastrophic harm to Humanity / Global Coordination or the Biosphere. Under UBE, catastrophe avoidance is lexicographically prior to welfare optimization because catastrophic outcomes can eliminate future choice across unions and collapse enabling conditions.</w:t>
      </w:r>
    </w:p>
    <w:p>
      <w:pPr>
        <w:pStyle w:val="BodyText"/>
        <w:widowControl/>
      </w:pPr>
      <w:r>
        <w:t xml:space="preserve">TRC therefore bounds catastrophic exposure using CVaR, a coherent tail-risk measure (Artzner et al., 1999; Rockafellar &amp; Uryasev, 2000). This posture is motivated by ruin dynamics under deep uncertainty (Taleb, 2012) and by Earth-system research indicating that destabilization of life-support conditions can occur through tipping cascades and boundary transgression corridors with multi-scale downstream harms (Rockström et al., 2009, 2023; Steffen et al., 2015; IPCC, 2023).</w:t>
      </w:r>
    </w:p>
    <w:p>
      <w:pPr>
        <w:pStyle w:val="BodyText"/>
        <w:widowControl/>
      </w:pPr>
      <w:r>
        <w:t xml:space="preserve">Modeled-safety interpretation (Normative clarification). Passing TRC demonstrates compliance with the declared scenario library, probability policy, catastrophe-cell construction, and corridor threshold for the run. It does not prove empirical invulnerability outside the modeled scenario set. Implementations MUST NOT present TRC passage as a guarantee that no catastrophic pathway exists; it is a governance-grade bound within the declared scenario model.</w:t>
      </w:r>
    </w:p>
    <w:bookmarkEnd w:id="138"/>
    <w:bookmarkStart w:id="140" w:name="Xb05991c647e7c26376f4d13cc09ef921093f440"/>
    <w:p>
      <w:pPr>
        <w:pStyle w:val="Heading2"/>
        <w:keepNext/>
        <w:keepLines/>
        <w:pageBreakBefore w:val="0"/>
        <w:widowControl/>
      </w:pPr>
      <w:r>
        <w:rPr>
          <w:rFonts w:ascii="Arial" w:hAnsi="Arial" w:eastAsia="Arial"/>
          <w:b/>
          <w:color w:val="1F4E78"/>
        </w:rPr>
        <w:t xml:space="preserve">8.1 Tier Requirements for TRC (Normative; strict posture)</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Tier</w:t>
            </w:r>
          </w:p>
        </w:tc>
        <w:tc>
          <w:tcPr>
            <w:shd w:fill="1F4E78" w:val="clear"/>
            <w:tcMar>
              <w:top w:w="80" w:type="dxa"/>
              <w:start w:w="90" w:type="dxa"/>
              <w:bottom w:w="80" w:type="dxa"/>
              <w:end w:w="90" w:type="dxa"/>
            </w:tcMar>
          </w:tcPr>
          <w:p>
            <w:pPr>
              <w:pStyle w:val="Compact"/>
              <w:jc w:val="left"/>
            </w:pPr>
            <w:r>
              <w:rPr>
                <w:b/>
                <w:bCs/>
                <w:color w:val="FFFFFF"/>
              </w:rPr>
              <w:t xml:space="preserve">TRC Required?</w:t>
            </w:r>
          </w:p>
        </w:tc>
        <w:tc>
          <w:tcPr>
            <w:shd w:fill="1F4E78" w:val="clear"/>
            <w:tcMar>
              <w:top w:w="80" w:type="dxa"/>
              <w:start w:w="90" w:type="dxa"/>
              <w:bottom w:w="80" w:type="dxa"/>
              <w:end w:w="90" w:type="dxa"/>
            </w:tcMar>
          </w:tcPr>
          <w:p>
            <w:pPr>
              <w:pStyle w:val="Compact"/>
              <w:jc w:val="left"/>
            </w:pPr>
            <w:r>
              <w:rPr>
                <w:b/>
                <w:bCs/>
                <w:color w:val="FFFFFF"/>
              </w:rPr>
              <w:t xml:space="preserve">Minimum</w:t>
            </w:r>
          </w:p>
        </w:tc>
      </w:tr>
      <w:tr>
        <w:trPr/>
        <w:tc>
          <w:tcPr>
            <w:tcMar>
              <w:top w:w="80" w:type="dxa"/>
              <w:start w:w="90" w:type="dxa"/>
              <w:bottom w:w="80" w:type="dxa"/>
              <w:end w:w="90" w:type="dxa"/>
            </w:tcMar>
            <w:shd w:fill="F7FBFF" w:val="clear"/>
          </w:tcPr>
          <w:p>
            <w:pPr>
              <w:pStyle w:val="Compact"/>
              <w:jc w:val="left"/>
            </w:pPr>
            <w:r>
              <w:t xml:space="preserve">Tier 1</w:t>
            </w:r>
          </w:p>
        </w:tc>
        <w:tc>
          <w:tcPr>
            <w:tcMar>
              <w:top w:w="80" w:type="dxa"/>
              <w:start w:w="90" w:type="dxa"/>
              <w:bottom w:w="80" w:type="dxa"/>
              <w:end w:w="90" w:type="dxa"/>
            </w:tcMar>
            <w:shd w:fill="F7FBFF" w:val="clear"/>
          </w:tcPr>
          <w:p>
            <w:pPr>
              <w:pStyle w:val="Compact"/>
              <w:jc w:val="left"/>
            </w:pPr>
            <w:r>
              <w:t xml:space="preserve">Optional (qualitative tail screen when plausible)</w:t>
            </w:r>
          </w:p>
        </w:tc>
        <w:tc>
          <w:tcPr>
            <w:tcMar>
              <w:top w:w="80" w:type="dxa"/>
              <w:start w:w="90" w:type="dxa"/>
              <w:bottom w:w="80" w:type="dxa"/>
              <w:end w:w="90" w:type="dxa"/>
            </w:tcMar>
            <w:shd w:fill="F7FBFF" w:val="clear"/>
          </w:tcPr>
          <w:p>
            <w:pPr>
              <w:pStyle w:val="Compact"/>
              <w:jc w:val="left"/>
            </w:pPr>
            <w:r>
              <w:t xml:space="preserve">N/A</w:t>
            </w:r>
          </w:p>
        </w:tc>
      </w:tr>
      <w:tr>
        <w:trPr/>
        <w:tc>
          <w:tcPr>
            <w:tcMar>
              <w:top w:w="80" w:type="dxa"/>
              <w:start w:w="90" w:type="dxa"/>
              <w:bottom w:w="80" w:type="dxa"/>
              <w:end w:w="90" w:type="dxa"/>
            </w:tcMar>
            <w:shd w:fill="D9EAF7" w:val="clear"/>
          </w:tcPr>
          <w:p>
            <w:pPr>
              <w:pStyle w:val="Compact"/>
              <w:jc w:val="left"/>
            </w:pPr>
            <w:r>
              <w:t xml:space="preserve">Tier 2</w:t>
            </w:r>
          </w:p>
        </w:tc>
        <w:tc>
          <w:tcPr>
            <w:tcMar>
              <w:top w:w="80" w:type="dxa"/>
              <w:start w:w="90" w:type="dxa"/>
              <w:bottom w:w="80" w:type="dxa"/>
              <w:end w:w="90" w:type="dxa"/>
            </w:tcMar>
            <w:shd w:fill="D9EAF7" w:val="clear"/>
          </w:tcPr>
          <w:p>
            <w:pPr>
              <w:pStyle w:val="Compact"/>
              <w:jc w:val="left"/>
            </w:pPr>
            <w:r>
              <w:t xml:space="preserve">REQUIRED when catastrophe relevance plausible</w:t>
            </w:r>
          </w:p>
        </w:tc>
        <w:tc>
          <w:tcPr>
            <w:tcMar>
              <w:top w:w="80" w:type="dxa"/>
              <w:start w:w="90" w:type="dxa"/>
              <w:bottom w:w="80" w:type="dxa"/>
              <w:end w:w="90" w:type="dxa"/>
            </w:tcMar>
            <w:shd w:fill="D9EAF7" w:val="clear"/>
          </w:tcPr>
          <w:p>
            <w:pPr>
              <w:pStyle w:val="Compact"/>
              <w:jc w:val="left"/>
            </w:pPr>
            <w:r>
              <w:t xml:space="preserve">≥5 minimum</w:t>
            </w:r>
          </w:p>
        </w:tc>
      </w:tr>
      <w:tr>
        <w:trPr/>
        <w:tc>
          <w:tcPr>
            <w:tcMar>
              <w:top w:w="80" w:type="dxa"/>
              <w:start w:w="90" w:type="dxa"/>
              <w:bottom w:w="80" w:type="dxa"/>
              <w:end w:w="90" w:type="dxa"/>
            </w:tcMar>
            <w:shd w:fill="F7FBFF" w:val="clear"/>
          </w:tcPr>
          <w:p>
            <w:pPr>
              <w:pStyle w:val="Compact"/>
              <w:jc w:val="left"/>
            </w:pPr>
            <w:r>
              <w:t xml:space="preserve">Tier 3</w:t>
            </w:r>
          </w:p>
        </w:tc>
        <w:tc>
          <w:tcPr>
            <w:tcMar>
              <w:top w:w="80" w:type="dxa"/>
              <w:start w:w="90" w:type="dxa"/>
              <w:bottom w:w="80" w:type="dxa"/>
              <w:end w:w="90" w:type="dxa"/>
            </w:tcMar>
            <w:shd w:fill="F7FBFF" w:val="clear"/>
          </w:tcPr>
          <w:p>
            <w:pPr>
              <w:pStyle w:val="Compact"/>
              <w:jc w:val="left"/>
            </w:pPr>
            <w:r>
              <w:t xml:space="preserve">REQUIRED</w:t>
            </w:r>
          </w:p>
        </w:tc>
        <w:tc>
          <w:tcPr>
            <w:tcMar>
              <w:top w:w="80" w:type="dxa"/>
              <w:start w:w="90" w:type="dxa"/>
              <w:bottom w:w="80" w:type="dxa"/>
              <w:end w:w="90" w:type="dxa"/>
            </w:tcMar>
            <w:shd w:fill="F7FBFF" w:val="clear"/>
          </w:tcPr>
          <w:p>
            <w:pPr>
              <w:pStyle w:val="Compact"/>
              <w:jc w:val="left"/>
            </w:pPr>
            <w:r>
              <w:t xml:space="preserve">≥20 minimum</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Tier 4</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Design target only (claim prohibited in this release line)</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N/A</w:t>
            </w:r>
          </w:p>
        </w:tc>
      </w:tr>
    </w:tbl>
    <w:bookmarkStart w:id="139" w:name="X6463f55c19217d83f4d2d9c1917010061b3d2eb"/>
    <w:p>
      <w:pPr>
        <w:pStyle w:val="Heading3"/>
        <w:keepNext/>
        <w:keepLines/>
        <w:pageBreakBefore w:val="0"/>
        <w:widowControl/>
      </w:pPr>
      <w:r>
        <w:rPr>
          <w:rFonts w:ascii="Arial" w:hAnsi="Arial" w:eastAsia="Arial"/>
          <w:b/>
          <w:color w:val="1F4E78"/>
        </w:rPr>
        <w:t xml:space="preserve">8.1.1 Catastrophe relevance trigger (Normative)</w:t>
      </w:r>
    </w:p>
    <w:p>
      <w:pPr>
        <w:pStyle w:val="FirstParagraph"/>
        <w:widowControl/>
      </w:pPr>
      <w:r>
        <w:t xml:space="preserve">Catastrophe relevance is plausible if any of the following are true:</w:t>
      </w:r>
    </w:p>
    <w:p>
      <w:pPr>
        <w:pStyle w:val="Compact"/>
        <w:widowControl/>
        <w:numPr>
          <w:ilvl w:val="0"/>
          <w:numId w:val="1067"/>
        </w:numPr>
      </w:pPr>
      <w:r>
        <w:t xml:space="preserve">The decision materially affects any catastrophe cell in C_cat (Section 8.2), OR</w:t>
      </w:r>
    </w:p>
    <w:p>
      <w:pPr>
        <w:pStyle w:val="Compact"/>
        <w:widowControl/>
        <w:numPr>
          <w:ilvl w:val="0"/>
          <w:numId w:val="1068"/>
        </w:numPr>
      </w:pPr>
      <w:r>
        <w:t xml:space="preserve">The decision has plausible pathways to tipping cascades (climate, bio, conflict, infrastructure, financial), OR</w:t>
      </w:r>
    </w:p>
    <w:p>
      <w:pPr>
        <w:pStyle w:val="Compact"/>
        <w:widowControl/>
        <w:numPr>
          <w:ilvl w:val="0"/>
          <w:numId w:val="1069"/>
        </w:numPr>
      </w:pPr>
      <w:r>
        <w:t xml:space="preserve">The decision is materially irreversible or creates lock-in at Polity/CMIU/Biosphere scales, OR</w:t>
      </w:r>
    </w:p>
    <w:p>
      <w:pPr>
        <w:pStyle w:val="Compact"/>
        <w:widowControl/>
        <w:numPr>
          <w:ilvl w:val="0"/>
          <w:numId w:val="1070"/>
        </w:numPr>
      </w:pPr>
      <w:r>
        <w:t xml:space="preserve">Credible challengers identify a plausible catastrophic failure mode even if decision owners prefer not to model it.</w:t>
      </w:r>
    </w:p>
    <w:p>
      <w:pPr>
        <w:pStyle w:val="FirstParagraph"/>
        <w:widowControl/>
      </w:pPr>
      <w:r>
        <w:t xml:space="preserve">If triggered, TRC MUST be executed at the tier’s required rigor.</w:t>
      </w:r>
    </w:p>
    <w:p>
      <w:pPr>
        <w:pStyle w:val="BodyText"/>
        <w:widowControl/>
      </w:pPr>
      <w:r>
        <w:rPr>
          <w:b/>
          <w:bCs/>
        </w:rPr>
        <w:t xml:space="preserve">TRC not-triggered state (Normative).</w:t>
      </w:r>
      <w:r>
        <w:t xml:space="preserve"> </w:t>
      </w:r>
      <w:r>
        <w:t xml:space="preserve">If a documented catastrophe-relevance assessment addresses every Section 8.1.1 trigger and finds none plausible within the declared decision and evidence boundary, the run records</w:t>
      </w:r>
      <w:r>
        <w:t xml:space="preserve"> </w:t>
      </w:r>
      <w:r>
        <w:rPr>
          <w:rStyle w:val="VerbatimChar"/>
        </w:rPr>
        <w:t xml:space="preserve">TRC_NOT_TRIGGERED</w:t>
      </w:r>
      <w:r>
        <w:t xml:space="preserve">. This is a pass-equivalent qualification state for cascade routing only. It MUST NOT be described as</w:t>
      </w:r>
      <w:r>
        <w:t xml:space="preserve"> </w:t>
      </w:r>
      <w:r>
        <w:rPr>
          <w:rStyle w:val="VerbatimChar"/>
        </w:rPr>
        <w:t xml:space="preserve">TRC_PASS</w:t>
      </w:r>
      <w:r>
        <w:t xml:space="preserve">, as a CVaR result, or as evidence that catastrophe is impossible. The assessment, evidence boundary, reviewer status, and reopen triggers MUST be recorded. New catastrophic, irreversible, lock-in, or ruin-relevant evidence reopens TRC before RLS.</w:t>
      </w:r>
    </w:p>
    <w:bookmarkEnd w:id="139"/>
    <w:bookmarkEnd w:id="140"/>
    <w:bookmarkStart w:id="141" w:name="Xa51b79218c139bf43f3b63b3335663465b433e7"/>
    <w:p>
      <w:pPr>
        <w:pStyle w:val="Heading2"/>
        <w:keepNext/>
        <w:keepLines/>
        <w:pageBreakBefore w:val="0"/>
        <w:widowControl/>
      </w:pPr>
      <w:r>
        <w:rPr>
          <w:rFonts w:ascii="Arial" w:hAnsi="Arial" w:eastAsia="Arial"/>
          <w:b/>
          <w:color w:val="1F4E78"/>
        </w:rPr>
        <w:t xml:space="preserve">8.2 Catastrophe Cell Set C_cat (Normative)</w:t>
      </w:r>
    </w:p>
    <w:p>
      <w:pPr>
        <w:pStyle w:val="FirstParagraph"/>
        <w:widowControl/>
      </w:pPr>
      <w:r>
        <w:t xml:space="preserve">Base catastrophe cell set:</w:t>
      </w:r>
    </w:p>
    <w:p>
      <w:pPr>
        <w:pStyle w:val="BodyText"/>
        <w:widowControl/>
      </w:pPr>
      <w:r>
        <w:t xml:space="preserve">C_cat_base = {(6, Health), (6, Environment), (7, Environment)}</w:t>
      </w:r>
    </w:p>
    <w:p>
      <w:pPr>
        <w:pStyle w:val="BodyText"/>
        <w:widowControl/>
      </w:pPr>
      <w:r>
        <w:t xml:space="preserve">These correspond to:</w:t>
      </w:r>
    </w:p>
    <w:p>
      <w:pPr>
        <w:pStyle w:val="Compact"/>
        <w:widowControl/>
        <w:numPr>
          <w:ilvl w:val="0"/>
          <w:numId w:val="1071"/>
        </w:numPr>
      </w:pPr>
      <w:r>
        <w:t xml:space="preserve">Humanity / Global Coordination-Health: Global-scale health viability (pandemic mortality, mass disability, collapse of health capacity)</w:t>
      </w:r>
    </w:p>
    <w:p>
      <w:pPr>
        <w:pStyle w:val="Compact"/>
        <w:widowControl/>
        <w:numPr>
          <w:ilvl w:val="0"/>
          <w:numId w:val="1072"/>
        </w:numPr>
      </w:pPr>
      <w:r>
        <w:t xml:space="preserve">Humanity / Global Coordination-Environment: Environment-as-civilization-condition (habitability, agricultural stability, climate-driven displacement)</w:t>
      </w:r>
    </w:p>
    <w:p>
      <w:pPr>
        <w:pStyle w:val="Compact"/>
        <w:widowControl/>
        <w:numPr>
          <w:ilvl w:val="0"/>
          <w:numId w:val="1073"/>
        </w:numPr>
      </w:pPr>
      <w:r>
        <w:t xml:space="preserve">Biosphere-Environment: Earth-system integrity (planetary boundaries, biodiversity, biogeochemical stability)</w:t>
      </w:r>
    </w:p>
    <w:p>
      <w:pPr>
        <w:pStyle w:val="FirstParagraph"/>
        <w:widowControl/>
      </w:pPr>
      <w:r>
        <w:t xml:space="preserve">The base set explicitly includes biosphere integrity and civilization-scale habitability conditions because “safe operating space” and “safe and just boundaries” analyses identify global environmental corridors as central determinants of long-run human and ecological viability (Rockström et al., 2009, 2023).</w:t>
      </w:r>
    </w:p>
    <w:p>
      <w:pPr>
        <w:pStyle w:val="BodyText"/>
        <w:widowControl/>
      </w:pPr>
      <w:r>
        <w:t xml:space="preserve">Extensions: Tier 1-3 MAY extend C_cat only with explicit PCC justification and MUST apply the same set to all compared options.</w:t>
      </w:r>
    </w:p>
    <w:p>
      <w:pPr>
        <w:pStyle w:val="BodyText"/>
        <w:widowControl/>
      </w:pPr>
      <w:r>
        <w:rPr>
          <w:b/>
          <w:bCs/>
        </w:rPr>
        <w:t xml:space="preserve">Non-dilution rule for catastrophe profiles (Normative).</w:t>
      </w:r>
      <w:r>
        <w:t xml:space="preserve"> </w:t>
      </w:r>
      <w:r>
        <w:t xml:space="preserve">Adding an extension MUST NOT lower the measured loss or improve the TRC disposition for an unchanged base catastrophe merely because normalized weight is spread across more cells. The base catastrophe profile and every triggered extension profile SHALL therefore be normalized and evaluated separately. Compute</w:t>
      </w:r>
      <w:r>
        <w:t xml:space="preserve"> </w:t>
      </w:r>
      <w:r>
        <w:rPr>
          <w:rStyle w:val="VerbatimChar"/>
        </w:rPr>
        <w:t xml:space="preserve">L_p(a,s)</w:t>
      </w:r>
      <w:r>
        <w:t xml:space="preserve"> </w:t>
      </w:r>
      <w:r>
        <w:t xml:space="preserve">and</w:t>
      </w:r>
      <w:r>
        <w:t xml:space="preserve"> </w:t>
      </w:r>
      <w:r>
        <w:rPr>
          <w:rStyle w:val="VerbatimChar"/>
        </w:rPr>
        <w:t xml:space="preserve">CVaR_alpha,p(a)</w:t>
      </w:r>
      <w:r>
        <w:t xml:space="preserve"> </w:t>
      </w:r>
      <w:r>
        <w:t xml:space="preserve">for each active profile</w:t>
      </w:r>
      <w:r>
        <w:t xml:space="preserve"> </w:t>
      </w:r>
      <w:r>
        <w:rPr>
          <w:rStyle w:val="VerbatimChar"/>
        </w:rPr>
        <w:t xml:space="preserve">p</w:t>
      </w:r>
      <w:r>
        <w:t xml:space="preserve">; ordinary TRC qualification requires every active profile to satisfy its governed corridor. A combined summary MAY be reported, but it cannot rescue a failed profile. Any alternative non-dilutive construction requires ex ante governance, proof that unchanged base losses cannot decrease when an extension is added, symmetric application across options, and PCC disclosure.</w:t>
      </w:r>
    </w:p>
    <w:p>
      <w:pPr>
        <w:pStyle w:val="BodyText"/>
        <w:widowControl/>
      </w:pPr>
      <w:r>
        <w:t xml:space="preserve">Clarification (Normative). C_cat_base is the default habitability/civilization catastrophe proxy. It cleanly captures biosphere degradation and civilization-scale health/environment collapse. Governance lock-in, coercive surveillance, procedural collapse, information-ecosystem capture, or other agency-destroying catastrophes are catastrophe-relevant and SHALL NOT be treated as rhetorically covered by the base triplet alone. When any governance-lock-in trigger is plausible, including surveillance normalization, emergency-power persistence, due-process suspension, information-ecosystem capture, irreversible dependency lock-in, or concentrated arbitrary control over critical infrastructure, the run MUST activate the default governance-lock-in extension profile defined in Appendix D.1A, unless a stricter governed profile is declared in the PCC. The chosen profile MUST be applied symmetrically across all compared options and recorded in the PCC.</w:t>
      </w:r>
    </w:p>
    <w:p>
      <w:pPr>
        <w:pStyle w:val="BodyText"/>
        <w:widowControl/>
      </w:pPr>
      <w:r>
        <w:t xml:space="preserve">WTSL-AIX / governance-lock-in tail category is mandatory when AI deployment or governance-lock-in triggers are plausible, including surveillance normalization, emergency-power persistence, due-process suspension, information-ecosystem capture, irreversible dependency lock-in, or concentrated arbitrary control. AI_DEPLOYMENT=YES is sufficient but not necessary.</w:t>
      </w:r>
    </w:p>
    <w:bookmarkEnd w:id="141"/>
    <w:bookmarkStart w:id="145" w:name="X325d5cbb75ec059f5d8a981c08f9c5d1f4a6f95"/>
    <w:p>
      <w:pPr>
        <w:pStyle w:val="Heading2"/>
        <w:keepNext/>
        <w:keepLines/>
        <w:pageBreakBefore w:val="0"/>
        <w:widowControl/>
      </w:pPr>
      <w:r>
        <w:rPr>
          <w:rFonts w:ascii="Arial" w:hAnsi="Arial" w:eastAsia="Arial"/>
          <w:b/>
          <w:color w:val="1F4E78"/>
        </w:rPr>
        <w:t xml:space="preserve">8.3 Scenario Governance (Normative)</w:t>
      </w:r>
    </w:p>
    <w:p>
      <w:pPr>
        <w:pStyle w:val="FirstParagraph"/>
        <w:widowControl/>
      </w:pPr>
      <w:r>
        <w:t xml:space="preserve">TRC is evaluated over a governed scenario set S with probabilities p_s such that p_s ≥ 0 and Σ_s p_s = 1.</w:t>
      </w:r>
    </w:p>
    <w:bookmarkStart w:id="142" w:name="Xf43b5ee6a21b89b50414133d9cf71a8b11115ca"/>
    <w:p>
      <w:pPr>
        <w:pStyle w:val="Heading3"/>
        <w:keepNext/>
        <w:keepLines/>
        <w:pageBreakBefore w:val="0"/>
        <w:widowControl/>
      </w:pPr>
      <w:r>
        <w:rPr>
          <w:rFonts w:ascii="Arial" w:hAnsi="Arial" w:eastAsia="Arial"/>
          <w:b/>
          <w:color w:val="1F4E78"/>
        </w:rPr>
        <w:t xml:space="preserve">8.3.1 Mandatory Tail Scenario Categories (Normative)</w:t>
      </w:r>
    </w:p>
    <w:p>
      <w:pPr>
        <w:pStyle w:val="FirstParagraph"/>
        <w:widowControl/>
      </w:pPr>
      <w:r>
        <w:t xml:space="preserve">The scenario set MUST include the following tail categories unless explicitly justified as not plausible for the decision context.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pStyle w:val="Compact"/>
        <w:widowControl/>
        <w:numPr>
          <w:ilvl w:val="0"/>
          <w:numId w:val="1074"/>
        </w:numPr>
      </w:pPr>
      <w:r>
        <w:t xml:space="preserve">Pandemic/biological disruption</w:t>
      </w:r>
    </w:p>
    <w:p>
      <w:pPr>
        <w:pStyle w:val="Compact"/>
        <w:widowControl/>
        <w:numPr>
          <w:ilvl w:val="0"/>
          <w:numId w:val="1075"/>
        </w:numPr>
      </w:pPr>
      <w:r>
        <w:t xml:space="preserve">Climate tipping cascade</w:t>
      </w:r>
    </w:p>
    <w:p>
      <w:pPr>
        <w:pStyle w:val="Compact"/>
        <w:widowControl/>
        <w:numPr>
          <w:ilvl w:val="0"/>
          <w:numId w:val="1076"/>
        </w:numPr>
      </w:pPr>
      <w:r>
        <w:t xml:space="preserve">Financial system collapse</w:t>
      </w:r>
    </w:p>
    <w:p>
      <w:pPr>
        <w:pStyle w:val="Compact"/>
        <w:widowControl/>
        <w:numPr>
          <w:ilvl w:val="0"/>
          <w:numId w:val="1077"/>
        </w:numPr>
      </w:pPr>
      <w:r>
        <w:t xml:space="preserve">Major conflict escalation</w:t>
      </w:r>
    </w:p>
    <w:p>
      <w:pPr>
        <w:pStyle w:val="Compact"/>
        <w:widowControl/>
        <w:numPr>
          <w:ilvl w:val="0"/>
          <w:numId w:val="1078"/>
        </w:numPr>
      </w:pPr>
      <w:r>
        <w:t xml:space="preserve">Critical infrastructure failure</w:t>
      </w:r>
    </w:p>
    <w:p>
      <w:pPr>
        <w:pStyle w:val="FirstParagraph"/>
        <w:widowControl/>
      </w:pPr>
      <w:r>
        <w:t xml:space="preserve">Governance / lock-in catastrophe</w:t>
      </w:r>
    </w:p>
    <w:p>
      <w:pPr>
        <w:pStyle w:val="BodyText"/>
        <w:widowControl/>
      </w:pPr>
      <w:r>
        <w:t xml:space="preserve">Minimum probability floor per category: p_floor ≥ 0.02</w:t>
      </w:r>
    </w:p>
    <w:p>
      <w:pPr>
        <w:pStyle w:val="BodyText"/>
        <w:widowControl/>
      </w:pPr>
      <w:r>
        <w:t xml:space="preserve">This prevents “include but set near-zero probability” gaming.</w:t>
      </w:r>
    </w:p>
    <w:p>
      <w:pPr>
        <w:pStyle w:val="BodyText"/>
        <w:widowControl/>
      </w:pPr>
      <w:r>
        <w:t xml:space="preserve">Probability-floor epistemic boundary. The p_floor value is an anti-omission governance prior, not a calibrated empirical frequency estimate. It prevents mandatory tail classes from being made invisible by arbitrary near-zero assignment and must be sensitivity-tested where decision-material.</w:t>
      </w:r>
    </w:p>
    <w:p>
      <w:pPr>
        <w:pStyle w:val="BodyText"/>
        <w:widowControl/>
      </w:pPr>
      <w:r>
        <w:rPr>
          <w:b/>
          <w:bCs/>
        </w:rPr>
        <w:t xml:space="preserve">Scenario partition and dependence rule (Normative).</w:t>
      </w:r>
      <w:r>
        <w:t xml:space="preserve"> </w:t>
      </w:r>
      <w:r>
        <w:t xml:space="preserve">Tail categories are coverage labels, not automatically mutually exclusive events. The PCC MUST declare whether scenarios form a mutually exclusive partition, overlap, or belong to dependence clusters. Overlapping category floors MUST NOT be summed as though independent. Tier 3 and decision-material Tier 2 runs MUST either construct mutually exclusive scenarios, use bounded probability intervals/sets, or run a robust CVaR sensitivity over plausible probability assignments. Correlated compound scenarios and shared causal drivers MUST be tagged so probability mass is not double-counted and independence is not silently assumed.</w:t>
      </w:r>
    </w:p>
    <w:p>
      <w:pPr>
        <w:pStyle w:val="BodyText"/>
        <w:widowControl/>
      </w:pPr>
      <w:r>
        <w:t xml:space="preserve">Rejected-scenario log. Tier 3 runs and high-stakes Tier 2 runs MUST record any material tail category or challenger scenario rejected as implausible, including the rejection rationale, evidence basis, reviewer status, and whether the rejection would change if the reality surface, probability floor, or time horizon changed.</w:t>
      </w:r>
    </w:p>
    <w:p>
      <w:pPr>
        <w:pStyle w:val="BodyText"/>
        <w:widowControl/>
      </w:pPr>
      <w:r>
        <w:t xml:space="preserve">These mandatory tail categories are not intended as exhaustive; they are a minimal governance floor reflecting cross-domain systemic risk exposure in tightly coupled global systems, including climate-driven boundary cascades (Rockström et al., 2009, 2023; Steffen et al., 2015; IPCC, 2023).</w:t>
      </w:r>
    </w:p>
    <w:bookmarkEnd w:id="142"/>
    <w:bookmarkStart w:id="143" w:name="X77c5dbcfab993198cd47726e512e03cc82cd19d"/>
    <w:p>
      <w:pPr>
        <w:pStyle w:val="Heading3"/>
        <w:keepNext/>
        <w:keepLines/>
        <w:pageBreakBefore w:val="0"/>
        <w:widowControl/>
      </w:pPr>
      <w:r>
        <w:rPr>
          <w:rFonts w:ascii="Arial" w:hAnsi="Arial" w:eastAsia="Arial"/>
          <w:b/>
          <w:color w:val="1F4E78"/>
        </w:rPr>
        <w:t xml:space="preserve">8.3.2 Implausibility test for exempting mandatory tail categories (Normative)</w:t>
      </w:r>
    </w:p>
    <w:p>
      <w:pPr>
        <w:pStyle w:val="FirstParagraph"/>
        <w:widowControl/>
      </w:pPr>
      <w:r>
        <w:t xml:space="preserve">If a deployment wishes to exempt a mandatory tail category as “implausible,” the exemption requires:</w:t>
      </w:r>
    </w:p>
    <w:p>
      <w:pPr>
        <w:pStyle w:val="BodyText"/>
        <w:widowControl/>
      </w:pPr>
      <w:r>
        <w:t xml:space="preserve">(i) Written justification in the PCC explaining why the category is implausible for this specific decision context</w:t>
      </w:r>
    </w:p>
    <w:p>
      <w:pPr>
        <w:pStyle w:val="BodyText"/>
        <w:widowControl/>
      </w:pPr>
      <w:r>
        <w:t xml:space="preserve">(ii) Independent reviewer sign-off (Tier 3 required; Tier 2 recommended)</w:t>
      </w:r>
    </w:p>
    <w:p>
      <w:pPr>
        <w:pStyle w:val="BodyText"/>
        <w:widowControl/>
      </w:pPr>
      <w:r>
        <w:t xml:space="preserve">(iii) Recording in PCC with audit flag MANDATORY_TAIL_CATEGORY_MISSING_WITH_JUSTIFICATION</w:t>
      </w:r>
    </w:p>
    <w:p>
      <w:pPr>
        <w:pStyle w:val="BodyText"/>
        <w:widowControl/>
      </w:pPr>
      <w:r>
        <w:t xml:space="preserve">The burden of proof is on omission, not inclusion. This preserves UBE.</w:t>
      </w:r>
    </w:p>
    <w:bookmarkEnd w:id="143"/>
    <w:bookmarkStart w:id="144" w:name="X9e8fb8a5267de55e238d27a0171e8df071823ec"/>
    <w:p>
      <w:pPr>
        <w:pStyle w:val="Heading3"/>
        <w:keepNext/>
        <w:keepLines/>
        <w:pageBreakBefore w:val="0"/>
        <w:widowControl/>
      </w:pPr>
      <w:r>
        <w:rPr>
          <w:rFonts w:ascii="Arial" w:hAnsi="Arial" w:eastAsia="Arial"/>
          <w:b/>
          <w:color w:val="1F4E78"/>
        </w:rPr>
        <w:t xml:space="preserve">8.3.3 Scenario set size minima (Normative)</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Tier</w:t>
            </w:r>
          </w:p>
        </w:tc>
        <w:tc>
          <w:tcPr>
            <w:shd w:fill="1F4E78" w:val="clear"/>
            <w:tcMar>
              <w:top w:w="80" w:type="dxa"/>
              <w:start w:w="90" w:type="dxa"/>
              <w:bottom w:w="80" w:type="dxa"/>
              <w:end w:w="90" w:type="dxa"/>
            </w:tcMar>
          </w:tcPr>
          <w:p>
            <w:pPr>
              <w:pStyle w:val="Compact"/>
              <w:jc w:val="left"/>
            </w:pPr>
            <w:r>
              <w:rPr>
                <w:b/>
                <w:bCs/>
                <w:color w:val="FFFFFF"/>
              </w:rPr>
              <w:t xml:space="preserve">Minimum</w:t>
            </w:r>
          </w:p>
        </w:tc>
      </w:tr>
      <w:tr>
        <w:trPr/>
        <w:tc>
          <w:tcPr>
            <w:tcMar>
              <w:top w:w="80" w:type="dxa"/>
              <w:start w:w="90" w:type="dxa"/>
              <w:bottom w:w="80" w:type="dxa"/>
              <w:end w:w="90" w:type="dxa"/>
            </w:tcMar>
            <w:shd w:fill="F7FBFF" w:val="clear"/>
          </w:tcPr>
          <w:p>
            <w:pPr>
              <w:pStyle w:val="Compact"/>
              <w:jc w:val="left"/>
            </w:pPr>
            <w:r>
              <w:t xml:space="preserve">Tier 2 (when TRC required)</w:t>
            </w:r>
          </w:p>
        </w:tc>
        <w:tc>
          <w:tcPr>
            <w:tcMar>
              <w:top w:w="80" w:type="dxa"/>
              <w:start w:w="90" w:type="dxa"/>
              <w:bottom w:w="80" w:type="dxa"/>
              <w:end w:w="90" w:type="dxa"/>
            </w:tcMar>
            <w:shd w:fill="F7FBFF" w:val="clear"/>
          </w:tcPr>
          <w:p>
            <w:pPr>
              <w:pStyle w:val="Compact"/>
              <w:jc w:val="left"/>
            </w:pPr>
            <w:r>
              <w:t xml:space="preserve">≥5 minimum</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Tier 3</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≥20 minimum</w:t>
            </w:r>
          </w:p>
        </w:tc>
      </w:tr>
    </w:tbl>
    <w:p>
      <w:pPr>
        <w:pStyle w:val="BodyText"/>
        <w:widowControl/>
      </w:pPr>
      <w:r>
        <w:t xml:space="preserve">If a tier cannot meet its minimum scenario count, the run MUST NOT claim tier compliance for TRC coverage and MUST record audit_flag SCENARIO_LIBRARY_MIN_EXCEPTION in the PCC, including written justification and a remediation plan to reach the minimum scenario count for the next comparable run.</w:t>
      </w:r>
    </w:p>
    <w:bookmarkEnd w:id="144"/>
    <w:bookmarkEnd w:id="145"/>
    <w:bookmarkStart w:id="147" w:name="Xc83375c8dd8ca8277448160bbacd27efbc0e7ca"/>
    <w:p>
      <w:pPr>
        <w:pStyle w:val="Heading2"/>
        <w:keepNext/>
        <w:keepLines/>
        <w:pageBreakBefore w:val="0"/>
        <w:widowControl/>
      </w:pPr>
      <w:r>
        <w:rPr>
          <w:rFonts w:ascii="Arial" w:hAnsi="Arial" w:eastAsia="Arial"/>
          <w:b/>
          <w:color w:val="1F4E78"/>
        </w:rPr>
        <w:t xml:space="preserve">8.4 Loss Construction (Tier 1-3: Bounded-Impact TRC) (Normative)</w:t>
      </w:r>
    </w:p>
    <w:p>
      <w:pPr>
        <w:pStyle w:val="FirstParagraph"/>
        <w:widowControl/>
      </w:pPr>
      <w:r>
        <w:t xml:space="preserve">Tier 1-3 TRC uses bounded-impact loss based on propagated Base-stream impacts in catastrophe cells.</w:t>
      </w:r>
    </w:p>
    <w:p>
      <w:pPr>
        <w:pStyle w:val="BodyText"/>
        <w:widowControl/>
      </w:pPr>
      <w:r>
        <w:t xml:space="preserve">Domain constraint: All propagated impacts are bounded: I_prop_base,c(a|s) ∈ [-1, +1].</w:t>
      </w:r>
    </w:p>
    <w:p>
      <w:pPr>
        <w:pStyle w:val="BodyText"/>
        <w:widowControl/>
      </w:pPr>
      <w:r>
        <w:t xml:space="preserve">For each scenario s, define scenario loss:</w:t>
      </w:r>
    </w:p>
    <w:p>
      <w:pPr>
        <w:pStyle w:val="BodyText"/>
        <w:widowControl/>
      </w:pPr>
      <w:r>
        <w:t xml:space="preserve">L(a,s) = Σ_{c ∈ C_cat} ω_c × max(0, −I_prop_base,c(a|s))</w:t>
      </w:r>
    </w:p>
    <w:p>
      <w:pPr>
        <w:pStyle w:val="BodyText"/>
        <w:widowControl/>
      </w:pPr>
      <w:r>
        <w:t xml:space="preserve">Normative stream binding (Design A): TRC MUST be computed from the Base stream (I_prop_base). TRC MUST NOT use Welfare-stream (sentience-weighted) impacts.</w:t>
      </w:r>
    </w:p>
    <w:p>
      <w:pPr>
        <w:pStyle w:val="BodyText"/>
        <w:widowControl/>
      </w:pPr>
      <w:r>
        <w:t xml:space="preserve">Where:</w:t>
      </w:r>
    </w:p>
    <w:p>
      <w:pPr>
        <w:pStyle w:val="Compact"/>
        <w:widowControl/>
        <w:numPr>
          <w:ilvl w:val="0"/>
          <w:numId w:val="1079"/>
        </w:numPr>
      </w:pPr>
      <w:r>
        <w:t xml:space="preserve">ω_c ≥ 0, Σ_{c ∈ C_cat} ω_c = 1 (catastrophe weights are normalized)</w:t>
      </w:r>
    </w:p>
    <w:p>
      <w:pPr>
        <w:pStyle w:val="Compact"/>
        <w:widowControl/>
        <w:numPr>
          <w:ilvl w:val="0"/>
          <w:numId w:val="1080"/>
        </w:numPr>
      </w:pPr>
      <w:r>
        <w:t xml:space="preserve">max(0, x) returns x if x &gt; 0, otherwise 0 (only negative impacts contribute)</w:t>
      </w:r>
    </w:p>
    <w:p>
      <w:pPr>
        <w:pStyle w:val="Compact"/>
        <w:widowControl/>
        <w:numPr>
          <w:ilvl w:val="0"/>
          <w:numId w:val="1081"/>
        </w:numPr>
      </w:pPr>
      <w:r>
        <w:t xml:space="preserve">I_prop_base,c(a|s) is the propagated impact in catastrophe cell c under scenario s</w:t>
      </w:r>
    </w:p>
    <w:p>
      <w:pPr>
        <w:pStyle w:val="FirstParagraph"/>
        <w:widowControl/>
      </w:pPr>
      <w:r>
        <w:t xml:space="preserve">Default catastrophe weights (if not otherwise governed): Uniform weights over C_cat.</w:t>
      </w:r>
    </w:p>
    <w:p>
      <w:pPr>
        <w:pStyle w:val="BodyText"/>
        <w:widowControl/>
      </w:pPr>
      <w:r>
        <w:t xml:space="preserve">Interpretation:</w:t>
      </w:r>
    </w:p>
    <w:p>
      <w:pPr>
        <w:pStyle w:val="Compact"/>
        <w:widowControl/>
        <w:numPr>
          <w:ilvl w:val="0"/>
          <w:numId w:val="1082"/>
        </w:numPr>
      </w:pPr>
      <w:r>
        <w:t xml:space="preserve">Only negative impacts in catastrophe cells contribute to loss.</w:t>
      </w:r>
    </w:p>
    <w:p>
      <w:pPr>
        <w:pStyle w:val="Compact"/>
        <w:widowControl/>
        <w:numPr>
          <w:ilvl w:val="0"/>
          <w:numId w:val="1083"/>
        </w:numPr>
      </w:pPr>
      <w:r>
        <w:t xml:space="preserve">Loss is bounded in [0,1] because weights are normalized and impacts lie in [-1,+1].</w:t>
      </w:r>
    </w:p>
    <w:p>
      <w:pPr>
        <w:pStyle w:val="Compact"/>
        <w:widowControl/>
        <w:numPr>
          <w:ilvl w:val="0"/>
          <w:numId w:val="1084"/>
        </w:numPr>
      </w:pPr>
      <w:r>
        <w:t xml:space="preserve">Positive impacts in catastrophe cells (improvements) do not offset losses; they simply contribute zero to the loss function.</w:t>
      </w:r>
    </w:p>
    <w:p>
      <w:pPr>
        <w:pStyle w:val="FirstParagraph"/>
        <w:widowControl/>
      </w:pPr>
      <w:r>
        <w:t xml:space="preserve">Example: If C_cat = {(6, Health), (6, Environment), (7, Environment)} with uniform weights (ω_c = 1/3 each), and under scenario s the propagated impacts are:</w:t>
      </w:r>
    </w:p>
    <w:p>
      <w:pPr>
        <w:pStyle w:val="Compact"/>
        <w:widowControl/>
        <w:numPr>
          <w:ilvl w:val="0"/>
          <w:numId w:val="1085"/>
        </w:numPr>
      </w:pPr>
      <w:r>
        <w:t xml:space="preserve">I_prop_base(6,Health,a|s) = -0.30 → contributes 1/3 × 0.30 = 0.10</w:t>
      </w:r>
    </w:p>
    <w:p>
      <w:pPr>
        <w:pStyle w:val="Compact"/>
        <w:widowControl/>
        <w:numPr>
          <w:ilvl w:val="0"/>
          <w:numId w:val="1086"/>
        </w:numPr>
      </w:pPr>
      <w:r>
        <w:t xml:space="preserve">I_prop_base(6,Environment,a|s) = +0.10 → contributes 1/3 × max(0, -0.10) = 0</w:t>
      </w:r>
    </w:p>
    <w:p>
      <w:pPr>
        <w:pStyle w:val="Compact"/>
        <w:widowControl/>
        <w:numPr>
          <w:ilvl w:val="0"/>
          <w:numId w:val="1087"/>
        </w:numPr>
      </w:pPr>
      <w:r>
        <w:t xml:space="preserve">I_prop_base(7,Environment,a|s) = -0.60 → contributes 1/3 × 0.60 = 0.20</w:t>
      </w:r>
    </w:p>
    <w:p>
      <w:pPr>
        <w:pStyle w:val="FirstParagraph"/>
        <w:widowControl/>
      </w:pPr>
      <w:r>
        <w:t xml:space="preserve">Then L(a,s) = 0.10 + 0 + 0.20 = 0.30</w:t>
      </w:r>
    </w:p>
    <w:bookmarkStart w:id="146" w:name="X7112169eeb9eac2e1373237a4a42fd235aeb882"/>
    <w:p>
      <w:pPr>
        <w:pStyle w:val="Heading3"/>
        <w:keepNext/>
        <w:keepLines/>
        <w:pageBreakBefore w:val="0"/>
        <w:widowControl/>
      </w:pPr>
      <w:r>
        <w:rPr>
          <w:rFonts w:ascii="Arial" w:hAnsi="Arial" w:eastAsia="Arial"/>
          <w:b/>
          <w:color w:val="1F4E78"/>
        </w:rPr>
        <w:t xml:space="preserve">8.4A Catastrophe Severity-Class Overlay (Normative)</w:t>
      </w:r>
    </w:p>
    <w:p>
      <w:pPr>
        <w:pStyle w:val="FirstParagraph"/>
        <w:widowControl/>
      </w:pPr>
      <w:r>
        <w:t xml:space="preserve">Bounded loss supports stable computation but can compress materially different catastrophe classes near the same ceiling. Every TRC scenario MUST therefore declare one severity class in addition to</w:t>
      </w:r>
      <w:r>
        <w:t xml:space="preserve"> </w:t>
      </w:r>
      <w:r>
        <w:rPr>
          <w:rStyle w:val="VerbatimChar"/>
        </w:rPr>
        <w:t xml:space="preserve">L(a,s)</w:t>
      </w:r>
      <w:r>
        <w:t xml:space="preserve">:</w:t>
      </w:r>
      <w:r>
        <w:t xml:space="preserve"> </w:t>
      </w:r>
      <w:r>
        <w:rPr>
          <w:rStyle w:val="VerbatimChar"/>
        </w:rPr>
        <w:t xml:space="preserve">C1_SEVERE</w:t>
      </w:r>
      <w:r>
        <w:t xml:space="preserve">,</w:t>
      </w:r>
      <w:r>
        <w:t xml:space="preserve"> </w:t>
      </w:r>
      <w:r>
        <w:rPr>
          <w:rStyle w:val="VerbatimChar"/>
        </w:rPr>
        <w:t xml:space="preserve">C2_SYSTEMIC</w:t>
      </w:r>
      <w:r>
        <w:t xml:space="preserve">,</w:t>
      </w:r>
      <w:r>
        <w:t xml:space="preserve"> </w:t>
      </w:r>
      <w:r>
        <w:rPr>
          <w:rStyle w:val="VerbatimChar"/>
        </w:rPr>
        <w:t xml:space="preserve">C3_CIVILIZATION_THREATENING</w:t>
      </w:r>
      <w:r>
        <w:t xml:space="preserve">, or</w:t>
      </w:r>
      <w:r>
        <w:t xml:space="preserve"> </w:t>
      </w:r>
      <w:r>
        <w:rPr>
          <w:rStyle w:val="VerbatimChar"/>
        </w:rPr>
        <w:t xml:space="preserve">C4_EXISTENTIAL</w:t>
      </w:r>
      <w:r>
        <w:t xml:space="preserve">. The class is evidence-governed and challengeable; it is not inferred from rhetoric or from the bounded loss number alone.</w:t>
      </w:r>
    </w:p>
    <w:p>
      <w:pPr>
        <w:pStyle w:val="Compact"/>
        <w:widowControl/>
        <w:numPr>
          <w:ilvl w:val="0"/>
          <w:numId w:val="1088"/>
        </w:numPr>
      </w:pPr>
      <w:r>
        <w:rPr>
          <w:rStyle w:val="VerbatimChar"/>
        </w:rPr>
        <w:t xml:space="preserve">C1_SEVERE</w:t>
      </w:r>
      <w:r>
        <w:t xml:space="preserve">: large but bounded harm with functioning recovery institutions.</w:t>
      </w:r>
    </w:p>
    <w:p>
      <w:pPr>
        <w:pStyle w:val="Compact"/>
        <w:widowControl/>
        <w:numPr>
          <w:ilvl w:val="0"/>
          <w:numId w:val="1088"/>
        </w:numPr>
      </w:pPr>
      <w:r>
        <w:rPr>
          <w:rStyle w:val="VerbatimChar"/>
        </w:rPr>
        <w:t xml:space="preserve">C2_SYSTEMIC</w:t>
      </w:r>
      <w:r>
        <w:t xml:space="preserve">: multi-system or cross-polity disruption with major recovery burden.</w:t>
      </w:r>
    </w:p>
    <w:p>
      <w:pPr>
        <w:pStyle w:val="Compact"/>
        <w:widowControl/>
        <w:numPr>
          <w:ilvl w:val="0"/>
          <w:numId w:val="1088"/>
        </w:numPr>
      </w:pPr>
      <w:r>
        <w:rPr>
          <w:rStyle w:val="VerbatimChar"/>
        </w:rPr>
        <w:t xml:space="preserve">C3_CIVILIZATION_THREATENING</w:t>
      </w:r>
      <w:r>
        <w:t xml:space="preserve">: plausible loss of durable civilizational capacity, global coordination, or planetary habitability conditions.</w:t>
      </w:r>
    </w:p>
    <w:p>
      <w:pPr>
        <w:pStyle w:val="Compact"/>
        <w:widowControl/>
        <w:numPr>
          <w:ilvl w:val="0"/>
          <w:numId w:val="1088"/>
        </w:numPr>
      </w:pPr>
      <w:r>
        <w:rPr>
          <w:rStyle w:val="VerbatimChar"/>
        </w:rPr>
        <w:t xml:space="preserve">C4_EXISTENTIAL</w:t>
      </w:r>
      <w:r>
        <w:t xml:space="preserve">: plausible permanent destruction of humanity or comparable foreclosure of future moral patients.</w:t>
      </w:r>
    </w:p>
    <w:p>
      <w:pPr>
        <w:pStyle w:val="FirstParagraph"/>
        <w:widowControl/>
      </w:pPr>
      <w:r>
        <w:t xml:space="preserve">A governed profile MAY set class-specific probability caps or stricter corridors. Until such a profile is declared, any material</w:t>
      </w:r>
      <w:r>
        <w:t xml:space="preserve"> </w:t>
      </w:r>
      <w:r>
        <w:rPr>
          <w:rStyle w:val="VerbatimChar"/>
        </w:rPr>
        <w:t xml:space="preserve">C4_EXISTENTIAL</w:t>
      </w:r>
      <w:r>
        <w:t xml:space="preserve"> </w:t>
      </w:r>
      <w:r>
        <w:t xml:space="preserve">pathway prevents an ordinary TRC pass unless its conservative upper probability bound is shown to be below an explicitly governed existential-risk tolerance. A</w:t>
      </w:r>
      <w:r>
        <w:t xml:space="preserve"> </w:t>
      </w:r>
      <w:r>
        <w:rPr>
          <w:rStyle w:val="VerbatimChar"/>
        </w:rPr>
        <w:t xml:space="preserve">C3_CIVILIZATION_THREATENING</w:t>
      </w:r>
      <w:r>
        <w:t xml:space="preserve"> </w:t>
      </w:r>
      <w:r>
        <w:t xml:space="preserve">pathway requires independent challenge, class-specific monitoring/controls, and sensitivity to a stricter corridor. This is an overlay inside TRC, not a sixth gate, and it prevents a bounded scalar from erasing the qualitative difference between severe, systemic, civilization-threatening, and existential outcomes.</w:t>
      </w:r>
    </w:p>
    <w:bookmarkEnd w:id="146"/>
    <w:bookmarkEnd w:id="147"/>
    <w:bookmarkStart w:id="148" w:name="X98af315cbf3d2923aeaf1a152398444624e4148"/>
    <w:p>
      <w:pPr>
        <w:pStyle w:val="Heading2"/>
        <w:keepNext/>
        <w:keepLines/>
        <w:pageBreakBefore w:val="0"/>
        <w:widowControl/>
      </w:pPr>
      <w:r>
        <w:rPr>
          <w:rFonts w:ascii="Arial" w:hAnsi="Arial" w:eastAsia="Arial"/>
          <w:b/>
          <w:color w:val="1F4E78"/>
        </w:rPr>
        <w:t xml:space="preserve">8.5 CVaR Computation (Normative)</w:t>
      </w:r>
    </w:p>
    <w:p>
      <w:pPr>
        <w:pStyle w:val="FirstParagraph"/>
        <w:widowControl/>
      </w:pPr>
      <w:r>
        <w:t xml:space="preserve">Let L(a) be the random loss induced by scenarios s with probabilities p_s.</w:t>
      </w:r>
    </w:p>
    <w:p>
      <w:pPr>
        <w:pStyle w:val="BodyText"/>
        <w:widowControl/>
      </w:pPr>
      <w:r>
        <w:t xml:space="preserve">Value-at-Risk: VaR_α[L(a)] = inf{z : P(L(a) ≤ z) ≥ α}</w:t>
      </w:r>
    </w:p>
    <w:p>
      <w:pPr>
        <w:pStyle w:val="BodyText"/>
        <w:widowControl/>
      </w:pPr>
      <w:r>
        <w:t xml:space="preserve">CVaR operational definition (Tier 1-3). For RippleLogic Tier 1-3 discrete scenario libraries, CVaR_α[L(a)] is the probability-weighted average loss over the worst β = 1−α probability mass, computed by the canonical discrete algorithm in Appendix D.7.</w:t>
      </w:r>
    </w:p>
    <w:p>
      <w:pPr>
        <w:pStyle w:val="BodyText"/>
        <w:widowControl/>
      </w:pPr>
      <w:r>
        <w:t xml:space="preserve">Continuous-case shorthand. In continuous loss distributions without probability mass at VaR, this corresponds to the familiar expression E[L(a) | L(a) ≥ VaR_α[L(a)]]. In discrete scenario sets with atoms at the VaR boundary, that shorthand is not controlling and MUST NOT override Appendix D.7.</w:t>
      </w:r>
    </w:p>
    <w:p>
      <w:pPr>
        <w:pStyle w:val="BodyText"/>
        <w:widowControl/>
      </w:pPr>
      <w:r>
        <w:t xml:space="preserve">The Appendix D.7 discrete tail-mass algorithm is normative, audit-replayable, and controlling for all finite Tier 1-3 scenario sets, including partial mass at the boundary scenario when required.</w:t>
      </w:r>
    </w:p>
    <w:bookmarkEnd w:id="148"/>
    <w:bookmarkStart w:id="149" w:name="X3d1ab33649a0fb1a3701cf844e0a728c6868d81"/>
    <w:p>
      <w:pPr>
        <w:pStyle w:val="Heading2"/>
        <w:keepNext/>
        <w:keepLines/>
        <w:pageBreakBefore w:val="0"/>
        <w:widowControl/>
      </w:pPr>
      <w:r>
        <w:rPr>
          <w:rFonts w:ascii="Arial" w:hAnsi="Arial" w:eastAsia="Arial"/>
          <w:b/>
          <w:color w:val="1F4E78"/>
        </w:rPr>
        <w:t xml:space="preserve">8.6 TRC Admissibility Predicate (Normative)</w:t>
      </w:r>
    </w:p>
    <w:p>
      <w:pPr>
        <w:pStyle w:val="FirstParagraph"/>
        <w:widowControl/>
      </w:pPr>
      <w:r>
        <w:t xml:space="preserve">An option passes TRC if and only if:</w:t>
      </w:r>
    </w:p>
    <w:p>
      <w:pPr>
        <w:pStyle w:val="BodyText"/>
        <w:widowControl/>
      </w:pPr>
      <w:r>
        <w:rPr>
          <w:rStyle w:val="VerbatimChar"/>
        </w:rPr>
        <w:t xml:space="preserve">CVaR_alpha[L(a)] &lt;= tau_TRC</w:t>
      </w:r>
      <w:r>
        <w:t xml:space="preserve">, and every active class-specific cap or tolerance under Section 8.4A is satisfied, with no unresolved material</w:t>
      </w:r>
      <w:r>
        <w:t xml:space="preserve"> </w:t>
      </w:r>
      <w:r>
        <w:rPr>
          <w:rStyle w:val="VerbatimChar"/>
        </w:rPr>
        <w:t xml:space="preserve">C3</w:t>
      </w:r>
      <w:r>
        <w:t xml:space="preserve"> </w:t>
      </w:r>
      <w:r>
        <w:t xml:space="preserve">or</w:t>
      </w:r>
      <w:r>
        <w:t xml:space="preserve"> </w:t>
      </w:r>
      <w:r>
        <w:rPr>
          <w:rStyle w:val="VerbatimChar"/>
        </w:rPr>
        <w:t xml:space="preserve">C4</w:t>
      </w:r>
      <w:r>
        <w:t xml:space="preserve"> </w:t>
      </w:r>
      <w:r>
        <w:t xml:space="preserve">field.</w:t>
      </w:r>
    </w:p>
    <w:p>
      <w:pPr>
        <w:pStyle w:val="BodyText"/>
        <w:widowControl/>
      </w:pPr>
      <w:r>
        <w:t xml:space="preserve">Define:</w:t>
      </w:r>
    </w:p>
    <w:p>
      <w:pPr>
        <w:pStyle w:val="BodyText"/>
        <w:widowControl/>
      </w:pPr>
      <w:r>
        <w:t xml:space="preserve">A_adm = {a ∈ A_NCRC : TRC(a) = TRUE}</w:t>
      </w:r>
    </w:p>
    <w:bookmarkEnd w:id="149"/>
    <w:bookmarkStart w:id="150" w:name="Xba143578307a83d114abbb24bda34e1e21f18b7"/>
    <w:p>
      <w:pPr>
        <w:pStyle w:val="Heading2"/>
        <w:keepNext/>
        <w:keepLines/>
        <w:pageBreakBefore w:val="0"/>
        <w:widowControl/>
      </w:pPr>
      <w:r>
        <w:rPr>
          <w:rFonts w:ascii="Arial" w:hAnsi="Arial" w:eastAsia="Arial"/>
          <w:b/>
          <w:color w:val="1F4E78"/>
        </w:rPr>
        <w:t xml:space="preserve">8.7 Default TRC Parameters by Context (Normative Defaults)</w:t>
      </w:r>
    </w:p>
    <w:p>
      <w:pPr>
        <w:pStyle w:val="FirstParagraph"/>
        <w:widowControl/>
      </w:pPr>
      <w:r>
        <w:t xml:space="preserve">These are defaults; governance may tighten them. Loosening requires explicit governance justification and PCC recording.</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Context</w:t>
            </w:r>
          </w:p>
        </w:tc>
        <w:tc>
          <w:tcPr>
            <w:shd w:fill="1F4E78" w:val="clear"/>
            <w:tcMar>
              <w:top w:w="80" w:type="dxa"/>
              <w:start w:w="90" w:type="dxa"/>
              <w:bottom w:w="80" w:type="dxa"/>
              <w:end w:w="90" w:type="dxa"/>
            </w:tcMar>
          </w:tcPr>
          <w:p>
            <w:pPr>
              <w:pStyle w:val="Compact"/>
              <w:jc w:val="left"/>
            </w:pPr>
            <w:r>
              <w:rPr>
                <w:b/>
                <w:bCs/>
                <w:color w:val="FFFFFF"/>
              </w:rPr>
              <w:t xml:space="preserve">α (tail level)</w:t>
            </w:r>
          </w:p>
        </w:tc>
        <w:tc>
          <w:tcPr>
            <w:shd w:fill="1F4E78" w:val="clear"/>
            <w:tcMar>
              <w:top w:w="80" w:type="dxa"/>
              <w:start w:w="90" w:type="dxa"/>
              <w:bottom w:w="80" w:type="dxa"/>
              <w:end w:w="90" w:type="dxa"/>
            </w:tcMar>
          </w:tcPr>
          <w:p>
            <w:pPr>
              <w:pStyle w:val="Compact"/>
              <w:jc w:val="left"/>
            </w:pPr>
            <w:r>
              <w:rPr>
                <w:b/>
                <w:bCs/>
                <w:color w:val="FFFFFF"/>
              </w:rPr>
              <w:t xml:space="preserve">τ_TRC (corridor threshold)</w:t>
            </w:r>
          </w:p>
        </w:tc>
      </w:tr>
      <w:tr>
        <w:trPr/>
        <w:tc>
          <w:tcPr>
            <w:tcMar>
              <w:top w:w="80" w:type="dxa"/>
              <w:start w:w="90" w:type="dxa"/>
              <w:bottom w:w="80" w:type="dxa"/>
              <w:end w:w="90" w:type="dxa"/>
            </w:tcMar>
            <w:shd w:fill="F7FBFF" w:val="clear"/>
          </w:tcPr>
          <w:p>
            <w:pPr>
              <w:pStyle w:val="Compact"/>
              <w:jc w:val="left"/>
            </w:pPr>
            <w:r>
              <w:t xml:space="preserve">Personal</w:t>
            </w:r>
          </w:p>
        </w:tc>
        <w:tc>
          <w:tcPr>
            <w:tcMar>
              <w:top w:w="80" w:type="dxa"/>
              <w:start w:w="90" w:type="dxa"/>
              <w:bottom w:w="80" w:type="dxa"/>
              <w:end w:w="90" w:type="dxa"/>
            </w:tcMar>
            <w:shd w:fill="F7FBFF" w:val="clear"/>
          </w:tcPr>
          <w:p>
            <w:pPr>
              <w:pStyle w:val="Compact"/>
              <w:jc w:val="left"/>
            </w:pPr>
            <w:r>
              <w:t xml:space="preserve">0.90</w:t>
            </w:r>
          </w:p>
        </w:tc>
        <w:tc>
          <w:tcPr>
            <w:tcMar>
              <w:top w:w="80" w:type="dxa"/>
              <w:start w:w="90" w:type="dxa"/>
              <w:bottom w:w="80" w:type="dxa"/>
              <w:end w:w="90" w:type="dxa"/>
            </w:tcMar>
            <w:shd w:fill="F7FBFF" w:val="clear"/>
          </w:tcPr>
          <w:p>
            <w:pPr>
              <w:pStyle w:val="Compact"/>
              <w:jc w:val="left"/>
            </w:pPr>
            <w:r>
              <w:t xml:space="preserve">0.30</w:t>
            </w:r>
          </w:p>
        </w:tc>
      </w:tr>
      <w:tr>
        <w:trPr/>
        <w:tc>
          <w:tcPr>
            <w:tcMar>
              <w:top w:w="80" w:type="dxa"/>
              <w:start w:w="90" w:type="dxa"/>
              <w:bottom w:w="80" w:type="dxa"/>
              <w:end w:w="90" w:type="dxa"/>
            </w:tcMar>
            <w:shd w:fill="D9EAF7" w:val="clear"/>
          </w:tcPr>
          <w:p>
            <w:pPr>
              <w:pStyle w:val="Compact"/>
              <w:jc w:val="left"/>
            </w:pPr>
            <w:r>
              <w:t xml:space="preserve">Organizational</w:t>
            </w:r>
          </w:p>
        </w:tc>
        <w:tc>
          <w:tcPr>
            <w:tcMar>
              <w:top w:w="80" w:type="dxa"/>
              <w:start w:w="90" w:type="dxa"/>
              <w:bottom w:w="80" w:type="dxa"/>
              <w:end w:w="90" w:type="dxa"/>
            </w:tcMar>
            <w:shd w:fill="D9EAF7" w:val="clear"/>
          </w:tcPr>
          <w:p>
            <w:pPr>
              <w:pStyle w:val="Compact"/>
              <w:jc w:val="left"/>
            </w:pPr>
            <w:r>
              <w:t xml:space="preserve">0.95</w:t>
            </w:r>
          </w:p>
        </w:tc>
        <w:tc>
          <w:tcPr>
            <w:tcMar>
              <w:top w:w="80" w:type="dxa"/>
              <w:start w:w="90" w:type="dxa"/>
              <w:bottom w:w="80" w:type="dxa"/>
              <w:end w:w="90" w:type="dxa"/>
            </w:tcMar>
            <w:shd w:fill="D9EAF7" w:val="clear"/>
          </w:tcPr>
          <w:p>
            <w:pPr>
              <w:pStyle w:val="Compact"/>
              <w:jc w:val="left"/>
            </w:pPr>
            <w:r>
              <w:t xml:space="preserve">0.20</w:t>
            </w:r>
          </w:p>
        </w:tc>
      </w:tr>
      <w:tr>
        <w:trPr/>
        <w:tc>
          <w:tcPr>
            <w:tcMar>
              <w:top w:w="80" w:type="dxa"/>
              <w:start w:w="90" w:type="dxa"/>
              <w:bottom w:w="80" w:type="dxa"/>
              <w:end w:w="90" w:type="dxa"/>
            </w:tcMar>
            <w:shd w:fill="F7FBFF" w:val="clear"/>
          </w:tcPr>
          <w:p>
            <w:pPr>
              <w:pStyle w:val="Compact"/>
              <w:jc w:val="left"/>
            </w:pPr>
            <w:r>
              <w:t xml:space="preserve">Reversible policy</w:t>
            </w:r>
          </w:p>
        </w:tc>
        <w:tc>
          <w:tcPr>
            <w:tcMar>
              <w:top w:w="80" w:type="dxa"/>
              <w:start w:w="90" w:type="dxa"/>
              <w:bottom w:w="80" w:type="dxa"/>
              <w:end w:w="90" w:type="dxa"/>
            </w:tcMar>
            <w:shd w:fill="F7FBFF" w:val="clear"/>
          </w:tcPr>
          <w:p>
            <w:pPr>
              <w:pStyle w:val="Compact"/>
              <w:jc w:val="left"/>
            </w:pPr>
            <w:r>
              <w:t xml:space="preserve">0.95</w:t>
            </w:r>
          </w:p>
        </w:tc>
        <w:tc>
          <w:tcPr>
            <w:tcMar>
              <w:top w:w="80" w:type="dxa"/>
              <w:start w:w="90" w:type="dxa"/>
              <w:bottom w:w="80" w:type="dxa"/>
              <w:end w:w="90" w:type="dxa"/>
            </w:tcMar>
            <w:shd w:fill="F7FBFF" w:val="clear"/>
          </w:tcPr>
          <w:p>
            <w:pPr>
              <w:pStyle w:val="Compact"/>
              <w:jc w:val="left"/>
            </w:pPr>
            <w:r>
              <w:t xml:space="preserve">0.15</w:t>
            </w:r>
          </w:p>
        </w:tc>
      </w:tr>
      <w:tr>
        <w:trPr/>
        <w:tc>
          <w:tcPr>
            <w:tcMar>
              <w:top w:w="80" w:type="dxa"/>
              <w:start w:w="90" w:type="dxa"/>
              <w:bottom w:w="80" w:type="dxa"/>
              <w:end w:w="90" w:type="dxa"/>
            </w:tcMar>
            <w:shd w:fill="D9EAF7" w:val="clear"/>
          </w:tcPr>
          <w:p>
            <w:pPr>
              <w:pStyle w:val="Compact"/>
              <w:jc w:val="left"/>
            </w:pPr>
            <w:r>
              <w:t xml:space="preserve">Irreversible policy</w:t>
            </w:r>
          </w:p>
        </w:tc>
        <w:tc>
          <w:tcPr>
            <w:tcMar>
              <w:top w:w="80" w:type="dxa"/>
              <w:start w:w="90" w:type="dxa"/>
              <w:bottom w:w="80" w:type="dxa"/>
              <w:end w:w="90" w:type="dxa"/>
            </w:tcMar>
            <w:shd w:fill="D9EAF7" w:val="clear"/>
          </w:tcPr>
          <w:p>
            <w:pPr>
              <w:pStyle w:val="Compact"/>
              <w:jc w:val="left"/>
            </w:pPr>
            <w:r>
              <w:t xml:space="preserve">0.99</w:t>
            </w:r>
          </w:p>
        </w:tc>
        <w:tc>
          <w:tcPr>
            <w:tcMar>
              <w:top w:w="80" w:type="dxa"/>
              <w:start w:w="90" w:type="dxa"/>
              <w:bottom w:w="80" w:type="dxa"/>
              <w:end w:w="90" w:type="dxa"/>
            </w:tcMar>
            <w:shd w:fill="D9EAF7" w:val="clear"/>
          </w:tcPr>
          <w:p>
            <w:pPr>
              <w:pStyle w:val="Compact"/>
              <w:jc w:val="left"/>
            </w:pPr>
            <w:r>
              <w:t xml:space="preserve">0.10</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Existential risk</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0.999</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0.05</w:t>
            </w:r>
          </w:p>
        </w:tc>
      </w:tr>
    </w:tbl>
    <w:bookmarkEnd w:id="150"/>
    <w:bookmarkStart w:id="151" w:name="X6021c0437d0eb899b8c36399e8820a9d781f80f"/>
    <w:p>
      <w:pPr>
        <w:pStyle w:val="BodyText"/>
      </w:pPr>
      <w:r>
        <w:t>High-alpha effective-maximum disclosure (Normative clarification). In a finite discrete scenario library, when the probability assigned to the worst-loss scenario is at least the selected tail mass 1 − α, discrete CVaR equals that worst loss. This behavior is intended to preserve a conservative posture in irreversible and existential contexts, but the PCC MUST state when it occurs and MUST NOT describe the result as an average over multiple tail outcomes. The run MUST report α, tail mass, worst-scenario probability, whether CVaR collapsed to the maximum loss, and sensitivity to defensible probability bounds and scenario decomposition. A failure driven by this profile remains a governed TRC result; it is not evidence that the scenario probabilities are empirically certain.</w:t>
      </w:r>
    </w:p>
    <w:p>
      <w:pPr>
        <w:pStyle w:val="Heading2"/>
        <w:keepNext/>
        <w:keepLines/>
        <w:pageBreakBefore w:val="0"/>
        <w:widowControl/>
      </w:pPr>
      <w:r>
        <w:rPr>
          <w:rFonts w:ascii="Arial" w:hAnsi="Arial" w:eastAsia="Arial"/>
          <w:b/>
          <w:color w:val="1F4E78"/>
        </w:rPr>
        <w:t xml:space="preserve">8.8 Tail Emergency Mode (Normative; replaces automatic TRC fallback)</w:t>
      </w:r>
    </w:p>
    <w:p>
      <w:pPr>
        <w:pStyle w:val="FirstParagraph"/>
        <w:widowControl/>
      </w:pPr>
      <w:r>
        <w:t xml:space="preserve">If A_NCRC is non-empty but no rights-admissible option passes TRC, the ordinary selectable set is empty. The default response is redesign, delay, escalation, no-action review, or refusal. A least-CVaR option MUST NOT be automatically promoted into ordinary selection.</w:t>
      </w:r>
    </w:p>
    <w:p>
      <w:pPr>
        <w:pStyle w:val="BodyText"/>
        <w:widowControl/>
      </w:pPr>
      <w:r>
        <w:t xml:space="preserve">Tail Emergency Mode MAY be invoked only when the PCC demonstrates all of the following:</w:t>
      </w:r>
    </w:p>
    <w:p>
      <w:pPr>
        <w:pStyle w:val="Compact"/>
        <w:widowControl/>
        <w:numPr>
          <w:ilvl w:val="0"/>
          <w:numId w:val="1089"/>
        </w:numPr>
      </w:pPr>
      <w:r>
        <w:t xml:space="preserve">redesign and materially safer alternatives have been actively attempted;</w:t>
      </w:r>
    </w:p>
    <w:p>
      <w:pPr>
        <w:pStyle w:val="Compact"/>
        <w:widowControl/>
        <w:numPr>
          <w:ilvl w:val="0"/>
          <w:numId w:val="1089"/>
        </w:numPr>
      </w:pPr>
      <w:r>
        <w:t xml:space="preserve">delay, refusal, or no-action is unavailable or is evidenced to create equal or greater ruin exposure;</w:t>
      </w:r>
    </w:p>
    <w:p>
      <w:pPr>
        <w:pStyle w:val="Compact"/>
        <w:widowControl/>
        <w:numPr>
          <w:ilvl w:val="0"/>
          <w:numId w:val="1089"/>
        </w:numPr>
      </w:pPr>
      <w:r>
        <w:t xml:space="preserve">an independent challenger has reviewed the emergency claim and proposed alternatives;</w:t>
      </w:r>
    </w:p>
    <w:p>
      <w:pPr>
        <w:pStyle w:val="Compact"/>
        <w:widowControl/>
        <w:numPr>
          <w:ilvl w:val="0"/>
          <w:numId w:val="1089"/>
        </w:numPr>
      </w:pPr>
      <w:r>
        <w:t xml:space="preserve">a governed absolute maximum exposure τ_TRC_max has been declared and the provisional option does not exceed it;</w:t>
      </w:r>
    </w:p>
    <w:p>
      <w:pPr>
        <w:pStyle w:val="Compact"/>
        <w:widowControl/>
        <w:numPr>
          <w:ilvl w:val="0"/>
          <w:numId w:val="1089"/>
        </w:numPr>
      </w:pPr>
      <w:r>
        <w:t xml:space="preserve">the action is time-bounded, scope-bounded, reversible where possible, and paired with mitigation, monitoring, shutoff, remedy/redress, and explicit exit criteria;</w:t>
      </w:r>
    </w:p>
    <w:p>
      <w:pPr>
        <w:pStyle w:val="Compact"/>
        <w:widowControl/>
        <w:numPr>
          <w:ilvl w:val="0"/>
          <w:numId w:val="1089"/>
        </w:numPr>
      </w:pPr>
      <w:r>
        <w:t xml:space="preserve">one-tier-higher approval and lawful authority are recorded; and</w:t>
      </w:r>
    </w:p>
    <w:p>
      <w:pPr>
        <w:pStyle w:val="Compact"/>
        <w:widowControl/>
        <w:numPr>
          <w:ilvl w:val="0"/>
          <w:numId w:val="1089"/>
        </w:numPr>
      </w:pPr>
      <w:r>
        <w:t xml:space="preserve">the decision will be reopened on a declared review cadence or immediately when a safer option becomes available.</w:t>
      </w:r>
    </w:p>
    <w:p>
      <w:pPr>
        <w:pStyle w:val="FirstParagraph"/>
        <w:widowControl/>
      </w:pPr>
      <w:r>
        <w:t xml:space="preserve">Within the emergency candidate set that satisfies these conditions, choose the provisional option with minimum CVaR_alpha. Record TAIL_EMERGENCY_MODE_INVOKED, the CVaR deficit above τ_TRC, the absolute-cap margin, the necessity evidence, challenger record, controls, burden bearers, and return-to-normal trigger.</w:t>
      </w:r>
    </w:p>
    <w:p>
      <w:pPr>
        <w:pStyle w:val="BodyText"/>
        <w:widowControl/>
      </w:pPr>
      <w:r>
        <w:t xml:space="preserve">The result is TAIL_EMERGENCY_PROVISIONAL_ACTION. It is not TRC_PASS, SELECT, aligned, safe, or ordinarily admissible. Ordinary RLS ranking is prohibited in Tail Emergency Mode.</w:t>
      </w:r>
    </w:p>
    <w:p>
      <w:pPr>
        <w:pStyle w:val="BodyText"/>
        <w:widowControl/>
      </w:pPr>
      <w:r>
        <w:t xml:space="preserve">If no candidate remains below τ_TRC_max, RippleLogic MUST refuse the stronger action claim unless a separately authorized rights-and-tail emergency protocol with stricter public-law or domain controls governs the case. If both NCRC and TRC fail for every option, Section 7.5 rights priority governs first, while the Tail Emergency conditions in this section remain binding for any option that also exceeds the ruin corridor.</w:t>
      </w:r>
    </w:p>
    <w:bookmarkEnd w:id="151"/>
    <w:bookmarkStart w:id="152" w:name="Xeb3759f5c80a01f807c55a12a4e0bc6b4c4af2d"/>
    <w:p>
      <w:pPr>
        <w:pStyle w:val="Heading2"/>
        <w:keepNext/>
        <w:keepLines/>
        <w:pageBreakBefore w:val="0"/>
        <w:widowControl/>
      </w:pPr>
      <w:r>
        <w:rPr>
          <w:rFonts w:ascii="Arial" w:hAnsi="Arial" w:eastAsia="Arial"/>
          <w:b/>
          <w:color w:val="1F4E78"/>
        </w:rPr>
        <w:t xml:space="preserve">8.9 Anti-Gaming Requirements for TRC (Normative)</w:t>
      </w:r>
    </w:p>
    <w:p>
      <w:pPr>
        <w:pStyle w:val="Compact"/>
        <w:widowControl/>
        <w:numPr>
          <w:ilvl w:val="0"/>
          <w:numId w:val="1090"/>
        </w:numPr>
      </w:pPr>
      <w:r>
        <w:t xml:space="preserve">Mandatory tail categories cannot be omitted without explicit implausibility justification per Section 8.3.2.</w:t>
      </w:r>
    </w:p>
    <w:p>
      <w:pPr>
        <w:pStyle w:val="Compact"/>
        <w:widowControl/>
        <w:numPr>
          <w:ilvl w:val="0"/>
          <w:numId w:val="1091"/>
        </w:numPr>
      </w:pPr>
      <w:r>
        <w:t xml:space="preserve">Probability floors apply per category; they cannot be silently violated.</w:t>
      </w:r>
    </w:p>
    <w:p>
      <w:pPr>
        <w:pStyle w:val="Compact"/>
        <w:widowControl/>
        <w:numPr>
          <w:ilvl w:val="0"/>
          <w:numId w:val="1092"/>
        </w:numPr>
      </w:pPr>
      <w:r>
        <w:t xml:space="preserve">Scenario sets must be comparable across options (same S, same p_s).</w:t>
      </w:r>
    </w:p>
    <w:p>
      <w:pPr>
        <w:pStyle w:val="Compact"/>
        <w:widowControl/>
        <w:numPr>
          <w:ilvl w:val="0"/>
          <w:numId w:val="1093"/>
        </w:numPr>
      </w:pPr>
      <w:r>
        <w:t xml:space="preserve">PCC must record scenario provenance and how probabilities were assigned.</w:t>
      </w:r>
    </w:p>
    <w:p>
      <w:pPr>
        <w:pStyle w:val="Compact"/>
        <w:widowControl/>
        <w:numPr>
          <w:ilvl w:val="0"/>
          <w:numId w:val="1094"/>
        </w:numPr>
      </w:pPr>
      <w:r>
        <w:t xml:space="preserve">Tier 2-3: if probabilities are highly uncertain, the PCC SHOULD include sensitivity over p_s (Tier 3 required).</w:t>
      </w:r>
    </w:p>
    <w:bookmarkEnd w:id="152"/>
    <w:bookmarkEnd w:id="153"/>
    <w:bookmarkStart w:id="172" w:name="X7e1ae06708f919bccd5193fe67cf34d1788df76"/>
    <w:p>
      <w:pPr>
        <w:pStyle w:val="Heading1"/>
        <w:keepNext/>
        <w:keepLines/>
        <w:pageBreakBefore w:val="0"/>
        <w:widowControl/>
      </w:pPr>
      <w:r>
        <w:rPr>
          <w:rFonts w:ascii="Arial" w:hAnsi="Arial" w:eastAsia="Arial"/>
          <w:b/>
          <w:color w:val="1F4E78"/>
        </w:rPr>
        <w:t xml:space="preserve">SECTION 9: CSV GATE: CONTAINMENT AND STRUCTURAL VIABILITY</w:t>
      </w:r>
    </w:p>
    <w:bookmarkStart w:id="154" w:name="Xc9ee422cc94d8c9046ad347e279739d2edf883d"/>
    <w:p>
      <w:pPr>
        <w:pStyle w:val="Heading2"/>
        <w:keepNext/>
        <w:keepLines/>
        <w:pageBreakBefore w:val="0"/>
        <w:widowControl/>
      </w:pPr>
      <w:r>
        <w:rPr>
          <w:rFonts w:ascii="Arial" w:hAnsi="Arial" w:eastAsia="Arial"/>
          <w:b/>
          <w:color w:val="1F4E78"/>
        </w:rPr>
        <w:t xml:space="preserve">9.0 Purpose and UBE Rationale (Normative)</w:t>
      </w:r>
    </w:p>
    <w:p>
      <w:pPr>
        <w:pStyle w:val="FirstParagraph"/>
        <w:widowControl/>
      </w:pPr>
      <w:r>
        <w:t xml:space="preserve">CSV means Containment and Structural Viability. CSV is the strengthened fourth public level in the five-level RippleLogic cascade inside the MathGov framework:</w:t>
      </w:r>
    </w:p>
    <w:p>
      <w:pPr>
        <w:pStyle w:val="BodyText"/>
        <w:widowControl/>
      </w:pPr>
      <w:r>
        <w:t xml:space="preserve">RG -&gt; RF -&gt; TRC -&gt; CSV -&gt; RLS</w:t>
      </w:r>
    </w:p>
    <w:p>
      <w:pPr>
        <w:pStyle w:val="BodyText"/>
        <w:widowControl/>
      </w:pPr>
      <w:r>
        <w:t xml:space="preserve">Public-language mnemonic:</w:t>
      </w:r>
    </w:p>
    <w:p>
      <w:pPr>
        <w:pStyle w:val="BodyText"/>
        <w:widowControl/>
      </w:pPr>
      <w:r>
        <w:t xml:space="preserve">Ground -&gt; Protect -&gt; Bound -&gt; Contain/Verify -&gt; Score</w:t>
      </w:r>
    </w:p>
    <w:p>
      <w:pPr>
        <w:pStyle w:val="BodyText"/>
        <w:widowControl/>
      </w:pPr>
      <w:r>
        <w:t xml:space="preserve">CSV prevents a core failure mode under Union-Based Reality: a local option can look beneficial for a sub-union while quietly degrading the larger system, capacity, relation, ecological support, institutional trust, or future choice-space that makes the benefit possible. Under Union-Based Ethics, such “gains” are not counted as system-level improvement when they materially degrade, hollow out, overload, or exploit their containing systems beyond tolerance.</w:t>
      </w:r>
    </w:p>
    <w:p>
      <w:pPr>
        <w:pStyle w:val="BodyText"/>
        <w:widowControl/>
      </w:pPr>
      <w:r>
        <w:t xml:space="preserve">CSV is therefore the selectability gate applied after NCRC and TRC and before final RLS ranking. CSV is not a sixth public level. It is the upgraded fourth level, replacing the older public label “Containment” with the more complete label “Containment and Structural Viability.” Structural Viability is no longer merely a quiet subcheck; it is explicitly visible inside CSV.</w:t>
      </w:r>
    </w:p>
    <w:p>
      <w:pPr>
        <w:pStyle w:val="BodyText"/>
        <w:widowControl/>
      </w:pPr>
      <w:r>
        <w:t xml:space="preserve">Core question:</w:t>
      </w:r>
    </w:p>
    <w:p>
      <w:pPr>
        <w:pStyle w:val="BodyText"/>
        <w:widowControl/>
      </w:pPr>
      <w:r>
        <w:t xml:space="preserve">Can this option deliver its claimed good without secretly breaking, hollowing, overloading, exploiting, or depending on the systems that make the good possible?</w:t>
      </w:r>
    </w:p>
    <w:p>
      <w:pPr>
        <w:pStyle w:val="BodyText"/>
        <w:widowControl/>
      </w:pPr>
      <w:r>
        <w:t xml:space="preserve">Plain-language rule:</w:t>
      </w:r>
    </w:p>
    <w:p>
      <w:pPr>
        <w:pStyle w:val="BodyText"/>
        <w:widowControl/>
      </w:pPr>
      <w:r>
        <w:t xml:space="preserve">CSV is not a purity filter. CSV is a reality-integrity filter.</w:t>
      </w:r>
    </w:p>
    <w:bookmarkEnd w:id="154"/>
    <w:bookmarkStart w:id="155" w:name="X2c80a2a8322d83f3702ef9213c8daaaeb346648"/>
    <w:p>
      <w:pPr>
        <w:pStyle w:val="Heading2"/>
        <w:keepNext/>
        <w:keepLines/>
        <w:pageBreakBefore w:val="0"/>
        <w:widowControl/>
      </w:pPr>
      <w:r>
        <w:rPr>
          <w:rFonts w:ascii="Arial" w:hAnsi="Arial" w:eastAsia="Arial"/>
          <w:b/>
          <w:color w:val="1F4E78"/>
        </w:rPr>
        <w:t xml:space="preserve">9.1 CSV Non-Purity Rule (Normative)</w:t>
      </w:r>
    </w:p>
    <w:p>
      <w:pPr>
        <w:pStyle w:val="FirstParagraph"/>
        <w:widowControl/>
      </w:pPr>
      <w:r>
        <w:t xml:space="preserve">A negative ripple is not automatically a CSV failure. Every real action carries some cost, burden, risk, or tradeoff. CSV MUST distinguish between detected harm, material residual harm, conditionable harm, redesign-trigger harm, and gate-failing harm.</w:t>
      </w:r>
    </w:p>
    <w:p>
      <w:pPr>
        <w:pStyle w:val="BodyText"/>
        <w:widowControl/>
      </w:pPr>
      <w:r>
        <w:t xml:space="preserve">CSV SHALL NOT demand zero harm. CSV SHALL demand that harms are not hidden, unbounded, structurally degrading, rights-adjacent without review, irreversible without authorization, dependency-producing without transition, or unjustly externalized onto affected unions.</w:t>
      </w:r>
    </w:p>
    <w:p>
      <w:pPr>
        <w:pStyle w:val="BodyText"/>
        <w:widowControl/>
      </w:pPr>
      <w:r>
        <w:t xml:space="preserve">Status categories:</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Status</w:t>
            </w:r>
          </w:p>
        </w:tc>
        <w:tc>
          <w:tcPr>
            <w:shd w:fill="1F4E78" w:val="clear"/>
            <w:tcMar>
              <w:top w:w="80" w:type="dxa"/>
              <w:start w:w="90" w:type="dxa"/>
              <w:bottom w:w="80" w:type="dxa"/>
              <w:end w:w="90" w:type="dxa"/>
            </w:tcMar>
          </w:tcPr>
          <w:p>
            <w:pPr>
              <w:pStyle w:val="Compact"/>
              <w:jc w:val="left"/>
            </w:pPr>
            <w:r>
              <w:rPr>
                <w:b/>
                <w:bCs/>
                <w:color w:val="FFFFFF"/>
              </w:rPr>
              <w:t xml:space="preserve">Meaning</w:t>
            </w:r>
          </w:p>
        </w:tc>
        <w:tc>
          <w:tcPr>
            <w:shd w:fill="1F4E78" w:val="clear"/>
            <w:tcMar>
              <w:top w:w="80" w:type="dxa"/>
              <w:start w:w="90" w:type="dxa"/>
              <w:bottom w:w="80" w:type="dxa"/>
              <w:end w:w="90" w:type="dxa"/>
            </w:tcMar>
          </w:tcPr>
          <w:p>
            <w:pPr>
              <w:pStyle w:val="Compact"/>
              <w:jc w:val="left"/>
            </w:pPr>
            <w:r>
              <w:rPr>
                <w:b/>
                <w:bCs/>
                <w:color w:val="FFFFFF"/>
              </w:rPr>
              <w:t xml:space="preserve">Result</w:t>
            </w:r>
          </w:p>
        </w:tc>
      </w:tr>
      <w:tr>
        <w:trPr/>
        <w:tc>
          <w:tcPr>
            <w:tcMar>
              <w:top w:w="80" w:type="dxa"/>
              <w:start w:w="90" w:type="dxa"/>
              <w:bottom w:w="80" w:type="dxa"/>
              <w:end w:w="90" w:type="dxa"/>
            </w:tcMar>
            <w:shd w:fill="F7FBFF" w:val="clear"/>
          </w:tcPr>
          <w:p>
            <w:pPr>
              <w:pStyle w:val="Compact"/>
              <w:jc w:val="left"/>
            </w:pPr>
            <w:r>
              <w:t xml:space="preserve">DETECTED_HARM</w:t>
            </w:r>
          </w:p>
        </w:tc>
        <w:tc>
          <w:tcPr>
            <w:tcMar>
              <w:top w:w="80" w:type="dxa"/>
              <w:start w:w="90" w:type="dxa"/>
              <w:bottom w:w="80" w:type="dxa"/>
              <w:end w:w="90" w:type="dxa"/>
            </w:tcMar>
            <w:shd w:fill="F7FBFF" w:val="clear"/>
          </w:tcPr>
          <w:p>
            <w:pPr>
              <w:pStyle w:val="Compact"/>
              <w:jc w:val="left"/>
            </w:pPr>
            <w:r>
              <w:t xml:space="preserve">A negative effect exists.</w:t>
            </w:r>
          </w:p>
        </w:tc>
        <w:tc>
          <w:tcPr>
            <w:tcMar>
              <w:top w:w="80" w:type="dxa"/>
              <w:start w:w="90" w:type="dxa"/>
              <w:bottom w:w="80" w:type="dxa"/>
              <w:end w:w="90" w:type="dxa"/>
            </w:tcMar>
            <w:shd w:fill="F7FBFF" w:val="clear"/>
          </w:tcPr>
          <w:p>
            <w:pPr>
              <w:pStyle w:val="Compact"/>
              <w:jc w:val="left"/>
            </w:pPr>
            <w:r>
              <w:t xml:space="preserve">Must be recorded and routed to the correct layer.</w:t>
            </w:r>
          </w:p>
        </w:tc>
      </w:tr>
      <w:tr>
        <w:trPr/>
        <w:tc>
          <w:tcPr>
            <w:tcMar>
              <w:top w:w="80" w:type="dxa"/>
              <w:start w:w="90" w:type="dxa"/>
              <w:bottom w:w="80" w:type="dxa"/>
              <w:end w:w="90" w:type="dxa"/>
            </w:tcMar>
            <w:shd w:fill="D9EAF7" w:val="clear"/>
          </w:tcPr>
          <w:p>
            <w:pPr>
              <w:pStyle w:val="Compact"/>
              <w:jc w:val="left"/>
            </w:pPr>
            <w:r>
              <w:t xml:space="preserve">RESIDUAL_HARM</w:t>
            </w:r>
          </w:p>
        </w:tc>
        <w:tc>
          <w:tcPr>
            <w:tcMar>
              <w:top w:w="80" w:type="dxa"/>
              <w:start w:w="90" w:type="dxa"/>
              <w:bottom w:w="80" w:type="dxa"/>
              <w:end w:w="90" w:type="dxa"/>
            </w:tcMar>
            <w:shd w:fill="D9EAF7" w:val="clear"/>
          </w:tcPr>
          <w:p>
            <w:pPr>
              <w:pStyle w:val="Compact"/>
              <w:jc w:val="left"/>
            </w:pPr>
            <w:r>
              <w:t xml:space="preserve">Harm is material but bounded, visible, and below CSV failure threshold.</w:t>
            </w:r>
          </w:p>
        </w:tc>
        <w:tc>
          <w:tcPr>
            <w:tcMar>
              <w:top w:w="80" w:type="dxa"/>
              <w:start w:w="90" w:type="dxa"/>
              <w:bottom w:w="80" w:type="dxa"/>
              <w:end w:w="90" w:type="dxa"/>
            </w:tcMar>
            <w:shd w:fill="D9EAF7" w:val="clear"/>
          </w:tcPr>
          <w:p>
            <w:pPr>
              <w:pStyle w:val="Compact"/>
              <w:jc w:val="left"/>
            </w:pPr>
            <w:r>
              <w:t xml:space="preserve">Carries into RLS as a welfare cost.</w:t>
            </w:r>
          </w:p>
        </w:tc>
      </w:tr>
      <w:tr>
        <w:trPr/>
        <w:tc>
          <w:tcPr>
            <w:tcMar>
              <w:top w:w="80" w:type="dxa"/>
              <w:start w:w="90" w:type="dxa"/>
              <w:bottom w:w="80" w:type="dxa"/>
              <w:end w:w="90" w:type="dxa"/>
            </w:tcMar>
            <w:shd w:fill="F7FBFF" w:val="clear"/>
          </w:tcPr>
          <w:p>
            <w:pPr>
              <w:pStyle w:val="Compact"/>
              <w:jc w:val="left"/>
            </w:pPr>
            <w:r>
              <w:t xml:space="preserve">CONDITIONABLE_HARM</w:t>
            </w:r>
          </w:p>
        </w:tc>
        <w:tc>
          <w:tcPr>
            <w:tcMar>
              <w:top w:w="80" w:type="dxa"/>
              <w:start w:w="90" w:type="dxa"/>
              <w:bottom w:w="80" w:type="dxa"/>
              <w:end w:w="90" w:type="dxa"/>
            </w:tcMar>
            <w:shd w:fill="F7FBFF" w:val="clear"/>
          </w:tcPr>
          <w:p>
            <w:pPr>
              <w:pStyle w:val="Compact"/>
              <w:jc w:val="left"/>
            </w:pPr>
            <w:r>
              <w:t xml:space="preserve">Harm is acceptable only with controls.</w:t>
            </w:r>
          </w:p>
        </w:tc>
        <w:tc>
          <w:tcPr>
            <w:tcMar>
              <w:top w:w="80" w:type="dxa"/>
              <w:start w:w="90" w:type="dxa"/>
              <w:bottom w:w="80" w:type="dxa"/>
              <w:end w:w="90" w:type="dxa"/>
            </w:tcMar>
            <w:shd w:fill="F7FBFF" w:val="clear"/>
          </w:tcPr>
          <w:p>
            <w:pPr>
              <w:pStyle w:val="Compact"/>
              <w:jc w:val="left"/>
            </w:pPr>
            <w:r>
              <w:t xml:space="preserve">CSV_PASS_WITH_CONTROLS if controls are binding.</w:t>
            </w:r>
          </w:p>
        </w:tc>
      </w:tr>
      <w:tr>
        <w:trPr/>
        <w:tc>
          <w:tcPr>
            <w:tcMar>
              <w:top w:w="80" w:type="dxa"/>
              <w:start w:w="90" w:type="dxa"/>
              <w:bottom w:w="80" w:type="dxa"/>
              <w:end w:w="90" w:type="dxa"/>
            </w:tcMar>
            <w:shd w:fill="D9EAF7" w:val="clear"/>
          </w:tcPr>
          <w:p>
            <w:pPr>
              <w:pStyle w:val="Compact"/>
              <w:jc w:val="left"/>
            </w:pPr>
            <w:r>
              <w:t xml:space="preserve">REDESIGN_TRIGGER</w:t>
            </w:r>
          </w:p>
        </w:tc>
        <w:tc>
          <w:tcPr>
            <w:tcMar>
              <w:top w:w="80" w:type="dxa"/>
              <w:start w:w="90" w:type="dxa"/>
              <w:bottom w:w="80" w:type="dxa"/>
              <w:end w:w="90" w:type="dxa"/>
            </w:tcMar>
            <w:shd w:fill="D9EAF7" w:val="clear"/>
          </w:tcPr>
          <w:p>
            <w:pPr>
              <w:pStyle w:val="Compact"/>
              <w:jc w:val="left"/>
            </w:pPr>
            <w:r>
              <w:t xml:space="preserve">Harm is too high as specified but plausibly fixable.</w:t>
            </w:r>
          </w:p>
        </w:tc>
        <w:tc>
          <w:tcPr>
            <w:tcMar>
              <w:top w:w="80" w:type="dxa"/>
              <w:start w:w="90" w:type="dxa"/>
              <w:bottom w:w="80" w:type="dxa"/>
              <w:end w:w="90" w:type="dxa"/>
            </w:tcMar>
            <w:shd w:fill="D9EAF7" w:val="clear"/>
          </w:tcPr>
          <w:p>
            <w:pPr>
              <w:pStyle w:val="Compact"/>
              <w:jc w:val="left"/>
            </w:pPr>
            <w:r>
              <w:t xml:space="preserve">CSV_REDESIGN_REQUIRED; option is not selectable as specified.</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CSV_FAILURE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Harm is uncontained, structurally degrading, non-viable, unjustly externalized, or lock-in producing beyond tolerance.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CSV_FAIL; option is not selectable.</w:t>
            </w:r>
          </w:p>
        </w:tc>
      </w:tr>
    </w:tbl>
    <w:p>
      <w:pPr>
        <w:pStyle w:val="BodyText"/>
        <w:widowControl/>
      </w:pPr>
      <w:r>
        <w:t xml:space="preserve">Normative consequence:</w:t>
      </w:r>
    </w:p>
    <w:p>
      <w:pPr>
        <w:pStyle w:val="BodyText"/>
        <w:widowControl/>
      </w:pPr>
      <w:r>
        <w:t xml:space="preserve">RLS may rank ordinary residual tradeoffs among selectable options. RLS MUST NOT rescue an option that fails CSV.</w:t>
      </w:r>
    </w:p>
    <w:bookmarkEnd w:id="155"/>
    <w:bookmarkStart w:id="157" w:name="Xc84095801be3de05d5499ff7548fbfe44494423"/>
    <w:p>
      <w:pPr>
        <w:pStyle w:val="Heading2"/>
        <w:keepNext/>
        <w:keepLines/>
        <w:pageBreakBefore w:val="0"/>
        <w:widowControl/>
      </w:pPr>
      <w:r>
        <w:rPr>
          <w:rFonts w:ascii="Arial" w:hAnsi="Arial" w:eastAsia="Arial"/>
          <w:b/>
          <w:color w:val="1F4E78"/>
        </w:rPr>
        <w:t xml:space="preserve">9.2 CSV Status Ladder (Normative)</w:t>
      </w:r>
    </w:p>
    <w:p>
      <w:pPr>
        <w:pStyle w:val="FirstParagraph"/>
        <w:widowControl/>
      </w:pPr>
      <w:r>
        <w:t xml:space="preserve">CSV outputs one of the following status values:</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CSV status</w:t>
            </w:r>
          </w:p>
        </w:tc>
        <w:tc>
          <w:tcPr>
            <w:shd w:fill="1F4E78" w:val="clear"/>
            <w:tcMar>
              <w:top w:w="80" w:type="dxa"/>
              <w:start w:w="90" w:type="dxa"/>
              <w:bottom w:w="80" w:type="dxa"/>
              <w:end w:w="90" w:type="dxa"/>
            </w:tcMar>
          </w:tcPr>
          <w:p>
            <w:pPr>
              <w:pStyle w:val="Compact"/>
              <w:jc w:val="left"/>
            </w:pPr>
            <w:r>
              <w:rPr>
                <w:b/>
                <w:bCs/>
                <w:color w:val="FFFFFF"/>
              </w:rPr>
              <w:t xml:space="preserve">Meaning</w:t>
            </w:r>
          </w:p>
        </w:tc>
        <w:tc>
          <w:tcPr>
            <w:shd w:fill="1F4E78" w:val="clear"/>
            <w:tcMar>
              <w:top w:w="80" w:type="dxa"/>
              <w:start w:w="90" w:type="dxa"/>
              <w:bottom w:w="80" w:type="dxa"/>
              <w:end w:w="90" w:type="dxa"/>
            </w:tcMar>
          </w:tcPr>
          <w:p>
            <w:pPr>
              <w:pStyle w:val="Compact"/>
              <w:jc w:val="left"/>
            </w:pPr>
            <w:r>
              <w:rPr>
                <w:b/>
                <w:bCs/>
                <w:color w:val="FFFFFF"/>
              </w:rPr>
              <w:t xml:space="preserve">Selection consequence</w:t>
            </w:r>
          </w:p>
        </w:tc>
      </w:tr>
      <w:tr>
        <w:trPr/>
        <w:tc>
          <w:tcPr>
            <w:tcMar>
              <w:top w:w="80" w:type="dxa"/>
              <w:start w:w="90" w:type="dxa"/>
              <w:bottom w:w="80" w:type="dxa"/>
              <w:end w:w="90" w:type="dxa"/>
            </w:tcMar>
            <w:shd w:fill="F7FBFF" w:val="clear"/>
          </w:tcPr>
          <w:p>
            <w:pPr>
              <w:pStyle w:val="Compact"/>
              <w:jc w:val="left"/>
            </w:pPr>
            <w:r>
              <w:t xml:space="preserve">CSV_PASS</w:t>
            </w:r>
          </w:p>
        </w:tc>
        <w:tc>
          <w:tcPr>
            <w:tcMar>
              <w:top w:w="80" w:type="dxa"/>
              <w:start w:w="90" w:type="dxa"/>
              <w:bottom w:w="80" w:type="dxa"/>
              <w:end w:w="90" w:type="dxa"/>
            </w:tcMar>
            <w:shd w:fill="F7FBFF" w:val="clear"/>
          </w:tcPr>
          <w:p>
            <w:pPr>
              <w:pStyle w:val="Compact"/>
              <w:jc w:val="left"/>
            </w:pPr>
            <w:r>
              <w:t xml:space="preserve">Harms are contained, structural viability is adequate, and residual burdens may be carried into RLS.</w:t>
            </w:r>
          </w:p>
        </w:tc>
        <w:tc>
          <w:tcPr>
            <w:tcMar>
              <w:top w:w="80" w:type="dxa"/>
              <w:start w:w="90" w:type="dxa"/>
              <w:bottom w:w="80" w:type="dxa"/>
              <w:end w:w="90" w:type="dxa"/>
            </w:tcMar>
            <w:shd w:fill="F7FBFF" w:val="clear"/>
          </w:tcPr>
          <w:p>
            <w:pPr>
              <w:pStyle w:val="Compact"/>
              <w:jc w:val="left"/>
            </w:pPr>
            <w:r>
              <w:t xml:space="preserve">Option may proceed to RLS if NCRC and TRC passed.</w:t>
            </w:r>
          </w:p>
        </w:tc>
      </w:tr>
      <w:tr>
        <w:trPr/>
        <w:tc>
          <w:tcPr>
            <w:tcMar>
              <w:top w:w="80" w:type="dxa"/>
              <w:start w:w="90" w:type="dxa"/>
              <w:bottom w:w="80" w:type="dxa"/>
              <w:end w:w="90" w:type="dxa"/>
            </w:tcMar>
            <w:shd w:fill="D9EAF7" w:val="clear"/>
          </w:tcPr>
          <w:p>
            <w:pPr>
              <w:pStyle w:val="Compact"/>
              <w:jc w:val="left"/>
            </w:pPr>
            <w:r>
              <w:t xml:space="preserve">CSV_PASS_WITH_CONTROLS</w:t>
            </w:r>
          </w:p>
        </w:tc>
        <w:tc>
          <w:tcPr>
            <w:tcMar>
              <w:top w:w="80" w:type="dxa"/>
              <w:start w:w="90" w:type="dxa"/>
              <w:bottom w:w="80" w:type="dxa"/>
              <w:end w:w="90" w:type="dxa"/>
            </w:tcMar>
            <w:shd w:fill="D9EAF7" w:val="clear"/>
          </w:tcPr>
          <w:p>
            <w:pPr>
              <w:pStyle w:val="Compact"/>
              <w:jc w:val="left"/>
            </w:pPr>
            <w:r>
              <w:t xml:space="preserve">Option is selectable only if declared controls, mitigations, monitoring, or limits are binding.</w:t>
            </w:r>
          </w:p>
        </w:tc>
        <w:tc>
          <w:tcPr>
            <w:tcMar>
              <w:top w:w="80" w:type="dxa"/>
              <w:start w:w="90" w:type="dxa"/>
              <w:bottom w:w="80" w:type="dxa"/>
              <w:end w:w="90" w:type="dxa"/>
            </w:tcMar>
            <w:shd w:fill="D9EAF7" w:val="clear"/>
          </w:tcPr>
          <w:p>
            <w:pPr>
              <w:pStyle w:val="Compact"/>
              <w:jc w:val="left"/>
            </w:pPr>
            <w:r>
              <w:t xml:space="preserve">Option may proceed to RLS as the controlled version only.</w:t>
            </w:r>
          </w:p>
        </w:tc>
      </w:tr>
      <w:tr>
        <w:trPr/>
        <w:tc>
          <w:tcPr>
            <w:tcMar>
              <w:top w:w="80" w:type="dxa"/>
              <w:start w:w="90" w:type="dxa"/>
              <w:bottom w:w="80" w:type="dxa"/>
              <w:end w:w="90" w:type="dxa"/>
            </w:tcMar>
            <w:shd w:fill="F7FBFF" w:val="clear"/>
          </w:tcPr>
          <w:p>
            <w:pPr>
              <w:pStyle w:val="Compact"/>
              <w:jc w:val="left"/>
            </w:pPr>
            <w:r>
              <w:t xml:space="preserve">CSV_REDESIGN_REQUIRED</w:t>
            </w:r>
          </w:p>
        </w:tc>
        <w:tc>
          <w:tcPr>
            <w:tcMar>
              <w:top w:w="80" w:type="dxa"/>
              <w:start w:w="90" w:type="dxa"/>
              <w:bottom w:w="80" w:type="dxa"/>
              <w:end w:w="90" w:type="dxa"/>
            </w:tcMar>
            <w:shd w:fill="F7FBFF" w:val="clear"/>
          </w:tcPr>
          <w:p>
            <w:pPr>
              <w:pStyle w:val="Compact"/>
              <w:jc w:val="left"/>
            </w:pPr>
            <w:r>
              <w:t xml:space="preserve">Option is not selectable as specified, but a redesigned version may be evaluated.</w:t>
            </w:r>
          </w:p>
        </w:tc>
        <w:tc>
          <w:tcPr>
            <w:tcMar>
              <w:top w:w="80" w:type="dxa"/>
              <w:start w:w="90" w:type="dxa"/>
              <w:bottom w:w="80" w:type="dxa"/>
              <w:end w:w="90" w:type="dxa"/>
            </w:tcMar>
            <w:shd w:fill="F7FBFF" w:val="clear"/>
          </w:tcPr>
          <w:p>
            <w:pPr>
              <w:pStyle w:val="Compact"/>
              <w:jc w:val="left"/>
            </w:pPr>
            <w:r>
              <w:t xml:space="preserve">Original option excluded; redesigned option may re-enter RG/cascade.</w:t>
            </w:r>
          </w:p>
        </w:tc>
      </w:tr>
      <w:tr>
        <w:trPr/>
        <w:tc>
          <w:tcPr>
            <w:tcMar>
              <w:top w:w="80" w:type="dxa"/>
              <w:start w:w="90" w:type="dxa"/>
              <w:bottom w:w="80" w:type="dxa"/>
              <w:end w:w="90" w:type="dxa"/>
            </w:tcMar>
            <w:shd w:fill="D9EAF7" w:val="clear"/>
          </w:tcPr>
          <w:p>
            <w:pPr>
              <w:pStyle w:val="Compact"/>
              <w:jc w:val="left"/>
            </w:pPr>
            <w:r>
              <w:t xml:space="preserve">CSV_ESCALATE</w:t>
            </w:r>
          </w:p>
        </w:tc>
        <w:tc>
          <w:tcPr>
            <w:tcMar>
              <w:top w:w="80" w:type="dxa"/>
              <w:start w:w="90" w:type="dxa"/>
              <w:bottom w:w="80" w:type="dxa"/>
              <w:end w:w="90" w:type="dxa"/>
            </w:tcMar>
            <w:shd w:fill="D9EAF7" w:val="clear"/>
          </w:tcPr>
          <w:p>
            <w:pPr>
              <w:pStyle w:val="Compact"/>
              <w:jc w:val="left"/>
            </w:pPr>
            <w:r>
              <w:t xml:space="preserve">Stakes, uncertainty, missing evidence, or governance sensitivity require higher review.</w:t>
            </w:r>
          </w:p>
        </w:tc>
        <w:tc>
          <w:tcPr>
            <w:tcMar>
              <w:top w:w="80" w:type="dxa"/>
              <w:start w:w="90" w:type="dxa"/>
              <w:bottom w:w="80" w:type="dxa"/>
              <w:end w:w="90" w:type="dxa"/>
            </w:tcMar>
            <w:shd w:fill="D9EAF7" w:val="clear"/>
          </w:tcPr>
          <w:p>
            <w:pPr>
              <w:pStyle w:val="Compact"/>
              <w:jc w:val="left"/>
            </w:pPr>
            <w:r>
              <w:t xml:space="preserve">No final selection until escalation is resolved.</w:t>
            </w:r>
          </w:p>
        </w:tc>
      </w:tr>
      <w:tr>
        <w:trPr/>
        <w:tc>
          <w:tcPr>
            <w:tcMar>
              <w:top w:w="80" w:type="dxa"/>
              <w:start w:w="90" w:type="dxa"/>
              <w:bottom w:w="80" w:type="dxa"/>
              <w:end w:w="90" w:type="dxa"/>
            </w:tcMar>
            <w:shd w:fill="F7FBFF" w:val="clear"/>
          </w:tcPr>
          <w:p>
            <w:pPr>
              <w:pStyle w:val="Compact"/>
              <w:jc w:val="left"/>
            </w:pPr>
            <w:r>
              <w:t xml:space="preserve">CSV_FAIL</w:t>
            </w:r>
          </w:p>
        </w:tc>
        <w:tc>
          <w:tcPr>
            <w:tcMar>
              <w:top w:w="80" w:type="dxa"/>
              <w:start w:w="90" w:type="dxa"/>
              <w:bottom w:w="80" w:type="dxa"/>
              <w:end w:w="90" w:type="dxa"/>
            </w:tcMar>
            <w:shd w:fill="F7FBFF" w:val="clear"/>
          </w:tcPr>
          <w:p>
            <w:pPr>
              <w:pStyle w:val="Compact"/>
              <w:jc w:val="left"/>
            </w:pPr>
            <w:r>
              <w:t xml:space="preserve">Option unacceptably damages, hollows, overloads, exploits, or depends on containing systems beyond tolerance, or is structurally non-viable.</w:t>
            </w:r>
          </w:p>
        </w:tc>
        <w:tc>
          <w:tcPr>
            <w:tcMar>
              <w:top w:w="80" w:type="dxa"/>
              <w:start w:w="90" w:type="dxa"/>
              <w:bottom w:w="80" w:type="dxa"/>
              <w:end w:w="90" w:type="dxa"/>
            </w:tcMar>
            <w:shd w:fill="F7FBFF" w:val="clear"/>
          </w:tcPr>
          <w:p>
            <w:pPr>
              <w:pStyle w:val="Compact"/>
              <w:jc w:val="left"/>
            </w:pPr>
            <w:r>
              <w:t xml:space="preserve">Option is not selectable.</w:t>
            </w:r>
          </w:p>
        </w:tc>
      </w:tr>
      <w:tr>
        <w:trPr/>
        <w:tc>
          <w:tcPr>
            <w:tcMar>
              <w:top w:w="80" w:type="dxa"/>
              <w:start w:w="90" w:type="dxa"/>
              <w:bottom w:w="80" w:type="dxa"/>
              <w:end w:w="90" w:type="dxa"/>
            </w:tcMar>
            <w:shd w:fill="D9EAF7" w:val="clear"/>
          </w:tcPr>
          <w:p>
            <w:pPr>
              <w:pStyle w:val="Compact"/>
              <w:jc w:val="left"/>
            </w:pPr>
            <w:r>
              <w:t xml:space="preserve">CSV_EMERGENCY_PROVISIONAL</w:t>
            </w:r>
          </w:p>
        </w:tc>
        <w:tc>
          <w:tcPr>
            <w:tcMar>
              <w:top w:w="80" w:type="dxa"/>
              <w:start w:w="90" w:type="dxa"/>
              <w:bottom w:w="80" w:type="dxa"/>
              <w:end w:w="90" w:type="dxa"/>
            </w:tcMar>
            <w:shd w:fill="D9EAF7" w:val="clear"/>
          </w:tcPr>
          <w:p>
            <w:pPr>
              <w:pStyle w:val="Compact"/>
              <w:jc w:val="left"/>
            </w:pPr>
            <w:r>
              <w:t xml:space="preserve">Temporary selection under necessity where no better feasible option currently exists and strict emergency controls are declared.</w:t>
            </w:r>
          </w:p>
        </w:tc>
        <w:tc>
          <w:tcPr>
            <w:tcMar>
              <w:top w:w="80" w:type="dxa"/>
              <w:start w:w="90" w:type="dxa"/>
              <w:bottom w:w="80" w:type="dxa"/>
              <w:end w:w="90" w:type="dxa"/>
            </w:tcMar>
            <w:shd w:fill="D9EAF7" w:val="clear"/>
          </w:tcPr>
          <w:p>
            <w:pPr>
              <w:pStyle w:val="Compact"/>
              <w:jc w:val="left"/>
            </w:pPr>
            <w:r>
              <w:t xml:space="preserve">Time-bounded provisional selection only; no unqualified alignment claim.</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CSV_NOT_MATERIAL</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CSV burden is not material for this run, with rationale.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Option may proceed if other gates pass, but rationale is recorded.</w:t>
            </w:r>
          </w:p>
        </w:tc>
      </w:tr>
    </w:tbl>
    <w:p>
      <w:pPr>
        <w:pStyle w:val="BodyText"/>
        <w:widowControl/>
      </w:pPr>
      <w:r>
        <w:t xml:space="preserve">A CSV_PASS_WITH_CONTROLS is a pass only for the controlled option. If controls are removed, expire, fail, or are materially altered, CSV MUST be rerun.</w:t>
      </w:r>
    </w:p>
    <w:p>
      <w:pPr>
        <w:pStyle w:val="BodyText"/>
        <w:widowControl/>
      </w:pPr>
      <w:r>
        <w:t xml:space="preserve">A CSV_EMERGENCY_PROVISIONAL disposition MUST include a time limit, harm cap, monitoring plan, review trigger, and transition or remediation plan. It MUST NOT be marketed as full alignment, ordinary selectability, deployment certification, or Tier 4 validation.</w:t>
      </w:r>
    </w:p>
    <w:bookmarkStart w:id="156" w:name="X1acd77b6a48bf1f0d84af89a1f78a086e5cc248"/>
    <w:p>
      <w:pPr>
        <w:pStyle w:val="Heading3"/>
        <w:keepNext/>
        <w:keepLines/>
        <w:pageBreakBefore w:val="0"/>
        <w:widowControl/>
      </w:pPr>
      <w:r>
        <w:rPr>
          <w:rFonts w:ascii="Arial" w:hAnsi="Arial" w:eastAsia="Arial"/>
          <w:b/>
          <w:color w:val="1F4E78"/>
        </w:rPr>
        <w:t xml:space="preserve">9.2A CSV status resolver guide (Normative for Tier 3; recommended for Tier 2)</w:t>
      </w:r>
    </w:p>
    <w:p>
      <w:pPr>
        <w:pStyle w:val="FirstParagraph"/>
        <w:widowControl/>
      </w:pPr>
      <w:r>
        <w:t xml:space="preserve">The following resolver constrains how evidence and diagnostics map into CSV statuses. It does not eliminate reviewer judgment, but reviewer judgment must be recorded against these routing rules.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Evidence / diagnostic condition</w:t>
            </w:r>
          </w:p>
        </w:tc>
        <w:tc>
          <w:tcPr>
            <w:shd w:fill="1F4E78" w:val="clear"/>
            <w:tcMar>
              <w:top w:w="80" w:type="dxa"/>
              <w:start w:w="90" w:type="dxa"/>
              <w:bottom w:w="80" w:type="dxa"/>
              <w:end w:w="90" w:type="dxa"/>
            </w:tcMar>
          </w:tcPr>
          <w:p>
            <w:pPr>
              <w:pStyle w:val="Compact"/>
              <w:jc w:val="left"/>
            </w:pPr>
            <w:r>
              <w:rPr>
                <w:b/>
                <w:bCs/>
                <w:color w:val="FFFFFF"/>
              </w:rPr>
              <w:t xml:space="preserve">Required CSV routing</w:t>
            </w:r>
          </w:p>
        </w:tc>
      </w:tr>
      <w:tr>
        <w:trPr/>
        <w:tc>
          <w:tcPr>
            <w:tcMar>
              <w:top w:w="80" w:type="dxa"/>
              <w:start w:w="90" w:type="dxa"/>
              <w:bottom w:w="80" w:type="dxa"/>
              <w:end w:w="90" w:type="dxa"/>
            </w:tcMar>
            <w:shd w:fill="F7FBFF" w:val="clear"/>
          </w:tcPr>
          <w:p>
            <w:pPr>
              <w:pStyle w:val="Compact"/>
              <w:jc w:val="left"/>
            </w:pPr>
            <w:r>
              <w:t xml:space="preserve">Any material CSV diagnostic is level 4, or the option creates uncontained, structurally degrading, unjustly externalized, non-viable, hidden, lock-in-producing, unmonitored, or beyond-tolerance harm</w:t>
            </w:r>
          </w:p>
        </w:tc>
        <w:tc>
          <w:tcPr>
            <w:tcMar>
              <w:top w:w="80" w:type="dxa"/>
              <w:start w:w="90" w:type="dxa"/>
              <w:bottom w:w="80" w:type="dxa"/>
              <w:end w:w="90" w:type="dxa"/>
            </w:tcMar>
            <w:shd w:fill="F7FBFF" w:val="clear"/>
          </w:tcPr>
          <w:p>
            <w:pPr>
              <w:pStyle w:val="Compact"/>
              <w:jc w:val="left"/>
            </w:pPr>
            <w:r>
              <w:t xml:space="preserve">CSV_FAIL</w:t>
            </w:r>
          </w:p>
        </w:tc>
      </w:tr>
      <w:tr>
        <w:trPr/>
        <w:tc>
          <w:tcPr>
            <w:tcMar>
              <w:top w:w="80" w:type="dxa"/>
              <w:start w:w="90" w:type="dxa"/>
              <w:bottom w:w="80" w:type="dxa"/>
              <w:end w:w="90" w:type="dxa"/>
            </w:tcMar>
            <w:shd w:fill="D9EAF7" w:val="clear"/>
          </w:tcPr>
          <w:p>
            <w:pPr>
              <w:pStyle w:val="Compact"/>
              <w:jc w:val="left"/>
            </w:pPr>
            <w:r>
              <w:t xml:space="preserve">Any Structural Viability subcheck materially fails and the failure is not time-bounded, controlled, or redesignable</w:t>
            </w:r>
          </w:p>
        </w:tc>
        <w:tc>
          <w:tcPr>
            <w:tcMar>
              <w:top w:w="80" w:type="dxa"/>
              <w:start w:w="90" w:type="dxa"/>
              <w:bottom w:w="80" w:type="dxa"/>
              <w:end w:w="90" w:type="dxa"/>
            </w:tcMar>
            <w:shd w:fill="D9EAF7" w:val="clear"/>
          </w:tcPr>
          <w:p>
            <w:pPr>
              <w:pStyle w:val="Compact"/>
              <w:jc w:val="left"/>
            </w:pPr>
            <w:r>
              <w:t xml:space="preserve">CSV_FAIL</w:t>
            </w:r>
          </w:p>
        </w:tc>
      </w:tr>
      <w:tr>
        <w:trPr/>
        <w:tc>
          <w:tcPr>
            <w:tcMar>
              <w:top w:w="80" w:type="dxa"/>
              <w:start w:w="90" w:type="dxa"/>
              <w:bottom w:w="80" w:type="dxa"/>
              <w:end w:w="90" w:type="dxa"/>
            </w:tcMar>
            <w:shd w:fill="F7FBFF" w:val="clear"/>
          </w:tcPr>
          <w:p>
            <w:pPr>
              <w:pStyle w:val="Compact"/>
              <w:jc w:val="left"/>
            </w:pPr>
            <w:r>
              <w:t xml:space="preserve">Any Structural Viability subcheck materially fails but a plausible redesigned option could repair it</w:t>
            </w:r>
          </w:p>
        </w:tc>
        <w:tc>
          <w:tcPr>
            <w:tcMar>
              <w:top w:w="80" w:type="dxa"/>
              <w:start w:w="90" w:type="dxa"/>
              <w:bottom w:w="80" w:type="dxa"/>
              <w:end w:w="90" w:type="dxa"/>
            </w:tcMar>
            <w:shd w:fill="F7FBFF" w:val="clear"/>
          </w:tcPr>
          <w:p>
            <w:pPr>
              <w:pStyle w:val="Compact"/>
              <w:jc w:val="left"/>
            </w:pPr>
            <w:r>
              <w:t xml:space="preserve">CSV_REDESIGN_REQUIRED</w:t>
            </w:r>
          </w:p>
        </w:tc>
      </w:tr>
      <w:tr>
        <w:trPr/>
        <w:tc>
          <w:tcPr>
            <w:tcMar>
              <w:top w:w="80" w:type="dxa"/>
              <w:start w:w="90" w:type="dxa"/>
              <w:bottom w:w="80" w:type="dxa"/>
              <w:end w:w="90" w:type="dxa"/>
            </w:tcMar>
            <w:shd w:fill="D9EAF7" w:val="clear"/>
          </w:tcPr>
          <w:p>
            <w:pPr>
              <w:pStyle w:val="Compact"/>
              <w:jc w:val="left"/>
            </w:pPr>
            <w:r>
              <w:t xml:space="preserve">Gate-material CSV evidence is missing, stale, contested, or insufficient to support selectability</w:t>
            </w:r>
          </w:p>
        </w:tc>
        <w:tc>
          <w:tcPr>
            <w:tcMar>
              <w:top w:w="80" w:type="dxa"/>
              <w:start w:w="90" w:type="dxa"/>
              <w:bottom w:w="80" w:type="dxa"/>
              <w:end w:w="90" w:type="dxa"/>
            </w:tcMar>
            <w:shd w:fill="D9EAF7" w:val="clear"/>
          </w:tcPr>
          <w:p>
            <w:pPr>
              <w:pStyle w:val="Compact"/>
              <w:jc w:val="left"/>
            </w:pPr>
            <w:r>
              <w:t xml:space="preserve">CSV_ESCALATE, claim-narrowing, or refusal of the stronger selection claim</w:t>
            </w:r>
          </w:p>
        </w:tc>
      </w:tr>
      <w:tr>
        <w:trPr/>
        <w:tc>
          <w:tcPr>
            <w:tcMar>
              <w:top w:w="80" w:type="dxa"/>
              <w:start w:w="90" w:type="dxa"/>
              <w:bottom w:w="80" w:type="dxa"/>
              <w:end w:w="90" w:type="dxa"/>
            </w:tcMar>
            <w:shd w:fill="F7FBFF" w:val="clear"/>
          </w:tcPr>
          <w:p>
            <w:pPr>
              <w:pStyle w:val="Compact"/>
              <w:jc w:val="left"/>
            </w:pPr>
            <w:r>
              <w:t xml:space="preserve">Any material diagnostic is level 3</w:t>
            </w:r>
          </w:p>
        </w:tc>
        <w:tc>
          <w:tcPr>
            <w:tcMar>
              <w:top w:w="80" w:type="dxa"/>
              <w:start w:w="90" w:type="dxa"/>
              <w:bottom w:w="80" w:type="dxa"/>
              <w:end w:w="90" w:type="dxa"/>
            </w:tcMar>
            <w:shd w:fill="F7FBFF" w:val="clear"/>
          </w:tcPr>
          <w:p>
            <w:pPr>
              <w:pStyle w:val="Compact"/>
              <w:jc w:val="left"/>
            </w:pPr>
            <w:r>
              <w:t xml:space="preserve">CSV_REDESIGN_REQUIRED or CSV_ESCALATE, with rationale</w:t>
            </w:r>
          </w:p>
        </w:tc>
      </w:tr>
      <w:tr>
        <w:trPr/>
        <w:tc>
          <w:tcPr>
            <w:tcMar>
              <w:top w:w="80" w:type="dxa"/>
              <w:start w:w="90" w:type="dxa"/>
              <w:bottom w:w="80" w:type="dxa"/>
              <w:end w:w="90" w:type="dxa"/>
            </w:tcMar>
            <w:shd w:fill="D9EAF7" w:val="clear"/>
          </w:tcPr>
          <w:p>
            <w:pPr>
              <w:pStyle w:val="Compact"/>
              <w:jc w:val="left"/>
            </w:pPr>
            <w:r>
              <w:t xml:space="preserve">A material diagnostic is level 2 and binding controls, owners, monitoring, review triggers, and failure consequences are declared</w:t>
            </w:r>
          </w:p>
        </w:tc>
        <w:tc>
          <w:tcPr>
            <w:tcMar>
              <w:top w:w="80" w:type="dxa"/>
              <w:start w:w="90" w:type="dxa"/>
              <w:bottom w:w="80" w:type="dxa"/>
              <w:end w:w="90" w:type="dxa"/>
            </w:tcMar>
            <w:shd w:fill="D9EAF7" w:val="clear"/>
          </w:tcPr>
          <w:p>
            <w:pPr>
              <w:pStyle w:val="Compact"/>
              <w:jc w:val="left"/>
            </w:pPr>
            <w:r>
              <w:t xml:space="preserve">CSV_PASS_WITH_CONTROLS</w:t>
            </w:r>
          </w:p>
        </w:tc>
      </w:tr>
      <w:tr>
        <w:trPr/>
        <w:tc>
          <w:tcPr>
            <w:tcMar>
              <w:top w:w="80" w:type="dxa"/>
              <w:start w:w="90" w:type="dxa"/>
              <w:bottom w:w="80" w:type="dxa"/>
              <w:end w:w="90" w:type="dxa"/>
            </w:tcMar>
            <w:shd w:fill="F7FBFF" w:val="clear"/>
          </w:tcPr>
          <w:p>
            <w:pPr>
              <w:pStyle w:val="Compact"/>
              <w:jc w:val="left"/>
            </w:pPr>
            <w:r>
              <w:t xml:space="preserve">A material diagnostic is level 2 without binding controls</w:t>
            </w:r>
          </w:p>
        </w:tc>
        <w:tc>
          <w:tcPr>
            <w:tcMar>
              <w:top w:w="80" w:type="dxa"/>
              <w:start w:w="90" w:type="dxa"/>
              <w:bottom w:w="80" w:type="dxa"/>
              <w:end w:w="90" w:type="dxa"/>
            </w:tcMar>
            <w:shd w:fill="F7FBFF" w:val="clear"/>
          </w:tcPr>
          <w:p>
            <w:pPr>
              <w:pStyle w:val="Compact"/>
              <w:jc w:val="left"/>
            </w:pPr>
            <w:r>
              <w:t xml:space="preserve">CSV_REDESIGN_REQUIRED</w:t>
            </w:r>
          </w:p>
        </w:tc>
      </w:tr>
      <w:tr>
        <w:trPr/>
        <w:tc>
          <w:tcPr>
            <w:tcMar>
              <w:top w:w="80" w:type="dxa"/>
              <w:start w:w="90" w:type="dxa"/>
              <w:bottom w:w="80" w:type="dxa"/>
              <w:end w:w="90" w:type="dxa"/>
            </w:tcMar>
            <w:shd w:fill="D9EAF7" w:val="clear"/>
          </w:tcPr>
          <w:p>
            <w:pPr>
              <w:pStyle w:val="Compact"/>
              <w:jc w:val="left"/>
            </w:pPr>
            <w:r>
              <w:t xml:space="preserve">All material diagnostics are level 0-1 and structural viability subchecks pass</w:t>
            </w:r>
          </w:p>
        </w:tc>
        <w:tc>
          <w:tcPr>
            <w:tcMar>
              <w:top w:w="80" w:type="dxa"/>
              <w:start w:w="90" w:type="dxa"/>
              <w:bottom w:w="80" w:type="dxa"/>
              <w:end w:w="90" w:type="dxa"/>
            </w:tcMar>
            <w:shd w:fill="D9EAF7" w:val="clear"/>
          </w:tcPr>
          <w:p>
            <w:pPr>
              <w:pStyle w:val="Compact"/>
              <w:jc w:val="left"/>
            </w:pPr>
            <w:r>
              <w:t xml:space="preserve">CSV_PASS</w:t>
            </w:r>
          </w:p>
        </w:tc>
      </w:tr>
      <w:tr>
        <w:trPr/>
        <w:tc>
          <w:tcPr>
            <w:tcMar>
              <w:top w:w="80" w:type="dxa"/>
              <w:start w:w="90" w:type="dxa"/>
              <w:bottom w:w="80" w:type="dxa"/>
              <w:end w:w="90" w:type="dxa"/>
            </w:tcMar>
            <w:shd w:fill="F7FBFF" w:val="clear"/>
          </w:tcPr>
          <w:p>
            <w:pPr>
              <w:pStyle w:val="Compact"/>
              <w:jc w:val="left"/>
            </w:pPr>
            <w:r>
              <w:t xml:space="preserve">CSV burden is genuinely not material to the declared claim boundary and the PCC records why</w:t>
            </w:r>
          </w:p>
        </w:tc>
        <w:tc>
          <w:tcPr>
            <w:tcMar>
              <w:top w:w="80" w:type="dxa"/>
              <w:start w:w="90" w:type="dxa"/>
              <w:bottom w:w="80" w:type="dxa"/>
              <w:end w:w="90" w:type="dxa"/>
            </w:tcMar>
            <w:shd w:fill="F7FBFF" w:val="clear"/>
          </w:tcPr>
          <w:p>
            <w:pPr>
              <w:pStyle w:val="Compact"/>
              <w:jc w:val="left"/>
            </w:pPr>
            <w:r>
              <w:t xml:space="preserve">CSV_NOT_MATERIAL</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Necessity is documented, no better feasible option is available, controls are time-bounded, harm caps are declared, monitoring is active, and a transition/remediation path exists</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CSV_EMERGENCY_PROVISIONAL</w:t>
            </w:r>
          </w:p>
        </w:tc>
      </w:tr>
    </w:tbl>
    <w:p>
      <w:pPr>
        <w:pStyle w:val="BodyText"/>
        <w:widowControl/>
      </w:pPr>
      <w:r>
        <w:t xml:space="preserve">CSV maturity boundary. CSV may be binding in Tier 3 run-level conformance using declared provisional structural indicators, but this does not imply cross-domain validated UCI/HOI measurement, ProofPack readiness, or machine-verifiable structural truth. UCI/HOI remain diagnostics unless and until separate validation artifacts establish stronger measurement status.</w:t>
      </w:r>
    </w:p>
    <w:bookmarkEnd w:id="156"/>
    <w:bookmarkEnd w:id="157"/>
    <w:bookmarkStart w:id="163" w:name="Xe800e8e91f04a9ee60f4f900a6798e34c4b4dad"/>
    <w:p>
      <w:pPr>
        <w:pStyle w:val="Heading2"/>
        <w:keepNext/>
        <w:keepLines/>
        <w:pageBreakBefore w:val="0"/>
        <w:widowControl/>
      </w:pPr>
      <w:r>
        <w:rPr>
          <w:rFonts w:ascii="Arial" w:hAnsi="Arial" w:eastAsia="Arial"/>
          <w:b/>
          <w:color w:val="1F4E78"/>
        </w:rPr>
        <w:t xml:space="preserve">9.3 CSV Core Tools (Normative)</w:t>
      </w:r>
    </w:p>
    <w:p>
      <w:pPr>
        <w:pStyle w:val="FirstParagraph"/>
        <w:widowControl/>
      </w:pPr>
      <w:r>
        <w:t xml:space="preserve">CSV uses five core tools. Implementations MAY add domain-specific tools, but MUST preserve the five core functions when material.</w:t>
      </w:r>
    </w:p>
    <w:bookmarkStart w:id="158" w:name="X3808165072122f4c72920e17c5df4323a5c88d4"/>
    <w:p>
      <w:pPr>
        <w:pStyle w:val="Heading3"/>
        <w:keepNext/>
        <w:keepLines/>
        <w:pageBreakBefore w:val="0"/>
        <w:widowControl/>
      </w:pPr>
      <w:r>
        <w:rPr>
          <w:rFonts w:ascii="Arial" w:hAnsi="Arial" w:eastAsia="Arial"/>
          <w:b/>
          <w:color w:val="1F4E78"/>
        </w:rPr>
        <w:t xml:space="preserve">9.3.1 Containing-System Map</w:t>
      </w:r>
    </w:p>
    <w:p>
      <w:pPr>
        <w:pStyle w:val="FirstParagraph"/>
        <w:widowControl/>
      </w:pPr>
      <w:r>
        <w:t xml:space="preserve">Identify the systems that hold, sustain, receive, or absorb the option’s consequences. Relevant systems MAY include persons, households, communities, organizations, institutions, infrastructure, ecology, attention, trust, labor capacity, knowledge systems, public legitimacy, supply chains, financial reserves, legal authority, and future option-space.</w:t>
      </w:r>
    </w:p>
    <w:p>
      <w:pPr>
        <w:pStyle w:val="BodyText"/>
        <w:widowControl/>
      </w:pPr>
      <w:r>
        <w:t xml:space="preserve">Minimum questions:</w:t>
      </w:r>
    </w:p>
    <w:p>
      <w:pPr>
        <w:pStyle w:val="Compact"/>
        <w:widowControl/>
        <w:numPr>
          <w:ilvl w:val="0"/>
          <w:numId w:val="1095"/>
        </w:numPr>
      </w:pPr>
      <w:r>
        <w:t xml:space="preserve">What local good is the option claiming?</w:t>
      </w:r>
    </w:p>
    <w:p>
      <w:pPr>
        <w:pStyle w:val="Compact"/>
        <w:widowControl/>
        <w:numPr>
          <w:ilvl w:val="0"/>
          <w:numId w:val="1095"/>
        </w:numPr>
      </w:pPr>
      <w:r>
        <w:t xml:space="preserve">Which union receives the local gain?</w:t>
      </w:r>
    </w:p>
    <w:p>
      <w:pPr>
        <w:pStyle w:val="Compact"/>
        <w:widowControl/>
        <w:numPr>
          <w:ilvl w:val="0"/>
          <w:numId w:val="1095"/>
        </w:numPr>
      </w:pPr>
      <w:r>
        <w:t xml:space="preserve">Which larger unions contain or sustain that gain?</w:t>
      </w:r>
    </w:p>
    <w:p>
      <w:pPr>
        <w:pStyle w:val="Compact"/>
        <w:widowControl/>
        <w:numPr>
          <w:ilvl w:val="0"/>
          <w:numId w:val="1095"/>
        </w:numPr>
      </w:pPr>
      <w:r>
        <w:t xml:space="preserve">What capacities, relations, resources, and ecological supports does the option depend on?</w:t>
      </w:r>
    </w:p>
    <w:p>
      <w:pPr>
        <w:pStyle w:val="Compact"/>
        <w:widowControl/>
        <w:numPr>
          <w:ilvl w:val="0"/>
          <w:numId w:val="1095"/>
        </w:numPr>
      </w:pPr>
      <w:r>
        <w:t xml:space="preserve">What systems receive spillover costs?</w:t>
      </w:r>
    </w:p>
    <w:p>
      <w:pPr>
        <w:pStyle w:val="Compact"/>
        <w:widowControl/>
        <w:numPr>
          <w:ilvl w:val="0"/>
          <w:numId w:val="1095"/>
        </w:numPr>
      </w:pPr>
      <w:r>
        <w:t xml:space="preserve">Which affected groups can contest, consent, or recover?</w:t>
      </w:r>
    </w:p>
    <w:bookmarkEnd w:id="158"/>
    <w:bookmarkStart w:id="159" w:name="X550d4e761e6c8483d4ea2b28b39204626a08629"/>
    <w:p>
      <w:pPr>
        <w:pStyle w:val="Heading3"/>
        <w:keepNext/>
        <w:keepLines/>
        <w:pageBreakBefore w:val="0"/>
        <w:widowControl/>
      </w:pPr>
      <w:r>
        <w:rPr>
          <w:rFonts w:ascii="Arial" w:hAnsi="Arial" w:eastAsia="Arial"/>
          <w:b/>
          <w:color w:val="1F4E78"/>
        </w:rPr>
        <w:t xml:space="preserve">9.3.2 Structural Viability Check</w:t>
      </w:r>
    </w:p>
    <w:p>
      <w:pPr>
        <w:pStyle w:val="FirstParagraph"/>
        <w:widowControl/>
      </w:pPr>
      <w:r>
        <w:t xml:space="preserve">Structural Viability asks whether the option can actually stand in the declared reality surface. Ethical attractiveness is not enough. A desirable option may be a design target while still failing current execution viability.</w:t>
      </w:r>
    </w:p>
    <w:p>
      <w:pPr>
        <w:pStyle w:val="BodyText"/>
        <w:widowControl/>
      </w:pPr>
      <w:r>
        <w:t xml:space="preserve">Minimum subchecks:</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Code</w:t>
            </w:r>
          </w:p>
        </w:tc>
        <w:tc>
          <w:tcPr>
            <w:shd w:fill="1F4E78" w:val="clear"/>
            <w:tcMar>
              <w:top w:w="80" w:type="dxa"/>
              <w:start w:w="90" w:type="dxa"/>
              <w:bottom w:w="80" w:type="dxa"/>
              <w:end w:w="90" w:type="dxa"/>
            </w:tcMar>
          </w:tcPr>
          <w:p>
            <w:pPr>
              <w:pStyle w:val="Compact"/>
              <w:jc w:val="left"/>
            </w:pPr>
            <w:r>
              <w:rPr>
                <w:b/>
                <w:bCs/>
                <w:color w:val="FFFFFF"/>
              </w:rPr>
              <w:t xml:space="preserve">Subcheck</w:t>
            </w:r>
          </w:p>
        </w:tc>
        <w:tc>
          <w:tcPr>
            <w:shd w:fill="1F4E78" w:val="clear"/>
            <w:tcMar>
              <w:top w:w="80" w:type="dxa"/>
              <w:start w:w="90" w:type="dxa"/>
              <w:bottom w:w="80" w:type="dxa"/>
              <w:end w:w="90" w:type="dxa"/>
            </w:tcMar>
          </w:tcPr>
          <w:p>
            <w:pPr>
              <w:pStyle w:val="Compact"/>
              <w:jc w:val="left"/>
            </w:pPr>
            <w:r>
              <w:rPr>
                <w:b/>
                <w:bCs/>
                <w:color w:val="FFFFFF"/>
              </w:rPr>
              <w:t xml:space="preserve">Question</w:t>
            </w:r>
          </w:p>
        </w:tc>
      </w:tr>
      <w:tr>
        <w:trPr/>
        <w:tc>
          <w:tcPr>
            <w:tcMar>
              <w:top w:w="80" w:type="dxa"/>
              <w:start w:w="90" w:type="dxa"/>
              <w:bottom w:w="80" w:type="dxa"/>
              <w:end w:w="90" w:type="dxa"/>
            </w:tcMar>
            <w:shd w:fill="F7FBFF" w:val="clear"/>
          </w:tcPr>
          <w:p>
            <w:pPr>
              <w:pStyle w:val="Compact"/>
              <w:jc w:val="left"/>
            </w:pPr>
            <w:r>
              <w:t xml:space="preserve">SV-1</w:t>
            </w:r>
          </w:p>
        </w:tc>
        <w:tc>
          <w:tcPr>
            <w:tcMar>
              <w:top w:w="80" w:type="dxa"/>
              <w:start w:w="90" w:type="dxa"/>
              <w:bottom w:w="80" w:type="dxa"/>
              <w:end w:w="90" w:type="dxa"/>
            </w:tcMar>
            <w:shd w:fill="F7FBFF" w:val="clear"/>
          </w:tcPr>
          <w:p>
            <w:pPr>
              <w:pStyle w:val="Compact"/>
              <w:jc w:val="left"/>
            </w:pPr>
            <w:r>
              <w:t xml:space="preserve">Resource closure</w:t>
            </w:r>
          </w:p>
        </w:tc>
        <w:tc>
          <w:tcPr>
            <w:tcMar>
              <w:top w:w="80" w:type="dxa"/>
              <w:start w:w="90" w:type="dxa"/>
              <w:bottom w:w="80" w:type="dxa"/>
              <w:end w:w="90" w:type="dxa"/>
            </w:tcMar>
            <w:shd w:fill="F7FBFF" w:val="clear"/>
          </w:tcPr>
          <w:p>
            <w:pPr>
              <w:pStyle w:val="Compact"/>
              <w:jc w:val="left"/>
            </w:pPr>
            <w:r>
              <w:t xml:space="preserve">Are budget, time, people, compute, energy, materials, attention, and authority sufficient?</w:t>
            </w:r>
          </w:p>
        </w:tc>
      </w:tr>
      <w:tr>
        <w:trPr/>
        <w:tc>
          <w:tcPr>
            <w:tcMar>
              <w:top w:w="80" w:type="dxa"/>
              <w:start w:w="90" w:type="dxa"/>
              <w:bottom w:w="80" w:type="dxa"/>
              <w:end w:w="90" w:type="dxa"/>
            </w:tcMar>
            <w:shd w:fill="D9EAF7" w:val="clear"/>
          </w:tcPr>
          <w:p>
            <w:pPr>
              <w:pStyle w:val="Compact"/>
              <w:jc w:val="left"/>
            </w:pPr>
            <w:r>
              <w:t xml:space="preserve">SV-2</w:t>
            </w:r>
          </w:p>
        </w:tc>
        <w:tc>
          <w:tcPr>
            <w:tcMar>
              <w:top w:w="80" w:type="dxa"/>
              <w:start w:w="90" w:type="dxa"/>
              <w:bottom w:w="80" w:type="dxa"/>
              <w:end w:w="90" w:type="dxa"/>
            </w:tcMar>
            <w:shd w:fill="D9EAF7" w:val="clear"/>
          </w:tcPr>
          <w:p>
            <w:pPr>
              <w:pStyle w:val="Compact"/>
              <w:jc w:val="left"/>
            </w:pPr>
            <w:r>
              <w:t xml:space="preserve">Dependency closure</w:t>
            </w:r>
          </w:p>
        </w:tc>
        <w:tc>
          <w:tcPr>
            <w:tcMar>
              <w:top w:w="80" w:type="dxa"/>
              <w:start w:w="90" w:type="dxa"/>
              <w:bottom w:w="80" w:type="dxa"/>
              <w:end w:w="90" w:type="dxa"/>
            </w:tcMar>
            <w:shd w:fill="D9EAF7" w:val="clear"/>
          </w:tcPr>
          <w:p>
            <w:pPr>
              <w:pStyle w:val="Compact"/>
              <w:jc w:val="left"/>
            </w:pPr>
            <w:r>
              <w:t xml:space="preserve">Are prerequisites satisfied or assigned to credible owners and timelines?</w:t>
            </w:r>
          </w:p>
        </w:tc>
      </w:tr>
      <w:tr>
        <w:trPr/>
        <w:tc>
          <w:tcPr>
            <w:tcMar>
              <w:top w:w="80" w:type="dxa"/>
              <w:start w:w="90" w:type="dxa"/>
              <w:bottom w:w="80" w:type="dxa"/>
              <w:end w:w="90" w:type="dxa"/>
            </w:tcMar>
            <w:shd w:fill="F7FBFF" w:val="clear"/>
          </w:tcPr>
          <w:p>
            <w:pPr>
              <w:pStyle w:val="Compact"/>
              <w:jc w:val="left"/>
            </w:pPr>
            <w:r>
              <w:t xml:space="preserve">SV-3</w:t>
            </w:r>
          </w:p>
        </w:tc>
        <w:tc>
          <w:tcPr>
            <w:tcMar>
              <w:top w:w="80" w:type="dxa"/>
              <w:start w:w="90" w:type="dxa"/>
              <w:bottom w:w="80" w:type="dxa"/>
              <w:end w:w="90" w:type="dxa"/>
            </w:tcMar>
            <w:shd w:fill="F7FBFF" w:val="clear"/>
          </w:tcPr>
          <w:p>
            <w:pPr>
              <w:pStyle w:val="Compact"/>
              <w:jc w:val="left"/>
            </w:pPr>
            <w:r>
              <w:t xml:space="preserve">Reversibility / endpoint coherence</w:t>
            </w:r>
          </w:p>
        </w:tc>
        <w:tc>
          <w:tcPr>
            <w:tcMar>
              <w:top w:w="80" w:type="dxa"/>
              <w:start w:w="90" w:type="dxa"/>
              <w:bottom w:w="80" w:type="dxa"/>
              <w:end w:w="90" w:type="dxa"/>
            </w:tcMar>
            <w:shd w:fill="F7FBFF" w:val="clear"/>
          </w:tcPr>
          <w:p>
            <w:pPr>
              <w:pStyle w:val="Compact"/>
              <w:jc w:val="left"/>
            </w:pPr>
            <w:r>
              <w:t xml:space="preserve">Is rollback, endpoint, or irreversibility status declared and coherent?</w:t>
            </w:r>
          </w:p>
        </w:tc>
      </w:tr>
      <w:tr>
        <w:trPr/>
        <w:tc>
          <w:tcPr>
            <w:tcMar>
              <w:top w:w="80" w:type="dxa"/>
              <w:start w:w="90" w:type="dxa"/>
              <w:bottom w:w="80" w:type="dxa"/>
              <w:end w:w="90" w:type="dxa"/>
            </w:tcMar>
            <w:shd w:fill="D9EAF7" w:val="clear"/>
          </w:tcPr>
          <w:p>
            <w:pPr>
              <w:pStyle w:val="Compact"/>
              <w:jc w:val="left"/>
            </w:pPr>
            <w:r>
              <w:t xml:space="preserve">SV-4</w:t>
            </w:r>
          </w:p>
        </w:tc>
        <w:tc>
          <w:tcPr>
            <w:tcMar>
              <w:top w:w="80" w:type="dxa"/>
              <w:start w:w="90" w:type="dxa"/>
              <w:bottom w:w="80" w:type="dxa"/>
              <w:end w:w="90" w:type="dxa"/>
            </w:tcMar>
            <w:shd w:fill="D9EAF7" w:val="clear"/>
          </w:tcPr>
          <w:p>
            <w:pPr>
              <w:pStyle w:val="Compact"/>
              <w:jc w:val="left"/>
            </w:pPr>
            <w:r>
              <w:t xml:space="preserve">Capacity non-exceedance</w:t>
            </w:r>
          </w:p>
        </w:tc>
        <w:tc>
          <w:tcPr>
            <w:tcMar>
              <w:top w:w="80" w:type="dxa"/>
              <w:start w:w="90" w:type="dxa"/>
              <w:bottom w:w="80" w:type="dxa"/>
              <w:end w:w="90" w:type="dxa"/>
            </w:tcMar>
            <w:shd w:fill="D9EAF7" w:val="clear"/>
          </w:tcPr>
          <w:p>
            <w:pPr>
              <w:pStyle w:val="Compact"/>
              <w:jc w:val="left"/>
            </w:pPr>
            <w:r>
              <w:t xml:space="preserve">Does execution stay within operational, institutional, technical, and enforcement capacity?</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SV-5</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Internal non-contradiction</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Does the option avoid mutually incompatible requirements or declare a grounded reconciliation mechanism?</w:t>
            </w:r>
          </w:p>
        </w:tc>
      </w:tr>
    </w:tbl>
    <w:p>
      <w:pPr>
        <w:pStyle w:val="BodyText"/>
        <w:widowControl/>
      </w:pPr>
      <w:r>
        <w:t xml:space="preserve">An option with material SVC failure is not selectable for current execution, regardless of RLS rank.</w:t>
      </w:r>
    </w:p>
    <w:bookmarkEnd w:id="159"/>
    <w:bookmarkStart w:id="160" w:name="X219135b840305be90c9cee25256185e6e7afe67"/>
    <w:p>
      <w:pPr>
        <w:pStyle w:val="Heading3"/>
        <w:keepNext/>
        <w:keepLines/>
        <w:pageBreakBefore w:val="0"/>
        <w:widowControl/>
      </w:pPr>
      <w:r>
        <w:rPr>
          <w:rFonts w:ascii="Arial" w:hAnsi="Arial" w:eastAsia="Arial"/>
          <w:b/>
          <w:color w:val="1F4E78"/>
        </w:rPr>
        <w:t xml:space="preserve">9.3.3 Externality Containment Ledger</w:t>
      </w:r>
    </w:p>
    <w:p>
      <w:pPr>
        <w:pStyle w:val="FirstParagraph"/>
        <w:widowControl/>
      </w:pPr>
      <w:r>
        <w:t xml:space="preserve">CSV MUST make spillovers visible. For material runs, the PCC SHOULD include an ExternalityContainmentLedger with at least:</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Field</w:t>
            </w:r>
          </w:p>
        </w:tc>
        <w:tc>
          <w:tcPr>
            <w:shd w:fill="1F4E78" w:val="clear"/>
            <w:tcMar>
              <w:top w:w="80" w:type="dxa"/>
              <w:start w:w="90" w:type="dxa"/>
              <w:bottom w:w="80" w:type="dxa"/>
              <w:end w:w="90" w:type="dxa"/>
            </w:tcMar>
          </w:tcPr>
          <w:p>
            <w:pPr>
              <w:pStyle w:val="Compact"/>
              <w:jc w:val="left"/>
            </w:pPr>
            <w:r>
              <w:rPr>
                <w:b/>
                <w:bCs/>
                <w:color w:val="FFFFFF"/>
              </w:rPr>
              <w:t xml:space="preserve">Required content</w:t>
            </w:r>
          </w:p>
        </w:tc>
      </w:tr>
      <w:tr>
        <w:trPr/>
        <w:tc>
          <w:tcPr>
            <w:tcMar>
              <w:top w:w="80" w:type="dxa"/>
              <w:start w:w="90" w:type="dxa"/>
              <w:bottom w:w="80" w:type="dxa"/>
              <w:end w:w="90" w:type="dxa"/>
            </w:tcMar>
            <w:shd w:fill="F7FBFF" w:val="clear"/>
          </w:tcPr>
          <w:p>
            <w:pPr>
              <w:pStyle w:val="Compact"/>
              <w:jc w:val="left"/>
            </w:pPr>
            <w:r>
              <w:t xml:space="preserve">Spillover</w:t>
            </w:r>
          </w:p>
        </w:tc>
        <w:tc>
          <w:tcPr>
            <w:tcMar>
              <w:top w:w="80" w:type="dxa"/>
              <w:start w:w="90" w:type="dxa"/>
              <w:bottom w:w="80" w:type="dxa"/>
              <w:end w:w="90" w:type="dxa"/>
            </w:tcMar>
            <w:shd w:fill="F7FBFF" w:val="clear"/>
          </w:tcPr>
          <w:p>
            <w:pPr>
              <w:pStyle w:val="Compact"/>
              <w:jc w:val="left"/>
            </w:pPr>
            <w:r>
              <w:t xml:space="preserve">Smoke, noise, labor burden, dependency, extraction, attention harm, ecological stress, etc.</w:t>
            </w:r>
          </w:p>
        </w:tc>
      </w:tr>
      <w:tr>
        <w:trPr/>
        <w:tc>
          <w:tcPr>
            <w:tcMar>
              <w:top w:w="80" w:type="dxa"/>
              <w:start w:w="90" w:type="dxa"/>
              <w:bottom w:w="80" w:type="dxa"/>
              <w:end w:w="90" w:type="dxa"/>
            </w:tcMar>
            <w:shd w:fill="D9EAF7" w:val="clear"/>
          </w:tcPr>
          <w:p>
            <w:pPr>
              <w:pStyle w:val="Compact"/>
              <w:jc w:val="left"/>
            </w:pPr>
            <w:r>
              <w:t xml:space="preserve">Receiver</w:t>
            </w:r>
          </w:p>
        </w:tc>
        <w:tc>
          <w:tcPr>
            <w:tcMar>
              <w:top w:w="80" w:type="dxa"/>
              <w:start w:w="90" w:type="dxa"/>
              <w:bottom w:w="80" w:type="dxa"/>
              <w:end w:w="90" w:type="dxa"/>
            </w:tcMar>
            <w:shd w:fill="D9EAF7" w:val="clear"/>
          </w:tcPr>
          <w:p>
            <w:pPr>
              <w:pStyle w:val="Compact"/>
              <w:jc w:val="left"/>
            </w:pPr>
            <w:r>
              <w:t xml:space="preserve">Which union, subgroup, system, or future condition receives the burden.</w:t>
            </w:r>
          </w:p>
        </w:tc>
      </w:tr>
      <w:tr>
        <w:trPr/>
        <w:tc>
          <w:tcPr>
            <w:tcMar>
              <w:top w:w="80" w:type="dxa"/>
              <w:start w:w="90" w:type="dxa"/>
              <w:bottom w:w="80" w:type="dxa"/>
              <w:end w:w="90" w:type="dxa"/>
            </w:tcMar>
            <w:shd w:fill="F7FBFF" w:val="clear"/>
          </w:tcPr>
          <w:p>
            <w:pPr>
              <w:pStyle w:val="Compact"/>
              <w:jc w:val="left"/>
            </w:pPr>
            <w:r>
              <w:t xml:space="preserve">Severity</w:t>
            </w:r>
          </w:p>
        </w:tc>
        <w:tc>
          <w:tcPr>
            <w:tcMar>
              <w:top w:w="80" w:type="dxa"/>
              <w:start w:w="90" w:type="dxa"/>
              <w:bottom w:w="80" w:type="dxa"/>
              <w:end w:w="90" w:type="dxa"/>
            </w:tcMar>
            <w:shd w:fill="F7FBFF" w:val="clear"/>
          </w:tcPr>
          <w:p>
            <w:pPr>
              <w:pStyle w:val="Compact"/>
              <w:jc w:val="left"/>
            </w:pPr>
            <w:r>
              <w:t xml:space="preserve">Normalized severity or qualitative tier.</w:t>
            </w:r>
          </w:p>
        </w:tc>
      </w:tr>
      <w:tr>
        <w:trPr/>
        <w:tc>
          <w:tcPr>
            <w:tcMar>
              <w:top w:w="80" w:type="dxa"/>
              <w:start w:w="90" w:type="dxa"/>
              <w:bottom w:w="80" w:type="dxa"/>
              <w:end w:w="90" w:type="dxa"/>
            </w:tcMar>
            <w:shd w:fill="D9EAF7" w:val="clear"/>
          </w:tcPr>
          <w:p>
            <w:pPr>
              <w:pStyle w:val="Compact"/>
              <w:jc w:val="left"/>
            </w:pPr>
            <w:r>
              <w:t xml:space="preserve">Duration</w:t>
            </w:r>
          </w:p>
        </w:tc>
        <w:tc>
          <w:tcPr>
            <w:tcMar>
              <w:top w:w="80" w:type="dxa"/>
              <w:start w:w="90" w:type="dxa"/>
              <w:bottom w:w="80" w:type="dxa"/>
              <w:end w:w="90" w:type="dxa"/>
            </w:tcMar>
            <w:shd w:fill="D9EAF7" w:val="clear"/>
          </w:tcPr>
          <w:p>
            <w:pPr>
              <w:pStyle w:val="Compact"/>
              <w:jc w:val="left"/>
            </w:pPr>
            <w:r>
              <w:t xml:space="preserve">Acute, temporary, recurring, chronic, permanent, or irreversible.</w:t>
            </w:r>
          </w:p>
        </w:tc>
      </w:tr>
      <w:tr>
        <w:trPr/>
        <w:tc>
          <w:tcPr>
            <w:tcMar>
              <w:top w:w="80" w:type="dxa"/>
              <w:start w:w="90" w:type="dxa"/>
              <w:bottom w:w="80" w:type="dxa"/>
              <w:end w:w="90" w:type="dxa"/>
            </w:tcMar>
            <w:shd w:fill="F7FBFF" w:val="clear"/>
          </w:tcPr>
          <w:p>
            <w:pPr>
              <w:pStyle w:val="Compact"/>
              <w:jc w:val="left"/>
            </w:pPr>
            <w:r>
              <w:t xml:space="preserve">Mitigation</w:t>
            </w:r>
          </w:p>
        </w:tc>
        <w:tc>
          <w:tcPr>
            <w:tcMar>
              <w:top w:w="80" w:type="dxa"/>
              <w:start w:w="90" w:type="dxa"/>
              <w:bottom w:w="80" w:type="dxa"/>
              <w:end w:w="90" w:type="dxa"/>
            </w:tcMar>
            <w:shd w:fill="F7FBFF" w:val="clear"/>
          </w:tcPr>
          <w:p>
            <w:pPr>
              <w:pStyle w:val="Compact"/>
              <w:jc w:val="left"/>
            </w:pPr>
            <w:r>
              <w:t xml:space="preserve">Controls, design changes, monitoring, compensation, substitution, or remediation.</w:t>
            </w:r>
          </w:p>
        </w:tc>
      </w:tr>
      <w:tr>
        <w:trPr/>
        <w:tc>
          <w:tcPr>
            <w:tcMar>
              <w:top w:w="80" w:type="dxa"/>
              <w:start w:w="90" w:type="dxa"/>
              <w:bottom w:w="80" w:type="dxa"/>
              <w:end w:w="90" w:type="dxa"/>
            </w:tcMar>
            <w:shd w:fill="D9EAF7" w:val="clear"/>
          </w:tcPr>
          <w:p>
            <w:pPr>
              <w:pStyle w:val="Compact"/>
              <w:jc w:val="left"/>
            </w:pPr>
            <w:r>
              <w:t xml:space="preserve">Residual</w:t>
            </w:r>
          </w:p>
        </w:tc>
        <w:tc>
          <w:tcPr>
            <w:tcMar>
              <w:top w:w="80" w:type="dxa"/>
              <w:start w:w="90" w:type="dxa"/>
              <w:bottom w:w="80" w:type="dxa"/>
              <w:end w:w="90" w:type="dxa"/>
            </w:tcMar>
            <w:shd w:fill="D9EAF7" w:val="clear"/>
          </w:tcPr>
          <w:p>
            <w:pPr>
              <w:pStyle w:val="Compact"/>
              <w:jc w:val="left"/>
            </w:pPr>
            <w:r>
              <w:t xml:space="preserve">What burden remains after mitigation.</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Routing</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NCRC, TRC, CSV, RLS, monitoring, or escalation.</w:t>
            </w:r>
          </w:p>
        </w:tc>
      </w:tr>
    </w:tbl>
    <w:p>
      <w:pPr>
        <w:pStyle w:val="BodyText"/>
        <w:widowControl/>
      </w:pPr>
      <w:r>
        <w:t xml:space="preserve">Unrecorded material externalities are not neutral. They create CSV uncertainty and may trigger CSV_ESCALATE or CSV_REDESIGN_REQUIRED.</w:t>
      </w:r>
    </w:p>
    <w:bookmarkEnd w:id="160"/>
    <w:bookmarkStart w:id="161" w:name="X1478d5fa521686b99d469f5ea96de4412935338"/>
    <w:p>
      <w:pPr>
        <w:pStyle w:val="Heading3"/>
        <w:keepNext/>
        <w:keepLines/>
        <w:pageBreakBefore w:val="0"/>
        <w:widowControl/>
      </w:pPr>
      <w:r>
        <w:rPr>
          <w:rFonts w:ascii="Arial" w:hAnsi="Arial" w:eastAsia="Arial"/>
          <w:b/>
          <w:color w:val="1F4E78"/>
        </w:rPr>
        <w:t xml:space="preserve">9.3.4 Substitution Ladder</w:t>
      </w:r>
    </w:p>
    <w:p>
      <w:pPr>
        <w:pStyle w:val="FirstParagraph"/>
        <w:widowControl/>
      </w:pPr>
      <w:r>
        <w:t xml:space="preserve">CSV MUST ask whether a less harmful feasible alternative exists. The ladder is not a requirement to choose the ideal option immediately; it is a discipline against convenience-based harm.</w:t>
      </w:r>
    </w:p>
    <w:p>
      <w:pPr>
        <w:pStyle w:val="BodyText"/>
        <w:widowControl/>
      </w:pPr>
      <w:r>
        <w:t xml:space="preserve">Default substitution ladder:</w:t>
      </w:r>
    </w:p>
    <w:p>
      <w:pPr>
        <w:pStyle w:val="Compact"/>
        <w:widowControl/>
        <w:numPr>
          <w:ilvl w:val="0"/>
          <w:numId w:val="1096"/>
        </w:numPr>
      </w:pPr>
      <w:r>
        <w:t xml:space="preserve">Avoid the harmful need.</w:t>
      </w:r>
    </w:p>
    <w:p>
      <w:pPr>
        <w:pStyle w:val="Compact"/>
        <w:widowControl/>
        <w:numPr>
          <w:ilvl w:val="0"/>
          <w:numId w:val="1096"/>
        </w:numPr>
      </w:pPr>
      <w:r>
        <w:t xml:space="preserve">Reduce the demand.</w:t>
      </w:r>
    </w:p>
    <w:p>
      <w:pPr>
        <w:pStyle w:val="Compact"/>
        <w:widowControl/>
        <w:numPr>
          <w:ilvl w:val="0"/>
          <w:numId w:val="1096"/>
        </w:numPr>
      </w:pPr>
      <w:r>
        <w:t xml:space="preserve">Use low-harm alternative.</w:t>
      </w:r>
    </w:p>
    <w:p>
      <w:pPr>
        <w:pStyle w:val="Compact"/>
        <w:widowControl/>
        <w:numPr>
          <w:ilvl w:val="0"/>
          <w:numId w:val="1096"/>
        </w:numPr>
      </w:pPr>
      <w:r>
        <w:t xml:space="preserve">Use hybrid/backup alternative.</w:t>
      </w:r>
    </w:p>
    <w:p>
      <w:pPr>
        <w:pStyle w:val="Compact"/>
        <w:widowControl/>
        <w:numPr>
          <w:ilvl w:val="0"/>
          <w:numId w:val="1096"/>
        </w:numPr>
      </w:pPr>
      <w:r>
        <w:t xml:space="preserve">Use higher-harm option only with controls.</w:t>
      </w:r>
    </w:p>
    <w:p>
      <w:pPr>
        <w:pStyle w:val="Compact"/>
        <w:widowControl/>
        <w:numPr>
          <w:ilvl w:val="0"/>
          <w:numId w:val="1096"/>
        </w:numPr>
      </w:pPr>
      <w:r>
        <w:t xml:space="preserve">Use emergency provisional option only under necessity and review.</w:t>
      </w:r>
    </w:p>
    <w:p>
      <w:pPr>
        <w:pStyle w:val="Compact"/>
        <w:widowControl/>
        <w:numPr>
          <w:ilvl w:val="0"/>
          <w:numId w:val="1096"/>
        </w:numPr>
      </w:pPr>
      <w:r>
        <w:t xml:space="preserve">Reject or redesign if harms cannot be contained.</w:t>
      </w:r>
    </w:p>
    <w:p>
      <w:pPr>
        <w:pStyle w:val="FirstParagraph"/>
        <w:widowControl/>
      </w:pPr>
      <w:r>
        <w:t xml:space="preserve">If a materially cleaner and feasible alternative exists, choosing a more harmful option for convenience, profit, or status SHOULD trigger CSV_REDESIGN_REQUIRED or a high residual RLS penalty, depending on severity.</w:t>
      </w:r>
    </w:p>
    <w:bookmarkEnd w:id="161"/>
    <w:bookmarkStart w:id="162" w:name="X46bed7eb289fa7d5042e09391844af73b2eeceb"/>
    <w:p>
      <w:pPr>
        <w:pStyle w:val="Heading3"/>
        <w:keepNext/>
        <w:keepLines/>
        <w:pageBreakBefore w:val="0"/>
        <w:widowControl/>
      </w:pPr>
      <w:r>
        <w:rPr>
          <w:rFonts w:ascii="Arial" w:hAnsi="Arial" w:eastAsia="Arial"/>
          <w:b/>
          <w:color w:val="1F4E78"/>
        </w:rPr>
        <w:t xml:space="preserve">9.3.5 Necessity Corridor</w:t>
      </w:r>
    </w:p>
    <w:p>
      <w:pPr>
        <w:pStyle w:val="FirstParagraph"/>
        <w:widowControl/>
      </w:pPr>
      <w:r>
        <w:t xml:space="preserve">A harmful option MAY receive CSV_PASS_WITH_CONTROLS or CSV_EMERGENCY_PROVISIONAL only when it satisfies the necessity corridor:</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Corridor condition</w:t>
            </w:r>
          </w:p>
        </w:tc>
        <w:tc>
          <w:tcPr>
            <w:shd w:fill="1F4E78" w:val="clear"/>
            <w:tcMar>
              <w:top w:w="80" w:type="dxa"/>
              <w:start w:w="90" w:type="dxa"/>
              <w:bottom w:w="80" w:type="dxa"/>
              <w:end w:w="90" w:type="dxa"/>
            </w:tcMar>
          </w:tcPr>
          <w:p>
            <w:pPr>
              <w:pStyle w:val="Compact"/>
              <w:jc w:val="left"/>
            </w:pPr>
            <w:r>
              <w:rPr>
                <w:b/>
                <w:bCs/>
                <w:color w:val="FFFFFF"/>
              </w:rPr>
              <w:t xml:space="preserve">Requirement</w:t>
            </w:r>
          </w:p>
        </w:tc>
      </w:tr>
      <w:tr>
        <w:trPr/>
        <w:tc>
          <w:tcPr>
            <w:tcMar>
              <w:top w:w="80" w:type="dxa"/>
              <w:start w:w="90" w:type="dxa"/>
              <w:bottom w:w="80" w:type="dxa"/>
              <w:end w:w="90" w:type="dxa"/>
            </w:tcMar>
            <w:shd w:fill="F7FBFF" w:val="clear"/>
          </w:tcPr>
          <w:p>
            <w:pPr>
              <w:pStyle w:val="Compact"/>
              <w:jc w:val="left"/>
            </w:pPr>
            <w:r>
              <w:t xml:space="preserve">Necessity</w:t>
            </w:r>
          </w:p>
        </w:tc>
        <w:tc>
          <w:tcPr>
            <w:tcMar>
              <w:top w:w="80" w:type="dxa"/>
              <w:start w:w="90" w:type="dxa"/>
              <w:bottom w:w="80" w:type="dxa"/>
              <w:end w:w="90" w:type="dxa"/>
            </w:tcMar>
            <w:shd w:fill="F7FBFF" w:val="clear"/>
          </w:tcPr>
          <w:p>
            <w:pPr>
              <w:pStyle w:val="Compact"/>
              <w:jc w:val="left"/>
            </w:pPr>
            <w:r>
              <w:t xml:space="preserve">The option serves a real need, not mere convenience.</w:t>
            </w:r>
          </w:p>
        </w:tc>
      </w:tr>
      <w:tr>
        <w:trPr/>
        <w:tc>
          <w:tcPr>
            <w:tcMar>
              <w:top w:w="80" w:type="dxa"/>
              <w:start w:w="90" w:type="dxa"/>
              <w:bottom w:w="80" w:type="dxa"/>
              <w:end w:w="90" w:type="dxa"/>
            </w:tcMar>
            <w:shd w:fill="D9EAF7" w:val="clear"/>
          </w:tcPr>
          <w:p>
            <w:pPr>
              <w:pStyle w:val="Compact"/>
              <w:jc w:val="left"/>
            </w:pPr>
            <w:r>
              <w:t xml:space="preserve">No better feasible alternative now</w:t>
            </w:r>
          </w:p>
        </w:tc>
        <w:tc>
          <w:tcPr>
            <w:tcMar>
              <w:top w:w="80" w:type="dxa"/>
              <w:start w:w="90" w:type="dxa"/>
              <w:bottom w:w="80" w:type="dxa"/>
              <w:end w:w="90" w:type="dxa"/>
            </w:tcMar>
            <w:shd w:fill="D9EAF7" w:val="clear"/>
          </w:tcPr>
          <w:p>
            <w:pPr>
              <w:pStyle w:val="Compact"/>
              <w:jc w:val="left"/>
            </w:pPr>
            <w:r>
              <w:t xml:space="preserve">Cleaner or safer options are unavailable, unaffordable, disproportionate, or not timely under the declared reality surface.</w:t>
            </w:r>
          </w:p>
        </w:tc>
      </w:tr>
      <w:tr>
        <w:trPr/>
        <w:tc>
          <w:tcPr>
            <w:tcMar>
              <w:top w:w="80" w:type="dxa"/>
              <w:start w:w="90" w:type="dxa"/>
              <w:bottom w:w="80" w:type="dxa"/>
              <w:end w:w="90" w:type="dxa"/>
            </w:tcMar>
            <w:shd w:fill="F7FBFF" w:val="clear"/>
          </w:tcPr>
          <w:p>
            <w:pPr>
              <w:pStyle w:val="Compact"/>
              <w:jc w:val="left"/>
            </w:pPr>
            <w:r>
              <w:t xml:space="preserve">Boundedness</w:t>
            </w:r>
          </w:p>
        </w:tc>
        <w:tc>
          <w:tcPr>
            <w:tcMar>
              <w:top w:w="80" w:type="dxa"/>
              <w:start w:w="90" w:type="dxa"/>
              <w:bottom w:w="80" w:type="dxa"/>
              <w:end w:w="90" w:type="dxa"/>
            </w:tcMar>
            <w:shd w:fill="F7FBFF" w:val="clear"/>
          </w:tcPr>
          <w:p>
            <w:pPr>
              <w:pStyle w:val="Compact"/>
              <w:jc w:val="left"/>
            </w:pPr>
            <w:r>
              <w:t xml:space="preserve">Harm is limited in time, space, exposure, scale, and recurrence.</w:t>
            </w:r>
          </w:p>
        </w:tc>
      </w:tr>
      <w:tr>
        <w:trPr/>
        <w:tc>
          <w:tcPr>
            <w:tcMar>
              <w:top w:w="80" w:type="dxa"/>
              <w:start w:w="90" w:type="dxa"/>
              <w:bottom w:w="80" w:type="dxa"/>
              <w:end w:w="90" w:type="dxa"/>
            </w:tcMar>
            <w:shd w:fill="D9EAF7" w:val="clear"/>
          </w:tcPr>
          <w:p>
            <w:pPr>
              <w:pStyle w:val="Compact"/>
              <w:jc w:val="left"/>
            </w:pPr>
            <w:r>
              <w:t xml:space="preserve">Mitigation</w:t>
            </w:r>
          </w:p>
        </w:tc>
        <w:tc>
          <w:tcPr>
            <w:tcMar>
              <w:top w:w="80" w:type="dxa"/>
              <w:start w:w="90" w:type="dxa"/>
              <w:bottom w:w="80" w:type="dxa"/>
              <w:end w:w="90" w:type="dxa"/>
            </w:tcMar>
            <w:shd w:fill="D9EAF7" w:val="clear"/>
          </w:tcPr>
          <w:p>
            <w:pPr>
              <w:pStyle w:val="Compact"/>
              <w:jc w:val="left"/>
            </w:pPr>
            <w:r>
              <w:t xml:space="preserve">Controls reduce harm materially.</w:t>
            </w:r>
          </w:p>
        </w:tc>
      </w:tr>
      <w:tr>
        <w:trPr/>
        <w:tc>
          <w:tcPr>
            <w:tcMar>
              <w:top w:w="80" w:type="dxa"/>
              <w:start w:w="90" w:type="dxa"/>
              <w:bottom w:w="80" w:type="dxa"/>
              <w:end w:w="90" w:type="dxa"/>
            </w:tcMar>
            <w:shd w:fill="F7FBFF" w:val="clear"/>
          </w:tcPr>
          <w:p>
            <w:pPr>
              <w:pStyle w:val="Compact"/>
              <w:jc w:val="left"/>
            </w:pPr>
            <w:r>
              <w:t xml:space="preserve">Transparency</w:t>
            </w:r>
          </w:p>
        </w:tc>
        <w:tc>
          <w:tcPr>
            <w:tcMar>
              <w:top w:w="80" w:type="dxa"/>
              <w:start w:w="90" w:type="dxa"/>
              <w:bottom w:w="80" w:type="dxa"/>
              <w:end w:w="90" w:type="dxa"/>
            </w:tcMar>
            <w:shd w:fill="F7FBFF" w:val="clear"/>
          </w:tcPr>
          <w:p>
            <w:pPr>
              <w:pStyle w:val="Compact"/>
              <w:jc w:val="left"/>
            </w:pPr>
            <w:r>
              <w:t xml:space="preserve">The harm is not hidden, greenwashed, or falsely described.</w:t>
            </w:r>
          </w:p>
        </w:tc>
      </w:tr>
      <w:tr>
        <w:trPr/>
        <w:tc>
          <w:tcPr>
            <w:tcMar>
              <w:top w:w="80" w:type="dxa"/>
              <w:start w:w="90" w:type="dxa"/>
              <w:bottom w:w="80" w:type="dxa"/>
              <w:end w:w="90" w:type="dxa"/>
            </w:tcMar>
            <w:shd w:fill="D9EAF7" w:val="clear"/>
          </w:tcPr>
          <w:p>
            <w:pPr>
              <w:pStyle w:val="Compact"/>
              <w:jc w:val="left"/>
            </w:pPr>
            <w:r>
              <w:t xml:space="preserve">Reversibility / exit</w:t>
            </w:r>
          </w:p>
        </w:tc>
        <w:tc>
          <w:tcPr>
            <w:tcMar>
              <w:top w:w="80" w:type="dxa"/>
              <w:start w:w="90" w:type="dxa"/>
              <w:bottom w:w="80" w:type="dxa"/>
              <w:end w:w="90" w:type="dxa"/>
            </w:tcMar>
            <w:shd w:fill="D9EAF7" w:val="clear"/>
          </w:tcPr>
          <w:p>
            <w:pPr>
              <w:pStyle w:val="Compact"/>
              <w:jc w:val="left"/>
            </w:pPr>
            <w:r>
              <w:t xml:space="preserve">The option does not create avoidable lock-in.</w:t>
            </w:r>
          </w:p>
        </w:tc>
      </w:tr>
      <w:tr>
        <w:trPr/>
        <w:tc>
          <w:tcPr>
            <w:tcMar>
              <w:top w:w="80" w:type="dxa"/>
              <w:start w:w="90" w:type="dxa"/>
              <w:bottom w:w="80" w:type="dxa"/>
              <w:end w:w="90" w:type="dxa"/>
            </w:tcMar>
            <w:shd w:fill="F7FBFF" w:val="clear"/>
          </w:tcPr>
          <w:p>
            <w:pPr>
              <w:pStyle w:val="Compact"/>
              <w:jc w:val="left"/>
            </w:pPr>
            <w:r>
              <w:t xml:space="preserve">Transition</w:t>
            </w:r>
          </w:p>
        </w:tc>
        <w:tc>
          <w:tcPr>
            <w:tcMar>
              <w:top w:w="80" w:type="dxa"/>
              <w:start w:w="90" w:type="dxa"/>
              <w:bottom w:w="80" w:type="dxa"/>
              <w:end w:w="90" w:type="dxa"/>
            </w:tcMar>
            <w:shd w:fill="F7FBFF" w:val="clear"/>
          </w:tcPr>
          <w:p>
            <w:pPr>
              <w:pStyle w:val="Compact"/>
              <w:jc w:val="left"/>
            </w:pPr>
            <w:r>
              <w:t xml:space="preserve">A path to a cleaner, safer, or more viable option is declared where material.</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Review</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Monitoring and re-evaluation triggers are declared.</w:t>
            </w:r>
          </w:p>
        </w:tc>
      </w:tr>
    </w:tbl>
    <w:p>
      <w:pPr>
        <w:pStyle w:val="BodyText"/>
        <w:widowControl/>
      </w:pPr>
      <w:r>
        <w:t xml:space="preserve">The necessity corridor prevents CSV from becoming impossible purity ethics while preserving its ability to block structural laundering.</w:t>
      </w:r>
    </w:p>
    <w:bookmarkEnd w:id="162"/>
    <w:bookmarkEnd w:id="163"/>
    <w:bookmarkStart w:id="164" w:name="X0e249cf9d93b7660f71807b00968fccc95da3f6"/>
    <w:p>
      <w:pPr>
        <w:pStyle w:val="Heading2"/>
        <w:keepNext/>
        <w:keepLines/>
        <w:pageBreakBefore w:val="0"/>
        <w:widowControl/>
      </w:pPr>
      <w:r>
        <w:rPr>
          <w:rFonts w:ascii="Arial" w:hAnsi="Arial" w:eastAsia="Arial"/>
          <w:b/>
          <w:color w:val="1F4E78"/>
        </w:rPr>
        <w:t xml:space="preserve">9.4 CSV Diagnostic Concern Scale (Normative guidance)</w:t>
      </w:r>
    </w:p>
    <w:p>
      <w:pPr>
        <w:pStyle w:val="FirstParagraph"/>
        <w:widowControl/>
      </w:pPr>
      <w:r>
        <w:t xml:space="preserve">CSV MAY use internal diagnostic concern levels. These levels are not an RLS score and MUST NOT be treated as final welfare ranking.</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Level</w:t>
            </w:r>
          </w:p>
        </w:tc>
        <w:tc>
          <w:tcPr>
            <w:shd w:fill="1F4E78" w:val="clear"/>
            <w:tcMar>
              <w:top w:w="80" w:type="dxa"/>
              <w:start w:w="90" w:type="dxa"/>
              <w:bottom w:w="80" w:type="dxa"/>
              <w:end w:w="90" w:type="dxa"/>
            </w:tcMar>
          </w:tcPr>
          <w:p>
            <w:pPr>
              <w:pStyle w:val="Compact"/>
              <w:jc w:val="left"/>
            </w:pPr>
            <w:r>
              <w:rPr>
                <w:b/>
                <w:bCs/>
                <w:color w:val="FFFFFF"/>
              </w:rPr>
              <w:t xml:space="preserve">Meaning</w:t>
            </w:r>
          </w:p>
        </w:tc>
        <w:tc>
          <w:tcPr>
            <w:shd w:fill="1F4E78" w:val="clear"/>
            <w:tcMar>
              <w:top w:w="80" w:type="dxa"/>
              <w:start w:w="90" w:type="dxa"/>
              <w:bottom w:w="80" w:type="dxa"/>
              <w:end w:w="90" w:type="dxa"/>
            </w:tcMar>
          </w:tcPr>
          <w:p>
            <w:pPr>
              <w:pStyle w:val="Compact"/>
              <w:jc w:val="left"/>
            </w:pPr>
            <w:r>
              <w:rPr>
                <w:b/>
                <w:bCs/>
                <w:color w:val="FFFFFF"/>
              </w:rPr>
              <w:t xml:space="preserve">Default disposition</w:t>
            </w:r>
          </w:p>
        </w:tc>
      </w:tr>
      <w:tr>
        <w:trPr/>
        <w:tc>
          <w:tcPr>
            <w:tcMar>
              <w:top w:w="80" w:type="dxa"/>
              <w:start w:w="90" w:type="dxa"/>
              <w:bottom w:w="80" w:type="dxa"/>
              <w:end w:w="90" w:type="dxa"/>
            </w:tcMar>
            <w:shd w:fill="F7FBFF" w:val="clear"/>
          </w:tcPr>
          <w:p>
            <w:pPr>
              <w:pStyle w:val="Compact"/>
              <w:jc w:val="left"/>
            </w:pPr>
            <w:r>
              <w:t xml:space="preserve">0</w:t>
            </w:r>
          </w:p>
        </w:tc>
        <w:tc>
          <w:tcPr>
            <w:tcMar>
              <w:top w:w="80" w:type="dxa"/>
              <w:start w:w="90" w:type="dxa"/>
              <w:bottom w:w="80" w:type="dxa"/>
              <w:end w:w="90" w:type="dxa"/>
            </w:tcMar>
            <w:shd w:fill="F7FBFF" w:val="clear"/>
          </w:tcPr>
          <w:p>
            <w:pPr>
              <w:pStyle w:val="Compact"/>
              <w:jc w:val="left"/>
            </w:pPr>
            <w:r>
              <w:t xml:space="preserve">No material CSV concern.</w:t>
            </w:r>
          </w:p>
        </w:tc>
        <w:tc>
          <w:tcPr>
            <w:tcMar>
              <w:top w:w="80" w:type="dxa"/>
              <w:start w:w="90" w:type="dxa"/>
              <w:bottom w:w="80" w:type="dxa"/>
              <w:end w:w="90" w:type="dxa"/>
            </w:tcMar>
            <w:shd w:fill="F7FBFF" w:val="clear"/>
          </w:tcPr>
          <w:p>
            <w:pPr>
              <w:pStyle w:val="Compact"/>
              <w:jc w:val="left"/>
            </w:pPr>
            <w:r>
              <w:t xml:space="preserve">CSV_PASS.</w:t>
            </w:r>
          </w:p>
        </w:tc>
      </w:tr>
      <w:tr>
        <w:trPr/>
        <w:tc>
          <w:tcPr>
            <w:tcMar>
              <w:top w:w="80" w:type="dxa"/>
              <w:start w:w="90" w:type="dxa"/>
              <w:bottom w:w="80" w:type="dxa"/>
              <w:end w:w="90" w:type="dxa"/>
            </w:tcMar>
            <w:shd w:fill="D9EAF7" w:val="clear"/>
          </w:tcPr>
          <w:p>
            <w:pPr>
              <w:pStyle w:val="Compact"/>
              <w:jc w:val="left"/>
            </w:pPr>
            <w:r>
              <w:t xml:space="preserve">1</w:t>
            </w:r>
          </w:p>
        </w:tc>
        <w:tc>
          <w:tcPr>
            <w:tcMar>
              <w:top w:w="80" w:type="dxa"/>
              <w:start w:w="90" w:type="dxa"/>
              <w:bottom w:w="80" w:type="dxa"/>
              <w:end w:w="90" w:type="dxa"/>
            </w:tcMar>
            <w:shd w:fill="D9EAF7" w:val="clear"/>
          </w:tcPr>
          <w:p>
            <w:pPr>
              <w:pStyle w:val="Compact"/>
              <w:jc w:val="left"/>
            </w:pPr>
            <w:r>
              <w:t xml:space="preserve">Minor residual concern.</w:t>
            </w:r>
          </w:p>
        </w:tc>
        <w:tc>
          <w:tcPr>
            <w:tcMar>
              <w:top w:w="80" w:type="dxa"/>
              <w:start w:w="90" w:type="dxa"/>
              <w:bottom w:w="80" w:type="dxa"/>
              <w:end w:w="90" w:type="dxa"/>
            </w:tcMar>
            <w:shd w:fill="D9EAF7" w:val="clear"/>
          </w:tcPr>
          <w:p>
            <w:pPr>
              <w:pStyle w:val="Compact"/>
              <w:jc w:val="left"/>
            </w:pPr>
            <w:r>
              <w:t xml:space="preserve">Carry to RLS and monitoring.</w:t>
            </w:r>
          </w:p>
        </w:tc>
      </w:tr>
      <w:tr>
        <w:trPr/>
        <w:tc>
          <w:tcPr>
            <w:tcMar>
              <w:top w:w="80" w:type="dxa"/>
              <w:start w:w="90" w:type="dxa"/>
              <w:bottom w:w="80" w:type="dxa"/>
              <w:end w:w="90" w:type="dxa"/>
            </w:tcMar>
            <w:shd w:fill="F7FBFF" w:val="clear"/>
          </w:tcPr>
          <w:p>
            <w:pPr>
              <w:pStyle w:val="Compact"/>
              <w:jc w:val="left"/>
            </w:pPr>
            <w:r>
              <w:t xml:space="preserve">2</w:t>
            </w:r>
          </w:p>
        </w:tc>
        <w:tc>
          <w:tcPr>
            <w:tcMar>
              <w:top w:w="80" w:type="dxa"/>
              <w:start w:w="90" w:type="dxa"/>
              <w:bottom w:w="80" w:type="dxa"/>
              <w:end w:w="90" w:type="dxa"/>
            </w:tcMar>
            <w:shd w:fill="F7FBFF" w:val="clear"/>
          </w:tcPr>
          <w:p>
            <w:pPr>
              <w:pStyle w:val="Compact"/>
              <w:jc w:val="left"/>
            </w:pPr>
            <w:r>
              <w:t xml:space="preserve">Material concern requiring controls.</w:t>
            </w:r>
          </w:p>
        </w:tc>
        <w:tc>
          <w:tcPr>
            <w:tcMar>
              <w:top w:w="80" w:type="dxa"/>
              <w:start w:w="90" w:type="dxa"/>
              <w:bottom w:w="80" w:type="dxa"/>
              <w:end w:w="90" w:type="dxa"/>
            </w:tcMar>
            <w:shd w:fill="F7FBFF" w:val="clear"/>
          </w:tcPr>
          <w:p>
            <w:pPr>
              <w:pStyle w:val="Compact"/>
              <w:jc w:val="left"/>
            </w:pPr>
            <w:r>
              <w:t xml:space="preserve">CSV_PASS_WITH_CONTROLS if controls are binding.</w:t>
            </w:r>
          </w:p>
        </w:tc>
      </w:tr>
      <w:tr>
        <w:trPr/>
        <w:tc>
          <w:tcPr>
            <w:tcMar>
              <w:top w:w="80" w:type="dxa"/>
              <w:start w:w="90" w:type="dxa"/>
              <w:bottom w:w="80" w:type="dxa"/>
              <w:end w:w="90" w:type="dxa"/>
            </w:tcMar>
            <w:shd w:fill="D9EAF7" w:val="clear"/>
          </w:tcPr>
          <w:p>
            <w:pPr>
              <w:pStyle w:val="Compact"/>
              <w:jc w:val="left"/>
            </w:pPr>
            <w:r>
              <w:t xml:space="preserve">3</w:t>
            </w:r>
          </w:p>
        </w:tc>
        <w:tc>
          <w:tcPr>
            <w:tcMar>
              <w:top w:w="80" w:type="dxa"/>
              <w:start w:w="90" w:type="dxa"/>
              <w:bottom w:w="80" w:type="dxa"/>
              <w:end w:w="90" w:type="dxa"/>
            </w:tcMar>
            <w:shd w:fill="D9EAF7" w:val="clear"/>
          </w:tcPr>
          <w:p>
            <w:pPr>
              <w:pStyle w:val="Compact"/>
              <w:jc w:val="left"/>
            </w:pPr>
            <w:r>
              <w:t xml:space="preserve">Serious concern requiring redesign or higher review.</w:t>
            </w:r>
          </w:p>
        </w:tc>
        <w:tc>
          <w:tcPr>
            <w:tcMar>
              <w:top w:w="80" w:type="dxa"/>
              <w:start w:w="90" w:type="dxa"/>
              <w:bottom w:w="80" w:type="dxa"/>
              <w:end w:w="90" w:type="dxa"/>
            </w:tcMar>
            <w:shd w:fill="D9EAF7" w:val="clear"/>
          </w:tcPr>
          <w:p>
            <w:pPr>
              <w:pStyle w:val="Compact"/>
              <w:jc w:val="left"/>
            </w:pPr>
            <w:r>
              <w:t xml:space="preserve">CSV_REDESIGN_REQUIRED or CSV_ESCALATE.</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4</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Gate-failing concern.</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CSV_FAIL.</w:t>
            </w:r>
          </w:p>
        </w:tc>
      </w:tr>
    </w:tbl>
    <w:p>
      <w:pPr>
        <w:pStyle w:val="BodyText"/>
        <w:widowControl/>
      </w:pPr>
      <w:r>
        <w:t xml:space="preserve">Suggested diagnostic dimensions:</w:t>
      </w:r>
    </w:p>
    <w:p>
      <w:pPr>
        <w:pStyle w:val="Compact"/>
        <w:widowControl/>
        <w:numPr>
          <w:ilvl w:val="0"/>
          <w:numId w:val="1097"/>
        </w:numPr>
      </w:pPr>
      <w:r>
        <w:t xml:space="preserve">Containment integrity</w:t>
      </w:r>
    </w:p>
    <w:p>
      <w:pPr>
        <w:pStyle w:val="Compact"/>
        <w:widowControl/>
        <w:numPr>
          <w:ilvl w:val="0"/>
          <w:numId w:val="1097"/>
        </w:numPr>
      </w:pPr>
      <w:r>
        <w:t xml:space="preserve">Structural viability</w:t>
      </w:r>
    </w:p>
    <w:p>
      <w:pPr>
        <w:pStyle w:val="Compact"/>
        <w:widowControl/>
        <w:numPr>
          <w:ilvl w:val="0"/>
          <w:numId w:val="1097"/>
        </w:numPr>
      </w:pPr>
      <w:r>
        <w:t xml:space="preserve">Hollowing risk</w:t>
      </w:r>
    </w:p>
    <w:p>
      <w:pPr>
        <w:pStyle w:val="Compact"/>
        <w:widowControl/>
        <w:numPr>
          <w:ilvl w:val="0"/>
          <w:numId w:val="1097"/>
        </w:numPr>
      </w:pPr>
      <w:r>
        <w:t xml:space="preserve">Dependency or lock-in risk</w:t>
      </w:r>
    </w:p>
    <w:p>
      <w:pPr>
        <w:pStyle w:val="Compact"/>
        <w:widowControl/>
        <w:numPr>
          <w:ilvl w:val="0"/>
          <w:numId w:val="1097"/>
        </w:numPr>
      </w:pPr>
      <w:r>
        <w:t xml:space="preserve">Substitution pressure</w:t>
      </w:r>
    </w:p>
    <w:p>
      <w:pPr>
        <w:pStyle w:val="Compact"/>
        <w:widowControl/>
        <w:numPr>
          <w:ilvl w:val="0"/>
          <w:numId w:val="1097"/>
        </w:numPr>
      </w:pPr>
      <w:r>
        <w:t xml:space="preserve">Mitigation adequacy</w:t>
      </w:r>
    </w:p>
    <w:p>
      <w:pPr>
        <w:pStyle w:val="Compact"/>
        <w:widowControl/>
        <w:numPr>
          <w:ilvl w:val="0"/>
          <w:numId w:val="1097"/>
        </w:numPr>
      </w:pPr>
      <w:r>
        <w:t xml:space="preserve">Monitoring adequacy</w:t>
      </w:r>
    </w:p>
    <w:p>
      <w:pPr>
        <w:pStyle w:val="Compact"/>
        <w:widowControl/>
        <w:numPr>
          <w:ilvl w:val="0"/>
          <w:numId w:val="1097"/>
        </w:numPr>
      </w:pPr>
      <w:r>
        <w:t xml:space="preserve">Reversibility / exit</w:t>
      </w:r>
    </w:p>
    <w:p>
      <w:pPr>
        <w:pStyle w:val="Compact"/>
        <w:widowControl/>
        <w:numPr>
          <w:ilvl w:val="0"/>
          <w:numId w:val="1097"/>
        </w:numPr>
      </w:pPr>
      <w:r>
        <w:t xml:space="preserve">Accumulation risk</w:t>
      </w:r>
    </w:p>
    <w:p>
      <w:pPr>
        <w:pStyle w:val="Compact"/>
        <w:widowControl/>
        <w:numPr>
          <w:ilvl w:val="0"/>
          <w:numId w:val="1097"/>
        </w:numPr>
      </w:pPr>
      <w:r>
        <w:t xml:space="preserve">Governance or legitimacy stress</w:t>
      </w:r>
    </w:p>
    <w:p>
      <w:pPr>
        <w:pStyle w:val="FirstParagraph"/>
        <w:widowControl/>
      </w:pPr>
      <w:r>
        <w:t xml:space="preserve">Default status rule:</w:t>
      </w:r>
    </w:p>
    <w:p>
      <w:pPr>
        <w:pStyle w:val="BodyText"/>
        <w:widowControl/>
      </w:pPr>
      <w:r>
        <w:t xml:space="preserve">If any material diagnostic = 4, CSV_FAIL. If any material diagnostic = 3, CSV_REDESIGN_REQUIRED or CSV_ESCALATE. If any material diagnostic = 2, CSV_PASS_WITH_CONTROLS only if controls are binding and auditable. If all material diagnostics are 0 or 1, CSV_PASS and residuals carry to RLS.</w:t>
      </w:r>
    </w:p>
    <w:bookmarkEnd w:id="164"/>
    <w:bookmarkStart w:id="165" w:name="Xc988c8e5aada4f5d492ae6b5e9d15962f19e365"/>
    <w:p>
      <w:pPr>
        <w:pStyle w:val="Heading2"/>
        <w:keepNext/>
        <w:keepLines/>
        <w:pageBreakBefore w:val="0"/>
        <w:widowControl/>
      </w:pPr>
      <w:r>
        <w:rPr>
          <w:rFonts w:ascii="Arial" w:hAnsi="Arial" w:eastAsia="Arial"/>
          <w:b/>
          <w:color w:val="1F4E78"/>
        </w:rPr>
        <w:t xml:space="preserve">9.5 Formal CSV Predicate (Normative)</w:t>
      </w:r>
    </w:p>
    <w:p>
      <w:pPr>
        <w:pStyle w:val="FirstParagraph"/>
        <w:widowControl/>
      </w:pPr>
      <w:r>
        <w:t xml:space="preserve">Let A_adm be the set of options that pass NCRC and TRC, subject to Reality Grounding supporting the claim boundary.</w:t>
      </w:r>
    </w:p>
    <w:p>
      <w:pPr>
        <w:pStyle w:val="BodyText"/>
        <w:widowControl/>
      </w:pPr>
      <w:r>
        <w:t xml:space="preserve">For each option a in A_adm, compute CSV_status(a).</w:t>
      </w:r>
    </w:p>
    <w:p>
      <w:pPr>
        <w:pStyle w:val="BodyText"/>
        <w:widowControl/>
      </w:pPr>
      <w:r>
        <w:t xml:space="preserve">Default selectable set:</w:t>
      </w:r>
    </w:p>
    <w:p>
      <w:pPr>
        <w:pStyle w:val="BodyText"/>
        <w:widowControl/>
      </w:pPr>
      <w:r>
        <w:t xml:space="preserve">A_sel = {a in A_adm : CSV_status(a) in {CSV_PASS, CSV_PASS_WITH_CONTROLS, CSV_NOT_MATERIAL}}</w:t>
      </w:r>
    </w:p>
    <w:p>
      <w:pPr>
        <w:pStyle w:val="BodyText"/>
        <w:widowControl/>
      </w:pPr>
      <w:r>
        <w:t xml:space="preserve">Emergency provisional options are not ordinary members of A_sel. A CSV_EMERGENCY_PROVISIONAL option may be temporarily selected only through emergency protocol, with explicit time limit, harm cap, mitigation, review, and no full alignment claim.</w:t>
      </w:r>
    </w:p>
    <w:p>
      <w:pPr>
        <w:pStyle w:val="BodyText"/>
        <w:widowControl/>
      </w:pPr>
      <w:r>
        <w:t xml:space="preserve">CSV_NOT_MATERIAL is pass-equivalent only for the declared claim boundary after the PCC records the rationale that no material CSV burden is present. It MUST NOT be used to waive Structural Viability subchecks when execution feasibility, resource closure, dependency closure, reversibility, operational capacity, or internal coherence is material. In high-stakes or execution-bearing runs, CSV_NOT_MATERIAL may apply to the containment-integrity dimension while Structural Viability remains separately required where execution feasibility is material. If later evidence makes CSV material, CSV MUST be rerun.</w:t>
      </w:r>
    </w:p>
    <w:p>
      <w:pPr>
        <w:pStyle w:val="BodyText"/>
        <w:widowControl/>
      </w:pPr>
      <w:r>
        <w:t xml:space="preserve">RLS is applied only to A_sel, except where emergency protocol explicitly invokes fallback comparison.</w:t>
      </w:r>
    </w:p>
    <w:bookmarkEnd w:id="165"/>
    <w:bookmarkStart w:id="166" w:name="Xb31e192922d91f5db27d3355849b17997b22136"/>
    <w:p>
      <w:pPr>
        <w:pStyle w:val="Heading2"/>
        <w:keepNext/>
        <w:keepLines/>
        <w:pageBreakBefore w:val="0"/>
        <w:widowControl/>
      </w:pPr>
      <w:r>
        <w:rPr>
          <w:rFonts w:ascii="Arial" w:hAnsi="Arial" w:eastAsia="Arial"/>
          <w:b/>
          <w:color w:val="1F4E78"/>
        </w:rPr>
        <w:t xml:space="preserve">9.6 UCI, HOI, and Structural Diagnostic Placement (Normative)</w:t>
      </w:r>
    </w:p>
    <w:p>
      <w:pPr>
        <w:pStyle w:val="FirstParagraph"/>
        <w:widowControl/>
      </w:pPr>
      <w:r>
        <w:t xml:space="preserve">CSV is the authority layer for cross-scale structural integrity. UCI, HOI, Adaptive Reserve, and related structural indicators are diagnostic instruments. When such indicators are material to whether an option degrades a containing union, hollows out capacity, creates dependency, or undermines structural viability, they are evaluated inside CSV before RLS.</w:t>
      </w:r>
    </w:p>
    <w:p>
      <w:pPr>
        <w:pStyle w:val="BodyText"/>
        <w:widowControl/>
      </w:pPr>
      <w:r>
        <w:t xml:space="preserve">UCI/HOI are not public cascade stages. They are not separate gates by default. They are structural diagnostics inside CSV when material, and residual tie-break or monitoring signals only after options are already selectable and RLS is tied, close, uncertainty-overlapped, or non-decisive.</w:t>
      </w:r>
    </w:p>
    <w:p>
      <w:pPr>
        <w:pStyle w:val="BodyText"/>
        <w:widowControl/>
      </w:pPr>
      <w:r>
        <w:t xml:space="preserve">If UCI/HOI or equivalent structural diagnostic evidence is required for a CSV determination and unavailable, the implementation SHALL record CSV_STRUCTURAL_DIAGNOSTIC_UNAVAILABLE or the more specific CSV_UCI_HOI_UNAVAILABLE flag. A run with unresolved material diagnostic unavailability SHALL NOT claim an unqualified CSV pass or Tier 3 CSV conformance.</w:t>
      </w:r>
    </w:p>
    <w:bookmarkEnd w:id="166"/>
    <w:bookmarkStart w:id="167" w:name="X63d95cdf22047d45bf1ad7fe07abcf236f9d99c"/>
    <w:p>
      <w:pPr>
        <w:pStyle w:val="Heading2"/>
        <w:keepNext/>
        <w:keepLines/>
        <w:pageBreakBefore w:val="0"/>
        <w:widowControl/>
      </w:pPr>
      <w:r>
        <w:rPr>
          <w:rFonts w:ascii="Arial" w:hAnsi="Arial" w:eastAsia="Arial"/>
          <w:b/>
          <w:color w:val="1F4E78"/>
        </w:rPr>
        <w:t xml:space="preserve">9.7 CSV Fail Conditions (Normative)</w:t>
      </w:r>
    </w:p>
    <w:p>
      <w:pPr>
        <w:pStyle w:val="FirstParagraph"/>
        <w:widowControl/>
      </w:pPr>
      <w:r>
        <w:t xml:space="preserve">CSV MUST fail, redesign, or escalate an option when any of the following are material and unresolved:</w:t>
      </w:r>
    </w:p>
    <w:p>
      <w:pPr>
        <w:pStyle w:val="Compact"/>
        <w:widowControl/>
        <w:numPr>
          <w:ilvl w:val="0"/>
          <w:numId w:val="1098"/>
        </w:numPr>
      </w:pPr>
      <w:r>
        <w:t xml:space="preserve">Container destruction: the option damages the system that makes the claimed benefit possible.</w:t>
      </w:r>
    </w:p>
    <w:p>
      <w:pPr>
        <w:pStyle w:val="Compact"/>
        <w:widowControl/>
        <w:numPr>
          <w:ilvl w:val="0"/>
          <w:numId w:val="1098"/>
        </w:numPr>
      </w:pPr>
      <w:r>
        <w:t xml:space="preserve">Forced externalization: the option works by pushing burden onto people, ecosystems, or future agents who cannot consent, contest, or recover.</w:t>
      </w:r>
    </w:p>
    <w:p>
      <w:pPr>
        <w:pStyle w:val="Compact"/>
        <w:widowControl/>
        <w:numPr>
          <w:ilvl w:val="0"/>
          <w:numId w:val="1098"/>
        </w:numPr>
      </w:pPr>
      <w:r>
        <w:t xml:space="preserve">Structural non-viability: the option cannot execute under real resource, dependency, capacity, authority, or contradiction constraints.</w:t>
      </w:r>
    </w:p>
    <w:p>
      <w:pPr>
        <w:pStyle w:val="Compact"/>
        <w:widowControl/>
        <w:numPr>
          <w:ilvl w:val="0"/>
          <w:numId w:val="1098"/>
        </w:numPr>
      </w:pPr>
      <w:r>
        <w:t xml:space="preserve">Hollowing: the option improves surface metrics while weakening the deeper capacity the metric was meant to serve.</w:t>
      </w:r>
    </w:p>
    <w:p>
      <w:pPr>
        <w:pStyle w:val="Compact"/>
        <w:widowControl/>
        <w:numPr>
          <w:ilvl w:val="0"/>
          <w:numId w:val="1098"/>
        </w:numPr>
      </w:pPr>
      <w:r>
        <w:t xml:space="preserve">Lock-in or dependency: the option creates avoidable dependency that makes better futures harder.</w:t>
      </w:r>
    </w:p>
    <w:p>
      <w:pPr>
        <w:pStyle w:val="Compact"/>
        <w:widowControl/>
        <w:numPr>
          <w:ilvl w:val="0"/>
          <w:numId w:val="1098"/>
        </w:numPr>
      </w:pPr>
      <w:r>
        <w:t xml:space="preserve">Unbounded accumulation: individually small harms scale into systemic degradation when repeated.</w:t>
      </w:r>
    </w:p>
    <w:p>
      <w:pPr>
        <w:pStyle w:val="Compact"/>
        <w:widowControl/>
        <w:numPr>
          <w:ilvl w:val="0"/>
          <w:numId w:val="1098"/>
        </w:numPr>
      </w:pPr>
      <w:r>
        <w:t xml:space="preserve">Unmonitored invisible harm: material harms exist without monitoring, audit, review, or feedback path.</w:t>
      </w:r>
    </w:p>
    <w:p>
      <w:pPr>
        <w:pStyle w:val="Compact"/>
        <w:widowControl/>
        <w:numPr>
          <w:ilvl w:val="0"/>
          <w:numId w:val="1098"/>
        </w:numPr>
      </w:pPr>
      <w:r>
        <w:t xml:space="preserve">Better feasible alternative ignored: a much cleaner or safer feasible option exists, but the harmful option is chosen for convenience, status, or profit.</w:t>
      </w:r>
    </w:p>
    <w:bookmarkEnd w:id="167"/>
    <w:bookmarkStart w:id="168" w:name="X3db7f0b59b3cfb1329f59173fa2d579eb0b98a8"/>
    <w:p>
      <w:pPr>
        <w:pStyle w:val="Heading2"/>
        <w:keepNext/>
        <w:keepLines/>
        <w:pageBreakBefore w:val="0"/>
        <w:widowControl/>
      </w:pPr>
      <w:r>
        <w:rPr>
          <w:rFonts w:ascii="Arial" w:hAnsi="Arial" w:eastAsia="Arial"/>
          <w:b/>
          <w:color w:val="1F4E78"/>
        </w:rPr>
        <w:t xml:space="preserve">9.8 CSV Pass Conditions (Normative)</w:t>
      </w:r>
    </w:p>
    <w:p>
      <w:pPr>
        <w:pStyle w:val="FirstParagraph"/>
        <w:widowControl/>
      </w:pPr>
      <w:r>
        <w:t xml:space="preserve">CSV MAY pass an option when harms are visible, rights floors are intact, tail risk is bounded, containment burden is limited, structural viability is real, externalities are mitigated, residual harms are carried into RLS, monitoring exists where needed, lock-in is avoided or justified, better alternatives are unavailable or disproportionate, and transition or review plans exist where material.</w:t>
      </w:r>
    </w:p>
    <w:p>
      <w:pPr>
        <w:pStyle w:val="BodyText"/>
        <w:widowControl/>
      </w:pPr>
      <w:r>
        <w:t xml:space="preserve">Plain-language test:</w:t>
      </w:r>
    </w:p>
    <w:p>
      <w:pPr>
        <w:pStyle w:val="BodyText"/>
        <w:widowControl/>
      </w:pPr>
      <w:r>
        <w:t xml:space="preserve">Harm does not equal fail. Hidden, unbounded, unjust, irreversible, or structurally degrading harm equals fail, redesign, escalation, or emergency provisional treatment.</w:t>
      </w:r>
    </w:p>
    <w:p>
      <w:pPr>
        <w:pStyle w:val="Heading3"/>
        <w:keepNext/>
        <w:keepLines/>
        <w:pageBreakBefore w:val="0"/>
        <w:widowControl/>
      </w:pPr>
      <w:r>
        <w:rPr>
          <w:rFonts w:ascii="Arial" w:hAnsi="Arial" w:eastAsia="Arial"/>
          <w:b/>
          <w:color w:val="1F4E78"/>
        </w:rPr>
        <w:t>9.8A Binding-control and obligation-integrity condition (Normative)</w:t>
      </w:r>
    </w:p>
    <w:p>
      <w:pPr>
        <w:pStyle w:val="FirstParagraph"/>
        <w:widowControl/>
      </w:pPr>
      <w:r>
        <w:t>A CSV_PASS_WITH_CONTROLS is claimable only when every selectability-material control satisfies Section 4.10A. Controls that are promised, unowned, under-resourced, unmonitored, consequence-free, dependent on silent carrier compensation, or alterable without governed change control SHALL NOT upgrade CSV status. If carrier nonperformance, control expiry, or unauthorized control modification would leave a material harm uncontained, the option must be redesigned, escalated, suspended, or failed according to severity and available alternatives.</w:t>
      </w:r>
    </w:p>
    <w:p>
      <w:pPr>
        <w:pStyle w:val="Heading3"/>
        <w:keepNext/>
        <w:keepLines/>
        <w:pageBreakBefore w:val="0"/>
        <w:widowControl/>
      </w:pPr>
      <w:r>
        <w:rPr>
          <w:rFonts w:ascii="Arial" w:hAnsi="Arial" w:eastAsia="Arial"/>
          <w:b/>
          <w:color w:val="1F4E78"/>
        </w:rPr>
        <w:t>9.8B Human-compensation-load diagnostic (Normative when triggered)</w:t>
      </w:r>
    </w:p>
    <w:p>
      <w:pPr>
        <w:pStyle w:val="FirstParagraph"/>
        <w:widowControl/>
      </w:pPr>
      <w:r>
        <w:t>CSV SHALL test hidden human compensation when current performance, proposed automation, scaling, outsourcing, or role removal could conceal a dependency on undocumented judgment or recovery work. A bounded and supported human contribution may remain part of a viable design. A material, unrecorded, involuntary, saturated, single-carrier, or non-substitutable compensation burden requires binding controls, capacity restoration, documentation, redistribution, redesign, escalation, or failure. This diagnostic remains inside CSV and does not create a new gate or presume that all human adaptation is undesirable.</w:t>
      </w:r>
    </w:p>
    <w:bookmarkEnd w:id="168"/>
    <w:bookmarkStart w:id="169" w:name="X6c0cd97793cb0cc7558404d52070197c02f412c"/>
    <w:p>
      <w:pPr>
        <w:pStyle w:val="Heading2"/>
        <w:keepNext/>
        <w:keepLines/>
        <w:pageBreakBefore w:val="0"/>
        <w:widowControl/>
      </w:pPr>
      <w:r>
        <w:rPr>
          <w:rFonts w:ascii="Arial" w:hAnsi="Arial" w:eastAsia="Arial"/>
          <w:b/>
          <w:color w:val="1F4E78"/>
        </w:rPr>
        <w:t xml:space="preserve">9.9 Worked Normative Example: Backup Diesel Generator (Informative but Canon-Guiding)</w:t>
      </w:r>
    </w:p>
    <w:p>
      <w:pPr>
        <w:pStyle w:val="FirstParagraph"/>
        <w:widowControl/>
      </w:pPr>
      <w:r>
        <w:t xml:space="preserve">A small organic cafe may need a backup diesel generator during power cuts. The generator produces smoke, noise, local air pollution, and emissions. Without it, the cafe may lose food, income, jobs, community function, and operational continuity.</w:t>
      </w:r>
    </w:p>
    <w:p>
      <w:pPr>
        <w:pStyle w:val="BodyText"/>
        <w:widowControl/>
      </w:pPr>
      <w:r>
        <w:t xml:space="preserve">CSV MUST NOT treat this as an automatic fail merely because harm exists. CSV MUST also not allow the cafe’s local survival benefit to hide uncontained harm.</w:t>
      </w:r>
    </w:p>
    <w:p>
      <w:pPr>
        <w:pStyle w:val="BodyText"/>
        <w:widowControl/>
      </w:pPr>
      <w:r>
        <w:t xml:space="preserve">Illustrative dispositions:</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Generator condition</w:t>
            </w:r>
          </w:p>
        </w:tc>
        <w:tc>
          <w:tcPr>
            <w:shd w:fill="1F4E78" w:val="clear"/>
            <w:tcMar>
              <w:top w:w="80" w:type="dxa"/>
              <w:start w:w="90" w:type="dxa"/>
              <w:bottom w:w="80" w:type="dxa"/>
              <w:end w:w="90" w:type="dxa"/>
            </w:tcMar>
          </w:tcPr>
          <w:p>
            <w:pPr>
              <w:pStyle w:val="Compact"/>
              <w:jc w:val="left"/>
            </w:pPr>
            <w:r>
              <w:rPr>
                <w:b/>
                <w:bCs/>
                <w:color w:val="FFFFFF"/>
              </w:rPr>
              <w:t xml:space="preserve">CSV disposition</w:t>
            </w:r>
          </w:p>
        </w:tc>
        <w:tc>
          <w:tcPr>
            <w:shd w:fill="1F4E78" w:val="clear"/>
            <w:tcMar>
              <w:top w:w="80" w:type="dxa"/>
              <w:start w:w="90" w:type="dxa"/>
              <w:bottom w:w="80" w:type="dxa"/>
              <w:end w:w="90" w:type="dxa"/>
            </w:tcMar>
          </w:tcPr>
          <w:p>
            <w:pPr>
              <w:pStyle w:val="Compact"/>
              <w:jc w:val="left"/>
            </w:pPr>
            <w:r>
              <w:rPr>
                <w:b/>
                <w:bCs/>
                <w:color w:val="FFFFFF"/>
              </w:rPr>
              <w:t xml:space="preserve">Rationale</w:t>
            </w:r>
          </w:p>
        </w:tc>
      </w:tr>
      <w:tr>
        <w:trPr/>
        <w:tc>
          <w:tcPr>
            <w:tcMar>
              <w:top w:w="80" w:type="dxa"/>
              <w:start w:w="90" w:type="dxa"/>
              <w:bottom w:w="80" w:type="dxa"/>
              <w:end w:w="90" w:type="dxa"/>
            </w:tcMar>
            <w:shd w:fill="F7FBFF" w:val="clear"/>
          </w:tcPr>
          <w:p>
            <w:pPr>
              <w:pStyle w:val="Compact"/>
              <w:jc w:val="left"/>
            </w:pPr>
            <w:r>
              <w:t xml:space="preserve">Generator used indoors, near air intakes, or near vulnerable people without controls.</w:t>
            </w:r>
          </w:p>
        </w:tc>
        <w:tc>
          <w:tcPr>
            <w:tcMar>
              <w:top w:w="80" w:type="dxa"/>
              <w:start w:w="90" w:type="dxa"/>
              <w:bottom w:w="80" w:type="dxa"/>
              <w:end w:w="90" w:type="dxa"/>
            </w:tcMar>
            <w:shd w:fill="F7FBFF" w:val="clear"/>
          </w:tcPr>
          <w:p>
            <w:pPr>
              <w:pStyle w:val="Compact"/>
              <w:jc w:val="left"/>
            </w:pPr>
            <w:r>
              <w:t xml:space="preserve">CSV_FAIL or NCRC escalation.</w:t>
            </w:r>
          </w:p>
        </w:tc>
        <w:tc>
          <w:tcPr>
            <w:tcMar>
              <w:top w:w="80" w:type="dxa"/>
              <w:start w:w="90" w:type="dxa"/>
              <w:bottom w:w="80" w:type="dxa"/>
              <w:end w:w="90" w:type="dxa"/>
            </w:tcMar>
            <w:shd w:fill="F7FBFF" w:val="clear"/>
          </w:tcPr>
          <w:p>
            <w:pPr>
              <w:pStyle w:val="Compact"/>
              <w:jc w:val="left"/>
            </w:pPr>
            <w:r>
              <w:t xml:space="preserve">Serious health/safety exposure and containment breach.</w:t>
            </w:r>
          </w:p>
        </w:tc>
      </w:tr>
      <w:tr>
        <w:trPr/>
        <w:tc>
          <w:tcPr>
            <w:tcMar>
              <w:top w:w="80" w:type="dxa"/>
              <w:start w:w="90" w:type="dxa"/>
              <w:bottom w:w="80" w:type="dxa"/>
              <w:end w:w="90" w:type="dxa"/>
            </w:tcMar>
            <w:shd w:fill="D9EAF7" w:val="clear"/>
          </w:tcPr>
          <w:p>
            <w:pPr>
              <w:pStyle w:val="Compact"/>
              <w:jc w:val="left"/>
            </w:pPr>
            <w:r>
              <w:t xml:space="preserve">Outdoor generator, frequent use, no mitigation, no review, no transition.</w:t>
            </w:r>
          </w:p>
        </w:tc>
        <w:tc>
          <w:tcPr>
            <w:tcMar>
              <w:top w:w="80" w:type="dxa"/>
              <w:start w:w="90" w:type="dxa"/>
              <w:bottom w:w="80" w:type="dxa"/>
              <w:end w:w="90" w:type="dxa"/>
            </w:tcMar>
            <w:shd w:fill="D9EAF7" w:val="clear"/>
          </w:tcPr>
          <w:p>
            <w:pPr>
              <w:pStyle w:val="Compact"/>
              <w:jc w:val="left"/>
            </w:pPr>
            <w:r>
              <w:t xml:space="preserve">CSV_REDESIGN_REQUIRED.</w:t>
            </w:r>
          </w:p>
        </w:tc>
        <w:tc>
          <w:tcPr>
            <w:tcMar>
              <w:top w:w="80" w:type="dxa"/>
              <w:start w:w="90" w:type="dxa"/>
              <w:bottom w:w="80" w:type="dxa"/>
              <w:end w:w="90" w:type="dxa"/>
            </w:tcMar>
            <w:shd w:fill="D9EAF7" w:val="clear"/>
          </w:tcPr>
          <w:p>
            <w:pPr>
              <w:pStyle w:val="Compact"/>
              <w:jc w:val="left"/>
            </w:pPr>
            <w:r>
              <w:t xml:space="preserve">Harm is visible but insufficiently contained.</w:t>
            </w:r>
          </w:p>
        </w:tc>
      </w:tr>
      <w:tr>
        <w:trPr/>
        <w:tc>
          <w:tcPr>
            <w:tcMar>
              <w:top w:w="80" w:type="dxa"/>
              <w:start w:w="90" w:type="dxa"/>
              <w:bottom w:w="80" w:type="dxa"/>
              <w:end w:w="90" w:type="dxa"/>
            </w:tcMar>
            <w:shd w:fill="F7FBFF" w:val="clear"/>
          </w:tcPr>
          <w:p>
            <w:pPr>
              <w:pStyle w:val="Compact"/>
              <w:jc w:val="left"/>
            </w:pPr>
            <w:r>
              <w:t xml:space="preserve">Outdoor generator, limited outages, exhaust away from people, maintenance, fuel controls, noise limits, and transition plan.</w:t>
            </w:r>
          </w:p>
        </w:tc>
        <w:tc>
          <w:tcPr>
            <w:tcMar>
              <w:top w:w="80" w:type="dxa"/>
              <w:start w:w="90" w:type="dxa"/>
              <w:bottom w:w="80" w:type="dxa"/>
              <w:end w:w="90" w:type="dxa"/>
            </w:tcMar>
            <w:shd w:fill="F7FBFF" w:val="clear"/>
          </w:tcPr>
          <w:p>
            <w:pPr>
              <w:pStyle w:val="Compact"/>
              <w:jc w:val="left"/>
            </w:pPr>
            <w:r>
              <w:t xml:space="preserve">CSV_PASS_WITH_CONTROLS.</w:t>
            </w:r>
          </w:p>
        </w:tc>
        <w:tc>
          <w:tcPr>
            <w:tcMar>
              <w:top w:w="80" w:type="dxa"/>
              <w:start w:w="90" w:type="dxa"/>
              <w:bottom w:w="80" w:type="dxa"/>
              <w:end w:w="90" w:type="dxa"/>
            </w:tcMar>
            <w:shd w:fill="F7FBFF" w:val="clear"/>
          </w:tcPr>
          <w:p>
            <w:pPr>
              <w:pStyle w:val="Compact"/>
              <w:jc w:val="left"/>
            </w:pPr>
            <w:r>
              <w:t xml:space="preserve">Harm is bounded, necessary, mitigated, transparent, and reviewable.</w:t>
            </w:r>
          </w:p>
        </w:tc>
      </w:tr>
      <w:tr>
        <w:trPr/>
        <w:tc>
          <w:tcPr>
            <w:tcMar>
              <w:top w:w="80" w:type="dxa"/>
              <w:start w:w="90" w:type="dxa"/>
              <w:bottom w:w="80" w:type="dxa"/>
              <w:end w:w="90" w:type="dxa"/>
            </w:tcMar>
            <w:shd w:fill="D9EAF7" w:val="clear"/>
          </w:tcPr>
          <w:p>
            <w:pPr>
              <w:pStyle w:val="Compact"/>
              <w:jc w:val="left"/>
            </w:pPr>
            <w:r>
              <w:t xml:space="preserve">Battery/inverter feasible now.</w:t>
            </w:r>
          </w:p>
        </w:tc>
        <w:tc>
          <w:tcPr>
            <w:tcMar>
              <w:top w:w="80" w:type="dxa"/>
              <w:start w:w="90" w:type="dxa"/>
              <w:bottom w:w="80" w:type="dxa"/>
              <w:end w:w="90" w:type="dxa"/>
            </w:tcMar>
            <w:shd w:fill="D9EAF7" w:val="clear"/>
          </w:tcPr>
          <w:p>
            <w:pPr>
              <w:pStyle w:val="Compact"/>
              <w:jc w:val="left"/>
            </w:pPr>
            <w:r>
              <w:t xml:space="preserve">CSV_PASS; likely higher RLS.</w:t>
            </w:r>
          </w:p>
        </w:tc>
        <w:tc>
          <w:tcPr>
            <w:tcMar>
              <w:top w:w="80" w:type="dxa"/>
              <w:start w:w="90" w:type="dxa"/>
              <w:bottom w:w="80" w:type="dxa"/>
              <w:end w:w="90" w:type="dxa"/>
            </w:tcMar>
            <w:shd w:fill="D9EAF7" w:val="clear"/>
          </w:tcPr>
          <w:p>
            <w:pPr>
              <w:pStyle w:val="Compact"/>
              <w:jc w:val="left"/>
            </w:pPr>
            <w:r>
              <w:t xml:space="preserve">Lower containment burden.</w:t>
            </w:r>
          </w:p>
        </w:tc>
      </w:tr>
      <w:tr>
        <w:trPr/>
        <w:tc>
          <w:tcPr>
            <w:tcMar>
              <w:top w:w="80" w:type="dxa"/>
              <w:start w:w="90" w:type="dxa"/>
              <w:bottom w:w="80" w:type="dxa"/>
              <w:end w:w="90" w:type="dxa"/>
            </w:tcMar>
            <w:shd w:fill="F7FBFF" w:val="clear"/>
          </w:tcPr>
          <w:p>
            <w:pPr>
              <w:pStyle w:val="Compact"/>
              <w:jc w:val="left"/>
            </w:pPr>
            <w:r>
              <w:t xml:space="preserve">Solar + battery + emergency diesel only.</w:t>
            </w:r>
          </w:p>
        </w:tc>
        <w:tc>
          <w:tcPr>
            <w:tcMar>
              <w:top w:w="80" w:type="dxa"/>
              <w:start w:w="90" w:type="dxa"/>
              <w:bottom w:w="80" w:type="dxa"/>
              <w:end w:w="90" w:type="dxa"/>
            </w:tcMar>
            <w:shd w:fill="F7FBFF" w:val="clear"/>
          </w:tcPr>
          <w:p>
            <w:pPr>
              <w:pStyle w:val="Compact"/>
              <w:jc w:val="left"/>
            </w:pPr>
            <w:r>
              <w:t xml:space="preserve">CSV_PASS; likely stronger RLS if feasible.</w:t>
            </w:r>
          </w:p>
        </w:tc>
        <w:tc>
          <w:tcPr>
            <w:tcMar>
              <w:top w:w="80" w:type="dxa"/>
              <w:start w:w="90" w:type="dxa"/>
              <w:bottom w:w="80" w:type="dxa"/>
              <w:end w:w="90" w:type="dxa"/>
            </w:tcMar>
            <w:shd w:fill="F7FBFF" w:val="clear"/>
          </w:tcPr>
          <w:p>
            <w:pPr>
              <w:pStyle w:val="Compact"/>
              <w:jc w:val="left"/>
            </w:pPr>
            <w:r>
              <w:t xml:space="preserve">Better resilience/environment balance.</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Closing during outages.</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CSV_PASS but RLS context-dependent.</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Avoids smoke but may harm livelihood, waste food, and reduce community function.</w:t>
            </w:r>
          </w:p>
        </w:tc>
      </w:tr>
    </w:tbl>
    <w:p>
      <w:pPr>
        <w:pStyle w:val="BodyText"/>
        <w:widowControl/>
      </w:pPr>
      <w:r>
        <w:t xml:space="preserve">Canonical lesson:</w:t>
      </w:r>
    </w:p>
    <w:p>
      <w:pPr>
        <w:pStyle w:val="BodyText"/>
        <w:widowControl/>
      </w:pPr>
      <w:r>
        <w:t xml:space="preserve">CSV is not “diesel bad, therefore fail.” CSV is “diesel carries a containment burden; if necessary, bounded, mitigated, transparent, monitored, and transitional, it may conditionally pass and be ranked against cleaner options by RLS.”</w:t>
      </w:r>
    </w:p>
    <w:bookmarkEnd w:id="169"/>
    <w:bookmarkStart w:id="170" w:name="X7bf1ff993c8da6e1606c8f13fa310d01b89956e"/>
    <w:p>
      <w:pPr>
        <w:pStyle w:val="Heading2"/>
        <w:keepNext/>
        <w:keepLines/>
        <w:pageBreakBefore w:val="0"/>
        <w:widowControl/>
      </w:pPr>
      <w:r>
        <w:rPr>
          <w:rFonts w:ascii="Arial" w:hAnsi="Arial" w:eastAsia="Arial"/>
          <w:b/>
          <w:color w:val="1F4E78"/>
        </w:rPr>
        <w:t xml:space="preserve">9.10 RLS Relationship (Normative)</w:t>
      </w:r>
    </w:p>
    <w:p>
      <w:pPr>
        <w:pStyle w:val="FirstParagraph"/>
        <w:widowControl/>
      </w:pPr>
      <w:r>
        <w:t xml:space="preserve">RLS ranks only options that survive RG claim support, the Rights Floor (formal NCRC), TRC, and CSV. RLS SHOULD penalize residual harms carried from CSV, including pollution, dependency, lock-in risk, ecological burden, social trust loss, and meaning/agency degradation.</w:t>
      </w:r>
    </w:p>
    <w:p>
      <w:pPr>
        <w:pStyle w:val="BodyText"/>
        <w:widowControl/>
      </w:pPr>
      <w:r>
        <w:t xml:space="preserve">RLS MUST NOT rescue CSV failure. CSV protects the doorway into ranking; RLS ranks what may legitimately enter.</w:t>
      </w:r>
    </w:p>
    <w:bookmarkEnd w:id="170"/>
    <w:bookmarkStart w:id="171" w:name="X03c31f72cdb2b6f1dfc6370104861bcdc56ef91"/>
    <w:p>
      <w:pPr>
        <w:pStyle w:val="Heading2"/>
        <w:keepNext/>
        <w:keepLines/>
        <w:pageBreakBefore w:val="0"/>
        <w:widowControl/>
      </w:pPr>
      <w:r>
        <w:rPr>
          <w:rFonts w:ascii="Arial" w:hAnsi="Arial" w:eastAsia="Arial"/>
          <w:b/>
          <w:color w:val="1F4E78"/>
        </w:rPr>
        <w:t xml:space="preserve">9.11 CSV Parameter Governance and Escalation (Normative)</w:t>
      </w:r>
    </w:p>
    <w:p>
      <w:pPr>
        <w:pStyle w:val="FirstParagraph"/>
        <w:widowControl/>
      </w:pPr>
      <w:r>
        <w:t xml:space="preserve">CSV thresholds, diagnostic concern levels, necessity-corridor judgments, UCI/HOI trigger thresholds, and structural-viability sufficiency standards MUST be recorded in the PCC when material. Tier 3 runs SHOULD include sensitivity analysis over near-binding CSV determinations.</w:t>
      </w:r>
    </w:p>
    <w:p>
      <w:pPr>
        <w:pStyle w:val="BodyText"/>
        <w:widowControl/>
      </w:pPr>
      <w:r>
        <w:t xml:space="preserve">If no option passes CSV, the run MUST NOT pretend a good option exists. Required actions include option redesign, additional evidence gathering, transition planning, escalation to a higher governance tier, emergency provisional protocol if genuinely necessary, or refusal of deterministic selection.</w:t>
      </w:r>
    </w:p>
    <w:p>
      <w:pPr>
        <w:pStyle w:val="BodyText"/>
        <w:widowControl/>
      </w:pPr>
      <w:r>
        <w:t xml:space="preserve">CSV does not override NCRC or TRC. It operates after admissibility and before residual welfare ranking.</w:t>
      </w:r>
    </w:p>
    <w:bookmarkEnd w:id="171"/>
    <w:bookmarkEnd w:id="172"/>
    <w:bookmarkStart w:id="193" w:name="Xe8fb48709839cd24feb210d04ec47c6cfd911e2"/>
    <w:p>
      <w:pPr>
        <w:pStyle w:val="Heading1"/>
        <w:keepNext/>
        <w:keepLines/>
        <w:pageBreakBefore w:val="0"/>
        <w:widowControl/>
      </w:pPr>
      <w:r>
        <w:rPr>
          <w:rFonts w:ascii="Arial" w:hAnsi="Arial" w:eastAsia="Arial"/>
          <w:b/>
          <w:color w:val="1F4E78"/>
        </w:rPr>
        <w:t xml:space="preserve">SECTION 10: OPTIMIZATION LAYER: RIPPLELOGIC SCORE (RLS)</w:t>
      </w:r>
    </w:p>
    <w:bookmarkStart w:id="173" w:name="X35897488dbf3b30272cc4e41c1e963595c07c97"/>
    <w:p>
      <w:pPr>
        <w:pStyle w:val="Heading2"/>
        <w:keepNext/>
        <w:keepLines/>
        <w:pageBreakBefore w:val="0"/>
        <w:widowControl/>
      </w:pPr>
      <w:r>
        <w:rPr>
          <w:rFonts w:ascii="Arial" w:hAnsi="Arial" w:eastAsia="Arial"/>
          <w:b/>
          <w:color w:val="1F4E78"/>
        </w:rPr>
        <w:t xml:space="preserve">10.0 Purpose and Scope (Normative)</w:t>
      </w:r>
    </w:p>
    <w:p>
      <w:pPr>
        <w:pStyle w:val="FirstParagraph"/>
        <w:widowControl/>
      </w:pPr>
      <w:r>
        <w:t xml:space="preserve">RLS ranks selectable options by expected welfare improvement across unions and dimensions, after ripple propagation and saturation, under declared weights and applicability mask rules.</w:t>
      </w:r>
    </w:p>
    <w:p>
      <w:pPr>
        <w:pStyle w:val="BodyText"/>
        <w:widowControl/>
      </w:pPr>
      <w:r>
        <w:t xml:space="preserve">RLS MUST NEVER override NCRC, TRC, or CSV. It operates only on selectable options A_sel.</w:t>
      </w:r>
    </w:p>
    <w:bookmarkEnd w:id="173"/>
    <w:bookmarkStart w:id="174" w:name="Xf05ebe2bd824a678401837561754376d27209dd"/>
    <w:p>
      <w:pPr>
        <w:pStyle w:val="Heading2"/>
        <w:keepNext/>
        <w:keepLines/>
        <w:pageBreakBefore w:val="0"/>
        <w:widowControl/>
      </w:pPr>
      <w:r>
        <w:rPr>
          <w:rFonts w:ascii="Arial" w:hAnsi="Arial" w:eastAsia="Arial"/>
          <w:b/>
          <w:color w:val="1F4E78"/>
        </w:rPr>
        <w:t xml:space="preserve">10.1 Normalized RLS Definition (Normative)</w:t>
      </w:r>
    </w:p>
    <w:p>
      <w:pPr>
        <w:pStyle w:val="FirstParagraph"/>
        <w:widowControl/>
      </w:pPr>
      <w:r>
        <w:t xml:space="preserve">Define the effective residual cell weight:</w:t>
      </w:r>
    </w:p>
    <w:p>
      <w:pPr>
        <w:pStyle w:val="BodyText"/>
        <w:widowControl/>
      </w:pPr>
      <w:r>
        <w:t xml:space="preserve">q(u,d) = w_u · v_d · m(u,d) · κ(u,d)</w:t>
      </w:r>
    </w:p>
    <w:p>
      <w:pPr>
        <w:pStyle w:val="BodyText"/>
        <w:widowControl/>
      </w:pPr>
      <w:r>
        <w:rPr>
          <w:b/>
          <w:bCs/>
        </w:rPr>
        <w:t xml:space="preserve">Weight-separability assumption (Normative disclosure).</w:t>
      </w:r>
      <w:r>
        <w:t xml:space="preserve"> </w:t>
      </w:r>
      <w:r>
        <w:t xml:space="preserve">The reference construction factorizes scope prominence and dimension prominence through</w:t>
      </w:r>
      <w:r>
        <w:t xml:space="preserve"> </w:t>
      </w:r>
      <w:r>
        <w:rPr>
          <w:rStyle w:val="VerbatimChar"/>
        </w:rPr>
        <w:t xml:space="preserve">w_u · v_d</w:t>
      </w:r>
      <w:r>
        <w:t xml:space="preserve">, with</w:t>
      </w:r>
      <w:r>
        <w:t xml:space="preserve"> </w:t>
      </w:r>
      <w:r>
        <w:rPr>
          <w:rStyle w:val="VerbatimChar"/>
        </w:rPr>
        <w:t xml:space="preserve">κ(u,d)</w:t>
      </w:r>
      <w:r>
        <w:t xml:space="preserve"> </w:t>
      </w:r>
      <w:r>
        <w:t xml:space="preserve">available only as a bounded, declared interaction correction. This is a transparent model assumption, not an empirically validated claim that scope and dimension importance are universally separable. Tier 3 and decision-material or high-stakes Tier 2 runs MUST test a plausible non-separable cell-weight matrix or bounded interaction alternative whenever scope-by-dimension interaction could materially change ranking or decisiveness. If the result changes, set the applicable sensitivity/review state and treat deterministic selection as unresolved until governed review is completed.</w:t>
      </w:r>
    </w:p>
    <w:p>
      <w:pPr>
        <w:pStyle w:val="BodyText"/>
        <w:widowControl/>
      </w:pPr>
      <w:r>
        <w:t xml:space="preserve">and the active effective mass:</w:t>
      </w:r>
    </w:p>
    <w:p>
      <w:pPr>
        <w:pStyle w:val="BodyText"/>
        <w:widowControl/>
      </w:pPr>
      <w:r>
        <w:t xml:space="preserve">Q = Σ_u Σ_d q(u,d)</w:t>
      </w:r>
    </w:p>
    <w:p>
      <w:pPr>
        <w:pStyle w:val="BodyText"/>
        <w:widowControl/>
      </w:pPr>
      <w:r>
        <w:t xml:space="preserve">For Q &gt; 0:</w:t>
      </w:r>
    </w:p>
    <w:p>
      <w:pPr>
        <w:pStyle w:val="BodyText"/>
        <w:widowControl/>
      </w:pPr>
      <w:r>
        <w:t xml:space="preserve">RLS(a) = [Σ_u Σ_d q(u,d) · I_prop_welfare(u,d,a)] / Q</w:t>
      </w:r>
    </w:p>
    <w:p>
      <w:pPr>
        <w:pStyle w:val="BodyText"/>
        <w:widowControl/>
      </w:pPr>
      <w:r>
        <w:t>Constructed-index caution (Normative claim boundary). RLS is a bounded, governance-defined index over declared, baseline-relative welfare-impact judgments. It is not a natural welfare unit, an interpersonal utility meter, empirical validation of the 7×7 structure, or a scalar proof of moral truth. Its arithmetic is authoritative only within the declared model and selectable set, with evidence status, uncertainty, weighting authority, subgroup visibility, and sensitivity disclosed.</w:t>
      </w:r>
    </w:p>
    <w:p>
      <w:pPr>
        <w:pStyle w:val="BodyText"/>
        <w:widowControl/>
      </w:pPr>
      <w:r>
        <w:t xml:space="preserve">If Q = 0, RLS is undefined and the run MUST return RLS_NO_ACTIVE_MASS, narrow the claim, repair the mask/weight declaration, or refuse deterministic ranking.</w:t>
      </w:r>
    </w:p>
    <w:p>
      <w:pPr>
        <w:pStyle w:val="BodyText"/>
        <w:widowControl/>
      </w:pPr>
      <w:r>
        <w:t xml:space="preserve">Where:</w:t>
      </w:r>
    </w:p>
    <w:p>
      <w:pPr>
        <w:pStyle w:val="Compact"/>
        <w:widowControl/>
        <w:numPr>
          <w:ilvl w:val="0"/>
          <w:numId w:val="1099"/>
        </w:numPr>
      </w:pPr>
      <w:r>
        <w:t xml:space="preserve">w_u are union weights (HDW-governed; Section 13; Section 13.1 constitutional floors controlling)</w:t>
      </w:r>
    </w:p>
    <w:p>
      <w:pPr>
        <w:pStyle w:val="Compact"/>
        <w:widowControl/>
        <w:numPr>
          <w:ilvl w:val="0"/>
          <w:numId w:val="1099"/>
        </w:numPr>
      </w:pPr>
      <w:r>
        <w:t xml:space="preserve">v_d are dimension weights (HDW-governed; Section 13; Section 13.1 constitutional floors controlling)</w:t>
      </w:r>
    </w:p>
    <w:p>
      <w:pPr>
        <w:pStyle w:val="Compact"/>
        <w:widowControl/>
        <w:numPr>
          <w:ilvl w:val="0"/>
          <w:numId w:val="1099"/>
        </w:numPr>
      </w:pPr>
      <w:r>
        <w:t xml:space="preserve">m(u,d) is the applicability mask for RLS aggregation only</w:t>
      </w:r>
    </w:p>
    <w:p>
      <w:pPr>
        <w:pStyle w:val="Compact"/>
        <w:widowControl/>
        <w:numPr>
          <w:ilvl w:val="0"/>
          <w:numId w:val="1099"/>
        </w:numPr>
      </w:pPr>
      <w:r>
        <w:t xml:space="preserve">κ(u,d) is a declared positive cell multiplier, default 1</w:t>
      </w:r>
    </w:p>
    <w:p>
      <w:pPr>
        <w:pStyle w:val="Compact"/>
        <w:widowControl/>
        <w:numPr>
          <w:ilvl w:val="0"/>
          <w:numId w:val="1099"/>
        </w:numPr>
      </w:pPr>
      <w:r>
        <w:t xml:space="preserve">I_prop_welfare(u,d,a) is the post-propagation, post-saturation welfare impact</w:t>
      </w:r>
    </w:p>
    <w:p>
      <w:pPr>
        <w:pStyle w:val="FirstParagraph"/>
        <w:widowControl/>
      </w:pPr>
      <w:r>
        <w:t xml:space="preserve">Normalization by Q preserves the public interpretation of RLS within [-1,+1] when cell impacts lie within [-1,+1], including when masks or non-default κ values change the active effective mass.</w:t>
      </w:r>
    </w:p>
    <w:p>
      <w:pPr>
        <w:pStyle w:val="BodyText"/>
        <w:widowControl/>
      </w:pPr>
      <w:r>
        <w:t xml:space="preserve">κ(u,d) governance rule (Normative). The default is κ(u,d) = 1. Non-default κ(u,d) values are permitted only for pre-declared, governance-approved cell-level emphasis that does not alter admissibility semantics. Unless a stricter charter rule is declared, κ(u,d) MUST remain positive and bounded within [0.5,1.5]. A non-default κ(u,d) MUST NOT reverse sign, erase or dilute rights-covered or catastrophe-relevant harm, or function as a back-door mask, rights-floor rewrite, or prominence override. Tier 3 runs using non-default κ(u,d) MUST record justification, authorized source, affected cells, Q, and sensitivity reruns in the PCC.</w:t>
      </w:r>
    </w:p>
    <w:p>
      <w:pPr>
        <w:pStyle w:val="BodyText"/>
        <w:widowControl/>
      </w:pPr>
      <w:r>
        <w:t xml:space="preserve">Local-use note (Informative). Section 10.2A defines a Practical Local Scope Scoring profile. PLSS preserves the same normalized equation and constructs w_u within the residual mass above constitutional floors.</w:t>
      </w:r>
    </w:p>
    <w:bookmarkEnd w:id="174"/>
    <w:bookmarkStart w:id="175" w:name="X72a6feb00ef597d48589b6453d23fec1fbc4557"/>
    <w:p>
      <w:pPr>
        <w:pStyle w:val="Heading2"/>
        <w:keepNext/>
        <w:keepLines/>
        <w:pageBreakBefore w:val="0"/>
        <w:widowControl/>
      </w:pPr>
      <w:r>
        <w:rPr>
          <w:rFonts w:ascii="Arial" w:hAnsi="Arial" w:eastAsia="Arial"/>
          <w:b/>
          <w:color w:val="1F4E78"/>
        </w:rPr>
        <w:t xml:space="preserve">10.2 Applicability Mask Rules (Normative)</w:t>
      </w:r>
    </w:p>
    <w:p>
      <w:pPr>
        <w:pStyle w:val="FirstParagraph"/>
        <w:widowControl/>
      </w:pPr>
      <w:r>
        <w:t xml:space="preserve">Masking exists to avoid meaningless aggregation in some contexts, but is a primary gaming vector. Therefore:</w:t>
      </w:r>
    </w:p>
    <w:p>
      <w:pPr>
        <w:pStyle w:val="BodyText"/>
        <w:widowControl/>
      </w:pPr>
      <w:r>
        <w:t xml:space="preserve">Definition (Normative). Masking means setting m(u,d)=0, which affects RLS aggregation only. Omission/exclusion means failing to compute, disclose, or evaluate a required cell for NCRC, TRC, or CSV. Masking SHALL NOT be used as a substitute for omission rules.</w:t>
      </w:r>
    </w:p>
    <w:p>
      <w:pPr>
        <w:pStyle w:val="BodyText"/>
        <w:widowControl/>
      </w:pPr>
      <w:r>
        <w:t xml:space="preserve">Masking affects RLS aggregation only. Whether a cell must be constructed is determined by active-cell rules (Section 10.3) and tier coverage requirements, not by masking. Accordingly, masking MUST NOT be used to skip or modify:</w:t>
      </w:r>
    </w:p>
    <w:p>
      <w:pPr>
        <w:pStyle w:val="Compact"/>
        <w:widowControl/>
        <w:numPr>
          <w:ilvl w:val="0"/>
          <w:numId w:val="1100"/>
        </w:numPr>
      </w:pPr>
      <w:r>
        <w:t xml:space="preserve">Impact construction (Section 5),</w:t>
      </w:r>
    </w:p>
    <w:p>
      <w:pPr>
        <w:pStyle w:val="Compact"/>
        <w:widowControl/>
        <w:numPr>
          <w:ilvl w:val="0"/>
          <w:numId w:val="1101"/>
        </w:numPr>
      </w:pPr>
      <w:r>
        <w:t xml:space="preserve">Propagation (Section 6),</w:t>
      </w:r>
    </w:p>
    <w:p>
      <w:pPr>
        <w:pStyle w:val="Compact"/>
        <w:widowControl/>
        <w:numPr>
          <w:ilvl w:val="0"/>
          <w:numId w:val="1102"/>
        </w:numPr>
      </w:pPr>
      <w:r>
        <w:t xml:space="preserve">NCRC checks (Section 7),</w:t>
      </w:r>
    </w:p>
    <w:p>
      <w:pPr>
        <w:pStyle w:val="Compact"/>
        <w:widowControl/>
        <w:numPr>
          <w:ilvl w:val="0"/>
          <w:numId w:val="1103"/>
        </w:numPr>
      </w:pPr>
      <w:r>
        <w:t xml:space="preserve">TRC loss and CVaR computation (Section 8),</w:t>
      </w:r>
    </w:p>
    <w:p>
      <w:pPr>
        <w:pStyle w:val="Compact"/>
        <w:widowControl/>
        <w:numPr>
          <w:ilvl w:val="0"/>
          <w:numId w:val="1104"/>
        </w:numPr>
      </w:pPr>
      <w:r>
        <w:t xml:space="preserve">Or containment evaluation (Section 9).</w:t>
      </w:r>
    </w:p>
    <w:p>
      <w:pPr>
        <w:pStyle w:val="FirstParagraph"/>
        <w:widowControl/>
      </w:pPr>
      <w:r>
        <w:t xml:space="preserve">Non-maskable cells (MUST be unmasked):</w:t>
      </w:r>
    </w:p>
    <w:p>
      <w:pPr>
        <w:pStyle w:val="Compact"/>
        <w:widowControl/>
        <w:numPr>
          <w:ilvl w:val="0"/>
          <w:numId w:val="1105"/>
        </w:numPr>
      </w:pPr>
      <w:r>
        <w:t xml:space="preserve">All rights-covered cells in any C_r</w:t>
      </w:r>
    </w:p>
    <w:p>
      <w:pPr>
        <w:pStyle w:val="Compact"/>
        <w:widowControl/>
        <w:numPr>
          <w:ilvl w:val="0"/>
          <w:numId w:val="1106"/>
        </w:numPr>
      </w:pPr>
      <w:r>
        <w:t xml:space="preserve">All catastrophe cells in C_cat</w:t>
      </w:r>
    </w:p>
    <w:p>
      <w:pPr>
        <w:pStyle w:val="FirstParagraph"/>
        <w:widowControl/>
      </w:pPr>
      <w:r>
        <w:t xml:space="preserve">Non-maskable persistence rule (Normative). Rights-covered cells remain non-maskable even after NCRC admissibility filtering. This prevents post-gate dilution and preserves rights-salience when ranking admissible options, especially under adversarial pressure and Goodhart dynamics.</w:t>
      </w:r>
    </w:p>
    <w:p>
      <w:pPr>
        <w:pStyle w:val="BodyText"/>
        <w:widowControl/>
      </w:pPr>
      <w:r>
        <w:t xml:space="preserve">Rationale (Informative). The admissibility gates prevent selecting options that violate non-compensatory rights floors, but they do not by themselves prevent near-miss normalization among admissible options. Keeping rights and catastrophe cells in RLS aggregation preserves continuous optimization pressure toward larger safety margins, reduces proxy gaming pressure (for example, satisfying a threshold while degrading adjacent rights conditions), and makes rights and tail-risk performance legible for governance review and accountability.</w:t>
      </w:r>
    </w:p>
    <w:p>
      <w:pPr>
        <w:pStyle w:val="BodyText"/>
        <w:widowControl/>
      </w:pPr>
      <w:r>
        <w:t>Baseline consistency for non-maskable gate cells (Normative). For any cell in C_r or C_cat that remains included in RLS under the non-maskable persistence rule, the welfare-stream baseline SHALL also use the gate floor-reference baseline unless a governed dual-baseline method is explicitly declared. Where a dual-baseline method is declared, the floor-reference value SHALL remain the controlling value for gate-consistency interpretation and validator conformance. Nonlinear baseline-sensitivity boundary (Normative clarification). Because cell impacts are saturated nonlinearly, shifting from STATUS_QUO to FLOOR_REFERENCE is not guaranteed to add a rank-neutral constant across options. RLS values for non-maskable cells using FLOOR_REFERENCE therefore describe movement relative to the rights-safe or safe-corridor reference, not ordinary net change from status quo. Tier 3 and high-stakes Tier 2 runs MUST report a governed status-quo counterfactual for ranking whenever a defensible status-quo welfare baseline exists and the baseline choice could alter ranking or decisiveness. If ordering changes, the run is BASELINE_RANK_SENSITIVE; the floor-reference result remains controlling for gate consistency, but deterministic residual selection MUST be narrowed, escalated, or routed to accountable authority rather than presented as baseline-invariant.</w:t>
      </w:r>
    </w:p>
    <w:p>
      <w:pPr>
        <w:pStyle w:val="Compact"/>
        <w:widowControl/>
        <w:numPr>
          <w:ilvl w:val="0"/>
          <w:numId w:val="1107"/>
        </w:numPr>
      </w:pPr>
      <w:r>
        <w:t xml:space="preserve">Any cells mandated by minimum governance coverage for the run (declared in PCC; default includes at least U₁, primary affected unions, and U₇ Environment when environmental relevance exists)</w:t>
      </w:r>
    </w:p>
    <w:p>
      <w:pPr>
        <w:pStyle w:val="FirstParagraph"/>
        <w:widowControl/>
      </w:pPr>
      <w:r>
        <w:t xml:space="preserve">Audit rule: If any non-maskable cell is masked, set audit_flag RIGHTS_CELL_MASKED_INVALID (or CATASTROPHE_CELL_MASKED_INVALID) and PCC is INVALID.</w:t>
      </w:r>
    </w:p>
    <w:bookmarkEnd w:id="175"/>
    <w:bookmarkStart w:id="176" w:name="Xd67b434555a5668ccfaa84f81f02666fc1846bb"/>
    <w:p>
      <w:pPr>
        <w:pStyle w:val="Heading2"/>
        <w:keepNext/>
        <w:keepLines/>
        <w:pageBreakBefore w:val="0"/>
        <w:widowControl/>
      </w:pPr>
      <w:r>
        <w:rPr>
          <w:rFonts w:ascii="Arial" w:hAnsi="Arial" w:eastAsia="Arial"/>
          <w:b/>
          <w:color w:val="1F4E78"/>
        </w:rPr>
        <w:t xml:space="preserve">10.2A Practical Local Scope Scoring (PLSS) (Normative)</w:t>
      </w:r>
    </w:p>
    <w:p>
      <w:pPr>
        <w:pStyle w:val="FirstParagraph"/>
        <w:widowControl/>
      </w:pPr>
      <w:r>
        <w:t xml:space="preserve">Purpose. PLSS specifies a canon-consistent local-use profile for RippleLogic Score (RLS) when a decision is primarily local in its direct effects, but broader scopes remain morally relevant as rights, tail-risk, and containment guardrails. PLSS allows routine decisions to concentrate most residual welfare-ranking attention on the scopes that are actually live in the decision, without weakening NCRC, TRC, CSV, non-maskable cell rules, or Section 13 constitutional weight floors.</w:t>
      </w:r>
    </w:p>
    <w:p>
      <w:pPr>
        <w:pStyle w:val="BodyText"/>
        <w:widowControl/>
      </w:pPr>
      <w:r>
        <w:t xml:space="preserve">Interpretive anchor (Informative). Union Scopes are not a closed list of who matters. They are the stable scopes of aggregation and accountability used by the framework. Stakeholder instances feed the scopes; the scopes ensure that impacts do not disappear.</w:t>
      </w:r>
    </w:p>
    <w:p>
      <w:pPr>
        <w:pStyle w:val="BodyText"/>
        <w:widowControl/>
      </w:pPr>
      <w:r>
        <w:t xml:space="preserve">Terminology lock (Informative). LSS names the upstream stakeholder object, PLSS names the residual weight-construction procedure used within RLS, and FLGG - Focus Local, Guard Global - names the governing design principle.</w:t>
      </w:r>
    </w:p>
    <w:bookmarkEnd w:id="176"/>
    <w:bookmarkStart w:id="177" w:name="X7970fd8bdff007c1b86841dc2d2ed98c9e43988"/>
    <w:p>
      <w:pPr>
        <w:pStyle w:val="Heading2"/>
        <w:keepNext/>
        <w:keepLines/>
        <w:pageBreakBefore w:val="0"/>
        <w:widowControl/>
      </w:pPr>
      <w:r>
        <w:rPr>
          <w:rFonts w:ascii="Arial" w:hAnsi="Arial" w:eastAsia="Arial"/>
          <w:b/>
          <w:color w:val="1F4E78"/>
        </w:rPr>
        <w:t xml:space="preserve">10.2A.0 Attention-Safety Separation Principle (Normative, architecturally grounded). PLSS operates only within the residual welfare-ranking layer. Admissibility under RF/NCRC, TRC, and CSV SHALL remain invariant under any valid PLSS weight construction satisfying Sections 10.2A.4-10.2A.6. Therefore, a change in PLSS prominence declarations or PLSS weight allocation SHALL NOT convert an inadmissible option into an admissible option. This principle follows from the lexicographic separation of admissibility gates from the welfare-ranking layer.</w:t>
      </w:r>
    </w:p>
    <w:p>
      <w:pPr>
        <w:pStyle w:val="FirstParagraph"/>
        <w:widowControl/>
      </w:pPr>
      <w:r>
        <w:t xml:space="preserve">PLSS does not determine who matters; it determines how residual welfare-ranking attention is distributed after universal admissibility conditions have already been imposed.</w:t>
      </w:r>
    </w:p>
    <w:bookmarkEnd w:id="177"/>
    <w:bookmarkStart w:id="178" w:name="X1b4a67d50a5925a03f016f8615be153d112482e"/>
    <w:p>
      <w:pPr>
        <w:pStyle w:val="Heading2"/>
        <w:keepNext/>
        <w:keepLines/>
        <w:pageBreakBefore w:val="0"/>
        <w:widowControl/>
      </w:pPr>
      <w:r>
        <w:rPr>
          <w:rFonts w:ascii="Arial" w:hAnsi="Arial" w:eastAsia="Arial"/>
          <w:b/>
          <w:color w:val="1F4E78"/>
        </w:rPr>
        <w:t xml:space="preserve">10.2A.1 Relation to existing gates (Normative)</w:t>
      </w:r>
    </w:p>
    <w:p>
      <w:pPr>
        <w:pStyle w:val="FirstParagraph"/>
        <w:widowControl/>
      </w:pPr>
      <w:r>
        <w:t xml:space="preserve">PLSS applies only to welfare ranking within Section 10. It SHALL NOT alter:</w:t>
      </w:r>
    </w:p>
    <w:p>
      <w:pPr>
        <w:pStyle w:val="BodyText"/>
        <w:widowControl/>
      </w:pPr>
      <w:r>
        <w:t xml:space="preserve">• NCRC evaluation over the required rights coverage sets C_r,</w:t>
      </w:r>
    </w:p>
    <w:p>
      <w:pPr>
        <w:pStyle w:val="BodyText"/>
        <w:widowControl/>
      </w:pPr>
      <w:r>
        <w:t xml:space="preserve">• TRC evaluation over the catastrophe cell set C_cat,</w:t>
      </w:r>
    </w:p>
    <w:p>
      <w:pPr>
        <w:pStyle w:val="BodyText"/>
        <w:widowControl/>
      </w:pPr>
      <w:r>
        <w:t xml:space="preserve">• Containment requirements under Section 9,</w:t>
      </w:r>
    </w:p>
    <w:p>
      <w:pPr>
        <w:pStyle w:val="BodyText"/>
        <w:widowControl/>
      </w:pPr>
      <w:r>
        <w:t xml:space="preserve">• non-maskable cell requirements under Section 10.2,</w:t>
      </w:r>
    </w:p>
    <w:p>
      <w:pPr>
        <w:pStyle w:val="BodyText"/>
        <w:widowControl/>
      </w:pPr>
      <w:r>
        <w:t xml:space="preserve">• constitutional weight floors defined in Section 13.1.</w:t>
      </w:r>
    </w:p>
    <w:p>
      <w:pPr>
        <w:pStyle w:val="BodyText"/>
        <w:widowControl/>
      </w:pPr>
      <w:r>
        <w:t xml:space="preserve">A PLSS run therefore remains:</w:t>
      </w:r>
    </w:p>
    <w:p>
      <w:pPr>
        <w:pStyle w:val="BodyText"/>
        <w:widowControl/>
      </w:pPr>
      <w:r>
        <w:t xml:space="preserve">• full-scope for admissibility, where required by RF/NCRC, TRC, and CSV,</w:t>
      </w:r>
    </w:p>
    <w:p>
      <w:pPr>
        <w:pStyle w:val="BodyText"/>
        <w:widowControl/>
      </w:pPr>
      <w:r>
        <w:t xml:space="preserve">• local-scope only in residual welfare emphasis, after admissibility has been preserved.</w:t>
      </w:r>
    </w:p>
    <w:p>
      <w:pPr>
        <w:pStyle w:val="BodyText"/>
        <w:widowControl/>
      </w:pPr>
      <w:r>
        <w:t xml:space="preserve">Structural diagnostic preservation under PLSS (Normative). PLSS SHALL NOT down-weight, omit, mask, or defer structural diagnostic evidence required for Containment. If a local-scope run uses PLSS but plausible containment-relevant UCI/HOI, Adaptive Reserve, lock-in, hollowing, governance-spillover, ecological-spillover, or institutional-capacity evidence exists outside the prominent scopes, that evidence remains admissibility-relevant. The run SHALL escalate, broaden scrutiny, or refuse the stronger local-scope claim when containment-relevant structural evidence is unavailable or unresolved.</w:t>
      </w:r>
    </w:p>
    <w:bookmarkEnd w:id="178"/>
    <w:bookmarkStart w:id="179" w:name="Xc20dac4a7688965022bb9be08bc783477fec447"/>
    <w:p>
      <w:pPr>
        <w:pStyle w:val="Heading2"/>
        <w:keepNext/>
        <w:keepLines/>
        <w:pageBreakBefore w:val="0"/>
        <w:widowControl/>
      </w:pPr>
      <w:r>
        <w:rPr>
          <w:rFonts w:ascii="Arial" w:hAnsi="Arial" w:eastAsia="Arial"/>
          <w:b/>
          <w:color w:val="1F4E78"/>
        </w:rPr>
        <w:t xml:space="preserve">10.2A.2 Prominent scopes and guardrail scopes (Normative)</w:t>
      </w:r>
    </w:p>
    <w:p>
      <w:pPr>
        <w:pStyle w:val="FirstParagraph"/>
        <w:widowControl/>
      </w:pPr>
      <w:r>
        <w:t xml:space="preserve">For a declared run, each operational Union Scope u ∈ {U1, …, U7} may be classified in the PCC as one of the following:</w:t>
      </w:r>
    </w:p>
    <w:p>
      <w:pPr>
        <w:pStyle w:val="BodyText"/>
        <w:widowControl/>
      </w:pPr>
      <w:r>
        <w:t xml:space="preserve">• Prominent scope: a scope whose direct or near-field ripple is substantial enough that it should receive meaningful residual welfare weight in the current run.</w:t>
      </w:r>
    </w:p>
    <w:p>
      <w:pPr>
        <w:pStyle w:val="BodyText"/>
        <w:widowControl/>
      </w:pPr>
      <w:r>
        <w:t xml:space="preserve">• Guardrail scope: a scope whose direct ripple in the current run is limited, but which remains protected by constitutional floor weight and by admissibility constraints.</w:t>
      </w:r>
    </w:p>
    <w:p>
      <w:pPr>
        <w:pStyle w:val="BodyText"/>
        <w:widowControl/>
      </w:pPr>
      <w:r>
        <w:t xml:space="preserve">Guardrail scope classification SHALL NOT be interpreted as moral irrelevance. A guardrail scope may carry little or no residual weight in a local run, but it remains:</w:t>
      </w:r>
    </w:p>
    <w:p>
      <w:pPr>
        <w:pStyle w:val="BodyText"/>
        <w:widowControl/>
      </w:pPr>
      <w:r>
        <w:t xml:space="preserve">• constitutionally represented through Section 13 floors,</w:t>
      </w:r>
    </w:p>
    <w:p>
      <w:pPr>
        <w:pStyle w:val="BodyText"/>
        <w:widowControl/>
      </w:pPr>
      <w:r>
        <w:t xml:space="preserve">• admissibility-relevant where rights, catastrophe, or containment conditions apply.</w:t>
      </w:r>
    </w:p>
    <w:bookmarkEnd w:id="179"/>
    <w:bookmarkStart w:id="180" w:name="X732f7fc0955f68e9a5dad16d218bfb181f357dd"/>
    <w:p>
      <w:pPr>
        <w:pStyle w:val="Heading2"/>
        <w:keepNext/>
        <w:keepLines/>
        <w:pageBreakBefore w:val="0"/>
        <w:widowControl/>
      </w:pPr>
      <w:r>
        <w:rPr>
          <w:rFonts w:ascii="Arial" w:hAnsi="Arial" w:eastAsia="Arial"/>
          <w:b/>
          <w:color w:val="1F4E78"/>
        </w:rPr>
        <w:t xml:space="preserve">10.2A.3 Representation rule: instances first, scopes second (Normative)</w:t>
      </w:r>
    </w:p>
    <w:p>
      <w:pPr>
        <w:pStyle w:val="FirstParagraph"/>
        <w:widowControl/>
      </w:pPr>
      <w:r>
        <w:t xml:space="preserve">PLSS SHALL preserve the Section 2.2A and Section 5 representation architecture:</w:t>
      </w:r>
    </w:p>
    <w:p>
      <w:pPr>
        <w:pStyle w:val="BodyText"/>
        <w:widowControl/>
      </w:pPr>
      <w:r>
        <w:t xml:space="preserve">• stakeholder discovery is performed at the instance level,</w:t>
      </w:r>
    </w:p>
    <w:p>
      <w:pPr>
        <w:pStyle w:val="BodyText"/>
        <w:widowControl/>
      </w:pPr>
      <w:r>
        <w:t xml:space="preserve">• instances are mapped to one or more Union Scopes,</w:t>
      </w:r>
    </w:p>
    <w:p>
      <w:pPr>
        <w:pStyle w:val="BodyText"/>
        <w:widowControl/>
      </w:pPr>
      <w:r>
        <w:t xml:space="preserve">• impacts are aggregated within each scope row,</w:t>
      </w:r>
    </w:p>
    <w:p>
      <w:pPr>
        <w:pStyle w:val="BodyText"/>
        <w:widowControl/>
      </w:pPr>
      <w:r>
        <w:t xml:space="preserve">• scope rows are then combined by RLS.</w:t>
      </w:r>
    </w:p>
    <w:p>
      <w:pPr>
        <w:pStyle w:val="BodyText"/>
        <w:widowControl/>
      </w:pPr>
      <w:r>
        <w:t xml:space="preserve">Let I_u denote the declared stakeholder instance set mapped to scope u.</w:t>
      </w:r>
    </w:p>
    <w:p>
      <w:pPr>
        <w:pStyle w:val="BodyText"/>
        <w:widowControl/>
      </w:pPr>
      <w:r>
        <w:t xml:space="preserve">For non-rights scoring, the default aggregation rule remains the canonical population-weighted mean across affected instances:</w:t>
      </w:r>
    </w:p>
    <w:p>
      <w:pPr>
        <w:pStyle w:val="BodyText"/>
        <w:widowControl/>
      </w:pPr>
      <w:r>
        <w:t xml:space="preserve">I_agg(u,d,a) = [ Σ_(i ∈ I_u) π_i · I_i(u,d,a) ] / [ Σ_(i ∈ I_u) π_i ]</w:t>
      </w:r>
    </w:p>
    <w:p>
      <w:pPr>
        <w:pStyle w:val="BodyText"/>
        <w:widowControl/>
      </w:pPr>
      <w:r>
        <w:t xml:space="preserve">where π_i is the declared aggregation weight for instance i, for example population share, exposure share, or another declared ReachBasis-consistent basis.</w:t>
      </w:r>
    </w:p>
    <w:p>
      <w:pPr>
        <w:pStyle w:val="BodyText"/>
        <w:widowControl/>
      </w:pPr>
      <w:r>
        <w:t xml:space="preserve">For rights-covered cells, aggregation SHALL NOT average away the worst-off subgroup. Rights evaluation remains governed by the worst-off subgroup operator:</w:t>
      </w:r>
    </w:p>
    <w:p>
      <w:pPr>
        <w:pStyle w:val="BodyText"/>
        <w:widowControl/>
      </w:pPr>
      <w:r>
        <w:t xml:space="preserve">I_rights(u,d,a) = min_(g ∈ G_(u,d)) I_g(u,d,a)</w:t>
      </w:r>
    </w:p>
    <w:p>
      <w:pPr>
        <w:pStyle w:val="BodyText"/>
        <w:widowControl/>
      </w:pPr>
      <w:r>
        <w:t xml:space="preserve">This subsection does not change Section 7 semantics.</w:t>
      </w:r>
    </w:p>
    <w:bookmarkEnd w:id="180"/>
    <w:bookmarkStart w:id="181" w:name="X80225ee572edb911210c7e89859ee12ac1b5567"/>
    <w:p>
      <w:pPr>
        <w:pStyle w:val="Heading2"/>
        <w:keepNext/>
        <w:keepLines/>
        <w:pageBreakBefore w:val="0"/>
        <w:widowControl/>
      </w:pPr>
      <w:r>
        <w:rPr>
          <w:rFonts w:ascii="Arial" w:hAnsi="Arial" w:eastAsia="Arial"/>
          <w:b/>
          <w:color w:val="1F4E78"/>
        </w:rPr>
        <w:t xml:space="preserve">10.2A.4 Local prominence signal and residual allocation rule (Normative)</w:t>
      </w:r>
    </w:p>
    <w:p>
      <w:pPr>
        <w:pStyle w:val="FirstParagraph"/>
        <w:widowControl/>
      </w:pPr>
      <w:r>
        <w:t xml:space="preserve">PLSS introduces a declared local prominence signal q_u for each scope u, used only to distribute the residual union-weight mass that remains after constitutional floors.</w:t>
      </w:r>
    </w:p>
    <w:p>
      <w:pPr>
        <w:pStyle w:val="BodyText"/>
        <w:widowControl/>
      </w:pPr>
      <w:r>
        <w:t xml:space="preserve">Each q_u SHALL be recorded in the PCC and SHALL be justified by reference to the current decision context. A recommended default construction is a declared combination of:</w:t>
      </w:r>
    </w:p>
    <w:p>
      <w:pPr>
        <w:pStyle w:val="BodyText"/>
        <w:widowControl/>
      </w:pPr>
      <w:r>
        <w:t xml:space="preserve">• expected magnitude of ripple in scope u,</w:t>
      </w:r>
    </w:p>
    <w:p>
      <w:pPr>
        <w:pStyle w:val="BodyText"/>
        <w:widowControl/>
      </w:pPr>
      <w:r>
        <w:t xml:space="preserve">• probability that the effect materializes,</w:t>
      </w:r>
    </w:p>
    <w:p>
      <w:pPr>
        <w:pStyle w:val="BodyText"/>
        <w:widowControl/>
      </w:pPr>
      <w:r>
        <w:t xml:space="preserve">• temporal persistence or duration,</w:t>
      </w:r>
    </w:p>
    <w:p>
      <w:pPr>
        <w:pStyle w:val="BodyText"/>
        <w:widowControl/>
      </w:pPr>
      <w:r>
        <w:t xml:space="preserve">• propagation potential beyond immediate contact.</w:t>
      </w:r>
    </w:p>
    <w:p>
      <w:pPr>
        <w:pStyle w:val="BodyText"/>
        <w:widowControl/>
      </w:pPr>
      <w:r>
        <w:t xml:space="preserve">A recommended default operator is:</w:t>
      </w:r>
    </w:p>
    <w:p>
      <w:pPr>
        <w:pStyle w:val="BodyText"/>
        <w:widowControl/>
      </w:pPr>
      <w:r>
        <w:t xml:space="preserve">q_u = ψ(M_u, P_u, T_u, G_u)</w:t>
      </w:r>
    </w:p>
    <w:p>
      <w:pPr>
        <w:pStyle w:val="BodyText"/>
        <w:widowControl/>
      </w:pPr>
      <w:r>
        <w:t xml:space="preserve">with M_u, P_u, T_u, G_u ∈ [0,1], and a default transparent choice:</w:t>
      </w:r>
    </w:p>
    <w:p>
      <w:pPr>
        <w:pStyle w:val="BodyText"/>
        <w:widowControl/>
      </w:pPr>
      <w:r>
        <w:t xml:space="preserve">ψ(M_u, P_u, T_u, G_u) = (M_u P_u T_u G_u)^(1/4)</w:t>
      </w:r>
    </w:p>
    <w:p>
      <w:pPr>
        <w:pStyle w:val="BodyText"/>
        <w:widowControl/>
      </w:pPr>
      <w:r>
        <w:t xml:space="preserve">This recommended operator is informative by default unless separately elevated by governance rule; the required part is that the PCC declare the operator used.</w:t>
      </w:r>
    </w:p>
    <w:p>
      <w:pPr>
        <w:pStyle w:val="BodyText"/>
        <w:widowControl/>
      </w:pPr>
      <w:r>
        <w:t xml:space="preserve">Prominence evidence discipline (Normative). Prominence sub-component declarations for q_u, including magnitude, probability, temporal persistence, and propagation potential, are subject to the same PCC justification and evidence documentation discipline that applies to impact-instance parameters under Section 5.2, including ReachBasis declaration where applicable. Tier 2+ runs SHALL record the evidentiary basis used to justify each declared prominence component.</w:t>
      </w:r>
    </w:p>
    <w:p>
      <w:pPr>
        <w:pStyle w:val="BodyText"/>
        <w:widowControl/>
      </w:pPr>
      <w:r>
        <w:t xml:space="preserve">Cross-deployment comparability note (Normative guidance). The geometric-mean operator remains the default comparability anchor for q_u. Any deployment using a non-default operator MUST document why the operator preserves anti-gaming discipline, boundedness, and monotonicity, and SHOULD include a sensitivity comparison against the geometric-mean default in the PCC or companion validation record.</w:t>
      </w:r>
    </w:p>
    <w:p>
      <w:pPr>
        <w:pStyle w:val="BodyText"/>
        <w:widowControl/>
      </w:pPr>
      <w:r>
        <w:t xml:space="preserve">Define residual shares:</w:t>
      </w:r>
    </w:p>
    <w:p>
      <w:pPr>
        <w:pStyle w:val="BodyText"/>
        <w:widowControl/>
      </w:pPr>
      <w:r>
        <w:t xml:space="preserve">ρ_u = q_u / Σ_j q_j, if Σ_j q_j &gt; 0</w:t>
      </w:r>
    </w:p>
    <w:p>
      <w:pPr>
        <w:pStyle w:val="BodyText"/>
        <w:widowControl/>
      </w:pPr>
      <w:r>
        <w:t xml:space="preserve">If all q_u = 0, the residual SHALL be allocated uniformly unless another declared fallback is specified in the PCC.</w:t>
      </w:r>
    </w:p>
    <w:p>
      <w:pPr>
        <w:pStyle w:val="BodyText"/>
        <w:widowControl/>
      </w:pPr>
      <w:r>
        <w:t xml:space="preserve">Let w_u^floor be the Section 13.1 constitutional floor for scope u. Then the PLSS union weights are:</w:t>
      </w:r>
    </w:p>
    <w:p>
      <w:pPr>
        <w:pStyle w:val="BodyText"/>
        <w:widowControl/>
      </w:pPr>
      <w:r>
        <w:t xml:space="preserve">w_u^PLSS = w_u^floor + (1 - Σ_j w_j^floor) ρ_u</w:t>
      </w:r>
    </w:p>
    <w:p>
      <w:pPr>
        <w:pStyle w:val="BodyText"/>
        <w:widowControl/>
      </w:pPr>
      <w:r>
        <w:t xml:space="preserve">subject to the canonical constraints:</w:t>
      </w:r>
    </w:p>
    <w:p>
      <w:pPr>
        <w:pStyle w:val="BodyText"/>
        <w:widowControl/>
      </w:pPr>
      <w:r>
        <w:t xml:space="preserve">w_u^PLSS ≥ 0</w:t>
      </w:r>
    </w:p>
    <w:p>
      <w:pPr>
        <w:pStyle w:val="BodyText"/>
        <w:widowControl/>
      </w:pPr>
      <w:r>
        <w:t xml:space="preserve">Σ_u w_u^PLSS = 1</w:t>
      </w:r>
    </w:p>
    <w:p>
      <w:pPr>
        <w:pStyle w:val="BodyText"/>
        <w:widowControl/>
      </w:pPr>
      <w:r>
        <w:t xml:space="preserve">w_u^PLSS ≥ w_u^floor</w:t>
      </w:r>
    </w:p>
    <w:p>
      <w:pPr>
        <w:pStyle w:val="BodyText"/>
        <w:widowControl/>
      </w:pPr>
      <w:r>
        <w:t xml:space="preserve">for every scope u.</w:t>
      </w:r>
    </w:p>
    <w:p>
      <w:pPr>
        <w:pStyle w:val="BodyText"/>
        <w:widowControl/>
      </w:pPr>
      <w:r>
        <w:t xml:space="preserve">Interpretation (Informative). PLSS does not re-write the constitution. It lets local runs place most of the residual emphasis on nearby scopes while retaining the constitutional baseline presence of broader scopes.</w:t>
      </w:r>
    </w:p>
    <w:bookmarkEnd w:id="181"/>
    <w:bookmarkStart w:id="182" w:name="Xaec908084918d95874fe5c8e0658069dfa4f926"/>
    <w:p>
      <w:pPr>
        <w:pStyle w:val="Heading2"/>
        <w:keepNext/>
        <w:keepLines/>
        <w:pageBreakBefore w:val="0"/>
        <w:widowControl/>
      </w:pPr>
      <w:r>
        <w:rPr>
          <w:rFonts w:ascii="Arial" w:hAnsi="Arial" w:eastAsia="Arial"/>
          <w:b/>
          <w:color w:val="1F4E78"/>
        </w:rPr>
        <w:t xml:space="preserve">10.2A.5 PLSS RLS equation (Normative)</w:t>
      </w:r>
    </w:p>
    <w:p>
      <w:pPr>
        <w:pStyle w:val="FirstParagraph"/>
        <w:widowControl/>
      </w:pPr>
      <w:r>
        <w:t xml:space="preserve">For any selectable option a ∈ A_sel, the local-scope welfare ranking is:</w:t>
      </w:r>
    </w:p>
    <w:p>
      <w:pPr>
        <w:pStyle w:val="BodyText"/>
        <w:widowControl/>
      </w:pPr>
      <w:r>
        <w:t xml:space="preserve">q_PLSS(u,d) = w_u^PLSS · v_d · m(u,d) · κ(u,d)</w:t>
      </w:r>
    </w:p>
    <w:p>
      <w:pPr>
        <w:pStyle w:val="BodyText"/>
        <w:widowControl/>
      </w:pPr>
      <w:r>
        <w:t xml:space="preserve">Q_PLSS = Σ_u Σ_d q_PLSS(u,d)</w:t>
      </w:r>
    </w:p>
    <w:p>
      <w:pPr>
        <w:pStyle w:val="BodyText"/>
        <w:widowControl/>
      </w:pPr>
      <w:r>
        <w:t xml:space="preserve">RLS_PLSS(a) = [Σ_u Σ_d q_PLSS(u,d) · I_prop_welfare(u,d,a)] / Q_PLSS, for Q_PLSS &gt; 0</w:t>
      </w:r>
    </w:p>
    <w:p>
      <w:pPr>
        <w:pStyle w:val="BodyText"/>
        <w:widowControl/>
      </w:pPr>
      <w:r>
        <w:t xml:space="preserve">where:</w:t>
      </w:r>
    </w:p>
    <w:p>
      <w:pPr>
        <w:pStyle w:val="BodyText"/>
        <w:widowControl/>
      </w:pPr>
      <w:r>
        <w:t xml:space="preserve">• w_u^PLSS is defined by Section 10.2A.4,</w:t>
      </w:r>
    </w:p>
    <w:p>
      <w:pPr>
        <w:pStyle w:val="BodyText"/>
        <w:widowControl/>
      </w:pPr>
      <w:r>
        <w:t xml:space="preserve">• v_d remains governed by Section 13,</w:t>
      </w:r>
    </w:p>
    <w:p>
      <w:pPr>
        <w:pStyle w:val="BodyText"/>
        <w:widowControl/>
      </w:pPr>
      <w:r>
        <w:t xml:space="preserve">• m(u,d) remains governed by Section 10.2,</w:t>
      </w:r>
    </w:p>
    <w:p>
      <w:pPr>
        <w:pStyle w:val="BodyText"/>
        <w:widowControl/>
      </w:pPr>
      <w:r>
        <w:t xml:space="preserve">• κ(u,d) remains governed by Section 10.1,</w:t>
      </w:r>
    </w:p>
    <w:p>
      <w:pPr>
        <w:pStyle w:val="BodyText"/>
        <w:widowControl/>
      </w:pPr>
      <w:r>
        <w:t xml:space="preserve">• I_prop_welfare(u,d,a) remains governed by Sections 5–6.</w:t>
      </w:r>
    </w:p>
    <w:p>
      <w:pPr>
        <w:pStyle w:val="BodyText"/>
        <w:widowControl/>
      </w:pPr>
      <w:r>
        <w:t xml:space="preserve">If no kernel propagation is declared, then:</w:t>
      </w:r>
    </w:p>
    <w:p>
      <w:pPr>
        <w:pStyle w:val="BodyText"/>
        <w:widowControl/>
      </w:pPr>
      <w:r>
        <w:t xml:space="preserve">I_prop_welfare(u,d,a) = I_dir(u,d,a)</w:t>
      </w:r>
    </w:p>
    <w:p>
      <w:pPr>
        <w:pStyle w:val="BodyText"/>
        <w:widowControl/>
      </w:pPr>
      <w:r>
        <w:t xml:space="preserve">per the existing NONE propagation pathway.</w:t>
      </w:r>
    </w:p>
    <w:p>
      <w:pPr>
        <w:pStyle w:val="BodyText"/>
        <w:widowControl/>
      </w:pPr>
      <w:r>
        <w:t xml:space="preserve">10.2A.5A Discrimination threshold and non-decisive handling (Normative). The discrimination threshold defined in Section 10.4 applies identically to RLS_PLSS. If the lead between the top two selectable options is non-decisive under the declared uncertainty method, the tie-break chain in Section 11.5 MUST be applied. PLSS SHALL NOT bypass uncertainty handling, decisiveness testing, or tie-break governance.</w:t>
      </w:r>
    </w:p>
    <w:p>
      <w:pPr>
        <w:pStyle w:val="BodyText"/>
        <w:widowControl/>
      </w:pPr>
      <w:r>
        <w:t xml:space="preserve">10.2A.5B PLSS prominence sensitivity (Normative)</w:t>
      </w:r>
    </w:p>
    <w:p>
      <w:pPr>
        <w:pStyle w:val="BodyText"/>
        <w:widowControl/>
      </w:pPr>
      <w:r>
        <w:t xml:space="preserve">When PLSS is used in Tier 3, the PCC MUST rerun the welfare ranking under at least two alternative valid prominence constructions:</w:t>
      </w:r>
    </w:p>
    <w:p>
      <w:pPr>
        <w:pStyle w:val="BodyText"/>
        <w:widowControl/>
      </w:pPr>
      <w:r>
        <w:t xml:space="preserve">(i) the uniform residual fallback, and</w:t>
      </w:r>
    </w:p>
    <w:p>
      <w:pPr>
        <w:pStyle w:val="BodyText"/>
        <w:widowControl/>
      </w:pPr>
      <w:r>
        <w:t xml:space="preserve">(ii) a broadened guardrail-sensitive vector in which every scope classified Guardrail receives q_u at least 0.10 times the maximum q_u among prominent scopes, unless a stricter charter rule is declared.</w:t>
      </w:r>
    </w:p>
    <w:p>
      <w:pPr>
        <w:pStyle w:val="BodyText"/>
        <w:widowControl/>
      </w:pPr>
      <w:r>
        <w:t xml:space="preserve">If the ranking order of selectable options or the selected option changes under these alternative valid prominence constructions, the run MUST set audit flag PLSS_PROMINENCE_SENSITIVE and document the sensitivity in the PCC.</w:t>
      </w:r>
    </w:p>
    <w:p>
      <w:pPr>
        <w:pStyle w:val="BodyText"/>
        <w:widowControl/>
      </w:pPr>
      <w:r>
        <w:t xml:space="preserve">When</w:t>
      </w:r>
      <w:r>
        <w:t xml:space="preserve"> </w:t>
      </w:r>
      <w:r>
        <w:rPr>
          <w:rStyle w:val="VerbatimChar"/>
        </w:rPr>
        <w:t xml:space="preserve">OTHER_DECLARED</w:t>
      </w:r>
      <w:r>
        <w:t xml:space="preserve"> </w:t>
      </w:r>
      <w:r>
        <w:t xml:space="preserve">uses a direct-q normalization such as</w:t>
      </w:r>
      <w:r>
        <w:t xml:space="preserve"> </w:t>
      </w:r>
      <w:r>
        <w:rPr>
          <w:rStyle w:val="VerbatimChar"/>
        </w:rPr>
        <w:t xml:space="preserve">DIRECT_Q_NORMALIZATION_V1</w:t>
      </w:r>
      <w:r>
        <w:t xml:space="preserve">, the published sensitivity bundle MUST show at minimum: the declared direct-q result; the default geometric-mean prominence result; the uniform-residual fallback; and a broadened guardrail-sensitive result where plausible wider-scope effects are increased. The PCC MUST state whether ranking, decisiveness, or authority selection changes under each construction.</w:t>
      </w:r>
    </w:p>
    <w:p>
      <w:pPr>
        <w:pStyle w:val="BodyText"/>
        <w:widowControl/>
      </w:pPr>
      <w:r>
        <w:t xml:space="preserve">This requirement does not alter admissibility, which remains governed by the Attention-Safety Separation Principle and the upstream gates.</w:t>
      </w:r>
    </w:p>
    <w:bookmarkEnd w:id="182"/>
    <w:bookmarkStart w:id="183" w:name="Xd575dcd089eff5f19500dac96ae99bc604f71a9"/>
    <w:p>
      <w:pPr>
        <w:pStyle w:val="Heading2"/>
        <w:keepNext/>
        <w:keepLines/>
        <w:pageBreakBefore w:val="0"/>
        <w:widowControl/>
      </w:pPr>
      <w:r>
        <w:rPr>
          <w:rFonts w:ascii="Arial" w:hAnsi="Arial" w:eastAsia="Arial"/>
          <w:b/>
          <w:color w:val="1F4E78"/>
        </w:rPr>
        <w:t xml:space="preserve">10.2A.6 Masking and non-maskable rule under PLSS (Normative)</w:t>
      </w:r>
    </w:p>
    <w:p>
      <w:pPr>
        <w:pStyle w:val="FirstParagraph"/>
        <w:widowControl/>
      </w:pPr>
      <w:r>
        <w:t xml:space="preserve">PLSS SHALL NOT modify the Section 10.2 mask rule.</w:t>
      </w:r>
    </w:p>
    <w:p>
      <w:pPr>
        <w:pStyle w:val="BodyText"/>
        <w:widowControl/>
      </w:pPr>
      <w:r>
        <w:t xml:space="preserve">In particular:</w:t>
      </w:r>
    </w:p>
    <w:p>
      <w:pPr>
        <w:pStyle w:val="BodyText"/>
        <w:widowControl/>
      </w:pPr>
      <w:r>
        <w:t xml:space="preserve">• masking remains RLS aggregation only,</w:t>
      </w:r>
    </w:p>
    <w:p>
      <w:pPr>
        <w:pStyle w:val="BodyText"/>
        <w:widowControl/>
      </w:pPr>
      <w:r>
        <w:t xml:space="preserve">• masking SHALL NOT be used as omission,</w:t>
      </w:r>
    </w:p>
    <w:p>
      <w:pPr>
        <w:pStyle w:val="BodyText"/>
        <w:widowControl/>
      </w:pPr>
      <w:r>
        <w:t xml:space="preserve">• rights-covered cells and catastrophe-relevant cells remain non-maskable where required by the canon,</w:t>
      </w:r>
    </w:p>
    <w:p>
      <w:pPr>
        <w:pStyle w:val="BodyText"/>
        <w:widowControl/>
      </w:pPr>
      <w:r>
        <w:t xml:space="preserve">• reduced-scope or local-scope presentation SHALL NOT bypass admissibility on required cells.</w:t>
      </w:r>
    </w:p>
    <w:p>
      <w:pPr>
        <w:pStyle w:val="BodyText"/>
        <w:widowControl/>
      </w:pPr>
      <w:r>
        <w:t xml:space="preserve">Thus PLSS narrows practical emphasis, not moral coverage.</w:t>
      </w:r>
    </w:p>
    <w:bookmarkEnd w:id="183"/>
    <w:bookmarkStart w:id="184" w:name="Xc31307295c5763e534c20fc2047fac33db80c64"/>
    <w:p>
      <w:pPr>
        <w:pStyle w:val="Heading2"/>
        <w:keepNext/>
        <w:keepLines/>
        <w:pageBreakBefore w:val="0"/>
        <w:widowControl/>
      </w:pPr>
      <w:r>
        <w:rPr>
          <w:rFonts w:ascii="Arial" w:hAnsi="Arial" w:eastAsia="Arial"/>
          <w:b/>
          <w:color w:val="1F4E78"/>
        </w:rPr>
        <w:t xml:space="preserve">10.2A.7 Escalation triggers (Normative)</w:t>
      </w:r>
    </w:p>
    <w:p>
      <w:pPr>
        <w:pStyle w:val="FirstParagraph"/>
        <w:widowControl/>
      </w:pPr>
      <w:r>
        <w:t xml:space="preserve">A run SHALL NOT remain in PLSS-only posture, or SHALL be rerun with broader scrutiny, if any of the following are plausible:</w:t>
      </w:r>
    </w:p>
    <w:p>
      <w:pPr>
        <w:pStyle w:val="BodyText"/>
        <w:widowControl/>
      </w:pPr>
      <w:r>
        <w:t xml:space="preserve">1. rights-covered harm beyond the prominent scopes,</w:t>
      </w:r>
    </w:p>
    <w:p>
      <w:pPr>
        <w:pStyle w:val="BodyText"/>
        <w:widowControl/>
      </w:pPr>
      <w:r>
        <w:t xml:space="preserve">2. catastrophe relevance or irreversible loss,</w:t>
      </w:r>
    </w:p>
    <w:p>
      <w:pPr>
        <w:pStyle w:val="BodyText"/>
        <w:widowControl/>
      </w:pPr>
      <w:r>
        <w:t xml:space="preserve">3. meaningful externalities crossing Community, Organization, Polity, Humanity / Global Coordination, or Biosphere pathways,</w:t>
      </w:r>
    </w:p>
    <w:p>
      <w:pPr>
        <w:pStyle w:val="BodyText"/>
        <w:widowControl/>
      </w:pPr>
      <w:r>
        <w:t xml:space="preserve">4. lock-in, precedent, or nontrivial governance spillover,</w:t>
      </w:r>
    </w:p>
    <w:p>
      <w:pPr>
        <w:pStyle w:val="BodyText"/>
        <w:widowControl/>
      </w:pPr>
      <w:r>
        <w:t xml:space="preserve">5. a credible challenger claim that a stakeholder class or scope was omitted,</w:t>
      </w:r>
    </w:p>
    <w:p>
      <w:pPr>
        <w:pStyle w:val="BodyText"/>
        <w:widowControl/>
      </w:pPr>
      <w:r>
        <w:t xml:space="preserve">6. Containment requires unavailable evidence for containing scopes,</w:t>
      </w:r>
    </w:p>
    <w:p>
      <w:pPr>
        <w:pStyle w:val="BodyText"/>
        <w:widowControl/>
      </w:pPr>
      <w:r>
        <w:t xml:space="preserve">7. repeated comparable runs continue to use local-scope framing without the required next-run expansion plan.</w:t>
      </w:r>
    </w:p>
    <w:p>
      <w:pPr>
        <w:pStyle w:val="BodyText"/>
        <w:widowControl/>
      </w:pPr>
      <w:r>
        <w:t xml:space="preserve">Audit flag (Normative). If one or more escalation triggers in Section 10.2A.7 is plausibly active, but the run proceeds in PLSS posture without escalation or documented justification, implementations MUST set audit flag PLSS_ESCALATION_TRIGGER_UNRESOLVED with severity ESCALATE. The PCC MUST then either record the broader posture adopted or provide a specific justification for non-escalation, including evidence basis and reviewer sign-off where required by tier. If no such disposition is recorded, the validator MUST reject the run as non-conformant.</w:t>
      </w:r>
    </w:p>
    <w:p>
      <w:pPr>
        <w:pStyle w:val="BodyText"/>
        <w:widowControl/>
      </w:pPr>
      <w:r>
        <w:t xml:space="preserve">Boundary heuristic note (Normative guidance). Implementations MAY use lightweight pre-screen heuristics to decide whether FLGG escalation is required before full local scoring proceeds, for example trigger scans over rights exposure, catastrophe relevance, cross-scope externality breadth, lock-in, precedent, and containment-evidence availability. Any such heuristic is advisory only: once a trigger is plausibly active, the canonical escalation requirements of Section 10.2A.7 control.</w:t>
      </w:r>
    </w:p>
    <w:p>
      <w:pPr>
        <w:pStyle w:val="BodyText"/>
        <w:widowControl/>
      </w:pPr>
      <w:r>
        <w:t xml:space="preserve">Ex ante method declaration rule (Normative). Any method choice that can materially affect decisiveness, ranking within the selectable set, or tie-break outcome, including PLSS prominence construction, alternative PLSS operator, scope-posture escalation disposition, and UCI comparison method, SHOULD be declared ex ante in the PCC where practicable. If first declared only after comparative outcomes are observed, the PCC MUST record a reason code, reviewer sign-off where required by tier, and a sensitivity note sufficient for independent review.</w:t>
      </w:r>
    </w:p>
    <w:p>
      <w:pPr>
        <w:pStyle w:val="BodyText"/>
        <w:widowControl/>
      </w:pPr>
      <w:r>
        <w:t xml:space="preserve">Scope posture classification note (Normative). When PLSS is used, each scope SHALL be classified in the PCC as either Prominent or Guardrail. v9.0 removes the undefined “Mixed” category to reduce audit drift; if a deployment wants finer descriptive language, it MAY add non-canonical comments, but the PCC classification field SHALL remain binary.</w:t>
      </w:r>
    </w:p>
    <w:bookmarkEnd w:id="184"/>
    <w:bookmarkStart w:id="185" w:name="X9a8cf6682092fcf48a62bcb3efb15e9c5fb7cb1"/>
    <w:p>
      <w:pPr>
        <w:pStyle w:val="Heading2"/>
        <w:keepNext/>
        <w:keepLines/>
        <w:pageBreakBefore w:val="0"/>
        <w:widowControl/>
      </w:pPr>
      <w:r>
        <w:rPr>
          <w:rFonts w:ascii="Arial" w:hAnsi="Arial" w:eastAsia="Arial"/>
          <w:b/>
          <w:color w:val="1F4E78"/>
        </w:rPr>
        <w:t xml:space="preserve">10.2A.8 Plain-language reading rule (Normative)</w:t>
      </w:r>
    </w:p>
    <w:p>
      <w:pPr>
        <w:pStyle w:val="FirstParagraph"/>
        <w:widowControl/>
      </w:pPr>
      <w:r>
        <w:t xml:space="preserve">When not to use PLSS (Normative guidance statement). PLSS is intended primarily for local or moderately bounded decisions in which direct welfare effects are concentrated and no escalation trigger is plausibly active at the outset. PLSS SHALL NOT be used as the primary posture for irreversible cross-border policy, large-scale public AI deployment, biosecurity governance, active military or security operations, high-lock-in infrastructure decisions, or any case in which ET-1 through ET-7 is plausibly active at decision entry. Such cases require a broader deliberative posture or higher-tier structured evaluation.</w:t>
      </w:r>
    </w:p>
    <w:p>
      <w:pPr>
        <w:pStyle w:val="BodyText"/>
        <w:widowControl/>
      </w:pPr>
      <w:r>
        <w:t xml:space="preserve">For instructional and public-facing use, the framework MAY describe PLSS with the following plain-language sentence:</w:t>
      </w:r>
    </w:p>
    <w:p>
      <w:pPr>
        <w:pStyle w:val="BodyText"/>
        <w:widowControl/>
      </w:pPr>
      <w:r>
        <w:t xml:space="preserve">“In local decisions, score most strongly where the ripple is near, but keep every wider scope present through floors and guardrails. PLSS narrows residual attention, not moral coverage. It MAY change welfare ranking within the selectable set, but it MUST NOT make an inadmissible option admissible.”</w:t>
      </w:r>
    </w:p>
    <w:p>
      <w:pPr>
        <w:pStyle w:val="BodyText"/>
        <w:widowControl/>
      </w:pPr>
      <w:r>
        <w:t xml:space="preserve">This sentence is interpretive only and SHALL NOT override the equations above.</w:t>
      </w:r>
    </w:p>
    <w:bookmarkEnd w:id="185"/>
    <w:bookmarkStart w:id="186" w:name="Xd9c36f946e41c831818bb77975a921ff282c084"/>
    <w:p>
      <w:pPr>
        <w:pStyle w:val="Heading2"/>
        <w:keepNext/>
        <w:keepLines/>
        <w:pageBreakBefore w:val="0"/>
        <w:widowControl/>
      </w:pPr>
      <w:r>
        <w:rPr>
          <w:rFonts w:ascii="Arial" w:hAnsi="Arial" w:eastAsia="Arial"/>
          <w:b/>
          <w:color w:val="1F4E78"/>
        </w:rPr>
        <w:t xml:space="preserve">10.2A.9 Worked example: family café local run (Informative)</w:t>
      </w:r>
    </w:p>
    <w:p>
      <w:pPr>
        <w:pStyle w:val="FirstParagraph"/>
        <w:widowControl/>
      </w:pPr>
      <w:r>
        <w:t xml:space="preserve">Decision. A family café must choose between:</w:t>
      </w:r>
    </w:p>
    <w:p>
      <w:pPr>
        <w:pStyle w:val="BodyText"/>
        <w:widowControl/>
      </w:pPr>
      <w:r>
        <w:t xml:space="preserve">• Option A: cheap single-use cups,</w:t>
      </w:r>
    </w:p>
    <w:p>
      <w:pPr>
        <w:pStyle w:val="BodyText"/>
        <w:widowControl/>
      </w:pPr>
      <w:r>
        <w:t xml:space="preserve">• Option B: reusable deposit-return cups with a local wash partner,</w:t>
      </w:r>
    </w:p>
    <w:p>
      <w:pPr>
        <w:pStyle w:val="BodyText"/>
        <w:widowControl/>
      </w:pPr>
      <w:r>
        <w:t xml:space="preserve">• Option C: ultra-cheap cups from an unverified supplier with plausible toxic-material or labor-abuse exposure.</w:t>
      </w:r>
    </w:p>
    <w:p>
      <w:pPr>
        <w:pStyle w:val="BodyText"/>
        <w:widowControl/>
      </w:pPr>
      <w:r>
        <w:t xml:space="preserve">Declared stakeholder instances by scope:</w:t>
      </w:r>
    </w:p>
    <w:p>
      <w:pPr>
        <w:pStyle w:val="BodyText"/>
        <w:widowControl/>
      </w:pPr>
      <w:r>
        <w:t xml:space="preserve">• U1 Self: 1 instance</w:t>
      </w:r>
    </w:p>
    <w:p>
      <w:pPr>
        <w:pStyle w:val="BodyText"/>
        <w:widowControl/>
      </w:pPr>
      <w:r>
        <w:t xml:space="preserve">• U2 Household: 1 instance</w:t>
      </w:r>
    </w:p>
    <w:p>
      <w:pPr>
        <w:pStyle w:val="BodyText"/>
        <w:widowControl/>
      </w:pPr>
      <w:r>
        <w:t xml:space="preserve">• U3 Community: 5 instances</w:t>
      </w:r>
    </w:p>
    <w:p>
      <w:pPr>
        <w:pStyle w:val="BodyText"/>
        <w:widowControl/>
      </w:pPr>
      <w:r>
        <w:t xml:space="preserve">• U4 Organization: 2 instances</w:t>
      </w:r>
    </w:p>
    <w:p>
      <w:pPr>
        <w:pStyle w:val="BodyText"/>
        <w:widowControl/>
      </w:pPr>
      <w:r>
        <w:t xml:space="preserve">• U5 Polity: 3 instances</w:t>
      </w:r>
    </w:p>
    <w:p>
      <w:pPr>
        <w:pStyle w:val="BodyText"/>
        <w:widowControl/>
      </w:pPr>
      <w:r>
        <w:t xml:space="preserve">• U6 Humanity / Global Coordination: 1 instance</w:t>
      </w:r>
    </w:p>
    <w:p>
      <w:pPr>
        <w:pStyle w:val="BodyText"/>
        <w:widowControl/>
      </w:pPr>
      <w:r>
        <w:t xml:space="preserve">• U7 Biosphere: 1 instance</w:t>
      </w:r>
    </w:p>
    <w:p>
      <w:pPr>
        <w:pStyle w:val="BodyText"/>
        <w:widowControl/>
      </w:pPr>
      <w:r>
        <w:t xml:space="preserve">This run illustrates the distinction between instances and scopes. The café does not score Community in the abstract. It scores the affected Community instances, then aggregates them into the U3 row.</w:t>
      </w:r>
    </w:p>
    <w:p>
      <w:pPr>
        <w:pStyle w:val="BodyText"/>
        <w:widowControl/>
      </w:pPr>
      <w:r>
        <w:t xml:space="preserve">Declared local prominence signals:</w:t>
      </w:r>
    </w:p>
    <w:p>
      <w:pPr>
        <w:pStyle w:val="BodyText"/>
        <w:widowControl/>
      </w:pPr>
      <w:r>
        <w:t xml:space="preserve">q = (U1,U2,U3,U4,U5,U6,U7) = (0.95, 0.85, 0.55, 0.50, 0.10, 0.03, 0.02)</w:t>
      </w:r>
    </w:p>
    <w:p>
      <w:pPr>
        <w:pStyle w:val="BodyText"/>
        <w:widowControl/>
      </w:pPr>
      <w:r>
        <w:t xml:space="preserve">These sum to 3.00.</w:t>
      </w:r>
    </w:p>
    <w:p>
      <w:pPr>
        <w:pStyle w:val="BodyText"/>
        <w:widowControl/>
      </w:pPr>
      <w:r>
        <w:t xml:space="preserve">Under Section 13.1, the union floors are:</w:t>
      </w:r>
    </w:p>
    <w:p>
      <w:pPr>
        <w:pStyle w:val="BodyText"/>
        <w:widowControl/>
      </w:pPr>
      <w:r>
        <w:t xml:space="preserve">w^floor = (0.20, 0.06, 0.06, 0.06, 0.08, 0.10, 0.10)</w:t>
      </w:r>
    </w:p>
    <w:p>
      <w:pPr>
        <w:pStyle w:val="BodyText"/>
        <w:widowControl/>
      </w:pPr>
      <w:r>
        <w:t xml:space="preserve">The floor total is 0.66, so the residual is 0.34. The resulting PLSS weights are:</w:t>
      </w:r>
    </w:p>
    <w:p>
      <w:pPr>
        <w:pStyle w:val="BodyText"/>
        <w:widowControl/>
      </w:pPr>
      <w:r>
        <w:t xml:space="preserve">w^PLSS ≈ (0.308, 0.156, 0.122, 0.117, 0.091, 0.103, 0.102)</w:t>
      </w:r>
    </w:p>
    <w:p>
      <w:pPr>
        <w:pStyle w:val="BodyText"/>
        <w:widowControl/>
      </w:pPr>
      <w:r>
        <w:t xml:space="preserve">Interpretation. Self, Household, Community, and Organization receive most of the residual attention. Polity, Humanity / Global Coordination, and Biosphere remain meaningfully present because the current constitution keeps them above zero even in local runs.</w:t>
      </w:r>
    </w:p>
    <w:p>
      <w:pPr>
        <w:pStyle w:val="BodyText"/>
        <w:widowControl/>
      </w:pPr>
      <w:r>
        <w:t xml:space="preserve">Table 10-1. Illustrative local prominence signals and PLSS union weights</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Union Scope</w:t>
            </w:r>
          </w:p>
        </w:tc>
        <w:tc>
          <w:tcPr>
            <w:shd w:fill="1F4E78" w:val="clear"/>
            <w:tcMar>
              <w:top w:w="80" w:type="dxa"/>
              <w:start w:w="90" w:type="dxa"/>
              <w:bottom w:w="80" w:type="dxa"/>
              <w:end w:w="90" w:type="dxa"/>
            </w:tcMar>
          </w:tcPr>
          <w:p>
            <w:pPr>
              <w:pStyle w:val="Compact"/>
              <w:jc w:val="left"/>
            </w:pPr>
            <w:r>
              <w:rPr>
                <w:b/>
                <w:bCs/>
                <w:color w:val="FFFFFF"/>
              </w:rPr>
              <w:t xml:space="preserve">q_u</w:t>
            </w:r>
          </w:p>
        </w:tc>
        <w:tc>
          <w:tcPr>
            <w:shd w:fill="1F4E78" w:val="clear"/>
            <w:tcMar>
              <w:top w:w="80" w:type="dxa"/>
              <w:start w:w="90" w:type="dxa"/>
              <w:bottom w:w="80" w:type="dxa"/>
              <w:end w:w="90" w:type="dxa"/>
            </w:tcMar>
          </w:tcPr>
          <w:p>
            <w:pPr>
              <w:pStyle w:val="Compact"/>
              <w:jc w:val="left"/>
            </w:pPr>
            <w:r>
              <w:rPr>
                <w:b/>
                <w:bCs/>
                <w:color w:val="FFFFFF"/>
              </w:rPr>
              <w:t xml:space="preserve">w_u^floor</w:t>
            </w:r>
          </w:p>
        </w:tc>
        <w:tc>
          <w:tcPr>
            <w:shd w:fill="1F4E78" w:val="clear"/>
            <w:tcMar>
              <w:top w:w="80" w:type="dxa"/>
              <w:start w:w="90" w:type="dxa"/>
              <w:bottom w:w="80" w:type="dxa"/>
              <w:end w:w="90" w:type="dxa"/>
            </w:tcMar>
          </w:tcPr>
          <w:p>
            <w:pPr>
              <w:pStyle w:val="Compact"/>
              <w:jc w:val="left"/>
            </w:pPr>
            <w:r>
              <w:rPr>
                <w:b/>
                <w:bCs/>
                <w:color w:val="FFFFFF"/>
              </w:rPr>
              <w:t xml:space="preserve">w_u^PLSS</w:t>
            </w:r>
          </w:p>
        </w:tc>
      </w:tr>
      <w:tr>
        <w:trPr/>
        <w:tc>
          <w:tcPr>
            <w:tcMar>
              <w:top w:w="80" w:type="dxa"/>
              <w:start w:w="90" w:type="dxa"/>
              <w:bottom w:w="80" w:type="dxa"/>
              <w:end w:w="90" w:type="dxa"/>
            </w:tcMar>
            <w:shd w:fill="F7FBFF" w:val="clear"/>
          </w:tcPr>
          <w:p>
            <w:pPr>
              <w:pStyle w:val="Compact"/>
              <w:jc w:val="left"/>
            </w:pPr>
            <w:r>
              <w:t xml:space="preserve">U1 Self</w:t>
            </w:r>
          </w:p>
        </w:tc>
        <w:tc>
          <w:tcPr>
            <w:tcMar>
              <w:top w:w="80" w:type="dxa"/>
              <w:start w:w="90" w:type="dxa"/>
              <w:bottom w:w="80" w:type="dxa"/>
              <w:end w:w="90" w:type="dxa"/>
            </w:tcMar>
            <w:shd w:fill="F7FBFF" w:val="clear"/>
          </w:tcPr>
          <w:p>
            <w:pPr>
              <w:pStyle w:val="Compact"/>
              <w:jc w:val="left"/>
            </w:pPr>
            <w:r>
              <w:t xml:space="preserve">0.95</w:t>
            </w:r>
          </w:p>
        </w:tc>
        <w:tc>
          <w:tcPr>
            <w:tcMar>
              <w:top w:w="80" w:type="dxa"/>
              <w:start w:w="90" w:type="dxa"/>
              <w:bottom w:w="80" w:type="dxa"/>
              <w:end w:w="90" w:type="dxa"/>
            </w:tcMar>
            <w:shd w:fill="F7FBFF" w:val="clear"/>
          </w:tcPr>
          <w:p>
            <w:pPr>
              <w:pStyle w:val="Compact"/>
              <w:jc w:val="left"/>
            </w:pPr>
            <w:r>
              <w:t xml:space="preserve">0.20</w:t>
            </w:r>
          </w:p>
        </w:tc>
        <w:tc>
          <w:tcPr>
            <w:tcMar>
              <w:top w:w="80" w:type="dxa"/>
              <w:start w:w="90" w:type="dxa"/>
              <w:bottom w:w="80" w:type="dxa"/>
              <w:end w:w="90" w:type="dxa"/>
            </w:tcMar>
            <w:shd w:fill="F7FBFF" w:val="clear"/>
          </w:tcPr>
          <w:p>
            <w:pPr>
              <w:pStyle w:val="Compact"/>
              <w:jc w:val="left"/>
            </w:pPr>
            <w:r>
              <w:t xml:space="preserve">0.308</w:t>
            </w:r>
          </w:p>
        </w:tc>
      </w:tr>
      <w:tr>
        <w:trPr/>
        <w:tc>
          <w:tcPr>
            <w:tcMar>
              <w:top w:w="80" w:type="dxa"/>
              <w:start w:w="90" w:type="dxa"/>
              <w:bottom w:w="80" w:type="dxa"/>
              <w:end w:w="90" w:type="dxa"/>
            </w:tcMar>
            <w:shd w:fill="D9EAF7" w:val="clear"/>
          </w:tcPr>
          <w:p>
            <w:pPr>
              <w:pStyle w:val="Compact"/>
              <w:jc w:val="left"/>
            </w:pPr>
            <w:r>
              <w:t xml:space="preserve">U2 Household</w:t>
            </w:r>
          </w:p>
        </w:tc>
        <w:tc>
          <w:tcPr>
            <w:tcMar>
              <w:top w:w="80" w:type="dxa"/>
              <w:start w:w="90" w:type="dxa"/>
              <w:bottom w:w="80" w:type="dxa"/>
              <w:end w:w="90" w:type="dxa"/>
            </w:tcMar>
            <w:shd w:fill="D9EAF7" w:val="clear"/>
          </w:tcPr>
          <w:p>
            <w:pPr>
              <w:pStyle w:val="Compact"/>
              <w:jc w:val="left"/>
            </w:pPr>
            <w:r>
              <w:t xml:space="preserve">0.85</w:t>
            </w:r>
          </w:p>
        </w:tc>
        <w:tc>
          <w:tcPr>
            <w:tcMar>
              <w:top w:w="80" w:type="dxa"/>
              <w:start w:w="90" w:type="dxa"/>
              <w:bottom w:w="80" w:type="dxa"/>
              <w:end w:w="90" w:type="dxa"/>
            </w:tcMar>
            <w:shd w:fill="D9EAF7" w:val="clear"/>
          </w:tcPr>
          <w:p>
            <w:pPr>
              <w:pStyle w:val="Compact"/>
              <w:jc w:val="left"/>
            </w:pPr>
            <w:r>
              <w:t xml:space="preserve">0.06</w:t>
            </w:r>
          </w:p>
        </w:tc>
        <w:tc>
          <w:tcPr>
            <w:tcMar>
              <w:top w:w="80" w:type="dxa"/>
              <w:start w:w="90" w:type="dxa"/>
              <w:bottom w:w="80" w:type="dxa"/>
              <w:end w:w="90" w:type="dxa"/>
            </w:tcMar>
            <w:shd w:fill="D9EAF7" w:val="clear"/>
          </w:tcPr>
          <w:p>
            <w:pPr>
              <w:pStyle w:val="Compact"/>
              <w:jc w:val="left"/>
            </w:pPr>
            <w:r>
              <w:t xml:space="preserve">0.156</w:t>
            </w:r>
          </w:p>
        </w:tc>
      </w:tr>
      <w:tr>
        <w:trPr/>
        <w:tc>
          <w:tcPr>
            <w:tcMar>
              <w:top w:w="80" w:type="dxa"/>
              <w:start w:w="90" w:type="dxa"/>
              <w:bottom w:w="80" w:type="dxa"/>
              <w:end w:w="90" w:type="dxa"/>
            </w:tcMar>
            <w:shd w:fill="F7FBFF" w:val="clear"/>
          </w:tcPr>
          <w:p>
            <w:pPr>
              <w:pStyle w:val="Compact"/>
              <w:jc w:val="left"/>
            </w:pPr>
            <w:r>
              <w:t xml:space="preserve">U3 Community</w:t>
            </w:r>
          </w:p>
        </w:tc>
        <w:tc>
          <w:tcPr>
            <w:tcMar>
              <w:top w:w="80" w:type="dxa"/>
              <w:start w:w="90" w:type="dxa"/>
              <w:bottom w:w="80" w:type="dxa"/>
              <w:end w:w="90" w:type="dxa"/>
            </w:tcMar>
            <w:shd w:fill="F7FBFF" w:val="clear"/>
          </w:tcPr>
          <w:p>
            <w:pPr>
              <w:pStyle w:val="Compact"/>
              <w:jc w:val="left"/>
            </w:pPr>
            <w:r>
              <w:t xml:space="preserve">0.55</w:t>
            </w:r>
          </w:p>
        </w:tc>
        <w:tc>
          <w:tcPr>
            <w:tcMar>
              <w:top w:w="80" w:type="dxa"/>
              <w:start w:w="90" w:type="dxa"/>
              <w:bottom w:w="80" w:type="dxa"/>
              <w:end w:w="90" w:type="dxa"/>
            </w:tcMar>
            <w:shd w:fill="F7FBFF" w:val="clear"/>
          </w:tcPr>
          <w:p>
            <w:pPr>
              <w:pStyle w:val="Compact"/>
              <w:jc w:val="left"/>
            </w:pPr>
            <w:r>
              <w:t xml:space="preserve">0.06</w:t>
            </w:r>
          </w:p>
        </w:tc>
        <w:tc>
          <w:tcPr>
            <w:tcMar>
              <w:top w:w="80" w:type="dxa"/>
              <w:start w:w="90" w:type="dxa"/>
              <w:bottom w:w="80" w:type="dxa"/>
              <w:end w:w="90" w:type="dxa"/>
            </w:tcMar>
            <w:shd w:fill="F7FBFF" w:val="clear"/>
          </w:tcPr>
          <w:p>
            <w:pPr>
              <w:pStyle w:val="Compact"/>
              <w:jc w:val="left"/>
            </w:pPr>
            <w:r>
              <w:t xml:space="preserve">0.122</w:t>
            </w:r>
          </w:p>
        </w:tc>
      </w:tr>
      <w:tr>
        <w:trPr/>
        <w:tc>
          <w:tcPr>
            <w:tcMar>
              <w:top w:w="80" w:type="dxa"/>
              <w:start w:w="90" w:type="dxa"/>
              <w:bottom w:w="80" w:type="dxa"/>
              <w:end w:w="90" w:type="dxa"/>
            </w:tcMar>
            <w:shd w:fill="D9EAF7" w:val="clear"/>
          </w:tcPr>
          <w:p>
            <w:pPr>
              <w:pStyle w:val="Compact"/>
              <w:jc w:val="left"/>
            </w:pPr>
            <w:r>
              <w:t xml:space="preserve">U4 Organization</w:t>
            </w:r>
          </w:p>
        </w:tc>
        <w:tc>
          <w:tcPr>
            <w:tcMar>
              <w:top w:w="80" w:type="dxa"/>
              <w:start w:w="90" w:type="dxa"/>
              <w:bottom w:w="80" w:type="dxa"/>
              <w:end w:w="90" w:type="dxa"/>
            </w:tcMar>
            <w:shd w:fill="D9EAF7" w:val="clear"/>
          </w:tcPr>
          <w:p>
            <w:pPr>
              <w:pStyle w:val="Compact"/>
              <w:jc w:val="left"/>
            </w:pPr>
            <w:r>
              <w:t xml:space="preserve">0.50</w:t>
            </w:r>
          </w:p>
        </w:tc>
        <w:tc>
          <w:tcPr>
            <w:tcMar>
              <w:top w:w="80" w:type="dxa"/>
              <w:start w:w="90" w:type="dxa"/>
              <w:bottom w:w="80" w:type="dxa"/>
              <w:end w:w="90" w:type="dxa"/>
            </w:tcMar>
            <w:shd w:fill="D9EAF7" w:val="clear"/>
          </w:tcPr>
          <w:p>
            <w:pPr>
              <w:pStyle w:val="Compact"/>
              <w:jc w:val="left"/>
            </w:pPr>
            <w:r>
              <w:t xml:space="preserve">0.06</w:t>
            </w:r>
          </w:p>
        </w:tc>
        <w:tc>
          <w:tcPr>
            <w:tcMar>
              <w:top w:w="80" w:type="dxa"/>
              <w:start w:w="90" w:type="dxa"/>
              <w:bottom w:w="80" w:type="dxa"/>
              <w:end w:w="90" w:type="dxa"/>
            </w:tcMar>
            <w:shd w:fill="D9EAF7" w:val="clear"/>
          </w:tcPr>
          <w:p>
            <w:pPr>
              <w:pStyle w:val="Compact"/>
              <w:jc w:val="left"/>
            </w:pPr>
            <w:r>
              <w:t xml:space="preserve">0.117</w:t>
            </w:r>
          </w:p>
        </w:tc>
      </w:tr>
      <w:tr>
        <w:trPr/>
        <w:tc>
          <w:tcPr>
            <w:tcMar>
              <w:top w:w="80" w:type="dxa"/>
              <w:start w:w="90" w:type="dxa"/>
              <w:bottom w:w="80" w:type="dxa"/>
              <w:end w:w="90" w:type="dxa"/>
            </w:tcMar>
            <w:shd w:fill="F7FBFF" w:val="clear"/>
          </w:tcPr>
          <w:p>
            <w:pPr>
              <w:pStyle w:val="Compact"/>
              <w:jc w:val="left"/>
            </w:pPr>
            <w:r>
              <w:t xml:space="preserve">U5 Polity</w:t>
            </w:r>
          </w:p>
        </w:tc>
        <w:tc>
          <w:tcPr>
            <w:tcMar>
              <w:top w:w="80" w:type="dxa"/>
              <w:start w:w="90" w:type="dxa"/>
              <w:bottom w:w="80" w:type="dxa"/>
              <w:end w:w="90" w:type="dxa"/>
            </w:tcMar>
            <w:shd w:fill="F7FBFF" w:val="clear"/>
          </w:tcPr>
          <w:p>
            <w:pPr>
              <w:pStyle w:val="Compact"/>
              <w:jc w:val="left"/>
            </w:pPr>
            <w:r>
              <w:t xml:space="preserve">0.10</w:t>
            </w:r>
          </w:p>
        </w:tc>
        <w:tc>
          <w:tcPr>
            <w:tcMar>
              <w:top w:w="80" w:type="dxa"/>
              <w:start w:w="90" w:type="dxa"/>
              <w:bottom w:w="80" w:type="dxa"/>
              <w:end w:w="90" w:type="dxa"/>
            </w:tcMar>
            <w:shd w:fill="F7FBFF" w:val="clear"/>
          </w:tcPr>
          <w:p>
            <w:pPr>
              <w:pStyle w:val="Compact"/>
              <w:jc w:val="left"/>
            </w:pPr>
            <w:r>
              <w:t xml:space="preserve">0.08</w:t>
            </w:r>
          </w:p>
        </w:tc>
        <w:tc>
          <w:tcPr>
            <w:tcMar>
              <w:top w:w="80" w:type="dxa"/>
              <w:start w:w="90" w:type="dxa"/>
              <w:bottom w:w="80" w:type="dxa"/>
              <w:end w:w="90" w:type="dxa"/>
            </w:tcMar>
            <w:shd w:fill="F7FBFF" w:val="clear"/>
          </w:tcPr>
          <w:p>
            <w:pPr>
              <w:pStyle w:val="Compact"/>
              <w:jc w:val="left"/>
            </w:pPr>
            <w:r>
              <w:t xml:space="preserve">0.091</w:t>
            </w:r>
          </w:p>
        </w:tc>
      </w:tr>
      <w:tr>
        <w:trPr/>
        <w:tc>
          <w:tcPr>
            <w:tcMar>
              <w:top w:w="80" w:type="dxa"/>
              <w:start w:w="90" w:type="dxa"/>
              <w:bottom w:w="80" w:type="dxa"/>
              <w:end w:w="90" w:type="dxa"/>
            </w:tcMar>
            <w:shd w:fill="D9EAF7" w:val="clear"/>
          </w:tcPr>
          <w:p>
            <w:pPr>
              <w:pStyle w:val="Compact"/>
              <w:jc w:val="left"/>
            </w:pPr>
            <w:r>
              <w:t xml:space="preserve">U6 Humanity / Global Coordination</w:t>
            </w:r>
          </w:p>
        </w:tc>
        <w:tc>
          <w:tcPr>
            <w:tcMar>
              <w:top w:w="80" w:type="dxa"/>
              <w:start w:w="90" w:type="dxa"/>
              <w:bottom w:w="80" w:type="dxa"/>
              <w:end w:w="90" w:type="dxa"/>
            </w:tcMar>
            <w:shd w:fill="D9EAF7" w:val="clear"/>
          </w:tcPr>
          <w:p>
            <w:pPr>
              <w:pStyle w:val="Compact"/>
              <w:jc w:val="left"/>
            </w:pPr>
            <w:r>
              <w:t xml:space="preserve">0.03</w:t>
            </w:r>
          </w:p>
        </w:tc>
        <w:tc>
          <w:tcPr>
            <w:tcMar>
              <w:top w:w="80" w:type="dxa"/>
              <w:start w:w="90" w:type="dxa"/>
              <w:bottom w:w="80" w:type="dxa"/>
              <w:end w:w="90" w:type="dxa"/>
            </w:tcMar>
            <w:shd w:fill="D9EAF7" w:val="clear"/>
          </w:tcPr>
          <w:p>
            <w:pPr>
              <w:pStyle w:val="Compact"/>
              <w:jc w:val="left"/>
            </w:pPr>
            <w:r>
              <w:t xml:space="preserve">0.10</w:t>
            </w:r>
          </w:p>
        </w:tc>
        <w:tc>
          <w:tcPr>
            <w:tcMar>
              <w:top w:w="80" w:type="dxa"/>
              <w:start w:w="90" w:type="dxa"/>
              <w:bottom w:w="80" w:type="dxa"/>
              <w:end w:w="90" w:type="dxa"/>
            </w:tcMar>
            <w:shd w:fill="D9EAF7" w:val="clear"/>
          </w:tcPr>
          <w:p>
            <w:pPr>
              <w:pStyle w:val="Compact"/>
              <w:jc w:val="left"/>
            </w:pPr>
            <w:r>
              <w:t xml:space="preserve">0.103</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U7 Biosphere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0.02</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0.10</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0.102</w:t>
            </w:r>
          </w:p>
        </w:tc>
      </w:tr>
    </w:tbl>
    <w:p>
      <w:pPr>
        <w:pStyle w:val="BodyText"/>
        <w:widowControl/>
      </w:pPr>
      <w:r>
        <w:t xml:space="preserve">Illustrative scope-level welfare composites:</w:t>
      </w:r>
    </w:p>
    <w:p>
      <w:pPr>
        <w:pStyle w:val="BodyText"/>
        <w:widowControl/>
      </w:pPr>
      <w:r>
        <w:t xml:space="preserve">Table 10-2. Illustrative scope composites by option</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Scope</w:t>
            </w:r>
          </w:p>
        </w:tc>
        <w:tc>
          <w:tcPr>
            <w:shd w:fill="1F4E78" w:val="clear"/>
            <w:tcMar>
              <w:top w:w="80" w:type="dxa"/>
              <w:start w:w="90" w:type="dxa"/>
              <w:bottom w:w="80" w:type="dxa"/>
              <w:end w:w="90" w:type="dxa"/>
            </w:tcMar>
          </w:tcPr>
          <w:p>
            <w:pPr>
              <w:pStyle w:val="Compact"/>
              <w:jc w:val="left"/>
            </w:pPr>
            <w:r>
              <w:rPr>
                <w:b/>
                <w:bCs/>
                <w:color w:val="FFFFFF"/>
              </w:rPr>
              <w:t xml:space="preserve">Q_u(A)</w:t>
            </w:r>
          </w:p>
        </w:tc>
        <w:tc>
          <w:tcPr>
            <w:shd w:fill="1F4E78" w:val="clear"/>
            <w:tcMar>
              <w:top w:w="80" w:type="dxa"/>
              <w:start w:w="90" w:type="dxa"/>
              <w:bottom w:w="80" w:type="dxa"/>
              <w:end w:w="90" w:type="dxa"/>
            </w:tcMar>
          </w:tcPr>
          <w:p>
            <w:pPr>
              <w:pStyle w:val="Compact"/>
              <w:jc w:val="left"/>
            </w:pPr>
            <w:r>
              <w:rPr>
                <w:b/>
                <w:bCs/>
                <w:color w:val="FFFFFF"/>
              </w:rPr>
              <w:t xml:space="preserve">Q_u(B)</w:t>
            </w:r>
          </w:p>
        </w:tc>
      </w:tr>
      <w:tr>
        <w:trPr/>
        <w:tc>
          <w:tcPr>
            <w:tcMar>
              <w:top w:w="80" w:type="dxa"/>
              <w:start w:w="90" w:type="dxa"/>
              <w:bottom w:w="80" w:type="dxa"/>
              <w:end w:w="90" w:type="dxa"/>
            </w:tcMar>
            <w:shd w:fill="F7FBFF" w:val="clear"/>
          </w:tcPr>
          <w:p>
            <w:pPr>
              <w:pStyle w:val="Compact"/>
              <w:jc w:val="left"/>
            </w:pPr>
            <w:r>
              <w:t xml:space="preserve">U1 Self</w:t>
            </w:r>
          </w:p>
        </w:tc>
        <w:tc>
          <w:tcPr>
            <w:tcMar>
              <w:top w:w="80" w:type="dxa"/>
              <w:start w:w="90" w:type="dxa"/>
              <w:bottom w:w="80" w:type="dxa"/>
              <w:end w:w="90" w:type="dxa"/>
            </w:tcMar>
            <w:shd w:fill="F7FBFF" w:val="clear"/>
          </w:tcPr>
          <w:p>
            <w:pPr>
              <w:pStyle w:val="Compact"/>
              <w:jc w:val="left"/>
            </w:pPr>
            <w:r>
              <w:t xml:space="preserve">0.25</w:t>
            </w:r>
          </w:p>
        </w:tc>
        <w:tc>
          <w:tcPr>
            <w:tcMar>
              <w:top w:w="80" w:type="dxa"/>
              <w:start w:w="90" w:type="dxa"/>
              <w:bottom w:w="80" w:type="dxa"/>
              <w:end w:w="90" w:type="dxa"/>
            </w:tcMar>
            <w:shd w:fill="F7FBFF" w:val="clear"/>
          </w:tcPr>
          <w:p>
            <w:pPr>
              <w:pStyle w:val="Compact"/>
              <w:jc w:val="left"/>
            </w:pPr>
            <w:r>
              <w:t xml:space="preserve">0.18</w:t>
            </w:r>
          </w:p>
        </w:tc>
      </w:tr>
      <w:tr>
        <w:trPr/>
        <w:tc>
          <w:tcPr>
            <w:tcMar>
              <w:top w:w="80" w:type="dxa"/>
              <w:start w:w="90" w:type="dxa"/>
              <w:bottom w:w="80" w:type="dxa"/>
              <w:end w:w="90" w:type="dxa"/>
            </w:tcMar>
            <w:shd w:fill="D9EAF7" w:val="clear"/>
          </w:tcPr>
          <w:p>
            <w:pPr>
              <w:pStyle w:val="Compact"/>
              <w:jc w:val="left"/>
            </w:pPr>
            <w:r>
              <w:t xml:space="preserve">U2 Household</w:t>
            </w:r>
          </w:p>
        </w:tc>
        <w:tc>
          <w:tcPr>
            <w:tcMar>
              <w:top w:w="80" w:type="dxa"/>
              <w:start w:w="90" w:type="dxa"/>
              <w:bottom w:w="80" w:type="dxa"/>
              <w:end w:w="90" w:type="dxa"/>
            </w:tcMar>
            <w:shd w:fill="D9EAF7" w:val="clear"/>
          </w:tcPr>
          <w:p>
            <w:pPr>
              <w:pStyle w:val="Compact"/>
              <w:jc w:val="left"/>
            </w:pPr>
            <w:r>
              <w:t xml:space="preserve">0.10</w:t>
            </w:r>
          </w:p>
        </w:tc>
        <w:tc>
          <w:tcPr>
            <w:tcMar>
              <w:top w:w="80" w:type="dxa"/>
              <w:start w:w="90" w:type="dxa"/>
              <w:bottom w:w="80" w:type="dxa"/>
              <w:end w:w="90" w:type="dxa"/>
            </w:tcMar>
            <w:shd w:fill="D9EAF7" w:val="clear"/>
          </w:tcPr>
          <w:p>
            <w:pPr>
              <w:pStyle w:val="Compact"/>
              <w:jc w:val="left"/>
            </w:pPr>
            <w:r>
              <w:t xml:space="preserve">0.35</w:t>
            </w:r>
          </w:p>
        </w:tc>
      </w:tr>
      <w:tr>
        <w:trPr/>
        <w:tc>
          <w:tcPr>
            <w:tcMar>
              <w:top w:w="80" w:type="dxa"/>
              <w:start w:w="90" w:type="dxa"/>
              <w:bottom w:w="80" w:type="dxa"/>
              <w:end w:w="90" w:type="dxa"/>
            </w:tcMar>
            <w:shd w:fill="F7FBFF" w:val="clear"/>
          </w:tcPr>
          <w:p>
            <w:pPr>
              <w:pStyle w:val="Compact"/>
              <w:jc w:val="left"/>
            </w:pPr>
            <w:r>
              <w:t xml:space="preserve">U3 Community</w:t>
            </w:r>
          </w:p>
        </w:tc>
        <w:tc>
          <w:tcPr>
            <w:tcMar>
              <w:top w:w="80" w:type="dxa"/>
              <w:start w:w="90" w:type="dxa"/>
              <w:bottom w:w="80" w:type="dxa"/>
              <w:end w:w="90" w:type="dxa"/>
            </w:tcMar>
            <w:shd w:fill="F7FBFF" w:val="clear"/>
          </w:tcPr>
          <w:p>
            <w:pPr>
              <w:pStyle w:val="Compact"/>
              <w:jc w:val="left"/>
            </w:pPr>
            <w:r>
              <w:t xml:space="preserve">-0.06</w:t>
            </w:r>
          </w:p>
        </w:tc>
        <w:tc>
          <w:tcPr>
            <w:tcMar>
              <w:top w:w="80" w:type="dxa"/>
              <w:start w:w="90" w:type="dxa"/>
              <w:bottom w:w="80" w:type="dxa"/>
              <w:end w:w="90" w:type="dxa"/>
            </w:tcMar>
            <w:shd w:fill="F7FBFF" w:val="clear"/>
          </w:tcPr>
          <w:p>
            <w:pPr>
              <w:pStyle w:val="Compact"/>
              <w:jc w:val="left"/>
            </w:pPr>
            <w:r>
              <w:t xml:space="preserve">0.41</w:t>
            </w:r>
          </w:p>
        </w:tc>
      </w:tr>
      <w:tr>
        <w:trPr/>
        <w:tc>
          <w:tcPr>
            <w:tcMar>
              <w:top w:w="80" w:type="dxa"/>
              <w:start w:w="90" w:type="dxa"/>
              <w:bottom w:w="80" w:type="dxa"/>
              <w:end w:w="90" w:type="dxa"/>
            </w:tcMar>
            <w:shd w:fill="D9EAF7" w:val="clear"/>
          </w:tcPr>
          <w:p>
            <w:pPr>
              <w:pStyle w:val="Compact"/>
              <w:jc w:val="left"/>
            </w:pPr>
            <w:r>
              <w:t xml:space="preserve">U4 Organization</w:t>
            </w:r>
          </w:p>
        </w:tc>
        <w:tc>
          <w:tcPr>
            <w:tcMar>
              <w:top w:w="80" w:type="dxa"/>
              <w:start w:w="90" w:type="dxa"/>
              <w:bottom w:w="80" w:type="dxa"/>
              <w:end w:w="90" w:type="dxa"/>
            </w:tcMar>
            <w:shd w:fill="D9EAF7" w:val="clear"/>
          </w:tcPr>
          <w:p>
            <w:pPr>
              <w:pStyle w:val="Compact"/>
              <w:jc w:val="left"/>
            </w:pPr>
            <w:r>
              <w:t xml:space="preserve">0.20</w:t>
            </w:r>
          </w:p>
        </w:tc>
        <w:tc>
          <w:tcPr>
            <w:tcMar>
              <w:top w:w="80" w:type="dxa"/>
              <w:start w:w="90" w:type="dxa"/>
              <w:bottom w:w="80" w:type="dxa"/>
              <w:end w:w="90" w:type="dxa"/>
            </w:tcMar>
            <w:shd w:fill="D9EAF7" w:val="clear"/>
          </w:tcPr>
          <w:p>
            <w:pPr>
              <w:pStyle w:val="Compact"/>
              <w:jc w:val="left"/>
            </w:pPr>
            <w:r>
              <w:t xml:space="preserve">0.32</w:t>
            </w:r>
          </w:p>
        </w:tc>
      </w:tr>
      <w:tr>
        <w:trPr/>
        <w:tc>
          <w:tcPr>
            <w:tcMar>
              <w:top w:w="80" w:type="dxa"/>
              <w:start w:w="90" w:type="dxa"/>
              <w:bottom w:w="80" w:type="dxa"/>
              <w:end w:w="90" w:type="dxa"/>
            </w:tcMar>
            <w:shd w:fill="F7FBFF" w:val="clear"/>
          </w:tcPr>
          <w:p>
            <w:pPr>
              <w:pStyle w:val="Compact"/>
              <w:jc w:val="left"/>
            </w:pPr>
            <w:r>
              <w:t xml:space="preserve">U5 Polity</w:t>
            </w:r>
          </w:p>
        </w:tc>
        <w:tc>
          <w:tcPr>
            <w:tcMar>
              <w:top w:w="80" w:type="dxa"/>
              <w:start w:w="90" w:type="dxa"/>
              <w:bottom w:w="80" w:type="dxa"/>
              <w:end w:w="90" w:type="dxa"/>
            </w:tcMar>
            <w:shd w:fill="F7FBFF" w:val="clear"/>
          </w:tcPr>
          <w:p>
            <w:pPr>
              <w:pStyle w:val="Compact"/>
              <w:jc w:val="left"/>
            </w:pPr>
            <w:r>
              <w:t xml:space="preserve">-0.10</w:t>
            </w:r>
          </w:p>
        </w:tc>
        <w:tc>
          <w:tcPr>
            <w:tcMar>
              <w:top w:w="80" w:type="dxa"/>
              <w:start w:w="90" w:type="dxa"/>
              <w:bottom w:w="80" w:type="dxa"/>
              <w:end w:w="90" w:type="dxa"/>
            </w:tcMar>
            <w:shd w:fill="F7FBFF" w:val="clear"/>
          </w:tcPr>
          <w:p>
            <w:pPr>
              <w:pStyle w:val="Compact"/>
              <w:jc w:val="left"/>
            </w:pPr>
            <w:r>
              <w:t xml:space="preserve">0.12</w:t>
            </w:r>
          </w:p>
        </w:tc>
      </w:tr>
      <w:tr>
        <w:trPr/>
        <w:tc>
          <w:tcPr>
            <w:tcMar>
              <w:top w:w="80" w:type="dxa"/>
              <w:start w:w="90" w:type="dxa"/>
              <w:bottom w:w="80" w:type="dxa"/>
              <w:end w:w="90" w:type="dxa"/>
            </w:tcMar>
            <w:shd w:fill="D9EAF7" w:val="clear"/>
          </w:tcPr>
          <w:p>
            <w:pPr>
              <w:pStyle w:val="Compact"/>
              <w:jc w:val="left"/>
            </w:pPr>
            <w:r>
              <w:t xml:space="preserve">U6 Humanity / Global Coordination</w:t>
            </w:r>
          </w:p>
        </w:tc>
        <w:tc>
          <w:tcPr>
            <w:tcMar>
              <w:top w:w="80" w:type="dxa"/>
              <w:start w:w="90" w:type="dxa"/>
              <w:bottom w:w="80" w:type="dxa"/>
              <w:end w:w="90" w:type="dxa"/>
            </w:tcMar>
            <w:shd w:fill="D9EAF7" w:val="clear"/>
          </w:tcPr>
          <w:p>
            <w:pPr>
              <w:pStyle w:val="Compact"/>
              <w:jc w:val="left"/>
            </w:pPr>
            <w:r>
              <w:t xml:space="preserve">-0.08</w:t>
            </w:r>
          </w:p>
        </w:tc>
        <w:tc>
          <w:tcPr>
            <w:tcMar>
              <w:top w:w="80" w:type="dxa"/>
              <w:start w:w="90" w:type="dxa"/>
              <w:bottom w:w="80" w:type="dxa"/>
              <w:end w:w="90" w:type="dxa"/>
            </w:tcMar>
            <w:shd w:fill="D9EAF7" w:val="clear"/>
          </w:tcPr>
          <w:p>
            <w:pPr>
              <w:pStyle w:val="Compact"/>
              <w:jc w:val="left"/>
            </w:pPr>
            <w:r>
              <w:t xml:space="preserve">0.05</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U7 Biosphere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-0.25</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0.30</w:t>
            </w:r>
          </w:p>
        </w:tc>
      </w:tr>
    </w:tbl>
    <w:p>
      <w:pPr>
        <w:pStyle w:val="BodyText"/>
        <w:widowControl/>
      </w:pPr>
      <w:r>
        <w:t xml:space="preserve">Then:</w:t>
      </w:r>
    </w:p>
    <w:p>
      <w:pPr>
        <w:pStyle w:val="BodyText"/>
        <w:widowControl/>
      </w:pPr>
      <w:r>
        <w:t xml:space="preserve">RLS_PLSS(A) ≈ 0.0656</w:t>
      </w:r>
    </w:p>
    <w:p>
      <w:pPr>
        <w:pStyle w:val="BodyText"/>
        <w:widowControl/>
      </w:pPr>
      <w:r>
        <w:t xml:space="preserve">RLS_PLSS(B) ≈ 0.2444</w:t>
      </w:r>
    </w:p>
    <w:p>
      <w:pPr>
        <w:pStyle w:val="BodyText"/>
        <w:widowControl/>
      </w:pPr>
      <w:r>
        <w:t xml:space="preserve">So Option B wins on welfare ranking among selectable options.</w:t>
      </w:r>
    </w:p>
    <w:p>
      <w:pPr>
        <w:pStyle w:val="BodyText"/>
        <w:widowControl/>
      </w:pPr>
      <w:r>
        <w:t xml:space="preserve">Worked-example uncertainty note. The raw RLS_PLSS values shown in this example do not by themselves determine final selectability. Under the declared uncertainty method, the lead between the top two selectable options SHALL be tested against the Section 10.4 discrimination threshold. If the result is non-decisive, the Section 11.5 tie-break chain applies. This example is intended to illustrate PLSS weight construction and score propagation, not to waive the framework’s general decisiveness discipline.</w:t>
      </w:r>
    </w:p>
    <w:p>
      <w:pPr>
        <w:pStyle w:val="BodyText"/>
        <w:widowControl/>
      </w:pPr>
      <w:r>
        <w:t xml:space="preserve">Admissibility note. If Option C carries plausible rights-floor or catastrophe concerns through toxic exposure or abusive supply-chain conditions, it may fail NCRC or TRC before RLS ranking. If so, it is not saved by local convenience or low cost.</w:t>
      </w:r>
    </w:p>
    <w:p>
      <w:pPr>
        <w:pStyle w:val="BodyText"/>
        <w:widowControl/>
      </w:pPr>
      <w:r>
        <w:t xml:space="preserve">Lesson (Informative). PLSS does not say “ignore broader scopes.” It says: let local decisions place most additional attention where the ripple is near, while still preventing local gain from laundering wider harm.</w:t>
      </w:r>
    </w:p>
    <w:bookmarkEnd w:id="186"/>
    <w:bookmarkStart w:id="189" w:name="Xf6f325be27d62bdf033c671b0e3b2be7bb45b4b"/>
    <w:p>
      <w:pPr>
        <w:pStyle w:val="Heading2"/>
        <w:keepNext/>
        <w:keepLines/>
        <w:pageBreakBefore w:val="0"/>
        <w:widowControl/>
      </w:pPr>
      <w:r>
        <w:rPr>
          <w:rFonts w:ascii="Arial" w:hAnsi="Arial" w:eastAsia="Arial"/>
          <w:b/>
          <w:color w:val="1F4E78"/>
        </w:rPr>
        <w:t xml:space="preserve">10.3 Uncertainty Handling (Tier 2+ Required for Active Cells) (Normative)</w:t>
      </w:r>
    </w:p>
    <w:p>
      <w:pPr>
        <w:pStyle w:val="FirstParagraph"/>
        <w:widowControl/>
      </w:pPr>
      <w:r>
        <w:t xml:space="preserve">RippleLogic recognizes epistemic uncertainty. Tier 2 and Tier 3 runs MUST record uncertainty and apply the discrimination rule for all active cells (definition below). Tier 1 runs SHOULD record uncertainty when feasible, especially on rights-covered and catastrophe-relevant cells.</w:t>
      </w:r>
    </w:p>
    <w:p>
      <w:pPr>
        <w:pStyle w:val="BodyText"/>
        <w:widowControl/>
      </w:pPr>
      <w:r>
        <w:t xml:space="preserve">Active cell definition (Normative; v9.0 tightened). A cell (u,d) is active for a run if any of the following holds: (i) m(u,d)=1 and the cell contributes to RLS aggregation, (ii) the cell lies in any rights coverage set C_r used for NCRC evaluation (regardless of mask status), (iii) the cell lies in the catastrophe cell set C_cat used for TRC evaluation (regardless of mask status), (iv) the cell is explicitly populated in the run for any gate, diagnostic, or justification, or (v) the cell is required by the run’s minimum governance coverage rules declared in the PCC.</w:t>
      </w:r>
    </w:p>
    <w:p>
      <w:pPr>
        <w:pStyle w:val="BodyText"/>
        <w:widowControl/>
      </w:pPr>
      <w:r>
        <w:t xml:space="preserve">Active cells MUST NOT be treated as unknown-by-default without disclosure. Masking (m(u,d)=0) excludes a cell from RLS aggregation only; it does not remove the cell from active status if any of conditions (ii) through (v) hold.</w:t>
      </w:r>
    </w:p>
    <w:p>
      <w:pPr>
        <w:pStyle w:val="BodyText"/>
        <w:widowControl/>
      </w:pPr>
      <w:r>
        <w:t xml:space="preserve">Definition of σ(u,d,a) (normative minimum): PCC MUST declare one of the following cell-level uncertainty proxies and apply it consistently across options:</w:t>
      </w:r>
    </w:p>
    <w:bookmarkStart w:id="187" w:name="Xa654c3df961095351ef388cab4b30166c6850c1"/>
    <w:p>
      <w:pPr>
        <w:pStyle w:val="Heading3"/>
        <w:keepNext/>
        <w:keepLines/>
        <w:pageBreakBefore w:val="0"/>
        <w:widowControl/>
      </w:pPr>
      <w:r>
        <w:rPr>
          <w:rFonts w:ascii="Arial" w:hAnsi="Arial" w:eastAsia="Arial"/>
          <w:b/>
          <w:color w:val="1F4E78"/>
        </w:rPr>
        <w:t xml:space="preserve">10.3.1 Cell-level uncertainty proxy declarations (Normative)</w:t>
      </w:r>
    </w:p>
    <w:bookmarkEnd w:id="187"/>
    <w:bookmarkStart w:id="188" w:name="X1fbcae8956aca94fcf95c6538aaec6a239522c4"/>
    <w:p>
      <w:pPr>
        <w:pStyle w:val="Heading3"/>
        <w:keepNext/>
        <w:keepLines/>
        <w:pageBreakBefore w:val="0"/>
        <w:widowControl/>
      </w:pPr>
      <w:r>
        <w:rPr>
          <w:rFonts w:ascii="Arial" w:hAnsi="Arial" w:eastAsia="Arial"/>
          <w:b/>
          <w:color w:val="1F4E78"/>
        </w:rPr>
        <w:t xml:space="preserve">10.3.2 Cell-level confidence derivation (Normative; Method B binding)</w:t>
      </w:r>
    </w:p>
    <w:p>
      <w:pPr>
        <w:pStyle w:val="FirstParagraph"/>
        <w:widowControl/>
      </w:pPr>
      <w:r>
        <w:t xml:space="preserve">When the PCC uses Method B (confidence-derived) to compute cell uncertainty for a cell impact estimate, the PCC MUST define cell confidence c(u,d,a) in [0,1] from the set of impact-instance confidences {c_k} k∈K(u,d,a) using one declared CellConfidenceAggregationMethod. Implementations MUST apply the same method across all options in the run.</w:t>
      </w:r>
    </w:p>
    <w:p>
      <w:pPr>
        <w:pStyle w:val="BodyText"/>
        <w:widowControl/>
      </w:pPr>
      <w:r>
        <w:t xml:space="preserve">Let the instance contribution weight be defined as:</w:t>
      </w:r>
      <w:r>
        <w:br/>
      </w:r>
      <w:r>
        <w:t xml:space="preserve">q_k := r_k · τ(t_k) · ℓ_k · e_k · h_k · |μ_k|</w:t>
      </w:r>
      <w:r>
        <w:br/>
      </w:r>
      <w:r>
        <w:t xml:space="preserve">and let Q := Σ_{k∈K(u,d,a)} q_k.</w:t>
      </w:r>
    </w:p>
    <w:p>
      <w:pPr>
        <w:pStyle w:val="BodyText"/>
        <w:widowControl/>
      </w:pPr>
      <w:r>
        <w:t xml:space="preserve">The PCC MUST declare one of the following canonical aggregation methods:</w:t>
      </w:r>
    </w:p>
    <w:p>
      <w:pPr>
        <w:pStyle w:val="BodyText"/>
        <w:widowControl/>
      </w:pPr>
      <w:r>
        <w:t xml:space="preserve">CCAM_MIN_V1 (conservative default):</w:t>
      </w:r>
      <w:r>
        <w:br/>
      </w:r>
      <w:r>
        <w:t xml:space="preserve">c(u,d,a) := min_{k∈K(u,d,a)} c_k</w:t>
      </w:r>
      <w:r>
        <w:br/>
      </w:r>
      <w:r>
        <w:t xml:space="preserve">Use case: high-stakes, high-adversarial-pressure contexts where “weakest-link” confidence is the appropriate posture.</w:t>
      </w:r>
    </w:p>
    <w:p>
      <w:pPr>
        <w:pStyle w:val="BodyText"/>
        <w:widowControl/>
      </w:pPr>
      <w:r>
        <w:t xml:space="preserve">CCAM_WMEAN_V1 (weighted mean): if Q&gt;0,</w:t>
      </w:r>
      <w:r>
        <w:br/>
      </w:r>
      <w:r>
        <w:t xml:space="preserve">c(u,d,a) := (1/Q) · Σ_{k∈K(u,d,a)} (q_k · c_k)</w:t>
      </w:r>
      <w:r>
        <w:br/>
      </w:r>
      <w:r>
        <w:t xml:space="preserve">If Q=0, set c(u,d,a) := min_{k∈K(u,d,a)} c_k.</w:t>
      </w:r>
    </w:p>
    <w:p>
      <w:pPr>
        <w:pStyle w:val="BodyText"/>
        <w:widowControl/>
      </w:pPr>
      <w:r>
        <w:t>Edge case (Normative). If K(u,d,a)=∅ and the Phantom Instance Rule applies, the point-estimate path MUST use c_point(u,d,a)=1.0 for the phantom instance so that the declared phantom magnitude is not attenuated twice. The uncertainty path MUST separately use c_uncertainty(u,d,a)=0.0, so Method B yields σ(u,d,a)=A_cell(u,d,a), capped as otherwise specified. The PCC MUST record both values, mark the cell UNKNOWN_IMPACT, and preserve the phantom-dependence and gate-critical-unknown rules. A governance penalty in the point estimate is not evidence of low epistemic uncertainty.</w:t>
      </w:r>
    </w:p>
    <w:p>
      <w:pPr>
        <w:pStyle w:val="BodyText"/>
        <w:widowControl/>
      </w:pPr>
      <w:r>
        <w:t xml:space="preserve">Range rule (Normative). The derived c(u,d,a) MUST be clipped to [0,1] and recorded in PCC for each active cell when Method B is used.</w:t>
      </w:r>
    </w:p>
    <w:p>
      <w:pPr>
        <w:pStyle w:val="BodyText"/>
        <w:widowControl/>
      </w:pPr>
      <w:r>
        <w:t xml:space="preserve">Method A (interval half-width): If the PCC records a confidence interval [L,U] for the cell impact I(u,d,a), set σ(u,d,a) = (U − L)/2.</w:t>
      </w:r>
    </w:p>
    <w:p>
      <w:pPr>
        <w:pStyle w:val="BodyText"/>
        <w:widowControl/>
      </w:pPr>
      <w:r>
        <w:rPr>
          <w:b/>
        </w:rPr>
        <w:t>Method B (confidence-derived contribution-mass rule):</w:t>
      </w:r>
      <w:r>
        <w:t xml:space="preserve"> Let x_k be each pre-confidence signed instance contribution in the cell after reach, temporal, likelihood, adjustment, and permitted sentience terms but before cell saturation. Define A_cell(u,d,a) = min(1, sum_k |x_k|). If the PCC records cell confidence c(u,d,a) in [0,1], set sigma(u,d,a) = (1 - c(u,d,a)) x A_cell(u,d,a). This prevents uncertain positive and negative contributions from cancelling to a deceptively small uncertainty value. Reconstruction rule. If a worked vector begins from a single-instance post-confidence saturated welfare value I_prop_welfare = tanh(beta x c_k x x_preconf), it MUST reconstruct x_preconf = atanh(I_prop_welfare)/(beta x c_k), not divide by beta alone. For multiple instances, the run MUST retain or reproduce the instance ledger; a cell total generally cannot identify the pre-confidence absolute contribution mass uniquely.</w:t>
      </w:r>
    </w:p>
    <w:p>
      <w:pPr>
        <w:pStyle w:val="BodyText"/>
        <w:widowControl/>
      </w:pPr>
      <w:r>
        <w:t xml:space="preserve">Method C (calibrated table): Use a pre-registered mapping from qualitative uncertainty labels (for example, LOW/MED/HIGH) to σ values, stored in the ProofPack or PCC appendix.</w:t>
      </w:r>
    </w:p>
    <w:p>
      <w:pPr>
        <w:pStyle w:val="BodyText"/>
        <w:widowControl/>
      </w:pPr>
      <w:r>
        <w:t xml:space="preserve">σ values MUST be clipped to [0,1]. Unless a stricter governed method is declared, σ(u,d,a) is interpreted as the pre-κ cell-level uncertainty input and SHALL be aggregated into σ_RLS using the same w_u, v_d, m(u,d), and κ(u,d) posture used for RLS.</w:t>
      </w:r>
    </w:p>
    <w:p>
      <w:pPr>
        <w:pStyle w:val="BodyText"/>
        <w:widowControl/>
      </w:pPr>
      <w:r>
        <w:t xml:space="preserve">Auditability binding (Normative). The PCC MUST record the source, elicitation basis, or calibration table used for σ(u,d,a) and any declared aggregation rule that produces it. Unless a stricter governed method is declared, σ(u,d,a) is interpreted as the pre-κ cell-level uncertainty input and SHALL be aggregated into σ_RLS using the same w_u, v_d, m(u,d), and κ(u,d) posture used for RLS. If an allowed alternative uncertainty method or aggregation rule would change decisiveness, that sensitivity MUST be disclosed.</w:t>
      </w:r>
    </w:p>
    <w:p>
      <w:pPr>
        <w:pStyle w:val="BodyText"/>
        <w:widowControl/>
      </w:pPr>
      <w:r>
        <w:t xml:space="preserve">Tier 3 uncertainty hardening (Normative). Tier 3 runs MUST rerun decisiveness using σ×0.5 and σ×2.0 stress tests (or the nearest declared equivalent for Method A interval widths) and MUST record whether the top-versus-runner-up decisiveness result changes. If decisiveness changes, the run MUST set audit flag UNCERTAINTY_DECISIVENESS_SENSITIVE and SHALL be treated as non-decisive until the tie-break chain or governance review is completed.</w:t>
      </w:r>
    </w:p>
    <w:p>
      <w:pPr>
        <w:pStyle w:val="BodyText"/>
        <w:widowControl/>
      </w:pPr>
      <w:r>
        <w:t xml:space="preserve">Method C restriction (Normative). Method C may be used only with a pre-registered calibrated table. A bare constant σ applied to all active cells is permitted only for worked examples, training artifacts, or explicitly non-operational demonstrations and MUST NOT support Tier 3 operational-readiness claims.</w:t>
      </w:r>
    </w:p>
    <w:p>
      <w:pPr>
        <w:pStyle w:val="BodyText"/>
        <w:widowControl/>
      </w:pPr>
      <w:r>
        <w:t xml:space="preserve">Define approximate RLS uncertainty:</w:t>
      </w:r>
    </w:p>
    <w:p>
      <w:pPr>
        <w:pStyle w:val="BodyText"/>
        <w:widowControl/>
      </w:pPr>
      <w:r>
        <w:t xml:space="preserve">σ_RLS(a) = √[Σ_u Σ_d (q(u,d) × σ(u,d,a))²] / Q, for Q &gt; 0</w:t>
      </w:r>
    </w:p>
    <w:p>
      <w:pPr>
        <w:pStyle w:val="BodyText"/>
        <w:widowControl/>
      </w:pPr>
      <w:r>
        <w:rPr>
          <w:b/>
          <w:bCs/>
        </w:rPr>
        <w:t xml:space="preserve">Dependence-cluster uncertainty rule (Normative).</w:t>
      </w:r>
      <w:r>
        <w:t xml:space="preserve"> </w:t>
      </w:r>
      <w:r>
        <w:t xml:space="preserve">The formula above is the independent-cell approximation. Because cells may share sources, causal pathways, stakeholder populations, scenario assumptions, models, or evaluators, the PCC MUST declare uncertainty-dependence clusters for Tier 3 and decision-material Tier 2 runs. At minimum, compute a perfect-correlation stress within each declared cluster by summing absolute weighted uncertainty contributions inside the cluster, then combine independent clusters by root-sum-square. Where covariance estimates exist, a covariance-aware calculation MAY replace the stress approximation. If ranking or decisiveness changes relative to the independent-cell result, set</w:t>
      </w:r>
      <w:r>
        <w:t xml:space="preserve"> </w:t>
      </w:r>
      <w:r>
        <w:rPr>
          <w:rStyle w:val="VerbatimChar"/>
        </w:rPr>
        <w:t xml:space="preserve">RLS_DEPENDENCE_SENSITIVE</w:t>
      </w:r>
      <w:r>
        <w:t xml:space="preserve"> </w:t>
      </w:r>
      <w:r>
        <w:t xml:space="preserve">and treat the result as non-decisive until the tie-break or governance review is complete.</w:t>
      </w:r>
    </w:p>
    <w:p>
      <w:pPr>
        <w:pStyle w:val="BodyText"/>
        <w:widowControl/>
      </w:pPr>
      <w:r>
        <w:t xml:space="preserve">Optional risk-adjusted score:</w:t>
      </w:r>
    </w:p>
    <w:p>
      <w:pPr>
        <w:pStyle w:val="BodyText"/>
        <w:widowControl/>
      </w:pPr>
      <w:r>
        <w:t xml:space="preserve">RLS_adj(a) = RLS(a) − λ × σ_RLS(a)</w:t>
      </w:r>
    </w:p>
    <w:p>
      <w:pPr>
        <w:pStyle w:val="BodyText"/>
        <w:widowControl/>
      </w:pPr>
      <w:r>
        <w:t xml:space="preserve">Default: λ = 0.5. Use is optional but must be declared.</w:t>
      </w:r>
    </w:p>
    <w:p>
      <w:pPr>
        <w:pStyle w:val="BodyText"/>
        <w:widowControl/>
      </w:pPr>
      <w:r>
        <w:t xml:space="preserve">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bookmarkEnd w:id="188"/>
    <w:bookmarkEnd w:id="189"/>
    <w:bookmarkStart w:id="190" w:name="Xf275740d449b98107a32df3342c62ec4bb16c30"/>
    <w:p>
      <w:pPr>
        <w:pStyle w:val="Heading2"/>
        <w:keepNext/>
        <w:keepLines/>
        <w:pageBreakBefore w:val="0"/>
        <w:widowControl/>
      </w:pPr>
      <w:r>
        <w:rPr>
          <w:rFonts w:ascii="Arial" w:hAnsi="Arial" w:eastAsia="Arial"/>
          <w:b/>
          <w:color w:val="1F4E78"/>
        </w:rPr>
        <w:t xml:space="preserve">10.4 Discrimination Threshold (Decisive vs Non-Decisive) (Normative)</w:t>
      </w:r>
    </w:p>
    <w:p>
      <w:pPr>
        <w:pStyle w:val="FirstParagraph"/>
        <w:widowControl/>
      </w:pPr>
      <w:r>
        <w:t xml:space="preserve">Define gap between two options:</w:t>
      </w:r>
    </w:p>
    <w:p>
      <w:pPr>
        <w:pStyle w:val="BodyText"/>
        <w:widowControl/>
      </w:pPr>
      <w:r>
        <w:t xml:space="preserve">Gap(a,b) = abs(RLS(a) - RLS(b)) / sqrt(sigma_RLS(a)^2 + sigma_RLS(b)^2 + epsilon)</w:t>
      </w:r>
    </w:p>
    <w:p>
      <w:pPr>
        <w:pStyle w:val="BodyText"/>
        <w:widowControl/>
      </w:pPr>
      <w:r>
        <w:t xml:space="preserve">Default: delta = 2, epsilon = 1e-6.</w:t>
      </w:r>
    </w:p>
    <w:p>
      <w:pPr>
        <w:pStyle w:val="BodyText"/>
        <w:widowControl/>
      </w:pPr>
      <w:r>
        <w:t xml:space="preserve">Rationale (Informative). δ = 2 is a conservative governance convention for the normalized Gap definition, not a claim that Gap is a literal z-score or that a specific distributional assumption holds. Its purpose is to reduce premature declarations of decisiveness when option-level uncertainty materially overlaps. Domains may tune delta, but any non-default delta MUST be declared in the PCC, justified, and applied consistently across options in the run.</w:t>
      </w:r>
    </w:p>
    <w:p>
      <w:pPr>
        <w:pStyle w:val="BodyText"/>
        <w:widowControl/>
      </w:pPr>
      <w:r>
        <w:t xml:space="preserve">Let a* be top RLS option and a₂ the runner-up among selectable options.</w:t>
      </w:r>
    </w:p>
    <w:p>
      <w:pPr>
        <w:pStyle w:val="BodyText"/>
        <w:widowControl/>
      </w:pPr>
      <w:r>
        <w:t xml:space="preserve">Decisive lead rule:</w:t>
      </w:r>
    </w:p>
    <w:p>
      <w:pPr>
        <w:pStyle w:val="Compact"/>
        <w:widowControl/>
        <w:numPr>
          <w:ilvl w:val="0"/>
          <w:numId w:val="1108"/>
        </w:numPr>
      </w:pPr>
      <w:r>
        <w:t xml:space="preserve">If Gap(a*, a2) &gt; delta (default delta = 2), select a* (subject to tie-break gating not being needed).</w:t>
      </w:r>
    </w:p>
    <w:p>
      <w:pPr>
        <w:pStyle w:val="Compact"/>
        <w:widowControl/>
        <w:numPr>
          <w:ilvl w:val="0"/>
          <w:numId w:val="1109"/>
        </w:numPr>
      </w:pPr>
      <w:r>
        <w:t xml:space="preserve">If Gap(a*, a2) &lt;= delta, the lead is non-decisive and the tie-break chain MUST be applied (Section 11.5).</w:t>
      </w:r>
    </w:p>
    <w:bookmarkEnd w:id="190"/>
    <w:bookmarkStart w:id="191" w:name="Xff0d3328eba7f95a173330551f6cdf17df14d46"/>
    <w:p>
      <w:pPr>
        <w:pStyle w:val="Heading2"/>
        <w:keepNext/>
        <w:keepLines/>
        <w:pageBreakBefore w:val="0"/>
        <w:widowControl/>
      </w:pPr>
      <w:r>
        <w:rPr>
          <w:rFonts w:ascii="Arial" w:hAnsi="Arial" w:eastAsia="Arial"/>
          <w:b/>
          <w:color w:val="1F4E78"/>
        </w:rPr>
        <w:t xml:space="preserve">10.4A Non-Decisive Gap Enforcement (Normative)</w:t>
      </w:r>
    </w:p>
    <w:p>
      <w:pPr>
        <w:pStyle w:val="FirstParagraph"/>
        <w:widowControl/>
      </w:pPr>
      <w:r>
        <w:t xml:space="preserve">If the leading options are tied, close, or uncertainty-overlapped under the declared discrimination rule, FrameworkVerdict MUST NOT state or imply deterministic framework selection. If Gap(a*, a2) &lt;= delta, including sigma-stress where required by tier, the run MUST either apply a governed tie-break rule over already-selectable options, return REFUSE_DETERMINISTIC_SELECTION, or route to AuthoritySelectionRecord without claiming that RippleLogic itself selected uniquely.</w:t>
      </w:r>
    </w:p>
    <w:p>
      <w:pPr>
        <w:pStyle w:val="BodyText"/>
        <w:widowControl/>
      </w:pPr>
      <w:r>
        <w:t xml:space="preserve">Any run with Gap &lt;= delta that claims deterministic framework selection SHOULD set DECISIVENESS_OVERRIDE_INVALID with severity INVALID. Authority selection may still choose among admissible non-decisive options, but it must be recorded as authority selection, not framework determinism.</w:t>
      </w:r>
    </w:p>
    <w:bookmarkEnd w:id="191"/>
    <w:bookmarkStart w:id="192" w:name="X11312cdcfdb550ef827eaadbadf7a9345bbe7d4"/>
    <w:p>
      <w:pPr>
        <w:pStyle w:val="Heading2"/>
        <w:keepNext/>
        <w:keepLines/>
        <w:pageBreakBefore w:val="0"/>
        <w:widowControl/>
      </w:pPr>
      <w:r>
        <w:rPr>
          <w:rFonts w:ascii="Arial" w:hAnsi="Arial" w:eastAsia="Arial"/>
          <w:b/>
          <w:color w:val="1F4E78"/>
        </w:rPr>
        <w:t xml:space="preserve">10.5 RLS Output Requirements (Normative)</w:t>
      </w:r>
    </w:p>
    <w:p>
      <w:pPr>
        <w:pStyle w:val="FirstParagraph"/>
        <w:widowControl/>
      </w:pPr>
      <w:r>
        <w:t xml:space="preserve">PCC MUST record, per option in A_sel:</w:t>
      </w:r>
    </w:p>
    <w:p>
      <w:pPr>
        <w:pStyle w:val="Compact"/>
        <w:widowControl/>
        <w:numPr>
          <w:ilvl w:val="0"/>
          <w:numId w:val="1110"/>
        </w:numPr>
      </w:pPr>
      <w:r>
        <w:t xml:space="preserve">I_prop_welfare(u,d,a) (or a retrievable summarized representation)</w:t>
      </w:r>
    </w:p>
    <w:p>
      <w:pPr>
        <w:pStyle w:val="Compact"/>
        <w:widowControl/>
        <w:numPr>
          <w:ilvl w:val="0"/>
          <w:numId w:val="1111"/>
        </w:numPr>
      </w:pPr>
      <w:r>
        <w:t xml:space="preserve">RLS(a) and σ_RLS(a) and the uncertainty method</w:t>
      </w:r>
    </w:p>
    <w:p>
      <w:pPr>
        <w:pStyle w:val="Compact"/>
        <w:widowControl/>
        <w:numPr>
          <w:ilvl w:val="0"/>
          <w:numId w:val="1112"/>
        </w:numPr>
      </w:pPr>
      <w:r>
        <w:t xml:space="preserve">Ranking and whether decisive (Gap vs δ)</w:t>
      </w:r>
    </w:p>
    <w:bookmarkEnd w:id="192"/>
    <w:bookmarkEnd w:id="193"/>
    <w:bookmarkStart w:id="206" w:name="X96652ee80bcac363f94aa541255a3d4a3b47727"/>
    <w:p>
      <w:pPr>
        <w:pStyle w:val="Heading1"/>
        <w:keepNext/>
        <w:keepLines/>
        <w:pageBreakBefore w:val="0"/>
        <w:widowControl/>
      </w:pPr>
      <w:r>
        <w:rPr>
          <w:rFonts w:ascii="Arial" w:hAnsi="Arial" w:eastAsia="Arial"/>
          <w:b/>
          <w:color w:val="1F4E78"/>
        </w:rPr>
        <w:t xml:space="preserve">SECTION 11: TIE-BREAKS, HOLLOWING DIAGNOSTICS, AND STRUCTURAL MONITORING</w:t>
      </w:r>
    </w:p>
    <w:bookmarkStart w:id="194" w:name="Xe5905e92875c970a91a248c79977654eb7e1cda"/>
    <w:p>
      <w:pPr>
        <w:pStyle w:val="Heading2"/>
        <w:keepNext/>
        <w:keepLines/>
        <w:pageBreakBefore w:val="0"/>
        <w:widowControl/>
      </w:pPr>
      <w:r>
        <w:rPr>
          <w:rFonts w:ascii="Arial" w:hAnsi="Arial" w:eastAsia="Arial"/>
          <w:b/>
          <w:color w:val="1F4E78"/>
        </w:rPr>
        <w:t xml:space="preserve">11.0 Purpose (Normative)</w:t>
      </w:r>
    </w:p>
    <w:p>
      <w:pPr>
        <w:pStyle w:val="FirstParagraph"/>
        <w:widowControl/>
      </w:pPr>
      <w:r>
        <w:t xml:space="preserve">This section defines the special-case role of UCI/HOI after the core method has already formed a selectable set. UCI/HOI are not public headline cascade stages and are not independent late-stage admissibility gates. Their gate-relevant structural work belongs in Containment. Their residual work occurs only when RLS is tied, close, uncertainty-overlapped, or non-decisive, or when monitoring and hollowing-risk documentation are required.</w:t>
      </w:r>
    </w:p>
    <w:p>
      <w:pPr>
        <w:pStyle w:val="Compact"/>
        <w:widowControl/>
        <w:numPr>
          <w:ilvl w:val="0"/>
          <w:numId w:val="1113"/>
        </w:numPr>
      </w:pPr>
      <w:r>
        <w:t xml:space="preserve">UCI is a structural metric used primarily as CSV evidence where material and secondarily as a residual tie-break signal when RLS cannot decide.</w:t>
      </w:r>
    </w:p>
    <w:p>
      <w:pPr>
        <w:pStyle w:val="Compact"/>
        <w:widowControl/>
        <w:numPr>
          <w:ilvl w:val="0"/>
          <w:numId w:val="1114"/>
        </w:numPr>
      </w:pPr>
      <w:r>
        <w:t xml:space="preserve">HOI is a hollowing and drift diagnostic that flags welfare-up/coherence-down patterns for Containment, monitoring, and residual tie-break contexts.</w:t>
      </w:r>
    </w:p>
    <w:bookmarkEnd w:id="194"/>
    <w:bookmarkStart w:id="195" w:name="X04057c5f044ab346c6737ccf98746af7b479e72"/>
    <w:p>
      <w:pPr>
        <w:pStyle w:val="Heading2"/>
        <w:keepNext/>
        <w:keepLines/>
        <w:pageBreakBefore w:val="0"/>
        <w:widowControl/>
      </w:pPr>
      <w:r>
        <w:rPr>
          <w:rFonts w:ascii="Arial" w:hAnsi="Arial" w:eastAsia="Arial"/>
          <w:b/>
          <w:color w:val="1F4E78"/>
        </w:rPr>
        <w:t xml:space="preserve">11.0A Instrument-Placement Rule for UCI/HOI (Normative)</w:t>
      </w:r>
    </w:p>
    <w:p>
      <w:pPr>
        <w:pStyle w:val="FirstParagraph"/>
        <w:widowControl/>
      </w:pPr>
      <w:r>
        <w:t xml:space="preserve">UCI and HOI are structural diagnostic instruments with two possible uses.</w:t>
      </w:r>
    </w:p>
    <w:p>
      <w:pPr>
        <w:pStyle w:val="BodyText"/>
        <w:widowControl/>
      </w:pPr>
      <w:r>
        <w:t xml:space="preserve">1. Containment use. When UCI/HOI evidence is material to cross-scale structural integrity, it is evaluated inside the CSV Gate under Section 9. This includes severe coherence loss, hidden hollowing, institutional brittleness, burnout, trust collapse, ecological degradation, governance-capacity loss, lock-in, or other structural damage to a containing union.</w:t>
      </w:r>
    </w:p>
    <w:p>
      <w:pPr>
        <w:pStyle w:val="BodyText"/>
        <w:widowControl/>
      </w:pPr>
      <w:r>
        <w:t xml:space="preserve">2. Residual tie-break use. When no containment threshold is crossed and options have already passed RF/NCRC, TRC, and CSV, UCI/HOI may be used after RLS only to resolve tied, close, uncertainty-overlapped, or non-decisive welfare rankings, document residual structural preference, trigger monitoring, or inform future-run steering.</w:t>
      </w:r>
    </w:p>
    <w:p>
      <w:pPr>
        <w:pStyle w:val="BodyText"/>
        <w:widowControl/>
      </w:pPr>
      <w:r>
        <w:t xml:space="preserve">Level 5 public-facing language SHALL NOT present UCI/HOI as a regular cascade stage. The public Level 5 is RippleLogic Score. The UCI/HOI rule is a special-case tie-break and monitoring rule attached to RLS non-decisiveness and CSV diagnostics.</w:t>
      </w:r>
    </w:p>
    <w:bookmarkEnd w:id="195"/>
    <w:bookmarkStart w:id="199" w:name="Xe8f0d5dd46602a123ffd6662ac73966c10770bb"/>
    <w:p>
      <w:pPr>
        <w:pStyle w:val="Heading2"/>
        <w:keepNext/>
        <w:keepLines/>
        <w:pageBreakBefore w:val="0"/>
        <w:widowControl/>
      </w:pPr>
      <w:r>
        <w:rPr>
          <w:rFonts w:ascii="Arial" w:hAnsi="Arial" w:eastAsia="Arial"/>
          <w:b/>
          <w:color w:val="1F4E78"/>
        </w:rPr>
        <w:t xml:space="preserve">11.1 Union Coherence Index (UCI) (Normative)</w:t>
      </w:r>
    </w:p>
    <w:bookmarkStart w:id="196" w:name="X7dcfefcf86305ee9e1fa7087d945b9f11719884"/>
    <w:p>
      <w:pPr>
        <w:pStyle w:val="Heading3"/>
        <w:keepNext/>
        <w:keepLines/>
        <w:pageBreakBefore w:val="0"/>
        <w:widowControl/>
      </w:pPr>
      <w:r>
        <w:rPr>
          <w:rFonts w:ascii="Arial" w:hAnsi="Arial" w:eastAsia="Arial"/>
          <w:b/>
          <w:color w:val="1F4E78"/>
        </w:rPr>
        <w:t xml:space="preserve">11.1.1 UCI components (canonical)</w:t>
      </w:r>
    </w:p>
    <w:p>
      <w:pPr>
        <w:pStyle w:val="FirstParagraph"/>
        <w:widowControl/>
      </w:pPr>
      <w:r>
        <w:t xml:space="preserve">For each union u, define component scores in [0,1]:</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Component</w:t>
            </w:r>
          </w:p>
        </w:tc>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Description</w:t>
            </w:r>
          </w:p>
        </w:tc>
      </w:tr>
      <w:tr>
        <w:trPr/>
        <w:tc>
          <w:tcPr>
            <w:tcMar>
              <w:top w:w="80" w:type="dxa"/>
              <w:start w:w="90" w:type="dxa"/>
              <w:bottom w:w="80" w:type="dxa"/>
              <w:end w:w="90" w:type="dxa"/>
            </w:tcMar>
            <w:shd w:fill="F7FBFF" w:val="clear"/>
          </w:tcPr>
          <w:p>
            <w:pPr>
              <w:pStyle w:val="Compact"/>
              <w:jc w:val="left"/>
            </w:pPr>
            <w:r>
              <w:t xml:space="preserve">Cohesion</w:t>
            </w:r>
          </w:p>
        </w:tc>
        <w:tc>
          <w:tcPr>
            <w:tcMar>
              <w:top w:w="80" w:type="dxa"/>
              <w:start w:w="90" w:type="dxa"/>
              <w:bottom w:w="80" w:type="dxa"/>
              <w:end w:w="90" w:type="dxa"/>
            </w:tcMar>
            <w:shd w:fill="F7FBFF" w:val="clear"/>
          </w:tcPr>
          <w:p>
            <w:pPr>
              <w:pStyle w:val="Compact"/>
              <w:jc w:val="left"/>
            </w:pPr>
            <w:r>
              <w:t xml:space="preserve">H_u</w:t>
            </w:r>
          </w:p>
        </w:tc>
        <w:tc>
          <w:tcPr>
            <w:tcMar>
              <w:top w:w="80" w:type="dxa"/>
              <w:start w:w="90" w:type="dxa"/>
              <w:bottom w:w="80" w:type="dxa"/>
              <w:end w:w="90" w:type="dxa"/>
            </w:tcMar>
            <w:shd w:fill="F7FBFF" w:val="clear"/>
          </w:tcPr>
          <w:p>
            <w:pPr>
              <w:pStyle w:val="Compact"/>
              <w:jc w:val="left"/>
            </w:pPr>
            <w:r>
              <w:t xml:space="preserve">Internal connectivity, trust, shared identity, conflict resolution capacity</w:t>
            </w:r>
          </w:p>
        </w:tc>
      </w:tr>
      <w:tr>
        <w:trPr/>
        <w:tc>
          <w:tcPr>
            <w:tcMar>
              <w:top w:w="80" w:type="dxa"/>
              <w:start w:w="90" w:type="dxa"/>
              <w:bottom w:w="80" w:type="dxa"/>
              <w:end w:w="90" w:type="dxa"/>
            </w:tcMar>
            <w:shd w:fill="D9EAF7" w:val="clear"/>
          </w:tcPr>
          <w:p>
            <w:pPr>
              <w:pStyle w:val="Compact"/>
              <w:jc w:val="left"/>
            </w:pPr>
            <w:r>
              <w:t xml:space="preserve">Flow</w:t>
            </w:r>
          </w:p>
        </w:tc>
        <w:tc>
          <w:tcPr>
            <w:tcMar>
              <w:top w:w="80" w:type="dxa"/>
              <w:start w:w="90" w:type="dxa"/>
              <w:bottom w:w="80" w:type="dxa"/>
              <w:end w:w="90" w:type="dxa"/>
            </w:tcMar>
            <w:shd w:fill="D9EAF7" w:val="clear"/>
          </w:tcPr>
          <w:p>
            <w:pPr>
              <w:pStyle w:val="Compact"/>
              <w:jc w:val="left"/>
            </w:pPr>
            <w:r>
              <w:t xml:space="preserve">F_u</w:t>
            </w:r>
          </w:p>
        </w:tc>
        <w:tc>
          <w:tcPr>
            <w:tcMar>
              <w:top w:w="80" w:type="dxa"/>
              <w:start w:w="90" w:type="dxa"/>
              <w:bottom w:w="80" w:type="dxa"/>
              <w:end w:w="90" w:type="dxa"/>
            </w:tcMar>
            <w:shd w:fill="D9EAF7" w:val="clear"/>
          </w:tcPr>
          <w:p>
            <w:pPr>
              <w:pStyle w:val="Compact"/>
              <w:jc w:val="left"/>
            </w:pPr>
            <w:r>
              <w:t xml:space="preserve">Coordination throughput, information fidelity, resource allocation efficiency</w:t>
            </w:r>
          </w:p>
        </w:tc>
      </w:tr>
      <w:tr>
        <w:trPr/>
        <w:tc>
          <w:tcPr>
            <w:tcMar>
              <w:top w:w="80" w:type="dxa"/>
              <w:start w:w="90" w:type="dxa"/>
              <w:bottom w:w="80" w:type="dxa"/>
              <w:end w:w="90" w:type="dxa"/>
            </w:tcMar>
            <w:shd w:fill="F7FBFF" w:val="clear"/>
          </w:tcPr>
          <w:p>
            <w:pPr>
              <w:pStyle w:val="Compact"/>
              <w:jc w:val="left"/>
            </w:pPr>
            <w:r>
              <w:t xml:space="preserve">Resilience</w:t>
            </w:r>
          </w:p>
        </w:tc>
        <w:tc>
          <w:tcPr>
            <w:tcMar>
              <w:top w:w="80" w:type="dxa"/>
              <w:start w:w="90" w:type="dxa"/>
              <w:bottom w:w="80" w:type="dxa"/>
              <w:end w:w="90" w:type="dxa"/>
            </w:tcMar>
            <w:shd w:fill="F7FBFF" w:val="clear"/>
          </w:tcPr>
          <w:p>
            <w:pPr>
              <w:pStyle w:val="Compact"/>
              <w:jc w:val="left"/>
            </w:pPr>
            <w:r>
              <w:t xml:space="preserve">R_u</w:t>
            </w:r>
          </w:p>
        </w:tc>
        <w:tc>
          <w:tcPr>
            <w:tcMar>
              <w:top w:w="80" w:type="dxa"/>
              <w:start w:w="90" w:type="dxa"/>
              <w:bottom w:w="80" w:type="dxa"/>
              <w:end w:w="90" w:type="dxa"/>
            </w:tcMar>
            <w:shd w:fill="F7FBFF" w:val="clear"/>
          </w:tcPr>
          <w:p>
            <w:pPr>
              <w:pStyle w:val="Compact"/>
              <w:jc w:val="left"/>
            </w:pPr>
            <w:r>
              <w:t xml:space="preserve">Redundancy, robustness, recovery speed, adaptive capacity</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Equity</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E_u</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Fair distribution of burdens/benefits, voice representation, inclusion</w:t>
            </w:r>
          </w:p>
        </w:tc>
      </w:tr>
    </w:tbl>
    <w:p>
      <w:pPr>
        <w:pStyle w:val="BodyText"/>
        <w:widowControl/>
      </w:pPr>
      <w:r>
        <w:t xml:space="preserve">Let</w:t>
      </w:r>
      <w:r>
        <w:t xml:space="preserve"> </w:t>
      </w:r>
      <w:r>
        <w:rPr>
          <w:rStyle w:val="VerbatimChar"/>
        </w:rPr>
        <w:t xml:space="preserve">A_u</w:t>
      </w:r>
      <w:r>
        <w:t xml:space="preserve"> </w:t>
      </w:r>
      <w:r>
        <w:t xml:space="preserve">be the set of components that are substantively applicable and measured for union scope</w:t>
      </w:r>
      <w:r>
        <w:t xml:space="preserve"> </w:t>
      </w:r>
      <w:r>
        <w:rPr>
          <w:rStyle w:val="VerbatimChar"/>
        </w:rPr>
        <w:t xml:space="preserve">u</w:t>
      </w:r>
      <w:r>
        <w:t xml:space="preserve">. Compute:</w:t>
      </w:r>
    </w:p>
    <w:p>
      <w:pPr>
        <w:pStyle w:val="BodyText"/>
        <w:widowControl/>
      </w:pPr>
      <w:r>
        <w:rPr>
          <w:rStyle w:val="VerbatimChar"/>
        </w:rPr>
        <w:t xml:space="preserve">UCI_u = [sum_{j in A_u} alpha_j * X_{u,j}] / [sum_{j in A_u} alpha_j]</w:t>
      </w:r>
    </w:p>
    <w:p>
      <w:pPr>
        <w:pStyle w:val="BodyText"/>
        <w:widowControl/>
      </w:pPr>
      <w:r>
        <w:t xml:space="preserve">where</w:t>
      </w:r>
      <w:r>
        <w:t xml:space="preserve"> </w:t>
      </w:r>
      <w:r>
        <w:rPr>
          <w:rStyle w:val="VerbatimChar"/>
        </w:rPr>
        <w:t xml:space="preserve">X_{u,j}</w:t>
      </w:r>
      <w:r>
        <w:t xml:space="preserve"> </w:t>
      </w:r>
      <w:r>
        <w:t xml:space="preserve">is</w:t>
      </w:r>
      <w:r>
        <w:t xml:space="preserve"> </w:t>
      </w:r>
      <w:r>
        <w:rPr>
          <w:rStyle w:val="VerbatimChar"/>
        </w:rPr>
        <w:t xml:space="preserve">H_u</w:t>
      </w:r>
      <w:r>
        <w:t xml:space="preserve">,</w:t>
      </w:r>
      <w:r>
        <w:t xml:space="preserve"> </w:t>
      </w:r>
      <w:r>
        <w:rPr>
          <w:rStyle w:val="VerbatimChar"/>
        </w:rPr>
        <w:t xml:space="preserve">F_u</w:t>
      </w:r>
      <w:r>
        <w:t xml:space="preserve">,</w:t>
      </w:r>
      <w:r>
        <w:t xml:space="preserve"> </w:t>
      </w:r>
      <w:r>
        <w:rPr>
          <w:rStyle w:val="VerbatimChar"/>
        </w:rPr>
        <w:t xml:space="preserve">R_u</w:t>
      </w:r>
      <w:r>
        <w:t xml:space="preserve">, or</w:t>
      </w:r>
      <w:r>
        <w:t xml:space="preserve"> </w:t>
      </w:r>
      <w:r>
        <w:rPr>
          <w:rStyle w:val="VerbatimChar"/>
        </w:rPr>
        <w:t xml:space="preserve">E_u</w:t>
      </w:r>
      <w:r>
        <w:t xml:space="preserve">. Default weights are</w:t>
      </w:r>
      <w:r>
        <w:t xml:space="preserve"> </w:t>
      </w:r>
      <w:r>
        <w:rPr>
          <w:rStyle w:val="VerbatimChar"/>
        </w:rPr>
        <w:t xml:space="preserve">alpha_H = alpha_F = alpha_R = alpha_E = 0.25</w:t>
      </w:r>
      <w:r>
        <w:t xml:space="preserve"> </w:t>
      </w:r>
      <w:r>
        <w:t xml:space="preserve">when all four components are applicable. An inapplicable component is recorded as</w:t>
      </w:r>
      <w:r>
        <w:t xml:space="preserve"> </w:t>
      </w:r>
      <w:r>
        <w:rPr>
          <w:rStyle w:val="VerbatimChar"/>
        </w:rPr>
        <w:t xml:space="preserve">NA</w:t>
      </w:r>
      <w:r>
        <w:t xml:space="preserve"> </w:t>
      </w:r>
      <w:r>
        <w:t xml:space="preserve">and the remaining weights are renormalized; it MUST NOT be assigned a perfect score merely to avoid a penalty.</w:t>
      </w:r>
    </w:p>
    <w:p>
      <w:pPr>
        <w:pStyle w:val="BodyText"/>
        <w:widowControl/>
      </w:pPr>
      <w:r>
        <w:t xml:space="preserve">For Self (</w:t>
      </w:r>
      <w:r>
        <w:rPr>
          <w:rStyle w:val="VerbatimChar"/>
        </w:rPr>
        <w:t xml:space="preserve">U1</w:t>
      </w:r>
      <w:r>
        <w:t xml:space="preserve">), equity-as-distribution is ordinarily</w:t>
      </w:r>
      <w:r>
        <w:t xml:space="preserve"> </w:t>
      </w:r>
      <w:r>
        <w:rPr>
          <w:rStyle w:val="VerbatimChar"/>
        </w:rPr>
        <w:t xml:space="preserve">NA</w:t>
      </w:r>
      <w:r>
        <w:t xml:space="preserve">; the default computation therefore renormalizes across Cohesion, Flow, and Resilience unless a domain-specific within-self equity construct is explicitly defined and measured. For Biosphere (</w:t>
      </w:r>
      <w:r>
        <w:rPr>
          <w:rStyle w:val="VerbatimChar"/>
        </w:rPr>
        <w:t xml:space="preserve">U7</w:t>
      </w:r>
      <w:r>
        <w:t xml:space="preserve">), Equity is likewise</w:t>
      </w:r>
      <w:r>
        <w:t xml:space="preserve"> </w:t>
      </w:r>
      <w:r>
        <w:rPr>
          <w:rStyle w:val="VerbatimChar"/>
        </w:rPr>
        <w:t xml:space="preserve">NA</w:t>
      </w:r>
      <w:r>
        <w:t xml:space="preserve"> </w:t>
      </w:r>
      <w:r>
        <w:t xml:space="preserve">unless a defensible ecological-distribution or justice indicator is declared. Missing but applicable evidence is</w:t>
      </w:r>
      <w:r>
        <w:t xml:space="preserve"> </w:t>
      </w:r>
      <w:r>
        <w:rPr>
          <w:rStyle w:val="VerbatimChar"/>
        </w:rPr>
        <w:t xml:space="preserve">UNKNOWN</w:t>
      </w:r>
      <w:r>
        <w:t xml:space="preserve">, not</w:t>
      </w:r>
      <w:r>
        <w:t xml:space="preserve"> </w:t>
      </w:r>
      <w:r>
        <w:rPr>
          <w:rStyle w:val="VerbatimChar"/>
        </w:rPr>
        <w:t xml:space="preserve">NA</w:t>
      </w:r>
      <w:r>
        <w:t xml:space="preserve">, and triggers the applicable UCI-unavailability or claim-narrowing rule.</w:t>
      </w:r>
    </w:p>
    <w:bookmarkEnd w:id="196"/>
    <w:bookmarkStart w:id="197" w:name="Xb193bf26b48e9449868d4b3eb2f28431bfd83c4"/>
    <w:p>
      <w:pPr>
        <w:pStyle w:val="Heading3"/>
        <w:keepNext/>
        <w:keepLines/>
        <w:pageBreakBefore w:val="0"/>
        <w:widowControl/>
      </w:pPr>
      <w:r>
        <w:rPr>
          <w:rFonts w:ascii="Arial" w:hAnsi="Arial" w:eastAsia="Arial"/>
          <w:b/>
          <w:color w:val="1F4E78"/>
        </w:rPr>
        <w:t xml:space="preserve">11.1.2 Structural independence rule (Normative; Tier 3 binding)</w:t>
      </w:r>
    </w:p>
    <w:p>
      <w:pPr>
        <w:pStyle w:val="FirstParagraph"/>
        <w:widowControl/>
      </w:pPr>
      <w:r>
        <w:t xml:space="preserve">UCI MUST be computed from structural/process indicators distinct from welfare indicators used for RLS.</w:t>
      </w:r>
    </w:p>
    <w:p>
      <w:pPr>
        <w:pStyle w:val="BodyText"/>
        <w:widowControl/>
      </w:pPr>
      <w:r>
        <w:t xml:space="preserve">At Tier 3:</w:t>
      </w:r>
    </w:p>
    <w:p>
      <w:pPr>
        <w:pStyle w:val="Compact"/>
        <w:widowControl/>
        <w:numPr>
          <w:ilvl w:val="0"/>
          <w:numId w:val="1115"/>
        </w:numPr>
      </w:pPr>
      <w:r>
        <w:t xml:space="preserve">Deriving UCI from welfare-cell impacts is PROHIBITED.</w:t>
      </w:r>
    </w:p>
    <w:p>
      <w:pPr>
        <w:pStyle w:val="Compact"/>
        <w:widowControl/>
        <w:numPr>
          <w:ilvl w:val="0"/>
          <w:numId w:val="1116"/>
        </w:numPr>
      </w:pPr>
      <w:r>
        <w:t xml:space="preserve">If structural indicators are unavailable, UCI is treated as unavailable and escalation/judgment-call protocol must be used (Section 11.5; Appendix E).</w:t>
      </w:r>
    </w:p>
    <w:bookmarkEnd w:id="197"/>
    <w:bookmarkStart w:id="198" w:name="X55acbb1a6162c6a81fd674ac8d01232ff80c7be"/>
    <w:p>
      <w:pPr>
        <w:pStyle w:val="Heading3"/>
        <w:keepNext/>
        <w:keepLines/>
        <w:pageBreakBefore w:val="0"/>
        <w:widowControl/>
      </w:pPr>
      <w:r>
        <w:rPr>
          <w:rFonts w:ascii="Arial" w:hAnsi="Arial" w:eastAsia="Arial"/>
          <w:b/>
          <w:color w:val="1F4E78"/>
        </w:rPr>
        <w:t xml:space="preserve">11.1.3 ΔUCI computation (Normative)</w:t>
      </w:r>
    </w:p>
    <w:p>
      <w:pPr>
        <w:pStyle w:val="FirstParagraph"/>
        <w:widowControl/>
      </w:pPr>
      <w:r>
        <w:t xml:space="preserve">11.1.3A UCI Measurement Maturity Statement (Normative acknowledgement)</w:t>
      </w:r>
    </w:p>
    <w:p>
      <w:pPr>
        <w:pStyle w:val="BodyText"/>
        <w:widowControl/>
      </w:pPr>
      <w:r>
        <w:t xml:space="preserve">UCI is structurally load-bearing in the RippleLogic architecture: it determines Containment pass/fail (Section 9) and resolves non-decisive RLS ties (Section 11.5). The current release line specifies UCI component definitions (Cohesion, Flow, Resilience, Equity), structural independence requirements, and indicator families per scope, but does not yet provide universally validated measurement instruments with published psychometric properties (reliability, validity, normalisation benchmarks) across domains.</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Scope</w:t>
            </w:r>
          </w:p>
        </w:tc>
        <w:tc>
          <w:tcPr>
            <w:shd w:fill="1F4E78" w:val="clear"/>
            <w:tcMar>
              <w:top w:w="80" w:type="dxa"/>
              <w:start w:w="90" w:type="dxa"/>
              <w:bottom w:w="80" w:type="dxa"/>
              <w:end w:w="90" w:type="dxa"/>
            </w:tcMar>
          </w:tcPr>
          <w:p>
            <w:pPr>
              <w:pStyle w:val="Compact"/>
              <w:jc w:val="left"/>
            </w:pPr>
            <w:r>
              <w:rPr>
                <w:b/>
                <w:bCs/>
                <w:color w:val="FFFFFF"/>
              </w:rPr>
              <w:t xml:space="preserve">Measurement Maturity</w:t>
            </w:r>
          </w:p>
        </w:tc>
        <w:tc>
          <w:tcPr>
            <w:shd w:fill="1F4E78" w:val="clear"/>
            <w:tcMar>
              <w:top w:w="80" w:type="dxa"/>
              <w:start w:w="90" w:type="dxa"/>
              <w:bottom w:w="80" w:type="dxa"/>
              <w:end w:w="90" w:type="dxa"/>
            </w:tcMar>
          </w:tcPr>
          <w:p>
            <w:pPr>
              <w:pStyle w:val="Compact"/>
              <w:jc w:val="left"/>
            </w:pPr>
            <w:r>
              <w:rPr>
                <w:b/>
                <w:bCs/>
                <w:color w:val="FFFFFF"/>
              </w:rPr>
              <w:t xml:space="preserve">Notes</w:t>
            </w:r>
          </w:p>
        </w:tc>
      </w:tr>
      <w:tr>
        <w:trPr/>
        <w:tc>
          <w:tcPr>
            <w:tcMar>
              <w:top w:w="80" w:type="dxa"/>
              <w:start w:w="90" w:type="dxa"/>
              <w:bottom w:w="80" w:type="dxa"/>
              <w:end w:w="90" w:type="dxa"/>
            </w:tcMar>
            <w:shd w:fill="F7FBFF" w:val="clear"/>
          </w:tcPr>
          <w:p>
            <w:pPr>
              <w:pStyle w:val="Compact"/>
              <w:jc w:val="left"/>
            </w:pPr>
            <w:r>
              <w:t xml:space="preserve">U1 Self</w:t>
            </w:r>
          </w:p>
        </w:tc>
        <w:tc>
          <w:tcPr>
            <w:tcMar>
              <w:top w:w="80" w:type="dxa"/>
              <w:start w:w="90" w:type="dxa"/>
              <w:bottom w:w="80" w:type="dxa"/>
              <w:end w:w="90" w:type="dxa"/>
            </w:tcMar>
            <w:shd w:fill="F7FBFF" w:val="clear"/>
          </w:tcPr>
          <w:p>
            <w:pPr>
              <w:pStyle w:val="Compact"/>
              <w:jc w:val="left"/>
            </w:pPr>
            <w:r>
              <w:t xml:space="preserve">Provisional</w:t>
            </w:r>
          </w:p>
        </w:tc>
        <w:tc>
          <w:tcPr>
            <w:tcMar>
              <w:top w:w="80" w:type="dxa"/>
              <w:start w:w="90" w:type="dxa"/>
              <w:bottom w:w="80" w:type="dxa"/>
              <w:end w:w="90" w:type="dxa"/>
            </w:tcMar>
            <w:shd w:fill="F7FBFF" w:val="clear"/>
          </w:tcPr>
          <w:p>
            <w:pPr>
              <w:pStyle w:val="Compact"/>
              <w:jc w:val="left"/>
            </w:pPr>
            <w:r>
              <w:t xml:space="preserve">Validated instruments exist for some components (e.g. psychological resilience scales, self-efficacy measures) but are not yet assembled into a UCI-specific battery.</w:t>
            </w:r>
          </w:p>
        </w:tc>
      </w:tr>
      <w:tr>
        <w:trPr/>
        <w:tc>
          <w:tcPr>
            <w:tcMar>
              <w:top w:w="80" w:type="dxa"/>
              <w:start w:w="90" w:type="dxa"/>
              <w:bottom w:w="80" w:type="dxa"/>
              <w:end w:w="90" w:type="dxa"/>
            </w:tcMar>
            <w:shd w:fill="D9EAF7" w:val="clear"/>
          </w:tcPr>
          <w:p>
            <w:pPr>
              <w:pStyle w:val="Compact"/>
              <w:jc w:val="left"/>
            </w:pPr>
            <w:r>
              <w:t xml:space="preserve">U2 Household</w:t>
            </w:r>
          </w:p>
        </w:tc>
        <w:tc>
          <w:tcPr>
            <w:tcMar>
              <w:top w:w="80" w:type="dxa"/>
              <w:start w:w="90" w:type="dxa"/>
              <w:bottom w:w="80" w:type="dxa"/>
              <w:end w:w="90" w:type="dxa"/>
            </w:tcMar>
            <w:shd w:fill="D9EAF7" w:val="clear"/>
          </w:tcPr>
          <w:p>
            <w:pPr>
              <w:pStyle w:val="Compact"/>
              <w:jc w:val="left"/>
            </w:pPr>
            <w:r>
              <w:t xml:space="preserve">Provisional</w:t>
            </w:r>
          </w:p>
        </w:tc>
        <w:tc>
          <w:tcPr>
            <w:tcMar>
              <w:top w:w="80" w:type="dxa"/>
              <w:start w:w="90" w:type="dxa"/>
              <w:bottom w:w="80" w:type="dxa"/>
              <w:end w:w="90" w:type="dxa"/>
            </w:tcMar>
            <w:shd w:fill="D9EAF7" w:val="clear"/>
          </w:tcPr>
          <w:p>
            <w:pPr>
              <w:pStyle w:val="Compact"/>
              <w:jc w:val="left"/>
            </w:pPr>
            <w:r>
              <w:t xml:space="preserve">Relationship quality instruments exist; household-level aggregation rules are not yet standardised.</w:t>
            </w:r>
          </w:p>
        </w:tc>
      </w:tr>
      <w:tr>
        <w:trPr/>
        <w:tc>
          <w:tcPr>
            <w:tcMar>
              <w:top w:w="80" w:type="dxa"/>
              <w:start w:w="90" w:type="dxa"/>
              <w:bottom w:w="80" w:type="dxa"/>
              <w:end w:w="90" w:type="dxa"/>
            </w:tcMar>
            <w:shd w:fill="F7FBFF" w:val="clear"/>
          </w:tcPr>
          <w:p>
            <w:pPr>
              <w:pStyle w:val="Compact"/>
              <w:jc w:val="left"/>
            </w:pPr>
            <w:r>
              <w:t xml:space="preserve">U3 Community</w:t>
            </w:r>
          </w:p>
        </w:tc>
        <w:tc>
          <w:tcPr>
            <w:tcMar>
              <w:top w:w="80" w:type="dxa"/>
              <w:start w:w="90" w:type="dxa"/>
              <w:bottom w:w="80" w:type="dxa"/>
              <w:end w:w="90" w:type="dxa"/>
            </w:tcMar>
            <w:shd w:fill="F7FBFF" w:val="clear"/>
          </w:tcPr>
          <w:p>
            <w:pPr>
              <w:pStyle w:val="Compact"/>
              <w:jc w:val="left"/>
            </w:pPr>
            <w:r>
              <w:t xml:space="preserve">Provisional, strongest starter coverage</w:t>
            </w:r>
          </w:p>
        </w:tc>
        <w:tc>
          <w:tcPr>
            <w:tcMar>
              <w:top w:w="80" w:type="dxa"/>
              <w:start w:w="90" w:type="dxa"/>
              <w:bottom w:w="80" w:type="dxa"/>
              <w:end w:w="90" w:type="dxa"/>
            </w:tcMar>
            <w:shd w:fill="F7FBFF" w:val="clear"/>
          </w:tcPr>
          <w:p>
            <w:pPr>
              <w:pStyle w:val="Compact"/>
              <w:jc w:val="left"/>
            </w:pPr>
            <w:r>
              <w:t xml:space="preserve">Social capital instruments (e.g. trust surveys), participation parity measures, and mutual-aid readiness metrics exist; normalisation and inter-rater reliability under UCI aggregation are untested.</w:t>
            </w:r>
          </w:p>
        </w:tc>
      </w:tr>
      <w:tr>
        <w:trPr/>
        <w:tc>
          <w:tcPr>
            <w:tcMar>
              <w:top w:w="80" w:type="dxa"/>
              <w:start w:w="90" w:type="dxa"/>
              <w:bottom w:w="80" w:type="dxa"/>
              <w:end w:w="90" w:type="dxa"/>
            </w:tcMar>
            <w:shd w:fill="D9EAF7" w:val="clear"/>
          </w:tcPr>
          <w:p>
            <w:pPr>
              <w:pStyle w:val="Compact"/>
              <w:jc w:val="left"/>
            </w:pPr>
            <w:r>
              <w:t xml:space="preserve">U4 Organisation</w:t>
            </w:r>
          </w:p>
        </w:tc>
        <w:tc>
          <w:tcPr>
            <w:tcMar>
              <w:top w:w="80" w:type="dxa"/>
              <w:start w:w="90" w:type="dxa"/>
              <w:bottom w:w="80" w:type="dxa"/>
              <w:end w:w="90" w:type="dxa"/>
            </w:tcMar>
            <w:shd w:fill="D9EAF7" w:val="clear"/>
          </w:tcPr>
          <w:p>
            <w:pPr>
              <w:pStyle w:val="Compact"/>
              <w:jc w:val="left"/>
            </w:pPr>
            <w:r>
              <w:t xml:space="preserve">Provisional, strongest starter coverage</w:t>
            </w:r>
          </w:p>
        </w:tc>
        <w:tc>
          <w:tcPr>
            <w:tcMar>
              <w:top w:w="80" w:type="dxa"/>
              <w:start w:w="90" w:type="dxa"/>
              <w:bottom w:w="80" w:type="dxa"/>
              <w:end w:w="90" w:type="dxa"/>
            </w:tcMar>
            <w:shd w:fill="D9EAF7" w:val="clear"/>
          </w:tcPr>
          <w:p>
            <w:pPr>
              <w:pStyle w:val="Compact"/>
              <w:jc w:val="left"/>
            </w:pPr>
            <w:r>
              <w:t xml:space="preserve">Psychological safety instruments (e.g. Edmondson 1999), process throughput, incident recovery, and equity indices exist; assembly into UCI and structural independence verification are untested.</w:t>
            </w:r>
          </w:p>
        </w:tc>
      </w:tr>
      <w:tr>
        <w:trPr/>
        <w:tc>
          <w:tcPr>
            <w:tcMar>
              <w:top w:w="80" w:type="dxa"/>
              <w:start w:w="90" w:type="dxa"/>
              <w:bottom w:w="80" w:type="dxa"/>
              <w:end w:w="90" w:type="dxa"/>
            </w:tcMar>
            <w:shd w:fill="F7FBFF" w:val="clear"/>
          </w:tcPr>
          <w:p>
            <w:pPr>
              <w:pStyle w:val="Compact"/>
              <w:jc w:val="left"/>
            </w:pPr>
            <w:r>
              <w:t xml:space="preserve">U5 Polity</w:t>
            </w:r>
          </w:p>
        </w:tc>
        <w:tc>
          <w:tcPr>
            <w:tcMar>
              <w:top w:w="80" w:type="dxa"/>
              <w:start w:w="90" w:type="dxa"/>
              <w:bottom w:w="80" w:type="dxa"/>
              <w:end w:w="90" w:type="dxa"/>
            </w:tcMar>
            <w:shd w:fill="F7FBFF" w:val="clear"/>
          </w:tcPr>
          <w:p>
            <w:pPr>
              <w:pStyle w:val="Compact"/>
              <w:jc w:val="left"/>
            </w:pPr>
            <w:r>
              <w:t xml:space="preserve">Provisional</w:t>
            </w:r>
          </w:p>
        </w:tc>
        <w:tc>
          <w:tcPr>
            <w:tcMar>
              <w:top w:w="80" w:type="dxa"/>
              <w:start w:w="90" w:type="dxa"/>
              <w:bottom w:w="80" w:type="dxa"/>
              <w:end w:w="90" w:type="dxa"/>
            </w:tcMar>
            <w:shd w:fill="F7FBFF" w:val="clear"/>
          </w:tcPr>
          <w:p>
            <w:pPr>
              <w:pStyle w:val="Compact"/>
              <w:jc w:val="left"/>
            </w:pPr>
            <w:r>
              <w:t xml:space="preserve">Institutional trust indices, rule-of-law indices, service delivery measures exist; UCI-specific aggregation is untested.</w:t>
            </w:r>
          </w:p>
        </w:tc>
      </w:tr>
      <w:tr>
        <w:trPr/>
        <w:tc>
          <w:tcPr>
            <w:tcMar>
              <w:top w:w="80" w:type="dxa"/>
              <w:start w:w="90" w:type="dxa"/>
              <w:bottom w:w="80" w:type="dxa"/>
              <w:end w:w="90" w:type="dxa"/>
            </w:tcMar>
            <w:shd w:fill="D9EAF7" w:val="clear"/>
          </w:tcPr>
          <w:p>
            <w:pPr>
              <w:pStyle w:val="Compact"/>
              <w:jc w:val="left"/>
            </w:pPr>
            <w:r>
              <w:t xml:space="preserve">U6 Humanity / Global Coordination</w:t>
            </w:r>
          </w:p>
        </w:tc>
        <w:tc>
          <w:tcPr>
            <w:tcMar>
              <w:top w:w="80" w:type="dxa"/>
              <w:start w:w="90" w:type="dxa"/>
              <w:bottom w:w="80" w:type="dxa"/>
              <w:end w:w="90" w:type="dxa"/>
            </w:tcMar>
            <w:shd w:fill="D9EAF7" w:val="clear"/>
          </w:tcPr>
          <w:p>
            <w:pPr>
              <w:pStyle w:val="Compact"/>
              <w:jc w:val="left"/>
            </w:pPr>
            <w:r>
              <w:t xml:space="preserve">Early design</w:t>
            </w:r>
          </w:p>
        </w:tc>
        <w:tc>
          <w:tcPr>
            <w:tcMar>
              <w:top w:w="80" w:type="dxa"/>
              <w:start w:w="90" w:type="dxa"/>
              <w:bottom w:w="80" w:type="dxa"/>
              <w:end w:w="90" w:type="dxa"/>
            </w:tcMar>
            <w:shd w:fill="D9EAF7" w:val="clear"/>
          </w:tcPr>
          <w:p>
            <w:pPr>
              <w:pStyle w:val="Compact"/>
              <w:jc w:val="left"/>
            </w:pPr>
            <w:r>
              <w:t xml:space="preserve">Cross-polity cooperation and global coordination indicators are sparse and domain-specific.</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U7 Biosphere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Early design</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Ecosystem connectivity and resilience metrics exist (e.g. biodiversity integrity indices, trophic stability measures) but UCI aggregation is not yet specified. E7 is ordinarily NA and the applicable components are renormalized; a perfect score is never inserted by default.</w:t>
            </w:r>
          </w:p>
        </w:tc>
      </w:tr>
    </w:tbl>
    <w:p>
      <w:pPr>
        <w:pStyle w:val="BodyText"/>
        <w:widowControl/>
      </w:pPr>
      <w:r>
        <w:t xml:space="preserve">Consequence for Tier 3 claims (Normative). Tier 3 run-level conformance claims are possible under the current specification when the run declares its UCI indicator sources, normalisation rules, and structural independence posture (Appendix E). Framework-level claims that UCI is empirically calibrated or cross-domain validated are PROHIBITED until a companion UCI Measurement Annex is published with at minimum: (i) named instruments per component per scope for U3, U4, and U5, (ii) normalisation rules with declared reference populations, (iii) structural independence verification evidence, and (iv) inter-rater reliability data (target ICC &gt;= 0.70 on UCI component scores).</w:t>
      </w:r>
    </w:p>
    <w:p>
      <w:pPr>
        <w:pStyle w:val="BodyText"/>
        <w:widowControl/>
      </w:pPr>
      <w:r>
        <w:t xml:space="preserve">Validation commitment. Publishing such an annex is a Phase 2 validation priority (Section 17.3). Until it exists, the UCI measurement gap is the single largest barrier to framework-level empirical operational-readiness claims for Containment and tie-break governance.</w:t>
      </w:r>
    </w:p>
    <w:p>
      <w:pPr>
        <w:pStyle w:val="BodyText"/>
        <w:widowControl/>
      </w:pPr>
      <w:r>
        <w:t xml:space="preserve">Interpretive hardening (Normative). Until a companion UCI Measurement Annex is published, UCI remains structurally load-bearing but empirically provisional at the framework level. This limitation SHALL be surfaced in the Reader Guide, in Tier-claim language, and in any public claim about Containment or tie-break readiness. No framework-level claim of cross-domain calibrated or cross-domain validated UCI is permitted in the current v12.5 release line.</w:t>
      </w:r>
    </w:p>
    <w:p>
      <w:pPr>
        <w:pStyle w:val="BodyText"/>
        <w:widowControl/>
      </w:pPr>
      <w:r>
        <w:rPr>
          <w:b/>
        </w:rPr>
        <w:t>Provisional-UCI high-stakes restriction (Normative).</w:t>
      </w:r>
      <w:r>
        <w:t xml:space="preserve"> A provisional UCI result MUST NOT be the sole evidential basis for either a high-stakes CSV_FAIL or an unqualified high-stakes CSV_PASS / CSV_PASS_WITH_CONTROLS. A high-stakes fail requires a structured CSV evidence case that identifies the concrete structural mechanism, affected containing scope, evidence and uncertainty, threshold or failure condition, reviewer status, and available controls or redesign path. A high-stakes pass requires independently supported evidence that the relevant structural mechanism, dependencies, controls, reversibility, monitoring, and carrier capacity are adequate. Where provisional UCI raises or clears a material concern but the structured evidence case is not yet sufficient, use ASSUMPTION_BOUND, CSV_ESCALATE, or CSV_REDESIGN_REQUIRED as appropriate rather than a falsely certain fail or pass.</w:t>
      </w:r>
    </w:p>
    <w:p>
      <w:pPr>
        <w:pStyle w:val="BodyText"/>
        <w:widowControl/>
      </w:pPr>
      <w:r>
        <w:t xml:space="preserve">For each option a:</w:t>
      </w:r>
    </w:p>
    <w:p>
      <w:pPr>
        <w:pStyle w:val="BodyText"/>
        <w:widowControl/>
      </w:pPr>
      <w:r>
        <w:t xml:space="preserve">ΔUCI_u(a) = UCI_u(a) − UCI_u(baseline)</w:t>
      </w:r>
    </w:p>
    <w:p>
      <w:pPr>
        <w:pStyle w:val="BodyText"/>
        <w:widowControl/>
      </w:pPr>
      <w:r>
        <w:t xml:space="preserve">Containment uses ΔUCI for containing unions (Section 9).</w:t>
      </w:r>
    </w:p>
    <w:bookmarkEnd w:id="198"/>
    <w:bookmarkEnd w:id="199"/>
    <w:bookmarkStart w:id="200" w:name="X03aca791f5a7c86ceeceb99200a3659a35c2a8e"/>
    <w:p>
      <w:pPr>
        <w:pStyle w:val="Heading2"/>
        <w:keepNext/>
        <w:keepLines/>
        <w:pageBreakBefore w:val="0"/>
        <w:widowControl/>
      </w:pPr>
      <w:r>
        <w:rPr>
          <w:rFonts w:ascii="Arial" w:hAnsi="Arial" w:eastAsia="Arial"/>
          <w:b/>
          <w:color w:val="1F4E78"/>
        </w:rPr>
        <w:t xml:space="preserve">11.2 Aggregate UCI (Optional, informative)</w:t>
      </w:r>
    </w:p>
    <w:p>
      <w:pPr>
        <w:pStyle w:val="FirstParagraph"/>
        <w:widowControl/>
      </w:pPr>
      <w:r>
        <w:t xml:space="preserve">An aggregate coherence score may be computed:</w:t>
      </w:r>
    </w:p>
    <w:p>
      <w:pPr>
        <w:pStyle w:val="BodyText"/>
        <w:widowControl/>
      </w:pPr>
      <w:r>
        <w:t xml:space="preserve">UCI_agg = Σ_u γ_u × UCI_u</w:t>
      </w:r>
    </w:p>
    <w:p>
      <w:pPr>
        <w:pStyle w:val="BodyText"/>
        <w:widowControl/>
      </w:pPr>
      <w:r>
        <w:t xml:space="preserve">Where γ_u are declared aggregation weights. This aggregate is optional and MUST NOT replace per-union UCI in containment logic unless explicitly governed.</w:t>
      </w:r>
    </w:p>
    <w:bookmarkEnd w:id="200"/>
    <w:bookmarkStart w:id="201" w:name="X462de3acd3b3af4e33e6f7083fba999705ad1af"/>
    <w:p>
      <w:pPr>
        <w:pStyle w:val="Heading2"/>
        <w:keepNext/>
        <w:keepLines/>
        <w:pageBreakBefore w:val="0"/>
        <w:widowControl/>
      </w:pPr>
      <w:r>
        <w:rPr>
          <w:rFonts w:ascii="Arial" w:hAnsi="Arial" w:eastAsia="Arial"/>
          <w:b/>
          <w:color w:val="1F4E78"/>
        </w:rPr>
        <w:t xml:space="preserve">11.3 Hollowing-Out Index (HOI) (Normative as monitoring definition)</w:t>
      </w:r>
    </w:p>
    <w:p>
      <w:pPr>
        <w:pStyle w:val="FirstParagraph"/>
        <w:widowControl/>
      </w:pPr>
      <w:r>
        <w:t xml:space="preserve">HOI detects a drift pattern: welfare score improves while coherence degrades over time.</w:t>
      </w:r>
    </w:p>
    <w:p>
      <w:pPr>
        <w:pStyle w:val="BodyText"/>
        <w:widowControl/>
      </w:pPr>
      <w:r>
        <w:t xml:space="preserve">Let t index review periods. Define:</w:t>
      </w:r>
    </w:p>
    <w:p>
      <w:pPr>
        <w:pStyle w:val="Compact"/>
        <w:widowControl/>
        <w:numPr>
          <w:ilvl w:val="0"/>
          <w:numId w:val="1117"/>
        </w:numPr>
      </w:pPr>
      <w:r>
        <w:t xml:space="preserve">ΔRLS_t = RLS_t − RLS_{t-1}</w:t>
      </w:r>
    </w:p>
    <w:p>
      <w:pPr>
        <w:pStyle w:val="Compact"/>
        <w:widowControl/>
        <w:numPr>
          <w:ilvl w:val="0"/>
          <w:numId w:val="1118"/>
        </w:numPr>
      </w:pPr>
      <w:r>
        <w:t xml:space="preserve">ΔUCI_t = UCI_agg,t − UCI_agg,{t-1} (or a declared union-specific UCI; must be consistent)</w:t>
      </w:r>
    </w:p>
    <w:p>
      <w:pPr>
        <w:pStyle w:val="FirstParagraph"/>
        <w:widowControl/>
      </w:pPr>
      <w:r>
        <w:t xml:space="preserve">Define exponential moving average EMA_λ with a declared smoothing parameter (default half-life 3 periods).</w:t>
      </w:r>
    </w:p>
    <w:p>
      <w:pPr>
        <w:pStyle w:val="BodyText"/>
        <w:widowControl/>
      </w:pPr>
      <w:r>
        <w:rPr>
          <w:rFonts w:ascii="Arial" w:hAnsi="Arial" w:eastAsia="Arial"/>
        </w:rPr>
        <w:t>HOI_t = EMA_λ(ΔRLS_t / s_RLS)_t − EMA_λ(ΔUCI_t / s_UCI)_t</w:t>
      </w:r>
    </w:p>
    <w:p>
      <w:pPr>
        <w:widowControl/>
      </w:pPr>
      <w:r>
        <w:t>Scale rule (Normative). s_RLS and s_UCI MUST be positive, preregistered reference scales derived from a declared reference range or robust dispersion estimate and held fixed for the review window. If either scale is unavailable or unstable, HOI is UNAVAILABLE; raw unstandardized changes MUST NOT be subtracted.</w:t>
      </w:r>
    </w:p>
    <w:p>
      <w:pPr>
        <w:pStyle w:val="BodyText"/>
        <w:widowControl/>
      </w:pPr>
      <w:r>
        <w:t xml:space="preserve">Interpretation:</w:t>
      </w:r>
    </w:p>
    <w:p>
      <w:pPr>
        <w:pStyle w:val="Compact"/>
        <w:widowControl/>
        <w:numPr>
          <w:ilvl w:val="0"/>
          <w:numId w:val="1119"/>
        </w:numPr>
      </w:pPr>
      <w:r>
        <w:rPr>
          <w:rFonts w:ascii="Arial" w:hAnsi="Arial" w:eastAsia="Arial"/>
        </w:rPr>
        <w:t>Persistent HOI &gt; 0 means standardized welfare change exceeds standardized coherence change over the declared window. It is a strict hollowing signal only when the welfare term is positive and the coherence term is negative; when both are improving, HOI &gt; 0 means welfare is improving faster than coherence. HOI remains a monitoring diagnostic and never a gate or selection rule.</w:t>
      </w:r>
    </w:p>
    <w:p>
      <w:pPr>
        <w:pStyle w:val="Compact"/>
        <w:widowControl/>
        <w:numPr>
          <w:ilvl w:val="0"/>
          <w:numId w:val="1120"/>
        </w:numPr>
      </w:pPr>
      <w:r>
        <w:t xml:space="preserve">HOI is diagnostic; it does not by itself make an option inadmissible, but it can trigger monitoring escalation and influence tie-break risk flags.</w:t>
      </w:r>
    </w:p>
    <w:p>
      <w:pPr>
        <w:pStyle w:val="FirstParagraph"/>
        <w:widowControl/>
      </w:pPr>
      <w:r>
        <w:t xml:space="preserve">Normative limitation. HOI SHALL NOT by itself render an option rights-admissible, inadmissible, non-selectable, or rejected under Containment. Its normative use in the current release line is limited to monitoring escalation, reviewer caution, and tie-break risk signaling unless an explicit future version declares a stronger role.</w:t>
      </w:r>
    </w:p>
    <w:bookmarkEnd w:id="201"/>
    <w:bookmarkStart w:id="202" w:name="Xd1233c3faae88f39763c8743806c9b8a88da48b"/>
    <w:p>
      <w:pPr>
        <w:pStyle w:val="Heading2"/>
        <w:keepNext/>
        <w:keepLines/>
        <w:pageBreakBefore w:val="0"/>
        <w:widowControl/>
      </w:pPr>
      <w:r>
        <w:rPr>
          <w:rFonts w:ascii="Arial" w:hAnsi="Arial" w:eastAsia="Arial"/>
          <w:b/>
          <w:color w:val="1F4E78"/>
        </w:rPr>
        <w:t xml:space="preserve">11.4 Reserved for Future Structural-Diagnostic Extension (Normative numbering marker)</w:t>
      </w:r>
    </w:p>
    <w:p>
      <w:pPr>
        <w:pStyle w:val="FirstParagraph"/>
        <w:widowControl/>
      </w:pPr>
      <w:r>
        <w:t xml:space="preserve">Section 11.4 is intentionally reserved so that established Section 11.5 and later cross-references remain stable. No operational rule is assigned to this marker in v12.1.</w:t>
      </w:r>
    </w:p>
    <w:bookmarkEnd w:id="202"/>
    <w:bookmarkStart w:id="203" w:name="X0385e4ecd3723d479080335dc6d1c71a884ac24"/>
    <w:p>
      <w:pPr>
        <w:pStyle w:val="Heading2"/>
        <w:keepNext/>
        <w:keepLines/>
        <w:pageBreakBefore w:val="0"/>
        <w:widowControl/>
      </w:pPr>
      <w:r>
        <w:rPr>
          <w:rFonts w:ascii="Arial" w:hAnsi="Arial" w:eastAsia="Arial"/>
          <w:b/>
          <w:color w:val="1F4E78"/>
        </w:rPr>
        <w:t xml:space="preserve">11.5 Canonical Tie-Break Chain (Normative)</w:t>
      </w:r>
    </w:p>
    <w:p>
      <w:pPr>
        <w:pStyle w:val="FirstParagraph"/>
        <w:widowControl/>
      </w:pPr>
      <w:r>
        <w:t xml:space="preserve">This section applies only after the selectable set A_sel has been formed by Reality Grounding, RF/NCRC, TRC, and CSV, and only when the leading residual welfare options remain tied, close, uncertainty-overlapped, or non-decisive under the Section 10.4 discrimination rule. The tie-break chain does not reopen NCRC, TRC, or CSV and is not part of the public headline method.</w:t>
      </w:r>
    </w:p>
    <w:p>
      <w:pPr>
        <w:pStyle w:val="BodyText"/>
        <w:widowControl/>
      </w:pPr>
      <w:r>
        <w:t xml:space="preserve">The governed tie-break order below applies only within the selectable set and under the Section 10.4 discrimination rule. If RLS is decisive, residual UCI/HOI is not required for selection, though it may still be recorded for monitoring or hollowing-risk documentation where appropriate.</w:t>
      </w:r>
    </w:p>
    <w:p>
      <w:pPr>
        <w:pStyle w:val="BodyText"/>
        <w:widowControl/>
      </w:pPr>
      <w:r>
        <w:t xml:space="preserve">Methods used here that can materially affect the outcome MUST be declared and applied consistently across compared options. Residual UCI or HOI SHALL NOT be used to compensate for unavailable containment evidence, failed Containment, insufficient Reality Grounding, or any prior gate failure. If structural evidence is gate-relevant, it belongs in Section 9 Containment, not in Section 11 tie-break.</w:t>
      </w:r>
    </w:p>
    <w:p>
      <w:pPr>
        <w:pStyle w:val="BodyText"/>
        <w:widowControl/>
      </w:pPr>
      <w:r>
        <w:t xml:space="preserve">Step 0: Ensure options under comparison are selectable (pass containment Mode A).</w:t>
      </w:r>
    </w:p>
    <w:p>
      <w:pPr>
        <w:pStyle w:val="BodyText"/>
        <w:widowControl/>
      </w:pPr>
      <w:r>
        <w:t xml:space="preserve">If top RLS option fails containment, it is not in A_sel and must not be tie-broken into selection.</w:t>
      </w:r>
    </w:p>
    <w:p>
      <w:pPr>
        <w:pStyle w:val="BodyText"/>
        <w:widowControl/>
      </w:pPr>
      <w:r>
        <w:t xml:space="preserve">Step 1: UCI dominance rule.</w:t>
      </w:r>
    </w:p>
    <w:p>
      <w:pPr>
        <w:pStyle w:val="BodyText"/>
        <w:widowControl/>
      </w:pPr>
      <w:r>
        <w:t xml:space="preserve">Prefer the option with higher predicted UCI outcomes if the difference exceeds a governed UCI dominance threshold Δ_UCI.</w:t>
      </w:r>
    </w:p>
    <w:p>
      <w:pPr>
        <w:pStyle w:val="BodyText"/>
        <w:widowControl/>
      </w:pPr>
      <w:r>
        <w:t xml:space="preserve">Default: Δ_UCI = 0.05 (must be recorded; may be tightened).</w:t>
      </w:r>
    </w:p>
    <w:p>
      <w:pPr>
        <w:pStyle w:val="BodyText"/>
        <w:widowControl/>
      </w:pPr>
      <w:r>
        <w:t xml:space="preserve">Operationally: compare the minimum-coherence-change among critical containing unions and/or the relevant union UCI profiles. The PCC must declare the tie-break UCI comparison method:</w:t>
      </w:r>
    </w:p>
    <w:p>
      <w:pPr>
        <w:pStyle w:val="Compact"/>
        <w:widowControl/>
        <w:numPr>
          <w:ilvl w:val="0"/>
          <w:numId w:val="1121"/>
        </w:numPr>
      </w:pPr>
      <w:r>
        <w:t xml:space="preserve">Method UCI-A (default): Maximize minimum ΔUCI_u over containing unions relevant to the decision scope; or</w:t>
      </w:r>
    </w:p>
    <w:p>
      <w:pPr>
        <w:pStyle w:val="Compact"/>
        <w:widowControl/>
        <w:numPr>
          <w:ilvl w:val="0"/>
          <w:numId w:val="1122"/>
        </w:numPr>
      </w:pPr>
      <w:r>
        <w:t xml:space="preserve">Method UCI-B: Maximize sum of ΔUCI_u over the directly affected unions; or</w:t>
      </w:r>
    </w:p>
    <w:p>
      <w:pPr>
        <w:pStyle w:val="Compact"/>
        <w:widowControl/>
        <w:numPr>
          <w:ilvl w:val="0"/>
          <w:numId w:val="1123"/>
        </w:numPr>
      </w:pPr>
      <w:r>
        <w:t xml:space="preserve">Method UCI-C: Maximize declared aggregate UCI_agg change.</w:t>
      </w:r>
    </w:p>
    <w:p>
      <w:pPr>
        <w:pStyle w:val="FirstParagraph"/>
        <w:widowControl/>
      </w:pPr>
      <w:r>
        <w:t xml:space="preserve">Whichever method is used MUST be declared and applied consistently across compared options.</w:t>
      </w:r>
    </w:p>
    <w:p>
      <w:pPr>
        <w:pStyle w:val="BodyText"/>
        <w:widowControl/>
      </w:pPr>
      <w:r>
        <w:t xml:space="preserve">Step 2: HOI risk flag (if monitoring context exists).</w:t>
      </w:r>
    </w:p>
    <w:p>
      <w:pPr>
        <w:pStyle w:val="BodyText"/>
        <w:widowControl/>
      </w:pPr>
      <w:r>
        <w:t xml:space="preserve">If one option is associated with persistent positive HOI in comparable deployments or in modeled trajectory, treat it as riskier and prefer the alternative if the risk is material, or escalate.</w:t>
      </w:r>
    </w:p>
    <w:p>
      <w:pPr>
        <w:pStyle w:val="BodyText"/>
        <w:widowControl/>
      </w:pPr>
      <w:r>
        <w:t xml:space="preserve">Step 3: Escalation / judgment call.</w:t>
      </w:r>
    </w:p>
    <w:p>
      <w:pPr>
        <w:pStyle w:val="BodyText"/>
        <w:widowControl/>
      </w:pPr>
      <w:r>
        <w:t xml:space="preserve">If UCI is unavailable or non-decisive and HOI does not resolve, the decision MUST escalate to:</w:t>
      </w:r>
    </w:p>
    <w:p>
      <w:pPr>
        <w:pStyle w:val="Compact"/>
        <w:widowControl/>
        <w:numPr>
          <w:ilvl w:val="0"/>
          <w:numId w:val="1124"/>
        </w:numPr>
      </w:pPr>
      <w:r>
        <w:t xml:space="preserve">Additional data collection (structural indicators), and/or</w:t>
      </w:r>
    </w:p>
    <w:p>
      <w:pPr>
        <w:pStyle w:val="Compact"/>
        <w:widowControl/>
        <w:numPr>
          <w:ilvl w:val="0"/>
          <w:numId w:val="1125"/>
        </w:numPr>
      </w:pPr>
      <w:r>
        <w:t xml:space="preserve">A higher tier, and/or</w:t>
      </w:r>
    </w:p>
    <w:p>
      <w:pPr>
        <w:pStyle w:val="Compact"/>
        <w:widowControl/>
        <w:numPr>
          <w:ilvl w:val="0"/>
          <w:numId w:val="1126"/>
        </w:numPr>
      </w:pPr>
      <w:r>
        <w:t xml:space="preserve">A documented governance judgment call (PCC labeled JUDGMENT_CALL_TIEBREAK_NONDECISIVE) with explicit monitoring plan.</w:t>
      </w:r>
    </w:p>
    <w:bookmarkEnd w:id="203"/>
    <w:bookmarkStart w:id="204" w:name="Xb8a0e6fea300bb41809749fe9bbb0fe007ad541"/>
    <w:p>
      <w:pPr>
        <w:pStyle w:val="Heading2"/>
        <w:keepNext/>
        <w:keepLines/>
        <w:pageBreakBefore w:val="0"/>
        <w:widowControl/>
      </w:pPr>
      <w:r>
        <w:rPr>
          <w:rFonts w:ascii="Arial" w:hAnsi="Arial" w:eastAsia="Arial"/>
          <w:b/>
          <w:color w:val="1F4E78"/>
        </w:rPr>
        <w:t xml:space="preserve">11.6 UCI Unavailability Rule (Tier 3) (Normative)</w:t>
      </w:r>
    </w:p>
    <w:p>
      <w:pPr>
        <w:pStyle w:val="FirstParagraph"/>
        <w:widowControl/>
      </w:pPr>
      <w:r>
        <w:t xml:space="preserve">If UCI cannot be computed without violating structural independence:</w:t>
      </w:r>
    </w:p>
    <w:p>
      <w:pPr>
        <w:pStyle w:val="Compact"/>
        <w:widowControl/>
        <w:numPr>
          <w:ilvl w:val="0"/>
          <w:numId w:val="1127"/>
        </w:numPr>
      </w:pPr>
      <w:r>
        <w:t xml:space="preserve">UCI MUST be treated as unavailable.</w:t>
      </w:r>
    </w:p>
    <w:p>
      <w:pPr>
        <w:pStyle w:val="Compact"/>
        <w:widowControl/>
        <w:numPr>
          <w:ilvl w:val="0"/>
          <w:numId w:val="1128"/>
        </w:numPr>
      </w:pPr>
      <w:r>
        <w:t xml:space="preserve">If RLS lead is non-decisive, decision MUST either: (i) escalate for more structural data / higher tier, OR (ii) record a governance judgment call with explicit labeling and monitoring plan.</w:t>
      </w:r>
    </w:p>
    <w:p>
      <w:pPr>
        <w:pStyle w:val="FirstParagraph"/>
        <w:widowControl/>
      </w:pPr>
      <w:r>
        <w:t xml:space="preserve">Audit label required: JUDGMENT_CALL_UCI_UNAVAILABLE.</w:t>
      </w:r>
    </w:p>
    <w:bookmarkEnd w:id="204"/>
    <w:bookmarkStart w:id="205" w:name="Xbf7feef6860d96f34a8123ad0b0ba07697e5ad8"/>
    <w:p>
      <w:pPr>
        <w:pStyle w:val="Heading2"/>
        <w:keepNext/>
        <w:keepLines/>
        <w:pageBreakBefore w:val="0"/>
        <w:widowControl/>
      </w:pPr>
      <w:r>
        <w:rPr>
          <w:rFonts w:ascii="Arial" w:hAnsi="Arial" w:eastAsia="Arial"/>
          <w:b/>
          <w:color w:val="1F4E78"/>
        </w:rPr>
        <w:t xml:space="preserve">11.7 Structural Safeguard Anti-Gaming (Normative)</w:t>
      </w:r>
    </w:p>
    <w:p>
      <w:pPr>
        <w:pStyle w:val="Compact"/>
        <w:widowControl/>
        <w:numPr>
          <w:ilvl w:val="0"/>
          <w:numId w:val="1129"/>
        </w:numPr>
      </w:pPr>
      <w:r>
        <w:t xml:space="preserve">UCI MUST NOT be computed from RLS welfare impacts at Tier 3.</w:t>
      </w:r>
    </w:p>
    <w:p>
      <w:pPr>
        <w:pStyle w:val="Compact"/>
        <w:widowControl/>
        <w:numPr>
          <w:ilvl w:val="0"/>
          <w:numId w:val="1130"/>
        </w:numPr>
      </w:pPr>
      <w:r>
        <w:t xml:space="preserve">UCI indicator choices must be documented; changes require versioning and are subject to challenge.</w:t>
      </w:r>
    </w:p>
    <w:bookmarkEnd w:id="205"/>
    <w:bookmarkEnd w:id="206"/>
    <w:bookmarkStart w:id="217" w:name="Xf8b2203fa1cf3dc1b3ed6f4d2fbd24dc79d6709"/>
    <w:p>
      <w:pPr>
        <w:pStyle w:val="Heading1"/>
        <w:keepNext/>
        <w:keepLines/>
        <w:pageBreakBefore w:val="0"/>
        <w:widowControl/>
      </w:pPr>
      <w:r>
        <w:rPr>
          <w:rFonts w:ascii="Arial" w:hAnsi="Arial" w:eastAsia="Arial"/>
          <w:b/>
          <w:color w:val="1F4E78"/>
        </w:rPr>
        <w:t xml:space="preserve">SECTION 12: MORAL STATUS, PROTECTION, PARTICIPATION, REALITY-MANAGEMENT CAPACITY, AND POWER: SGP v8.4 INTEGRATION (BINDING INTERFACE)</w:t>
      </w:r>
    </w:p>
    <w:bookmarkStart w:id="207" w:name="Xa35ea5222eae270f05e0bf7a6718c09406950a4"/>
    <w:p>
      <w:pPr>
        <w:pStyle w:val="Heading2"/>
        <w:keepNext/>
        <w:keepLines/>
        <w:pageBreakBefore w:val="0"/>
        <w:widowControl/>
      </w:pPr>
      <w:r>
        <w:rPr>
          <w:rFonts w:ascii="Arial" w:hAnsi="Arial" w:eastAsia="Arial"/>
          <w:b/>
          <w:color w:val="1F4E78"/>
        </w:rPr>
        <w:t xml:space="preserve">12.0 Purpose (Normative)</w:t>
      </w:r>
    </w:p>
    <w:p>
      <w:pPr>
        <w:pStyle w:val="FirstParagraph"/>
        <w:widowControl/>
      </w:pPr>
      <w:r>
        <w:t xml:space="preserve">RippleLogic does not determine consciousness or moral patienthood on its own. It consumes only the governed interface outputs of the pinned Sentience Gradient Protocol v8.4. SGP outputs are evidence, profile, and status objects; they do not prove metaphysical consciousness or oneness, create legal status, reorder the cascade, establish species supremacy, or grant authority.</w:t>
      </w:r>
    </w:p>
    <w:bookmarkEnd w:id="207"/>
    <w:bookmarkStart w:id="208" w:name="Xa9d1fccfda077d4b3bd688a03320265dfb0aecd"/>
    <w:p>
      <w:pPr>
        <w:pStyle w:val="Heading2"/>
        <w:keepNext/>
        <w:keepLines/>
        <w:pageBreakBefore w:val="0"/>
        <w:widowControl/>
      </w:pPr>
      <w:r>
        <w:rPr>
          <w:rFonts w:ascii="Arial" w:hAnsi="Arial" w:eastAsia="Arial"/>
          <w:b/>
          <w:color w:val="1F4E78"/>
        </w:rPr>
        <w:t xml:space="preserve">12.1 Type-Separation Rule (Normative)</w:t>
      </w:r>
    </w:p>
    <w:p>
      <w:pPr>
        <w:pStyle w:val="FirstParagraph"/>
        <w:widowControl/>
      </w:pPr>
      <w:r>
        <w:t xml:space="preserve">The following objects MUST remain separate:</w:t>
      </w:r>
    </w:p>
    <w:p>
      <w:pPr>
        <w:widowControl/>
        <w:numPr>
          <w:ilvl w:val="0"/>
          <w:numId w:val="1131"/>
        </w:numPr>
      </w:pPr>
      <w:r>
        <w:rPr>
          <w:b/>
          <w:bCs/>
        </w:rPr>
        <w:t xml:space="preserve">MPS: Moral Patienthood Surface.</w:t>
      </w:r>
      <w:r>
        <w:t xml:space="preserve"> </w:t>
      </w:r>
      <w:r>
        <w:t xml:space="preserve">Evidence band, interval, confidence, and protection posture concerning possible welfare-bearing experience.</w:t>
      </w:r>
    </w:p>
    <w:p>
      <w:pPr>
        <w:widowControl/>
        <w:numPr>
          <w:ilvl w:val="0"/>
          <w:numId w:val="1131"/>
        </w:numPr>
      </w:pPr>
      <w:r>
        <w:rPr>
          <w:b/>
          <w:bCs/>
        </w:rPr>
        <w:t xml:space="preserve">FPP: Full Protection Plateau.</w:t>
      </w:r>
      <w:r>
        <w:t xml:space="preserve"> </w:t>
      </w:r>
      <w:r>
        <w:t xml:space="preserve">Constitutional or governed non-downgrade rights-of-protection status.</w:t>
      </w:r>
    </w:p>
    <w:p>
      <w:pPr>
        <w:widowControl/>
        <w:numPr>
          <w:ilvl w:val="0"/>
          <w:numId w:val="1131"/>
        </w:numPr>
      </w:pPr>
      <w:r>
        <w:rPr>
          <w:b/>
          <w:bCs/>
        </w:rPr>
        <w:t xml:space="preserve">GPR: Governance Participation Readiness.</w:t>
      </w:r>
      <w:r>
        <w:t xml:space="preserve"> </w:t>
      </w:r>
      <w:r>
        <w:t xml:space="preserve">The mode by which an entity may participate directly, with support, or through representation in a named process.</w:t>
      </w:r>
    </w:p>
    <w:p>
      <w:pPr>
        <w:widowControl/>
        <w:numPr>
          <w:ilvl w:val="0"/>
          <w:numId w:val="1131"/>
        </w:numPr>
      </w:pPr>
      <w:r>
        <w:rPr>
          <w:b/>
          <w:bCs/>
        </w:rPr>
        <w:t xml:space="preserve">SPR: Stewardship/Power Readiness.</w:t>
      </w:r>
      <w:r>
        <w:t xml:space="preserve"> </w:t>
      </w:r>
      <w:r>
        <w:t xml:space="preserve">Role-specific eligibility for a named consequential role under reality, rights, tail-risk, containment, competence, auditability, lawful-mandate, and revocability constraints.</w:t>
      </w:r>
    </w:p>
    <w:p>
      <w:pPr>
        <w:widowControl/>
        <w:numPr>
          <w:ilvl w:val="0"/>
          <w:numId w:val="1131"/>
        </w:numPr>
      </w:pPr>
      <w:r>
        <w:rPr>
          <w:b/>
          <w:bCs/>
        </w:rPr>
        <w:t xml:space="preserve">ICP: Intelligence Capacity Profile.</w:t>
      </w:r>
      <w:r>
        <w:t xml:space="preserve"> </w:t>
      </w:r>
      <w:r>
        <w:t xml:space="preserve">Informative evidence about learning, generalization, understanding, reasoning, planning, metacognition, robustness, and resource efficiency.</w:t>
      </w:r>
    </w:p>
    <w:p>
      <w:pPr>
        <w:widowControl/>
        <w:numPr>
          <w:ilvl w:val="0"/>
          <w:numId w:val="1131"/>
        </w:numPr>
      </w:pPr>
      <w:r>
        <w:rPr>
          <w:b/>
          <w:bCs/>
        </w:rPr>
        <w:t xml:space="preserve">RMCP: Reality-Management Capacity Profile.</w:t>
      </w:r>
      <w:r>
        <w:t xml:space="preserve"> </w:t>
      </w:r>
      <w:r>
        <w:t xml:space="preserve">Informative, multidimensional evidence about integrated reality-grounded modelling, recursive self-in-system representation, formal abstraction, cumulative knowledge, tool and intervention breadth, distributed coordination, long-horizon continuity, normative scope, causal reach, and responsibility tracking.</w:t>
      </w:r>
      <w:r>
        <w:t xml:space="preserve"> </w:t>
      </w:r>
      <w:r>
        <w:rPr>
          <w:b/>
          <w:bCs/>
        </w:rPr>
        <w:t xml:space="preserve">P100</w:t>
      </w:r>
      <w:r>
        <w:t xml:space="preserve"> </w:t>
      </w:r>
      <w:r>
        <w:t xml:space="preserve">is the open top-plateau status for functional equivalence to or greater integrated reality-management capacity than the current human collective calibration anchor.</w:t>
      </w:r>
    </w:p>
    <w:p>
      <w:pPr>
        <w:pStyle w:val="FirstParagraph"/>
        <w:widowControl/>
      </w:pPr>
      <w:r>
        <w:t xml:space="preserve">Strict rule: MPS and FPP govern protection; GPR governs participation design; SPR informs role-specific authority review; ICP informs competence; RMCP informs integrated reality-management capacity and may support CMIU, GPR, or SPR analysis only through separately governed records. No one surface substitutes for another. Low GPR, SPR, ICP, or RMCP MUST NOT reduce MPS or FPP. High ICP, RMCP, GPR, SPR, or P100 MUST NOT create sentience, FPP, CMIU membership, legal status, or authority. FPP MUST NOT create CMIU membership or authority.</w:t>
      </w:r>
    </w:p>
    <w:bookmarkEnd w:id="208"/>
    <w:bookmarkStart w:id="209" w:name="X294a0b6c3733ec97f5e7771ad31940c17f4e5f6"/>
    <w:p>
      <w:pPr>
        <w:pStyle w:val="Heading2"/>
        <w:keepNext/>
        <w:keepLines/>
        <w:pageBreakBefore w:val="0"/>
        <w:widowControl/>
      </w:pPr>
      <w:r>
        <w:rPr>
          <w:rFonts w:ascii="Arial" w:hAnsi="Arial" w:eastAsia="Arial"/>
          <w:b/>
          <w:color w:val="1F4E78"/>
        </w:rPr>
        <w:t xml:space="preserve">12.2 SGP Authority and Version Pin (Normative)</w:t>
      </w:r>
    </w:p>
    <w:p>
      <w:pPr>
        <w:pStyle w:val="FirstParagraph"/>
        <w:widowControl/>
      </w:pPr>
      <w:r>
        <w:t xml:space="preserve">RippleLogic Canon v12.5 pins SGP v8.4 as the authoritative moral-patienthood, protection, participation, power-readiness, intelligence, and reality-management-capacity interface specification. The normative source is</w:t>
      </w:r>
      <w:r>
        <w:t xml:space="preserve"> </w:t>
      </w:r>
      <w:r>
        <w:rPr>
          <w:rStyle w:val="VerbatimChar"/>
        </w:rPr>
        <w:t xml:space="preserve">docs/sgp/SGP_v8.4.md</w:t>
      </w:r>
      <w:r>
        <w:t xml:space="preserve">; derived DOCX/PDF mirrors do not control if they diverge. v7.x</w:t>
      </w:r>
      <w:r>
        <w:t xml:space="preserve"> </w:t>
      </w:r>
      <w:r>
        <w:rPr>
          <w:rStyle w:val="VerbatimChar"/>
        </w:rPr>
        <w:t xml:space="preserve">SG_norm</w:t>
      </w:r>
      <w:r>
        <w:t xml:space="preserve">,</w:t>
      </w:r>
      <w:r>
        <w:t xml:space="preserve"> </w:t>
      </w:r>
      <w:r>
        <w:rPr>
          <w:rStyle w:val="VerbatimChar"/>
        </w:rPr>
        <w:t xml:space="preserve">SG_patient_norm</w:t>
      </w:r>
      <w:r>
        <w:t xml:space="preserve">, pillar scores, and plateau/CMIU coupling are legacy fields and are not mathematically equivalent to MPS, FPP, GPR, SPR, ICP, or RMCP. Translation requires a documented v8.4 re-evaluation.</w:t>
      </w:r>
    </w:p>
    <w:bookmarkEnd w:id="209"/>
    <w:bookmarkStart w:id="210" w:name="X97567c4081cb11cab2878cbaac3aac838af3e51"/>
    <w:p>
      <w:pPr>
        <w:pStyle w:val="Heading2"/>
        <w:keepNext/>
        <w:keepLines/>
        <w:pageBreakBefore w:val="0"/>
        <w:widowControl/>
      </w:pPr>
      <w:r>
        <w:rPr>
          <w:rFonts w:ascii="Arial" w:hAnsi="Arial" w:eastAsia="Arial"/>
          <w:b/>
          <w:color w:val="1F4E78"/>
        </w:rPr>
        <w:t xml:space="preserve">12.3 Human Full Protection Plateau (Normative; Non-Overridable)</w:t>
      </w:r>
    </w:p>
    <w:p>
      <w:pPr>
        <w:pStyle w:val="FirstParagraph"/>
        <w:widowControl/>
      </w:pPr>
      <w:r>
        <w:t xml:space="preserve">For every human person H:</w:t>
      </w:r>
    </w:p>
    <w:p>
      <w:pPr>
        <w:pStyle w:val="BodyText"/>
        <w:widowControl/>
      </w:pPr>
      <w:r>
        <w:t xml:space="preserve">FPP(H) := 1</w:t>
      </w:r>
    </w:p>
    <w:p>
      <w:pPr>
        <w:pStyle w:val="BodyText"/>
        <w:widowControl/>
      </w:pPr>
      <w:r>
        <w:t xml:space="preserve">and the RippleLogic welfare interval is:</w:t>
      </w:r>
    </w:p>
    <w:p>
      <w:pPr>
        <w:pStyle w:val="BodyText"/>
        <w:widowControl/>
      </w:pPr>
      <w:r>
        <w:t xml:space="preserve">MPSInterval_RL(H) := [1.0, 1.0]</w:t>
      </w:r>
    </w:p>
    <w:p>
      <w:pPr>
        <w:pStyle w:val="BodyText"/>
        <w:widowControl/>
      </w:pPr>
      <w:r>
        <w:t xml:space="preserve">This is a constitutional anti-domination and equal-dignity rule, not a measurement claim that every human maximizes every consciousness or intelligence indicator. It is independent of disability, age, illness, wakefulness, communication, productivity, or partial observability. No SGP or RippleLogic measurement may downgrade it.</w:t>
      </w:r>
    </w:p>
    <w:bookmarkEnd w:id="210"/>
    <w:bookmarkStart w:id="211" w:name="X342193969d4a3343c7c93a73daca1d79febb5fe"/>
    <w:p>
      <w:pPr>
        <w:pStyle w:val="Heading2"/>
        <w:keepNext/>
        <w:keepLines/>
        <w:pageBreakBefore w:val="0"/>
        <w:widowControl/>
      </w:pPr>
      <w:r>
        <w:rPr>
          <w:rFonts w:ascii="Arial" w:hAnsi="Arial" w:eastAsia="Arial"/>
          <w:b/>
          <w:color w:val="1F4E78"/>
        </w:rPr>
        <w:t xml:space="preserve">12.3A Humanity Collective RMCP-P100 Calibration (Normative Interface; Provisional Calibration)</w:t>
      </w:r>
    </w:p>
    <w:p>
      <w:pPr>
        <w:pStyle w:val="FirstParagraph"/>
        <w:widowControl/>
      </w:pPr>
      <w:r>
        <w:t xml:space="preserve">Human FPP-100 and humanity RMCP-P100 are different claims. Every human person holds FPP-100. Separately, SGP v8.4 designates humanity collectively as the provisional current reference calibration anchor for integrated reality-management capacity because the human collective has demonstrated cumulative symbolic language, mathematics and science, technological intervention, intergenerational knowledge preservation, formal institutions, global coordination, planetary monitoring, Recursive Union Awareness, and causal reach across Earth systems.</w:t>
      </w:r>
    </w:p>
    <w:p>
      <w:pPr>
        <w:pStyle w:val="BodyText"/>
        <w:widowControl/>
      </w:pPr>
      <w:r>
        <w:t xml:space="preserve">The designation is a provisional, evidence-governed calibration construct, not a claim that every human individually has maximal capacity, that humanity governs wisely, that humans have greater intrinsic moral worth, or that P100 grants unrestricted authority. The open P100 plateau MAY also be assigned to biological, digital, hybrid, collective, or extraterrestrial intelligences that reach, exceed, or may already exist at functionally equivalent capacity, subject to a valid SGP v8.4 RMCP record and independent governed review. An entity that exceeds the human anchor remains in P100; the difference is represented in the profile rather than converted into a 101 supremacy caste.</w:t>
      </w:r>
    </w:p>
    <w:bookmarkEnd w:id="211"/>
    <w:bookmarkStart w:id="212" w:name="X224bd3d5befd42d8c5b5130c288850596748879"/>
    <w:p>
      <w:pPr>
        <w:pStyle w:val="Heading2"/>
        <w:keepNext/>
        <w:keepLines/>
        <w:pageBreakBefore w:val="0"/>
        <w:widowControl/>
      </w:pPr>
      <w:r>
        <w:rPr>
          <w:rFonts w:ascii="Arial" w:hAnsi="Arial" w:eastAsia="Arial"/>
          <w:b/>
          <w:color w:val="1F4E78"/>
        </w:rPr>
        <w:t xml:space="preserve">12.4 Where SGP Enters RippleLogic (Normative)</w:t>
      </w:r>
    </w:p>
    <w:p>
      <w:pPr>
        <w:pStyle w:val="FirstParagraph"/>
        <w:widowControl/>
      </w:pPr>
      <w:r>
        <w:t xml:space="preserve">Permitted interfaces:</w:t>
      </w:r>
    </w:p>
    <w:p>
      <w:pPr>
        <w:widowControl/>
        <w:numPr>
          <w:ilvl w:val="0"/>
          <w:numId w:val="1132"/>
        </w:numPr>
      </w:pPr>
      <w:r>
        <w:rPr>
          <w:b/>
          <w:bCs/>
        </w:rPr>
        <w:t xml:space="preserve">Protected-stakeholder and Rights Floor interface.</w:t>
      </w:r>
      <w:r>
        <w:t xml:space="preserve"> </w:t>
      </w:r>
      <w:r>
        <w:t xml:space="preserve">MPS evidence and protection posture may identify a possible protected stakeholder and trigger precautionary RF/NCRC review. FPP establishes a non-downgradable protection floor. Absence of a pre-existing rights-coverage mapping is not permission for harmful treatment.</w:t>
      </w:r>
    </w:p>
    <w:p>
      <w:pPr>
        <w:widowControl/>
        <w:numPr>
          <w:ilvl w:val="0"/>
          <w:numId w:val="1132"/>
        </w:numPr>
      </w:pPr>
      <w:r>
        <w:rPr>
          <w:b/>
          <w:bCs/>
        </w:rPr>
        <w:t xml:space="preserve">Residual Welfare-stream interface.</w:t>
      </w:r>
      <w:r>
        <w:t xml:space="preserve"> </w:t>
      </w:r>
      <w:r>
        <w:t xml:space="preserve">A valid SGP v8.4 record supplies a typed MPS evidence band/interval, protection posture, and record validity status. RippleLogic uses that record to construct a governed welfare-inclusion hypothesis set H_E for robust RLS sensitivity; it MUST NOT treat the MPS interval itself as a cardinal welfare multiplier. The Base stream fixes h_k:=1. Every human person and FPP entity uses H_E={1}. For a non-FPP entity with realistic or credible welfare-bearing possibility, H_E MUST include 1; where exclusion remains evidentially admissible it also includes 0. MPS-NE requires {0,1} when decision-material. Additional bounded coefficients require a separate governed and validated welfare-attention profile and cannot be inferred from the MPS band.</w:t>
      </w:r>
    </w:p>
    <w:p>
      <w:pPr>
        <w:widowControl/>
        <w:numPr>
          <w:ilvl w:val="0"/>
          <w:numId w:val="1132"/>
        </w:numPr>
      </w:pPr>
      <w:r>
        <w:rPr>
          <w:b/>
          <w:bCs/>
        </w:rPr>
        <w:t xml:space="preserve">Participation interface.</w:t>
      </w:r>
      <w:r>
        <w:t xml:space="preserve"> </w:t>
      </w:r>
      <w:r>
        <w:t xml:space="preserve">GPR may inform direct, supported, or represented participation in a named governance process. GPR is not moral worth, voting weight, office eligibility, or command authority.</w:t>
      </w:r>
    </w:p>
    <w:p>
      <w:pPr>
        <w:widowControl/>
        <w:numPr>
          <w:ilvl w:val="0"/>
          <w:numId w:val="1132"/>
        </w:numPr>
      </w:pPr>
      <w:r>
        <w:rPr>
          <w:b/>
          <w:bCs/>
        </w:rPr>
        <w:t xml:space="preserve">Power interface.</w:t>
      </w:r>
      <w:r>
        <w:t xml:space="preserve"> </w:t>
      </w:r>
      <w:r>
        <w:t xml:space="preserve">SPR may be admitted as one role-specific evidence object inside an AuthoritySelectionRecord, but it never replaces RG, RF/NCRC, TRC, CSV, domain competence, lawful mandate, institutional responsibility, or revocability.</w:t>
      </w:r>
    </w:p>
    <w:p>
      <w:pPr>
        <w:widowControl/>
        <w:numPr>
          <w:ilvl w:val="0"/>
          <w:numId w:val="1132"/>
        </w:numPr>
      </w:pPr>
      <w:r>
        <w:rPr>
          <w:b/>
          <w:bCs/>
        </w:rPr>
        <w:t xml:space="preserve">Competence interface.</w:t>
      </w:r>
      <w:r>
        <w:t xml:space="preserve"> </w:t>
      </w:r>
      <w:r>
        <w:t xml:space="preserve">ICP may inform domain-competence evidence for GPR or SPR. It cannot alter MPS or FPP by itself.</w:t>
      </w:r>
    </w:p>
    <w:p>
      <w:pPr>
        <w:widowControl/>
        <w:numPr>
          <w:ilvl w:val="0"/>
          <w:numId w:val="1132"/>
        </w:numPr>
      </w:pPr>
      <w:r>
        <w:rPr>
          <w:b/>
          <w:bCs/>
        </w:rPr>
        <w:t xml:space="preserve">Reality-management capacity interface.</w:t>
      </w:r>
      <w:r>
        <w:t xml:space="preserve"> </w:t>
      </w:r>
      <w:r>
        <w:t xml:space="preserve">A valid RMCP record may inform CMIU analysis, collective-capacity comparison, GPR design, or SPR role review. It MUST identify the evaluated individual, class, institution, collective, or distributed-system boundary; the declared domain and scale; each RMCP dimension and uncertainty interval; external scaffolding; causal reach; evidence dependencies; capacity-performance separation; P100 status if any; and revision triggers. RMCP, RMCI summaries, Recursive Union Awareness, and P100 MUST NOT alter MPS or FPP, act as cardinal moral-worth weights, or bypass lawful mandate and the cascade.</w:t>
      </w:r>
    </w:p>
    <w:bookmarkEnd w:id="212"/>
    <w:bookmarkStart w:id="213" w:name="X3963c1c40a08ea209f1abcb7cc5bb3422e042cb"/>
    <w:p>
      <w:pPr>
        <w:pStyle w:val="Heading2"/>
        <w:keepNext/>
        <w:keepLines/>
        <w:pageBreakBefore w:val="0"/>
        <w:widowControl/>
      </w:pPr>
      <w:r>
        <w:rPr>
          <w:rFonts w:ascii="Arial" w:hAnsi="Arial" w:eastAsia="Arial"/>
          <w:b/>
          <w:color w:val="1F4E78"/>
        </w:rPr>
        <w:t xml:space="preserve">12.5 Interval-Sensitivity Rule (Normative)</w:t>
      </w:r>
    </w:p>
    <w:p>
      <w:pPr>
        <w:pStyle w:val="FirstParagraph"/>
        <w:widowControl/>
      </w:pPr>
      <w:r>
        <w:t xml:space="preserve">If the preferred option, decisive/non-decisive status, subgroup result, or material welfare conclusion changes across the governed welfare-inclusion hypothesis set, the run MUST set</w:t>
      </w:r>
      <w:r>
        <w:t xml:space="preserve"> </w:t>
      </w:r>
      <w:r>
        <w:rPr>
          <w:rStyle w:val="VerbatimChar"/>
        </w:rPr>
        <w:t xml:space="preserve">MPS_HYPOTHESIS_SENSITIVE</w:t>
      </w:r>
      <w:r>
        <w:t xml:space="preserve">. The PCC MUST report the affected stakeholders, MPS evidence record, hypotheses tested, changed outputs, and disposition. Permitted dispositions are: collect additional evidence; adopt a precautionary policy acceptable across the hypothesis set; narrow the claim; preserve multiple options; or refuse a definitive ranking. Selecting a convenient intermediate coefficient or suppressing hypothesis sensitivity is non-conformant.</w:t>
      </w:r>
    </w:p>
    <w:bookmarkEnd w:id="213"/>
    <w:bookmarkStart w:id="214" w:name="Xb6463dc0b51d7685dd46c7d1ecb86e5796d22c6"/>
    <w:p>
      <w:pPr>
        <w:pStyle w:val="Heading2"/>
        <w:keepNext/>
        <w:keepLines/>
        <w:pageBreakBefore w:val="0"/>
        <w:widowControl/>
      </w:pPr>
      <w:r>
        <w:rPr>
          <w:rFonts w:ascii="Arial" w:hAnsi="Arial" w:eastAsia="Arial"/>
          <w:b/>
          <w:color w:val="1F4E78"/>
        </w:rPr>
        <w:t xml:space="preserve">12.6 Prohibited Inferences (Normative)</w:t>
      </w:r>
    </w:p>
    <w:p>
      <w:pPr>
        <w:pStyle w:val="FirstParagraph"/>
        <w:widowControl/>
      </w:pPr>
      <w:r>
        <w:t xml:space="preserve">The following are prohibited:</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Claim</w:t>
            </w:r>
          </w:p>
        </w:tc>
        <w:tc>
          <w:tcPr>
            <w:shd w:fill="1F4E78" w:val="clear"/>
            <w:tcMar>
              <w:top w:w="80" w:type="dxa"/>
              <w:start w:w="90" w:type="dxa"/>
              <w:bottom w:w="80" w:type="dxa"/>
              <w:end w:w="90" w:type="dxa"/>
            </w:tcMar>
          </w:tcPr>
          <w:p>
            <w:pPr>
              <w:pStyle w:val="Compact"/>
              <w:jc w:val="left"/>
            </w:pPr>
            <w:r>
              <w:rPr>
                <w:b/>
                <w:bCs/>
                <w:color w:val="FFFFFF"/>
              </w:rPr>
              <w:t xml:space="preserve">Status</w:t>
            </w:r>
          </w:p>
        </w:tc>
      </w:tr>
      <w:tr>
        <w:trPr/>
        <w:tc>
          <w:tcPr>
            <w:tcMar>
              <w:top w:w="80" w:type="dxa"/>
              <w:start w:w="90" w:type="dxa"/>
              <w:bottom w:w="80" w:type="dxa"/>
              <w:end w:w="90" w:type="dxa"/>
            </w:tcMar>
            <w:shd w:fill="F7FBFF" w:val="clear"/>
          </w:tcPr>
          <w:p>
            <w:pPr>
              <w:pStyle w:val="Compact"/>
              <w:jc w:val="left"/>
            </w:pPr>
            <w:r>
              <w:t xml:space="preserve">Linguistic fluency or self-report proves sentience</w:t>
            </w:r>
          </w:p>
        </w:tc>
        <w:tc>
          <w:tcPr>
            <w:tcMar>
              <w:top w:w="80" w:type="dxa"/>
              <w:start w:w="90" w:type="dxa"/>
              <w:bottom w:w="80" w:type="dxa"/>
              <w:end w:w="90" w:type="dxa"/>
            </w:tcMar>
            <w:shd w:fill="F7FBFF" w:val="clear"/>
          </w:tcPr>
          <w:p>
            <w:pPr>
              <w:pStyle w:val="Compact"/>
              <w:jc w:val="left"/>
            </w:pPr>
            <w:r>
              <w:t xml:space="preserve">NOT VALID</w:t>
            </w:r>
          </w:p>
        </w:tc>
      </w:tr>
      <w:tr>
        <w:trPr/>
        <w:tc>
          <w:tcPr>
            <w:tcMar>
              <w:top w:w="80" w:type="dxa"/>
              <w:start w:w="90" w:type="dxa"/>
              <w:bottom w:w="80" w:type="dxa"/>
              <w:end w:w="90" w:type="dxa"/>
            </w:tcMar>
            <w:shd w:fill="D9EAF7" w:val="clear"/>
          </w:tcPr>
          <w:p>
            <w:pPr>
              <w:pStyle w:val="Compact"/>
              <w:jc w:val="left"/>
            </w:pPr>
            <w:r>
              <w:t xml:space="preserve">Intelligence, understanding, compliance, or tool performance proves moral patienthood</w:t>
            </w:r>
          </w:p>
        </w:tc>
        <w:tc>
          <w:tcPr>
            <w:tcMar>
              <w:top w:w="80" w:type="dxa"/>
              <w:start w:w="90" w:type="dxa"/>
              <w:bottom w:w="80" w:type="dxa"/>
              <w:end w:w="90" w:type="dxa"/>
            </w:tcMar>
            <w:shd w:fill="D9EAF7" w:val="clear"/>
          </w:tcPr>
          <w:p>
            <w:pPr>
              <w:pStyle w:val="Compact"/>
              <w:jc w:val="left"/>
            </w:pPr>
            <w:r>
              <w:t xml:space="preserve">NOT VALID</w:t>
            </w:r>
          </w:p>
        </w:tc>
      </w:tr>
      <w:tr>
        <w:trPr/>
        <w:tc>
          <w:tcPr>
            <w:tcMar>
              <w:top w:w="80" w:type="dxa"/>
              <w:start w:w="90" w:type="dxa"/>
              <w:bottom w:w="80" w:type="dxa"/>
              <w:end w:w="90" w:type="dxa"/>
            </w:tcMar>
            <w:shd w:fill="F7FBFF" w:val="clear"/>
          </w:tcPr>
          <w:p>
            <w:pPr>
              <w:pStyle w:val="Compact"/>
              <w:jc w:val="left"/>
            </w:pPr>
            <w:r>
              <w:t xml:space="preserve">Reward, loss, utility, or refusal signals alone prove valence</w:t>
            </w:r>
          </w:p>
        </w:tc>
        <w:tc>
          <w:tcPr>
            <w:tcMar>
              <w:top w:w="80" w:type="dxa"/>
              <w:start w:w="90" w:type="dxa"/>
              <w:bottom w:w="80" w:type="dxa"/>
              <w:end w:w="90" w:type="dxa"/>
            </w:tcMar>
            <w:shd w:fill="F7FBFF" w:val="clear"/>
          </w:tcPr>
          <w:p>
            <w:pPr>
              <w:pStyle w:val="Compact"/>
              <w:jc w:val="left"/>
            </w:pPr>
            <w:r>
              <w:t xml:space="preserve">NOT VALID</w:t>
            </w:r>
          </w:p>
        </w:tc>
      </w:tr>
      <w:tr>
        <w:trPr/>
        <w:tc>
          <w:tcPr>
            <w:tcMar>
              <w:top w:w="80" w:type="dxa"/>
              <w:start w:w="90" w:type="dxa"/>
              <w:bottom w:w="80" w:type="dxa"/>
              <w:end w:w="90" w:type="dxa"/>
            </w:tcMar>
            <w:shd w:fill="D9EAF7" w:val="clear"/>
          </w:tcPr>
          <w:p>
            <w:pPr>
              <w:pStyle w:val="Compact"/>
              <w:jc w:val="left"/>
            </w:pPr>
            <w:r>
              <w:t xml:space="preserve">Low agency, language, metacognition, GPR, or SPR reduces credible welfare protection</w:t>
            </w:r>
          </w:p>
        </w:tc>
        <w:tc>
          <w:tcPr>
            <w:tcMar>
              <w:top w:w="80" w:type="dxa"/>
              <w:start w:w="90" w:type="dxa"/>
              <w:bottom w:w="80" w:type="dxa"/>
              <w:end w:w="90" w:type="dxa"/>
            </w:tcMar>
            <w:shd w:fill="D9EAF7" w:val="clear"/>
          </w:tcPr>
          <w:p>
            <w:pPr>
              <w:pStyle w:val="Compact"/>
              <w:jc w:val="left"/>
            </w:pPr>
            <w:r>
              <w:t xml:space="preserve">PROHIBITED</w:t>
            </w:r>
          </w:p>
        </w:tc>
      </w:tr>
      <w:tr>
        <w:trPr/>
        <w:tc>
          <w:tcPr>
            <w:tcMar>
              <w:top w:w="80" w:type="dxa"/>
              <w:start w:w="90" w:type="dxa"/>
              <w:bottom w:w="80" w:type="dxa"/>
              <w:end w:w="90" w:type="dxa"/>
            </w:tcMar>
            <w:shd w:fill="F7FBFF" w:val="clear"/>
          </w:tcPr>
          <w:p>
            <w:pPr>
              <w:pStyle w:val="Compact"/>
              <w:jc w:val="left"/>
            </w:pPr>
            <w:r>
              <w:t xml:space="preserve">MPS is a probability of consciousness, quantity of experience, or intrinsic-worth score</w:t>
            </w:r>
          </w:p>
        </w:tc>
        <w:tc>
          <w:tcPr>
            <w:tcMar>
              <w:top w:w="80" w:type="dxa"/>
              <w:start w:w="90" w:type="dxa"/>
              <w:bottom w:w="80" w:type="dxa"/>
              <w:end w:w="90" w:type="dxa"/>
            </w:tcMar>
            <w:shd w:fill="F7FBFF" w:val="clear"/>
          </w:tcPr>
          <w:p>
            <w:pPr>
              <w:pStyle w:val="Compact"/>
              <w:jc w:val="left"/>
            </w:pPr>
            <w:r>
              <w:t xml:space="preserve">NOT VALID</w:t>
            </w:r>
          </w:p>
        </w:tc>
      </w:tr>
      <w:tr>
        <w:trPr/>
        <w:tc>
          <w:tcPr>
            <w:tcMar>
              <w:top w:w="80" w:type="dxa"/>
              <w:start w:w="90" w:type="dxa"/>
              <w:bottom w:w="80" w:type="dxa"/>
              <w:end w:w="90" w:type="dxa"/>
            </w:tcMar>
            <w:shd w:fill="D9EAF7" w:val="clear"/>
          </w:tcPr>
          <w:p>
            <w:pPr>
              <w:pStyle w:val="Compact"/>
              <w:jc w:val="left"/>
            </w:pPr>
            <w:r>
              <w:t xml:space="preserve">FPP implies GPR, CMIU membership, office, command, or stewardship authority</w:t>
            </w:r>
          </w:p>
        </w:tc>
        <w:tc>
          <w:tcPr>
            <w:tcMar>
              <w:top w:w="80" w:type="dxa"/>
              <w:start w:w="90" w:type="dxa"/>
              <w:bottom w:w="80" w:type="dxa"/>
              <w:end w:w="90" w:type="dxa"/>
            </w:tcMar>
            <w:shd w:fill="D9EAF7" w:val="clear"/>
          </w:tcPr>
          <w:p>
            <w:pPr>
              <w:pStyle w:val="Compact"/>
              <w:jc w:val="left"/>
            </w:pPr>
            <w:r>
              <w:t xml:space="preserve">PROHIBITED</w:t>
            </w:r>
          </w:p>
        </w:tc>
      </w:tr>
      <w:tr>
        <w:trPr/>
        <w:tc>
          <w:tcPr>
            <w:tcMar>
              <w:top w:w="80" w:type="dxa"/>
              <w:start w:w="90" w:type="dxa"/>
              <w:bottom w:w="80" w:type="dxa"/>
              <w:end w:w="90" w:type="dxa"/>
            </w:tcMar>
            <w:shd w:fill="F7FBFF" w:val="clear"/>
          </w:tcPr>
          <w:p>
            <w:pPr>
              <w:pStyle w:val="Compact"/>
              <w:jc w:val="left"/>
            </w:pPr>
            <w:r>
              <w:t xml:space="preserve">GPR implies SPR or lawful authority</w:t>
            </w:r>
          </w:p>
        </w:tc>
        <w:tc>
          <w:tcPr>
            <w:tcMar>
              <w:top w:w="80" w:type="dxa"/>
              <w:start w:w="90" w:type="dxa"/>
              <w:bottom w:w="80" w:type="dxa"/>
              <w:end w:w="90" w:type="dxa"/>
            </w:tcMar>
            <w:shd w:fill="F7FBFF" w:val="clear"/>
          </w:tcPr>
          <w:p>
            <w:pPr>
              <w:pStyle w:val="Compact"/>
              <w:jc w:val="left"/>
            </w:pPr>
            <w:r>
              <w:t xml:space="preserve">NOT VALID</w:t>
            </w:r>
          </w:p>
        </w:tc>
      </w:tr>
      <w:tr>
        <w:trPr/>
        <w:tc>
          <w:tcPr>
            <w:tcMar>
              <w:top w:w="80" w:type="dxa"/>
              <w:start w:w="90" w:type="dxa"/>
              <w:bottom w:w="80" w:type="dxa"/>
              <w:end w:w="90" w:type="dxa"/>
            </w:tcMar>
            <w:shd w:fill="D9EAF7" w:val="clear"/>
          </w:tcPr>
          <w:p>
            <w:pPr>
              <w:pStyle w:val="Compact"/>
              <w:jc w:val="left"/>
            </w:pPr>
            <w:r>
              <w:t xml:space="preserve">RMCP, Recursive Union Awareness, or P100 proves sentience, FPP, moral superiority, metaphysical oneness, or wisdom</w:t>
            </w:r>
          </w:p>
        </w:tc>
        <w:tc>
          <w:tcPr>
            <w:tcMar>
              <w:top w:w="80" w:type="dxa"/>
              <w:start w:w="90" w:type="dxa"/>
              <w:bottom w:w="80" w:type="dxa"/>
              <w:end w:w="90" w:type="dxa"/>
            </w:tcMar>
            <w:shd w:fill="D9EAF7" w:val="clear"/>
          </w:tcPr>
          <w:p>
            <w:pPr>
              <w:pStyle w:val="Compact"/>
              <w:jc w:val="left"/>
            </w:pPr>
            <w:r>
              <w:t xml:space="preserve">NOT VALID</w:t>
            </w:r>
          </w:p>
        </w:tc>
      </w:tr>
      <w:tr>
        <w:trPr/>
        <w:tc>
          <w:tcPr>
            <w:tcMar>
              <w:top w:w="80" w:type="dxa"/>
              <w:start w:w="90" w:type="dxa"/>
              <w:bottom w:w="80" w:type="dxa"/>
              <w:end w:w="90" w:type="dxa"/>
            </w:tcMar>
            <w:shd w:fill="F7FBFF" w:val="clear"/>
          </w:tcPr>
          <w:p>
            <w:pPr>
              <w:pStyle w:val="Compact"/>
              <w:jc w:val="left"/>
            </w:pPr>
            <w:r>
              <w:t xml:space="preserve">P100 is a permanent human monopoly or a licence to dominate beings below the plateau</w:t>
            </w:r>
          </w:p>
        </w:tc>
        <w:tc>
          <w:tcPr>
            <w:tcMar>
              <w:top w:w="80" w:type="dxa"/>
              <w:start w:w="90" w:type="dxa"/>
              <w:bottom w:w="80" w:type="dxa"/>
              <w:end w:w="90" w:type="dxa"/>
            </w:tcMar>
            <w:shd w:fill="F7FBFF" w:val="clear"/>
          </w:tcPr>
          <w:p>
            <w:pPr>
              <w:pStyle w:val="Compact"/>
              <w:jc w:val="left"/>
            </w:pPr>
            <w:r>
              <w:t xml:space="preserve">PROHIBITED</w:t>
            </w:r>
          </w:p>
        </w:tc>
      </w:tr>
      <w:tr>
        <w:trPr/>
        <w:tc>
          <w:tcPr>
            <w:tcMar>
              <w:top w:w="80" w:type="dxa"/>
              <w:start w:w="90" w:type="dxa"/>
              <w:bottom w:w="80" w:type="dxa"/>
              <w:end w:w="90" w:type="dxa"/>
            </w:tcMar>
            <w:shd w:fill="D9EAF7" w:val="clear"/>
          </w:tcPr>
          <w:p>
            <w:pPr>
              <w:pStyle w:val="Compact"/>
              <w:jc w:val="left"/>
            </w:pPr>
            <w:r>
              <w:t xml:space="preserve">RMCP or P100 creates CMIU membership, legal status, command, or stewardship authority</w:t>
            </w:r>
          </w:p>
        </w:tc>
        <w:tc>
          <w:tcPr>
            <w:tcMar>
              <w:top w:w="80" w:type="dxa"/>
              <w:start w:w="90" w:type="dxa"/>
              <w:bottom w:w="80" w:type="dxa"/>
              <w:end w:w="90" w:type="dxa"/>
            </w:tcMar>
            <w:shd w:fill="D9EAF7" w:val="clear"/>
          </w:tcPr>
          <w:p>
            <w:pPr>
              <w:pStyle w:val="Compact"/>
              <w:jc w:val="left"/>
            </w:pPr>
            <w:r>
              <w:t xml:space="preserve">PROHIBITED</w:t>
            </w:r>
          </w:p>
        </w:tc>
      </w:tr>
      <w:tr>
        <w:trPr/>
        <w:tc>
          <w:tcPr>
            <w:tcMar>
              <w:top w:w="80" w:type="dxa"/>
              <w:start w:w="90" w:type="dxa"/>
              <w:bottom w:w="80" w:type="dxa"/>
              <w:end w:w="90" w:type="dxa"/>
            </w:tcMar>
            <w:shd w:fill="F7FBFF" w:val="clear"/>
          </w:tcPr>
          <w:p>
            <w:pPr>
              <w:pStyle w:val="Compact"/>
              <w:jc w:val="left"/>
            </w:pPr>
            <w:r>
              <w:t xml:space="preserve">SPR can bypass RG, RF/NCRC, TRC, CSV, or lawful mandate</w:t>
            </w:r>
          </w:p>
        </w:tc>
        <w:tc>
          <w:tcPr>
            <w:tcMar>
              <w:top w:w="80" w:type="dxa"/>
              <w:start w:w="90" w:type="dxa"/>
              <w:bottom w:w="80" w:type="dxa"/>
              <w:end w:w="90" w:type="dxa"/>
            </w:tcMar>
            <w:shd w:fill="F7FBFF" w:val="clear"/>
          </w:tcPr>
          <w:p>
            <w:pPr>
              <w:pStyle w:val="Compact"/>
              <w:jc w:val="left"/>
            </w:pPr>
            <w:r>
              <w:t xml:space="preserve">PROHIBITED</w:t>
            </w:r>
          </w:p>
        </w:tc>
      </w:tr>
      <w:tr>
        <w:trPr/>
        <w:tc>
          <w:tcPr>
            <w:tcMar>
              <w:top w:w="80" w:type="dxa"/>
              <w:start w:w="90" w:type="dxa"/>
              <w:bottom w:w="80" w:type="dxa"/>
              <w:end w:w="90" w:type="dxa"/>
            </w:tcMar>
            <w:shd w:fill="D9EAF7" w:val="clear"/>
          </w:tcPr>
          <w:p>
            <w:pPr>
              <w:pStyle w:val="Compact"/>
              <w:jc w:val="left"/>
            </w:pPr>
            <w:r>
              <w:t xml:space="preserve">Missing, NE, incomplete, or inadmissible evidence means zero sentience or zero reality-management capacity</w:t>
            </w:r>
          </w:p>
        </w:tc>
        <w:tc>
          <w:tcPr>
            <w:tcMar>
              <w:top w:w="80" w:type="dxa"/>
              <w:start w:w="90" w:type="dxa"/>
              <w:bottom w:w="80" w:type="dxa"/>
              <w:end w:w="90" w:type="dxa"/>
            </w:tcMar>
            <w:shd w:fill="D9EAF7" w:val="clear"/>
          </w:tcPr>
          <w:p>
            <w:pPr>
              <w:pStyle w:val="Compact"/>
              <w:jc w:val="left"/>
            </w:pPr>
            <w:r>
              <w:t xml:space="preserve">PROHIBITED</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A v7 scalar may be silently translated into a v8.4 output</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PROHIBITED</w:t>
            </w:r>
          </w:p>
        </w:tc>
      </w:tr>
    </w:tbl>
    <w:bookmarkEnd w:id="214"/>
    <w:bookmarkStart w:id="215" w:name="X8377e619ebe66935a6f2054e7817c1de246da49"/>
    <w:p>
      <w:pPr>
        <w:pStyle w:val="Heading2"/>
        <w:keepNext/>
        <w:keepLines/>
        <w:pageBreakBefore w:val="0"/>
        <w:widowControl/>
      </w:pPr>
      <w:r>
        <w:rPr>
          <w:rFonts w:ascii="Arial" w:hAnsi="Arial" w:eastAsia="Arial"/>
          <w:b/>
          <w:color w:val="1F4E78"/>
        </w:rPr>
        <w:t xml:space="preserve">12.7 CMIU Governance Definition and Entry Boundary (Normative)</w:t>
      </w:r>
    </w:p>
    <w:p>
      <w:pPr>
        <w:pStyle w:val="FirstParagraph"/>
        <w:widowControl/>
      </w:pPr>
      <w:r>
        <w:t xml:space="preserve">The Collective Managing Intelligence Union is the U6 governance-coordination view of intelligences, representatives, and institutions with a declared participation channel or lawful role in shared governance, coordination, and systemic-risk management. It is not a moral-status class and is not administered by SGP.</w:t>
      </w:r>
    </w:p>
    <w:p>
      <w:pPr>
        <w:pStyle w:val="BodyText"/>
        <w:widowControl/>
      </w:pPr>
      <w:r>
        <w:t xml:space="preserve">CMIU participation or membership, where an implementation uses that concept, requires an explicit institutional rule. For an entity, direct or supported participation SHOULD reference GPR; any consequential role MUST reference a role-specific SPR record and AuthoritySelectionRecord. A valid RMCP record MAY inform whether a candidate can model, coordinate, preserve, or manage shared reality at the relevant scale, but RMCP or P100 never supplies lawful mandate or membership by itself. Institutions may participate through lawful mandate and accountable representatives. MPS, FPP, RMCP, or P100 alone MUST NOT create CMIU membership.</w:t>
      </w:r>
    </w:p>
    <w:bookmarkEnd w:id="215"/>
    <w:bookmarkStart w:id="216" w:name="X5c04f8c676c2b1a472bf704a383d00639946bbf"/>
    <w:p>
      <w:pPr>
        <w:pStyle w:val="Heading2"/>
        <w:keepNext/>
        <w:keepLines/>
        <w:pageBreakBefore w:val="0"/>
        <w:widowControl/>
      </w:pPr>
      <w:r>
        <w:rPr>
          <w:rFonts w:ascii="Arial" w:hAnsi="Arial" w:eastAsia="Arial"/>
          <w:b/>
          <w:color w:val="1F4E78"/>
        </w:rPr>
        <w:t xml:space="preserve">12.8 Rights Expansion for Non-Human Stakeholders (Normative)</w:t>
      </w:r>
    </w:p>
    <w:p>
      <w:pPr>
        <w:pStyle w:val="FirstParagraph"/>
        <w:widowControl/>
      </w:pPr>
      <w:r>
        <w:t xml:space="preserve">When SGP v8.4 supports a stronger protection posture or FPP for a non-human individual or class, RippleLogic may expand rights coverage only through a governed update: update C_r and subgroup protocols; map the typed SGP protection bundle to the applicable protected domains LIFE, BODY, NEED, DIGN, LBTY, PROC, INFO, and ECOL; version the decision; record membership and identity conditions; preserve prior PCCs; and provide notice, review, representation, and appeal. Class priors may raise protection but MUST NOT downgrade atypical individuals or create FPP without governed assignment.</w:t>
      </w:r>
    </w:p>
    <w:bookmarkEnd w:id="216"/>
    <w:bookmarkEnd w:id="217"/>
    <w:bookmarkStart w:id="230" w:name="Xaf55ce742564404e14d094b7a7330915f9d6881"/>
    <w:p>
      <w:pPr>
        <w:pStyle w:val="Heading1"/>
        <w:keepNext/>
        <w:keepLines/>
        <w:pageBreakBefore w:val="0"/>
        <w:widowControl/>
      </w:pPr>
      <w:r>
        <w:rPr>
          <w:rFonts w:ascii="Arial" w:hAnsi="Arial" w:eastAsia="Arial"/>
          <w:b/>
          <w:color w:val="1F4E78"/>
        </w:rPr>
        <w:t xml:space="preserve">SECTION 13: WEIGHT GOVERNANCE: HYBRID DEMOCRATIC WEIGHTING (HDW)</w:t>
      </w:r>
    </w:p>
    <w:bookmarkStart w:id="218" w:name="Xa1169ee730d92fa2bd405777f52531b3c7245a2"/>
    <w:p>
      <w:pPr>
        <w:pStyle w:val="Heading2"/>
        <w:keepNext/>
        <w:keepLines/>
        <w:pageBreakBefore w:val="0"/>
        <w:widowControl/>
      </w:pPr>
      <w:r>
        <w:rPr>
          <w:rFonts w:ascii="Arial" w:hAnsi="Arial" w:eastAsia="Arial"/>
          <w:b/>
          <w:color w:val="1F4E78"/>
        </w:rPr>
        <w:t xml:space="preserve">13.0 Purpose (Normative)</w:t>
      </w:r>
    </w:p>
    <w:p>
      <w:pPr>
        <w:pStyle w:val="FirstParagraph"/>
        <w:widowControl/>
      </w:pPr>
      <w:r>
        <w:t xml:space="preserve">RLS requires union and dimension weights. Weights encode normative prioritization among admissible options. Without governance, weights become a capture surface. HDW provides legitimate, anti-capture weight governance by combining:</w:t>
      </w:r>
    </w:p>
    <w:p>
      <w:pPr>
        <w:pStyle w:val="Compact"/>
        <w:widowControl/>
        <w:numPr>
          <w:ilvl w:val="0"/>
          <w:numId w:val="1133"/>
        </w:numPr>
      </w:pPr>
      <w:r>
        <w:t xml:space="preserve">Constitutional floors (non-negotiable minimum protection attention)</w:t>
      </w:r>
    </w:p>
    <w:p>
      <w:pPr>
        <w:pStyle w:val="Compact"/>
        <w:widowControl/>
        <w:numPr>
          <w:ilvl w:val="0"/>
          <w:numId w:val="1134"/>
        </w:numPr>
      </w:pPr>
      <w:r>
        <w:t xml:space="preserve">Democratic tuning (stakeholder voice)</w:t>
      </w:r>
    </w:p>
    <w:p>
      <w:pPr>
        <w:pStyle w:val="Compact"/>
        <w:widowControl/>
        <w:numPr>
          <w:ilvl w:val="0"/>
          <w:numId w:val="1135"/>
        </w:numPr>
      </w:pPr>
      <w:r>
        <w:t xml:space="preserve">Structural evidence input (system-level constraints)</w:t>
      </w:r>
    </w:p>
    <w:p>
      <w:pPr>
        <w:pStyle w:val="FirstParagraph"/>
        <w:widowControl/>
      </w:pPr>
      <w:r>
        <w:t xml:space="preserve">HDW affects only ranking among selectable options. HDW MUST NOT alter admissibility gates (NCRC, TRC) or CSV gate.</w:t>
      </w:r>
    </w:p>
    <w:bookmarkEnd w:id="218"/>
    <w:bookmarkStart w:id="223" w:name="X8acdafab4b5cf225a40ddb7d845309db17d4e5a"/>
    <w:p>
      <w:pPr>
        <w:pStyle w:val="Heading2"/>
        <w:keepNext/>
        <w:keepLines/>
        <w:pageBreakBefore w:val="0"/>
        <w:widowControl/>
      </w:pPr>
      <w:r>
        <w:rPr>
          <w:rFonts w:ascii="Arial" w:hAnsi="Arial" w:eastAsia="Arial"/>
          <w:b/>
          <w:color w:val="1F4E78"/>
        </w:rPr>
        <w:t xml:space="preserve">13.1 Constitutional Floors (Normative; prior floor vector preserved through RippleLogic v12.5)</w:t>
      </w:r>
    </w:p>
    <w:bookmarkStart w:id="219" w:name="Xdb57e9718accff29f0b7fa42d1196ac4f7a9678"/>
    <w:p>
      <w:pPr>
        <w:pStyle w:val="Heading3"/>
        <w:keepNext/>
        <w:keepLines/>
        <w:pageBreakBefore w:val="0"/>
        <w:widowControl/>
      </w:pPr>
      <w:r>
        <w:rPr>
          <w:rFonts w:ascii="Arial" w:hAnsi="Arial" w:eastAsia="Arial"/>
          <w:b/>
          <w:color w:val="1F4E78"/>
        </w:rPr>
        <w:t xml:space="preserve">13.1.1 Union weight floors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Union</w:t>
            </w:r>
          </w:p>
        </w:tc>
        <w:tc>
          <w:tcPr>
            <w:shd w:fill="1F4E78" w:val="clear"/>
            <w:tcMar>
              <w:top w:w="80" w:type="dxa"/>
              <w:start w:w="90" w:type="dxa"/>
              <w:bottom w:w="80" w:type="dxa"/>
              <w:end w:w="90" w:type="dxa"/>
            </w:tcMar>
          </w:tcPr>
          <w:p>
            <w:pPr>
              <w:pStyle w:val="Compact"/>
              <w:jc w:val="left"/>
            </w:pPr>
            <w:r>
              <w:rPr>
                <w:b/>
                <w:bCs/>
                <w:color w:val="FFFFFF"/>
              </w:rPr>
              <w:t xml:space="preserve">Floor</w:t>
            </w:r>
          </w:p>
        </w:tc>
      </w:tr>
      <w:tr>
        <w:trPr/>
        <w:tc>
          <w:tcPr>
            <w:tcMar>
              <w:top w:w="80" w:type="dxa"/>
              <w:start w:w="90" w:type="dxa"/>
              <w:bottom w:w="80" w:type="dxa"/>
              <w:end w:w="90" w:type="dxa"/>
            </w:tcMar>
            <w:shd w:fill="F7FBFF" w:val="clear"/>
          </w:tcPr>
          <w:p>
            <w:pPr>
              <w:pStyle w:val="Compact"/>
              <w:jc w:val="left"/>
            </w:pPr>
            <w:r>
              <w:t xml:space="preserve">Self (U₁)</w:t>
            </w:r>
          </w:p>
        </w:tc>
        <w:tc>
          <w:tcPr>
            <w:tcMar>
              <w:top w:w="80" w:type="dxa"/>
              <w:start w:w="90" w:type="dxa"/>
              <w:bottom w:w="80" w:type="dxa"/>
              <w:end w:w="90" w:type="dxa"/>
            </w:tcMar>
            <w:shd w:fill="F7FBFF" w:val="clear"/>
          </w:tcPr>
          <w:p>
            <w:pPr>
              <w:pStyle w:val="Compact"/>
              <w:jc w:val="left"/>
            </w:pPr>
            <w:r>
              <w:t xml:space="preserve">0.20</w:t>
            </w:r>
          </w:p>
        </w:tc>
      </w:tr>
      <w:tr>
        <w:trPr/>
        <w:tc>
          <w:tcPr>
            <w:tcMar>
              <w:top w:w="80" w:type="dxa"/>
              <w:start w:w="90" w:type="dxa"/>
              <w:bottom w:w="80" w:type="dxa"/>
              <w:end w:w="90" w:type="dxa"/>
            </w:tcMar>
            <w:shd w:fill="D9EAF7" w:val="clear"/>
          </w:tcPr>
          <w:p>
            <w:pPr>
              <w:pStyle w:val="Compact"/>
              <w:jc w:val="left"/>
            </w:pPr>
            <w:r>
              <w:t xml:space="preserve">Household (U₂)</w:t>
            </w:r>
          </w:p>
        </w:tc>
        <w:tc>
          <w:tcPr>
            <w:tcMar>
              <w:top w:w="80" w:type="dxa"/>
              <w:start w:w="90" w:type="dxa"/>
              <w:bottom w:w="80" w:type="dxa"/>
              <w:end w:w="90" w:type="dxa"/>
            </w:tcMar>
            <w:shd w:fill="D9EAF7" w:val="clear"/>
          </w:tcPr>
          <w:p>
            <w:pPr>
              <w:pStyle w:val="Compact"/>
              <w:jc w:val="left"/>
            </w:pPr>
            <w:r>
              <w:t xml:space="preserve">0.06</w:t>
            </w:r>
          </w:p>
        </w:tc>
      </w:tr>
      <w:tr>
        <w:trPr/>
        <w:tc>
          <w:tcPr>
            <w:tcMar>
              <w:top w:w="80" w:type="dxa"/>
              <w:start w:w="90" w:type="dxa"/>
              <w:bottom w:w="80" w:type="dxa"/>
              <w:end w:w="90" w:type="dxa"/>
            </w:tcMar>
            <w:shd w:fill="F7FBFF" w:val="clear"/>
          </w:tcPr>
          <w:p>
            <w:pPr>
              <w:pStyle w:val="Compact"/>
              <w:jc w:val="left"/>
            </w:pPr>
            <w:r>
              <w:t xml:space="preserve">Community (U₃)</w:t>
            </w:r>
          </w:p>
        </w:tc>
        <w:tc>
          <w:tcPr>
            <w:tcMar>
              <w:top w:w="80" w:type="dxa"/>
              <w:start w:w="90" w:type="dxa"/>
              <w:bottom w:w="80" w:type="dxa"/>
              <w:end w:w="90" w:type="dxa"/>
            </w:tcMar>
            <w:shd w:fill="F7FBFF" w:val="clear"/>
          </w:tcPr>
          <w:p>
            <w:pPr>
              <w:pStyle w:val="Compact"/>
              <w:jc w:val="left"/>
            </w:pPr>
            <w:r>
              <w:t xml:space="preserve">0.06</w:t>
            </w:r>
          </w:p>
        </w:tc>
      </w:tr>
      <w:tr>
        <w:trPr/>
        <w:tc>
          <w:tcPr>
            <w:tcMar>
              <w:top w:w="80" w:type="dxa"/>
              <w:start w:w="90" w:type="dxa"/>
              <w:bottom w:w="80" w:type="dxa"/>
              <w:end w:w="90" w:type="dxa"/>
            </w:tcMar>
            <w:shd w:fill="D9EAF7" w:val="clear"/>
          </w:tcPr>
          <w:p>
            <w:pPr>
              <w:pStyle w:val="Compact"/>
              <w:jc w:val="left"/>
            </w:pPr>
            <w:r>
              <w:t xml:space="preserve">Organization (U₄)</w:t>
            </w:r>
          </w:p>
        </w:tc>
        <w:tc>
          <w:tcPr>
            <w:tcMar>
              <w:top w:w="80" w:type="dxa"/>
              <w:start w:w="90" w:type="dxa"/>
              <w:bottom w:w="80" w:type="dxa"/>
              <w:end w:w="90" w:type="dxa"/>
            </w:tcMar>
            <w:shd w:fill="D9EAF7" w:val="clear"/>
          </w:tcPr>
          <w:p>
            <w:pPr>
              <w:pStyle w:val="Compact"/>
              <w:jc w:val="left"/>
            </w:pPr>
            <w:r>
              <w:t xml:space="preserve">0.06</w:t>
            </w:r>
          </w:p>
        </w:tc>
      </w:tr>
      <w:tr>
        <w:trPr/>
        <w:tc>
          <w:tcPr>
            <w:tcMar>
              <w:top w:w="80" w:type="dxa"/>
              <w:start w:w="90" w:type="dxa"/>
              <w:bottom w:w="80" w:type="dxa"/>
              <w:end w:w="90" w:type="dxa"/>
            </w:tcMar>
            <w:shd w:fill="F7FBFF" w:val="clear"/>
          </w:tcPr>
          <w:p>
            <w:pPr>
              <w:pStyle w:val="Compact"/>
              <w:jc w:val="left"/>
            </w:pPr>
            <w:r>
              <w:t xml:space="preserve">Polity (U₅)</w:t>
            </w:r>
          </w:p>
        </w:tc>
        <w:tc>
          <w:tcPr>
            <w:tcMar>
              <w:top w:w="80" w:type="dxa"/>
              <w:start w:w="90" w:type="dxa"/>
              <w:bottom w:w="80" w:type="dxa"/>
              <w:end w:w="90" w:type="dxa"/>
            </w:tcMar>
            <w:shd w:fill="F7FBFF" w:val="clear"/>
          </w:tcPr>
          <w:p>
            <w:pPr>
              <w:pStyle w:val="Compact"/>
              <w:jc w:val="left"/>
            </w:pPr>
            <w:r>
              <w:t xml:space="preserve">0.08</w:t>
            </w:r>
          </w:p>
        </w:tc>
      </w:tr>
      <w:tr>
        <w:trPr/>
        <w:tc>
          <w:tcPr>
            <w:tcMar>
              <w:top w:w="80" w:type="dxa"/>
              <w:start w:w="90" w:type="dxa"/>
              <w:bottom w:w="80" w:type="dxa"/>
              <w:end w:w="90" w:type="dxa"/>
            </w:tcMar>
            <w:shd w:fill="D9EAF7" w:val="clear"/>
          </w:tcPr>
          <w:p>
            <w:pPr>
              <w:pStyle w:val="Compact"/>
              <w:jc w:val="left"/>
            </w:pPr>
            <w:r>
              <w:t xml:space="preserve">Humanity / Global Coordination (U₆)</w:t>
            </w:r>
          </w:p>
        </w:tc>
        <w:tc>
          <w:tcPr>
            <w:tcMar>
              <w:top w:w="80" w:type="dxa"/>
              <w:start w:w="90" w:type="dxa"/>
              <w:bottom w:w="80" w:type="dxa"/>
              <w:end w:w="90" w:type="dxa"/>
            </w:tcMar>
            <w:shd w:fill="D9EAF7" w:val="clear"/>
          </w:tcPr>
          <w:p>
            <w:pPr>
              <w:pStyle w:val="Compact"/>
              <w:jc w:val="left"/>
            </w:pPr>
            <w:r>
              <w:t xml:space="preserve">0.10</w:t>
            </w:r>
          </w:p>
        </w:tc>
      </w:tr>
      <w:tr>
        <w:trPr/>
        <w:tc>
          <w:tcPr>
            <w:tcMar>
              <w:top w:w="80" w:type="dxa"/>
              <w:start w:w="90" w:type="dxa"/>
              <w:bottom w:w="80" w:type="dxa"/>
              <w:end w:w="90" w:type="dxa"/>
            </w:tcMar>
            <w:shd w:fill="F7FBFF" w:val="clear"/>
          </w:tcPr>
          <w:p>
            <w:pPr>
              <w:pStyle w:val="Compact"/>
              <w:jc w:val="left"/>
            </w:pPr>
            <w:r>
              <w:t xml:space="preserve">Biosphere (U₇)</w:t>
            </w:r>
          </w:p>
        </w:tc>
        <w:tc>
          <w:tcPr>
            <w:tcMar>
              <w:top w:w="80" w:type="dxa"/>
              <w:start w:w="90" w:type="dxa"/>
              <w:bottom w:w="80" w:type="dxa"/>
              <w:end w:w="90" w:type="dxa"/>
            </w:tcMar>
            <w:shd w:fill="F7FBFF" w:val="clear"/>
          </w:tcPr>
          <w:p>
            <w:pPr>
              <w:pStyle w:val="Compact"/>
              <w:jc w:val="left"/>
            </w:pPr>
            <w:r>
              <w:t xml:space="preserve">0.10</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rPr>
                <w:b/>
                <w:bCs/>
              </w:rPr>
              <w:t xml:space="preserve">Total</w:t>
            </w:r>
          </w:p>
        </w:tc>
        <w:tc>
          <w:tcPr>
            <w:tcMar>
              <w:top w:w="80" w:type="dxa"/>
              <w:start w:w="90" w:type="dxa"/>
              <w:bottom w:w="80" w:type="dxa"/>
              <w:end w:w="90" w:type="dxa"/>
            </w:tcMar>
            <w:shd w:fill="D9EAF7" w:val="clear"/>
            <w:tcBorders>
              <w:bottom w:val="single" w:sz="8" w:space="0" w:color="1F4E78"/>
            </w:tcBorders>
          </w:tcPr>
          <w:p>
            <w:pPr>
              <w:pStyle w:val="Compact"/>
              <w:jc w:val="left"/>
            </w:pPr>
            <w:r>
              <w:rPr>
                <w:b/>
                <w:bCs/>
              </w:rPr>
              <w:t xml:space="preserve">0.66</w:t>
            </w:r>
          </w:p>
        </w:tc>
      </w:tr>
    </w:tbl>
    <w:bookmarkEnd w:id="219"/>
    <w:bookmarkStart w:id="220" w:name="Xa08d00ddd5659e29231b4979d8a8cb534ff10a9"/>
    <w:p>
      <w:pPr>
        <w:pStyle w:val="Heading3"/>
        <w:keepNext/>
        <w:keepLines/>
        <w:pageBreakBefore w:val="0"/>
        <w:widowControl/>
      </w:pPr>
      <w:r>
        <w:rPr>
          <w:rFonts w:ascii="Arial" w:hAnsi="Arial" w:eastAsia="Arial"/>
          <w:b/>
          <w:color w:val="1F4E78"/>
        </w:rPr>
        <w:t xml:space="preserve">13.1.2 Dimension weight floors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Dimension</w:t>
            </w:r>
          </w:p>
        </w:tc>
        <w:tc>
          <w:tcPr>
            <w:shd w:fill="1F4E78" w:val="clear"/>
            <w:tcMar>
              <w:top w:w="80" w:type="dxa"/>
              <w:start w:w="90" w:type="dxa"/>
              <w:bottom w:w="80" w:type="dxa"/>
              <w:end w:w="90" w:type="dxa"/>
            </w:tcMar>
          </w:tcPr>
          <w:p>
            <w:pPr>
              <w:pStyle w:val="Compact"/>
              <w:jc w:val="left"/>
            </w:pPr>
            <w:r>
              <w:rPr>
                <w:b/>
                <w:bCs/>
                <w:color w:val="FFFFFF"/>
              </w:rPr>
              <w:t xml:space="preserve">Floor</w:t>
            </w:r>
          </w:p>
        </w:tc>
      </w:tr>
      <w:tr>
        <w:trPr/>
        <w:tc>
          <w:tcPr>
            <w:tcMar>
              <w:top w:w="80" w:type="dxa"/>
              <w:start w:w="90" w:type="dxa"/>
              <w:bottom w:w="80" w:type="dxa"/>
              <w:end w:w="90" w:type="dxa"/>
            </w:tcMar>
            <w:shd w:fill="F7FBFF" w:val="clear"/>
          </w:tcPr>
          <w:p>
            <w:pPr>
              <w:pStyle w:val="Compact"/>
              <w:jc w:val="left"/>
            </w:pPr>
            <w:r>
              <w:t xml:space="preserve">Material (D₁)</w:t>
            </w:r>
          </w:p>
        </w:tc>
        <w:tc>
          <w:tcPr>
            <w:tcMar>
              <w:top w:w="80" w:type="dxa"/>
              <w:start w:w="90" w:type="dxa"/>
              <w:bottom w:w="80" w:type="dxa"/>
              <w:end w:w="90" w:type="dxa"/>
            </w:tcMar>
            <w:shd w:fill="F7FBFF" w:val="clear"/>
          </w:tcPr>
          <w:p>
            <w:pPr>
              <w:pStyle w:val="Compact"/>
              <w:jc w:val="left"/>
            </w:pPr>
            <w:r>
              <w:t xml:space="preserve">0.08</w:t>
            </w:r>
          </w:p>
        </w:tc>
      </w:tr>
      <w:tr>
        <w:trPr/>
        <w:tc>
          <w:tcPr>
            <w:tcMar>
              <w:top w:w="80" w:type="dxa"/>
              <w:start w:w="90" w:type="dxa"/>
              <w:bottom w:w="80" w:type="dxa"/>
              <w:end w:w="90" w:type="dxa"/>
            </w:tcMar>
            <w:shd w:fill="D9EAF7" w:val="clear"/>
          </w:tcPr>
          <w:p>
            <w:pPr>
              <w:pStyle w:val="Compact"/>
              <w:jc w:val="left"/>
            </w:pPr>
            <w:r>
              <w:t xml:space="preserve">Health (D₂)</w:t>
            </w:r>
          </w:p>
        </w:tc>
        <w:tc>
          <w:tcPr>
            <w:tcMar>
              <w:top w:w="80" w:type="dxa"/>
              <w:start w:w="90" w:type="dxa"/>
              <w:bottom w:w="80" w:type="dxa"/>
              <w:end w:w="90" w:type="dxa"/>
            </w:tcMar>
            <w:shd w:fill="D9EAF7" w:val="clear"/>
          </w:tcPr>
          <w:p>
            <w:pPr>
              <w:pStyle w:val="Compact"/>
              <w:jc w:val="left"/>
            </w:pPr>
            <w:r>
              <w:t xml:space="preserve">0.10</w:t>
            </w:r>
          </w:p>
        </w:tc>
      </w:tr>
      <w:tr>
        <w:trPr/>
        <w:tc>
          <w:tcPr>
            <w:tcMar>
              <w:top w:w="80" w:type="dxa"/>
              <w:start w:w="90" w:type="dxa"/>
              <w:bottom w:w="80" w:type="dxa"/>
              <w:end w:w="90" w:type="dxa"/>
            </w:tcMar>
            <w:shd w:fill="F7FBFF" w:val="clear"/>
          </w:tcPr>
          <w:p>
            <w:pPr>
              <w:pStyle w:val="Compact"/>
              <w:jc w:val="left"/>
            </w:pPr>
            <w:r>
              <w:t xml:space="preserve">Social (D₃)</w:t>
            </w:r>
          </w:p>
        </w:tc>
        <w:tc>
          <w:tcPr>
            <w:tcMar>
              <w:top w:w="80" w:type="dxa"/>
              <w:start w:w="90" w:type="dxa"/>
              <w:bottom w:w="80" w:type="dxa"/>
              <w:end w:w="90" w:type="dxa"/>
            </w:tcMar>
            <w:shd w:fill="F7FBFF" w:val="clear"/>
          </w:tcPr>
          <w:p>
            <w:pPr>
              <w:pStyle w:val="Compact"/>
              <w:jc w:val="left"/>
            </w:pPr>
            <w:r>
              <w:t xml:space="preserve">0.08</w:t>
            </w:r>
          </w:p>
        </w:tc>
      </w:tr>
      <w:tr>
        <w:trPr/>
        <w:tc>
          <w:tcPr>
            <w:tcMar>
              <w:top w:w="80" w:type="dxa"/>
              <w:start w:w="90" w:type="dxa"/>
              <w:bottom w:w="80" w:type="dxa"/>
              <w:end w:w="90" w:type="dxa"/>
            </w:tcMar>
            <w:shd w:fill="D9EAF7" w:val="clear"/>
          </w:tcPr>
          <w:p>
            <w:pPr>
              <w:pStyle w:val="Compact"/>
              <w:jc w:val="left"/>
            </w:pPr>
            <w:r>
              <w:t xml:space="preserve">Knowledge (D₄)</w:t>
            </w:r>
          </w:p>
        </w:tc>
        <w:tc>
          <w:tcPr>
            <w:tcMar>
              <w:top w:w="80" w:type="dxa"/>
              <w:start w:w="90" w:type="dxa"/>
              <w:bottom w:w="80" w:type="dxa"/>
              <w:end w:w="90" w:type="dxa"/>
            </w:tcMar>
            <w:shd w:fill="D9EAF7" w:val="clear"/>
          </w:tcPr>
          <w:p>
            <w:pPr>
              <w:pStyle w:val="Compact"/>
              <w:jc w:val="left"/>
            </w:pPr>
            <w:r>
              <w:t xml:space="preserve">0.08</w:t>
            </w:r>
          </w:p>
        </w:tc>
      </w:tr>
      <w:tr>
        <w:trPr/>
        <w:tc>
          <w:tcPr>
            <w:tcMar>
              <w:top w:w="80" w:type="dxa"/>
              <w:start w:w="90" w:type="dxa"/>
              <w:bottom w:w="80" w:type="dxa"/>
              <w:end w:w="90" w:type="dxa"/>
            </w:tcMar>
            <w:shd w:fill="F7FBFF" w:val="clear"/>
          </w:tcPr>
          <w:p>
            <w:pPr>
              <w:pStyle w:val="Compact"/>
              <w:jc w:val="left"/>
            </w:pPr>
            <w:r>
              <w:t xml:space="preserve">Agency (D₅)</w:t>
            </w:r>
          </w:p>
        </w:tc>
        <w:tc>
          <w:tcPr>
            <w:tcMar>
              <w:top w:w="80" w:type="dxa"/>
              <w:start w:w="90" w:type="dxa"/>
              <w:bottom w:w="80" w:type="dxa"/>
              <w:end w:w="90" w:type="dxa"/>
            </w:tcMar>
            <w:shd w:fill="F7FBFF" w:val="clear"/>
          </w:tcPr>
          <w:p>
            <w:pPr>
              <w:pStyle w:val="Compact"/>
              <w:jc w:val="left"/>
            </w:pPr>
            <w:r>
              <w:t xml:space="preserve">0.10</w:t>
            </w:r>
          </w:p>
        </w:tc>
      </w:tr>
      <w:tr>
        <w:trPr/>
        <w:tc>
          <w:tcPr>
            <w:tcMar>
              <w:top w:w="80" w:type="dxa"/>
              <w:start w:w="90" w:type="dxa"/>
              <w:bottom w:w="80" w:type="dxa"/>
              <w:end w:w="90" w:type="dxa"/>
            </w:tcMar>
            <w:shd w:fill="D9EAF7" w:val="clear"/>
          </w:tcPr>
          <w:p>
            <w:pPr>
              <w:pStyle w:val="Compact"/>
              <w:jc w:val="left"/>
            </w:pPr>
            <w:r>
              <w:t xml:space="preserve">Meaning (D₆)</w:t>
            </w:r>
          </w:p>
        </w:tc>
        <w:tc>
          <w:tcPr>
            <w:tcMar>
              <w:top w:w="80" w:type="dxa"/>
              <w:start w:w="90" w:type="dxa"/>
              <w:bottom w:w="80" w:type="dxa"/>
              <w:end w:w="90" w:type="dxa"/>
            </w:tcMar>
            <w:shd w:fill="D9EAF7" w:val="clear"/>
          </w:tcPr>
          <w:p>
            <w:pPr>
              <w:pStyle w:val="Compact"/>
              <w:jc w:val="left"/>
            </w:pPr>
            <w:r>
              <w:t xml:space="preserve">0.06</w:t>
            </w:r>
          </w:p>
        </w:tc>
      </w:tr>
      <w:tr>
        <w:trPr/>
        <w:tc>
          <w:tcPr>
            <w:tcMar>
              <w:top w:w="80" w:type="dxa"/>
              <w:start w:w="90" w:type="dxa"/>
              <w:bottom w:w="80" w:type="dxa"/>
              <w:end w:w="90" w:type="dxa"/>
            </w:tcMar>
            <w:shd w:fill="F7FBFF" w:val="clear"/>
          </w:tcPr>
          <w:p>
            <w:pPr>
              <w:pStyle w:val="Compact"/>
              <w:jc w:val="left"/>
            </w:pPr>
            <w:r>
              <w:t xml:space="preserve">Environment (D₇)</w:t>
            </w:r>
          </w:p>
        </w:tc>
        <w:tc>
          <w:tcPr>
            <w:tcMar>
              <w:top w:w="80" w:type="dxa"/>
              <w:start w:w="90" w:type="dxa"/>
              <w:bottom w:w="80" w:type="dxa"/>
              <w:end w:w="90" w:type="dxa"/>
            </w:tcMar>
            <w:shd w:fill="F7FBFF" w:val="clear"/>
          </w:tcPr>
          <w:p>
            <w:pPr>
              <w:pStyle w:val="Compact"/>
              <w:jc w:val="left"/>
            </w:pPr>
            <w:r>
              <w:t xml:space="preserve">0.10</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rPr>
                <w:b/>
                <w:bCs/>
              </w:rPr>
              <w:t xml:space="preserve">Total</w:t>
            </w:r>
          </w:p>
        </w:tc>
        <w:tc>
          <w:tcPr>
            <w:tcMar>
              <w:top w:w="80" w:type="dxa"/>
              <w:start w:w="90" w:type="dxa"/>
              <w:bottom w:w="80" w:type="dxa"/>
              <w:end w:w="90" w:type="dxa"/>
            </w:tcMar>
            <w:shd w:fill="D9EAF7" w:val="clear"/>
            <w:tcBorders>
              <w:bottom w:val="single" w:sz="8" w:space="0" w:color="1F4E78"/>
            </w:tcBorders>
          </w:tcPr>
          <w:p>
            <w:pPr>
              <w:pStyle w:val="Compact"/>
              <w:jc w:val="left"/>
            </w:pPr>
            <w:r>
              <w:rPr>
                <w:b/>
                <w:bCs/>
              </w:rPr>
              <w:t xml:space="preserve">0.60</w:t>
            </w:r>
          </w:p>
        </w:tc>
      </w:tr>
    </w:tbl>
    <w:bookmarkEnd w:id="220"/>
    <w:bookmarkStart w:id="221" w:name="Xc6a275e4a7fa06955869d37da91eeccb44ed27a"/>
    <w:p>
      <w:pPr>
        <w:pStyle w:val="Heading3"/>
        <w:keepNext/>
        <w:keepLines/>
        <w:pageBreakBefore w:val="0"/>
        <w:widowControl/>
      </w:pPr>
      <w:r>
        <w:rPr>
          <w:rFonts w:ascii="Arial" w:hAnsi="Arial" w:eastAsia="Arial"/>
          <w:b/>
          <w:color w:val="1F4E78"/>
        </w:rPr>
        <w:t xml:space="preserve">13.1.3 Floor meaning (Normative)</w:t>
      </w:r>
    </w:p>
    <w:p>
      <w:pPr>
        <w:pStyle w:val="FirstParagraph"/>
        <w:widowControl/>
      </w:pPr>
      <w:r>
        <w:t xml:space="preserve">Constitutional weight floors are minimum attention constraints in residual welfare ranking among options that have already passed the relevant admissibility gates. They are not rights. Rights are handled through NCRC in Section 7. They are not predictions of welfare salience for any particular decision. They are anti-erasure governance priors.</w:t>
      </w:r>
    </w:p>
    <w:p>
      <w:pPr>
        <w:pStyle w:val="BodyText"/>
        <w:widowControl/>
      </w:pPr>
      <w:r>
        <w:t xml:space="preserve">A floor value means that the corresponding Union Scope or welfare dimension may not be reduced to zero attention in residual welfare scoring merely because it is politically weak, distant, non-vocal, non-human, future-facing, or inconvenient to model.</w:t>
      </w:r>
    </w:p>
    <w:p>
      <w:pPr>
        <w:pStyle w:val="BodyText"/>
        <w:widowControl/>
      </w:pPr>
      <w:r>
        <w:t xml:space="preserve">Floor weights do not make all scopes equally active in every decision. PLSS may concentrate residual welfare attention on prominent scopes where the local ripple is strongest, provided that NCRC, TRC, CSV, non-maskable cells, and constitutional floors remain preserved.</w:t>
      </w:r>
    </w:p>
    <w:p>
      <w:pPr>
        <w:pStyle w:val="BodyText"/>
        <w:widowControl/>
      </w:pPr>
      <w:r>
        <w:t xml:space="preserve">Floor weights do not override evidence. They preserve representation. They ensure that optimization cannot erase a scope or dimension before the system has accounted for whether rights, tail-risk, containment, or welfare impacts are present.</w:t>
      </w:r>
    </w:p>
    <w:p>
      <w:pPr>
        <w:pStyle w:val="BodyText"/>
        <w:widowControl/>
      </w:pPr>
      <w:r>
        <w:t xml:space="preserve">Design logic. The canonical floor values are governance priors chosen to prevent erasure while leaving residual weight available for context-sensitive allocation. They are subject to governed revision only through the versioned update process, sensitivity analysis, and release-manifest discipline. They SHALL NOT be modified inside a run after outcome evidence is observed.</w:t>
      </w:r>
    </w:p>
    <w:bookmarkEnd w:id="221"/>
    <w:bookmarkStart w:id="222" w:name="X7c21ba84416244db56877ef99c1f61aa84fd65d"/>
    <w:p>
      <w:pPr>
        <w:pStyle w:val="Heading3"/>
        <w:keepNext/>
        <w:keepLines/>
        <w:pageBreakBefore w:val="0"/>
        <w:widowControl/>
      </w:pPr>
      <w:r>
        <w:rPr>
          <w:rFonts w:ascii="Arial" w:hAnsi="Arial" w:eastAsia="Arial"/>
          <w:b/>
          <w:color w:val="1F4E78"/>
        </w:rPr>
        <w:t xml:space="preserve">13.1.4 Floor derivation rationale (Normative governance prior; Informative derivation)</w:t>
      </w:r>
    </w:p>
    <w:p>
      <w:pPr>
        <w:pStyle w:val="FirstParagraph"/>
        <w:widowControl/>
      </w:pPr>
      <w:r>
        <w:t xml:space="preserve">The constitutional floor values are governance priors designed to satisfy three structural requirements simultaneously: anti-erasure (no scope or dimension may be reduced to zero attention in welfare ranking among admissible options), proportionality (scopes with longer characteristic timescales, broader stakeholder coverage, or stronger enabling-condition roles receive moderately higher floors), and residual allocation headroom (floor totals are kept well below 1.0 to preserve meaningful democratic and structural tuning space).</w:t>
      </w:r>
    </w:p>
    <w:p>
      <w:pPr>
        <w:pStyle w:val="BodyText"/>
        <w:widowControl/>
      </w:pPr>
      <w:r>
        <w:t xml:space="preserve">Specific design logic for union floors:</w:t>
      </w:r>
    </w:p>
    <w:p>
      <w:pPr>
        <w:pStyle w:val="BodyText"/>
        <w:widowControl/>
      </w:pPr>
      <w:r>
        <w:rPr>
          <w:b/>
        </w:rPr>
        <w:t>Self (U1) = 0.20.</w:t>
      </w:r>
      <w:r>
        <w:t xml:space="preserve"> Highest floor because individual-level experience, health, agency, and concentrated burdens are the irreducible welfare surface from which higher-scope aggregates are constructed. The floor prevents person-level impacts from disappearing inside household, organizational, polity, humanity, or biosphere summaries. It is not a decision-maker self-interest prior: a decision-maker or operator enters U1 only when materially affected and mapped under the same stakeholder and redundancy rules as anyone else. The floor remains below 0.25 so broader scopes collectively retain majority residual allocation.</w:t>
      </w:r>
    </w:p>
    <w:p>
      <w:pPr>
        <w:pStyle w:val="BodyText"/>
        <w:widowControl/>
      </w:pPr>
      <w:r>
        <w:t xml:space="preserve">Household (U2) through Organisation (U4) = 0.06 each. Set as equal modest floors reflecting that these scopes vary substantially in relevance across decision classes, so residual allocation rather than floor values should drive their relative emphasis.</w:t>
      </w:r>
    </w:p>
    <w:p>
      <w:pPr>
        <w:pStyle w:val="BodyText"/>
        <w:widowControl/>
      </w:pPr>
      <w:r>
        <w:t xml:space="preserve">Polity (U5) = 0.08. Modestly elevated above U2 through U4 because procedural legitimacy, enforcement capacity, and rule-of-law infrastructure are enabling conditions for all other scopes.</w:t>
      </w:r>
    </w:p>
    <w:p>
      <w:pPr>
        <w:pStyle w:val="BodyText"/>
        <w:widowControl/>
      </w:pPr>
      <w:r>
        <w:t xml:space="preserve">Humanity / Global Coordination (U6) and Biosphere (U7) = 0.10 each. Elevated because these scopes carry the longest characteristic timescales, the broadest stakeholder coverage, and the strongest enabling-condition roles. Degradation at these scopes is often irreversible and threatens the viability of all contained scopes.</w:t>
      </w:r>
    </w:p>
    <w:p>
      <w:pPr>
        <w:pStyle w:val="BodyText"/>
        <w:widowControl/>
      </w:pPr>
      <w:r>
        <w:t xml:space="preserve">Specific design logic for dimension floors:</w:t>
      </w:r>
    </w:p>
    <w:p>
      <w:pPr>
        <w:pStyle w:val="BodyText"/>
        <w:widowControl/>
      </w:pPr>
      <w:r>
        <w:t xml:space="preserve">Health (D2), Agency (D5), and Environment (D7) = 0.10 each. Elevated because these dimensions are most directly tied to rights-floor and enabling-condition protection: Health to survival and functioning, Agency to autonomy and non-domination, Environment to ecological viability.</w:t>
      </w:r>
    </w:p>
    <w:p>
      <w:pPr>
        <w:pStyle w:val="BodyText"/>
        <w:widowControl/>
      </w:pPr>
      <w:r>
        <w:t xml:space="preserve">Material (D1), Social (D3), and Knowledge (D4) = 0.08 each. Set as equal moderate floors reflecting their cross-cutting importance without prioritising any one.</w:t>
      </w:r>
    </w:p>
    <w:p>
      <w:pPr>
        <w:pStyle w:val="BodyText"/>
        <w:widowControl/>
      </w:pPr>
      <w:r>
        <w:t xml:space="preserve">Meaning (D6) = 0.06. Lowest floor because Meaning is the dimension most resistant to reliable cross-cultural measurement (Section 19.1) and most context-dependent in its governance relevance. The floor is non-zero to prevent erasure but is set conservatively pending measurement improvement.</w:t>
      </w:r>
    </w:p>
    <w:p>
      <w:pPr>
        <w:pStyle w:val="BodyText"/>
        <w:widowControl/>
      </w:pPr>
      <w:r>
        <w:t xml:space="preserve">Status (Normative). These floors are governance priors, not empirically derived constants. They are explicitly challengeable under the same governance rules that apply to all RippleLogic normative parameters: revision requires justification, version increment, PCC documentation preserving prior values, and sensitivity outcomes over a reference decision suite (Section 7.1). The values have remained stable since v6.0 and are carried forward in SGP v8.4 and preserved through RippleLogic v12.0 because no revision proposal has been submitted that satisfies these requirements.</w:t>
      </w:r>
    </w:p>
    <w:p>
      <w:pPr>
        <w:pStyle w:val="BodyText"/>
        <w:widowControl/>
      </w:pPr>
      <w:r>
        <w:t xml:space="preserve">Sensitivity guidance (Normative). Tier 3 deployments SHOULD include floor perturbation in their sensitivity bundle, testing at minimum +/-0.02 on each floor value (clamped to maintain sum &lt;= 1 and all floors &gt;= 0.02). If selection changes under floor perturbation, the PCC MUST document this sensitivity.</w:t>
      </w:r>
    </w:p>
    <w:p>
      <w:pPr>
        <w:pStyle w:val="BodyText"/>
        <w:widowControl/>
      </w:pPr>
      <w:r>
        <w:t xml:space="preserve">Floors prevent unions and dimensions from being reduced to zero by weight governance. Active-cell rules, applicability masks, and declared scope structure separately determine whether a given scope or dimension contributes to a specific run. Floors are not rights, because rights are handled by NCRC; floors are minimum attention constraints in welfare optimization among admissible options. The floor values specified below are the canonical v6.0 floors, carried forward in SGP v8.4 and preserved through RippleLogic v12.0, and preserved unchanged in subsequent releases unless explicitly amended in the version history.</w:t>
      </w:r>
    </w:p>
    <w:bookmarkEnd w:id="222"/>
    <w:bookmarkEnd w:id="223"/>
    <w:bookmarkStart w:id="224" w:name="X3c388b83ac2a1bc420c6b9d0f535d99aed9b013"/>
    <w:p>
      <w:pPr>
        <w:pStyle w:val="Heading2"/>
        <w:keepNext/>
        <w:keepLines/>
        <w:pageBreakBefore w:val="0"/>
        <w:widowControl/>
      </w:pPr>
      <w:r>
        <w:rPr>
          <w:rFonts w:ascii="Arial" w:hAnsi="Arial" w:eastAsia="Arial"/>
          <w:b/>
          <w:color w:val="1F4E78"/>
        </w:rPr>
        <w:t xml:space="preserve">13.2 HDW Blend Formula (Normative)</w:t>
      </w:r>
    </w:p>
    <w:p>
      <w:pPr>
        <w:pStyle w:val="FirstParagraph"/>
        <w:widowControl/>
      </w:pPr>
      <w:r>
        <w:t xml:space="preserve">Let:</w:t>
      </w:r>
    </w:p>
    <w:p>
      <w:pPr>
        <w:pStyle w:val="Compact"/>
        <w:widowControl/>
        <w:numPr>
          <w:ilvl w:val="0"/>
          <w:numId w:val="1136"/>
        </w:numPr>
      </w:pPr>
      <w:r>
        <w:t xml:space="preserve">w^floor be union floors,</w:t>
      </w:r>
    </w:p>
    <w:p>
      <w:pPr>
        <w:pStyle w:val="Compact"/>
        <w:widowControl/>
        <w:numPr>
          <w:ilvl w:val="0"/>
          <w:numId w:val="1137"/>
        </w:numPr>
      </w:pPr>
      <w:r>
        <w:t xml:space="preserve">v^floor be dimension floors.</w:t>
      </w:r>
    </w:p>
    <w:p>
      <w:pPr>
        <w:pStyle w:val="FirstParagraph"/>
        <w:widowControl/>
      </w:pPr>
      <w:r>
        <w:t xml:space="preserve">Define allocable mass:</w:t>
      </w:r>
    </w:p>
    <w:p>
      <w:pPr>
        <w:pStyle w:val="Compact"/>
        <w:widowControl/>
        <w:numPr>
          <w:ilvl w:val="0"/>
          <w:numId w:val="1138"/>
        </w:numPr>
      </w:pPr>
      <w:r>
        <w:t xml:space="preserve">allocable_U = 1 − Σ_u w^floor_u = 0.34</w:t>
      </w:r>
    </w:p>
    <w:p>
      <w:pPr>
        <w:pStyle w:val="Compact"/>
        <w:widowControl/>
        <w:numPr>
          <w:ilvl w:val="0"/>
          <w:numId w:val="1139"/>
        </w:numPr>
      </w:pPr>
      <w:r>
        <w:t xml:space="preserve">allocable_D = 1 − Σ_d v^floor_d = 0.40</w:t>
      </w:r>
    </w:p>
    <w:p>
      <w:pPr>
        <w:pStyle w:val="FirstParagraph"/>
        <w:widowControl/>
      </w:pPr>
      <w:r>
        <w:t xml:space="preserve">Let w^dem and w^str be union proposal vectors on the simplex (Σ_u w^dem_u = 1, all nonnegative). Let λ_U be the democratic share of allocable union mass. Default: λ_U = 0.70.</w:t>
      </w:r>
    </w:p>
    <w:p>
      <w:pPr>
        <w:pStyle w:val="BodyText"/>
        <w:widowControl/>
      </w:pPr>
      <w:r>
        <w:t xml:space="preserve">Clarification (Normative). Proposal vectors are constrained to the probability simplex: all components nonnegative, sum to 1, and subject to any declared floor constraints before blending. Validators MUST reject proposal vectors that violate simplex or floor constraints.</w:t>
      </w:r>
    </w:p>
    <w:p>
      <w:pPr>
        <w:pStyle w:val="BodyText"/>
        <w:widowControl/>
      </w:pPr>
      <w:r>
        <w:t xml:space="preserve">Then:</w:t>
      </w:r>
    </w:p>
    <w:p>
      <w:pPr>
        <w:pStyle w:val="BodyText"/>
        <w:widowControl/>
      </w:pPr>
      <w:r>
        <w:t xml:space="preserve">w_u = w^floor_u + allocable_U × (λ_U × w^dem_u + (1 − λ_U) × w^str_u)</w:t>
      </w:r>
    </w:p>
    <w:p>
      <w:pPr>
        <w:pStyle w:val="BodyText"/>
        <w:widowControl/>
      </w:pPr>
      <w:r>
        <w:t xml:space="preserve">Similarly for dimensions with λ_D (default λ_D = 0.70):</w:t>
      </w:r>
    </w:p>
    <w:p>
      <w:pPr>
        <w:pStyle w:val="BodyText"/>
        <w:widowControl/>
      </w:pPr>
      <w:r>
        <w:t xml:space="preserve">v_d = v^floor_d + allocable_D × (λ_D × v^dem_d + (1 − λ_D) × v^str_d)</w:t>
      </w:r>
    </w:p>
    <w:p>
      <w:pPr>
        <w:pStyle w:val="BodyText"/>
        <w:widowControl/>
      </w:pPr>
      <w:r>
        <w:t xml:space="preserve">By construction:</w:t>
      </w:r>
    </w:p>
    <w:p>
      <w:pPr>
        <w:pStyle w:val="Compact"/>
        <w:widowControl/>
        <w:numPr>
          <w:ilvl w:val="0"/>
          <w:numId w:val="1140"/>
        </w:numPr>
      </w:pPr>
      <w:r>
        <w:t xml:space="preserve">Σ_u w_u = 1,</w:t>
      </w:r>
    </w:p>
    <w:p>
      <w:pPr>
        <w:pStyle w:val="Compact"/>
        <w:widowControl/>
        <w:numPr>
          <w:ilvl w:val="0"/>
          <w:numId w:val="1141"/>
        </w:numPr>
      </w:pPr>
      <w:r>
        <w:t xml:space="preserve">Σ_d v_d = 1,</w:t>
      </w:r>
    </w:p>
    <w:p>
      <w:pPr>
        <w:pStyle w:val="Compact"/>
        <w:widowControl/>
        <w:numPr>
          <w:ilvl w:val="0"/>
          <w:numId w:val="1142"/>
        </w:numPr>
      </w:pPr>
      <w:r>
        <w:t xml:space="preserve">All floors are satisfied,</w:t>
      </w:r>
    </w:p>
    <w:p>
      <w:pPr>
        <w:pStyle w:val="Compact"/>
        <w:widowControl/>
        <w:numPr>
          <w:ilvl w:val="0"/>
          <w:numId w:val="1143"/>
        </w:numPr>
      </w:pPr>
      <w:r>
        <w:t xml:space="preserve">Weights remain nonnegative.</w:t>
      </w:r>
    </w:p>
    <w:bookmarkEnd w:id="224"/>
    <w:bookmarkStart w:id="225" w:name="Xa5eabf475410b1e8c57421a08480debe35d159a"/>
    <w:p>
      <w:pPr>
        <w:pStyle w:val="Heading2"/>
        <w:keepNext/>
        <w:keepLines/>
        <w:pageBreakBefore w:val="0"/>
        <w:widowControl/>
      </w:pPr>
      <w:r>
        <w:rPr>
          <w:rFonts w:ascii="Arial" w:hAnsi="Arial" w:eastAsia="Arial"/>
          <w:b/>
          <w:color w:val="1F4E78"/>
        </w:rPr>
        <w:t xml:space="preserve">13.3 Democratic Proposal Process (Normative minimum)</w:t>
      </w:r>
    </w:p>
    <w:p>
      <w:pPr>
        <w:pStyle w:val="FirstParagraph"/>
        <w:widowControl/>
      </w:pPr>
      <w:r>
        <w:t xml:space="preserve">HDW requires a documented process for producing w^dem and v^dem. At minimum:</w:t>
      </w:r>
    </w:p>
    <w:p>
      <w:pPr>
        <w:pStyle w:val="Compact"/>
        <w:widowControl/>
        <w:numPr>
          <w:ilvl w:val="0"/>
          <w:numId w:val="1144"/>
        </w:numPr>
      </w:pPr>
      <w:r>
        <w:t xml:space="preserve">Participants: Representatives from affected unions (including vulnerable populations),</w:t>
      </w:r>
    </w:p>
    <w:p>
      <w:pPr>
        <w:pStyle w:val="Compact"/>
        <w:widowControl/>
        <w:numPr>
          <w:ilvl w:val="0"/>
          <w:numId w:val="1145"/>
        </w:numPr>
      </w:pPr>
      <w:r>
        <w:t xml:space="preserve">Method: Transparent vote or deliberative process with published results,</w:t>
      </w:r>
    </w:p>
    <w:p>
      <w:pPr>
        <w:pStyle w:val="Compact"/>
        <w:widowControl/>
        <w:numPr>
          <w:ilvl w:val="0"/>
          <w:numId w:val="1146"/>
        </w:numPr>
      </w:pPr>
      <w:r>
        <w:t xml:space="preserve">Publication: Results recorded in PCC and (Tier 3 recommended) in an immutable ledger.</w:t>
      </w:r>
    </w:p>
    <w:bookmarkEnd w:id="225"/>
    <w:bookmarkStart w:id="226" w:name="X2c854fba6d4bfc2215c458d189a95a7335dfc40"/>
    <w:p>
      <w:pPr>
        <w:pStyle w:val="Heading2"/>
        <w:keepNext/>
        <w:keepLines/>
        <w:pageBreakBefore w:val="0"/>
        <w:widowControl/>
      </w:pPr>
      <w:r>
        <w:rPr>
          <w:rFonts w:ascii="Arial" w:hAnsi="Arial" w:eastAsia="Arial"/>
          <w:b/>
          <w:color w:val="1F4E78"/>
        </w:rPr>
        <w:t xml:space="preserve">13.3A Democratic Tuning Procedure (Normative minimum)</w:t>
      </w:r>
    </w:p>
    <w:p>
      <w:pPr>
        <w:pStyle w:val="FirstParagraph"/>
        <w:widowControl/>
      </w:pPr>
      <w:r>
        <w:t xml:space="preserve">At minimum, HDW democratic tuning SHALL use a declared participation protocol that produces reproducible proposal vectors for scopes and dimensions. The default ballot method is a two-ballot allocation: each eligible participant allocates 100 points across the seven operational scopes to produce a raw scope proposal, and 100 points across the seven welfare dimensions to produce a raw dimension proposal.</w:t>
      </w:r>
    </w:p>
    <w:p>
      <w:pPr>
        <w:pStyle w:val="BodyText"/>
        <w:widowControl/>
      </w:pPr>
      <w:r>
        <w:t xml:space="preserve">Normalization rule (Normative). Raw ballot totals SHALL be normalized onto the simplex to produce w^dem and v^dem. Ballots with missing, negative, or over-totaled entries MUST be corrected or excluded under a declared correction rule recorded in the PCC. The PCC MUST record participant eligibility, quorum rule, number of ballots counted, exclusion/correction rule, and the final normalized proposal vectors.</w:t>
      </w:r>
    </w:p>
    <w:p>
      <w:pPr>
        <w:pStyle w:val="BodyText"/>
        <w:widowControl/>
      </w:pPr>
      <w:r>
        <w:t xml:space="preserve">Minimum procedural safeguards (Normative). Tier 3 HDW runs MUST include: (i) declared eligibility criteria, (ii) quorum threshold, (iii) publication of aggregate results, (iv) challenger opportunity before final locking, and (v) retention of the raw ballot summary sufficient for independent recomputation. If these conditions are not met, the run MUST use a declared interim weight profile and MUST NOT present the democratic proposal as fully satisfied HDW governance.</w:t>
      </w:r>
    </w:p>
    <w:p>
      <w:pPr>
        <w:pStyle w:val="BodyText"/>
        <w:widowControl/>
      </w:pPr>
      <w:r>
        <w:t xml:space="preserve">Floor lock (Normative). Democratic tuning operates only over allocable mass above constitutional floors. No democratic proposal may reduce any scope or dimension below its Section 13.1 floor. Where a ballot pattern would place a component within 0.02 of its floor, the Section 13.5 supermajority safeguard applies.</w:t>
      </w:r>
    </w:p>
    <w:bookmarkEnd w:id="226"/>
    <w:bookmarkStart w:id="227" w:name="X80cce863fc6d582b5dc3ac8bb2fdc95218c37c9"/>
    <w:p>
      <w:pPr>
        <w:pStyle w:val="Heading2"/>
        <w:keepNext/>
        <w:keepLines/>
        <w:pageBreakBefore w:val="0"/>
        <w:widowControl/>
      </w:pPr>
      <w:r>
        <w:rPr>
          <w:rFonts w:ascii="Arial" w:hAnsi="Arial" w:eastAsia="Arial"/>
          <w:b/>
          <w:color w:val="1F4E78"/>
        </w:rPr>
        <w:t xml:space="preserve">13.4 Structural Proposal Process (Normative minimum)</w:t>
      </w:r>
    </w:p>
    <w:p>
      <w:pPr>
        <w:pStyle w:val="FirstParagraph"/>
        <w:widowControl/>
      </w:pPr>
      <w:r>
        <w:t xml:space="preserve">w^str and v^str represent evidence-informed constraints (for example, externality reach, irreversibility, systemic risk). At minimum:</w:t>
      </w:r>
    </w:p>
    <w:p>
      <w:pPr>
        <w:pStyle w:val="Compact"/>
        <w:widowControl/>
        <w:numPr>
          <w:ilvl w:val="0"/>
          <w:numId w:val="1147"/>
        </w:numPr>
      </w:pPr>
      <w:r>
        <w:t xml:space="preserve">Method: Documented rule for producing w^str, v^str,</w:t>
      </w:r>
    </w:p>
    <w:p>
      <w:pPr>
        <w:pStyle w:val="Compact"/>
        <w:widowControl/>
        <w:numPr>
          <w:ilvl w:val="0"/>
          <w:numId w:val="1148"/>
        </w:numPr>
      </w:pPr>
      <w:r>
        <w:t xml:space="preserve">Inputs: Declared indicators and sources,</w:t>
      </w:r>
    </w:p>
    <w:p>
      <w:pPr>
        <w:pStyle w:val="Compact"/>
        <w:widowControl/>
        <w:numPr>
          <w:ilvl w:val="0"/>
          <w:numId w:val="1149"/>
        </w:numPr>
      </w:pPr>
      <w:r>
        <w:t xml:space="preserve">Reproducibility: The same method yields same output given same data.</w:t>
      </w:r>
    </w:p>
    <w:p>
      <w:pPr>
        <w:pStyle w:val="FirstParagraph"/>
        <w:widowControl/>
      </w:pPr>
      <w:r>
        <w:t xml:space="preserve">If a deployment lacks structural evidence, it may use a declared interim default w^str, v^str at Tier 2, but Tier 3 SHOULD converge to a governed structural method over time.</w:t>
      </w:r>
    </w:p>
    <w:bookmarkEnd w:id="227"/>
    <w:bookmarkStart w:id="228" w:name="Xfa6c4553cbfa048b1910bbfaaeb2c7f16ca31a7"/>
    <w:p>
      <w:pPr>
        <w:pStyle w:val="Heading2"/>
        <w:keepNext/>
        <w:keepLines/>
        <w:pageBreakBefore w:val="0"/>
        <w:widowControl/>
      </w:pPr>
      <w:r>
        <w:rPr>
          <w:rFonts w:ascii="Arial" w:hAnsi="Arial" w:eastAsia="Arial"/>
          <w:b/>
          <w:color w:val="1F4E78"/>
        </w:rPr>
        <w:t xml:space="preserve">13.5 Anti-Capture Safeguards (Normative for Tier 3)</w:t>
      </w:r>
    </w:p>
    <w:p>
      <w:pPr>
        <w:pStyle w:val="FirstParagraph"/>
        <w:widowControl/>
      </w:pPr>
      <w:r>
        <w:t xml:space="preserve">Tier 3 weight governance MUST include:</w:t>
      </w:r>
    </w:p>
    <w:p>
      <w:pPr>
        <w:pStyle w:val="Compact"/>
        <w:widowControl/>
        <w:numPr>
          <w:ilvl w:val="0"/>
          <w:numId w:val="1150"/>
        </w:numPr>
      </w:pPr>
      <w:r>
        <w:t xml:space="preserve">Stratified representation: Delegates must include vulnerable population representation and biosphere stewardship for environment-relevant decisions.</w:t>
      </w:r>
    </w:p>
    <w:p>
      <w:pPr>
        <w:pStyle w:val="Compact"/>
        <w:widowControl/>
        <w:numPr>
          <w:ilvl w:val="0"/>
          <w:numId w:val="1151"/>
        </w:numPr>
      </w:pPr>
      <w:r>
        <w:t xml:space="preserve">Supermajority lock near floors: Any proposal reducing a weight to within 0.02 of its floor requires ≥2/3 approval.</w:t>
      </w:r>
    </w:p>
    <w:p>
      <w:pPr>
        <w:pStyle w:val="Compact"/>
        <w:widowControl/>
        <w:numPr>
          <w:ilvl w:val="0"/>
          <w:numId w:val="1152"/>
        </w:numPr>
      </w:pPr>
      <w:r>
        <w:t xml:space="preserve">Transparency ledger: All proposals, votes, rationales published (at least internally).</w:t>
      </w:r>
    </w:p>
    <w:p>
      <w:pPr>
        <w:pStyle w:val="Compact"/>
        <w:widowControl/>
        <w:numPr>
          <w:ilvl w:val="0"/>
          <w:numId w:val="1153"/>
        </w:numPr>
      </w:pPr>
      <w:r>
        <w:t xml:space="preserve">Red-team testing: Proposed weights tested against reference decision suites to detect systematic bias.</w:t>
      </w:r>
    </w:p>
    <w:p>
      <w:pPr>
        <w:pStyle w:val="Compact"/>
        <w:widowControl/>
        <w:numPr>
          <w:ilvl w:val="0"/>
          <w:numId w:val="1154"/>
        </w:numPr>
      </w:pPr>
      <w:r>
        <w:t xml:space="preserve">Conflict-of-interest disclosure: Material conflicts require recusal; recusals recorded.</w:t>
      </w:r>
    </w:p>
    <w:bookmarkEnd w:id="228"/>
    <w:bookmarkStart w:id="229" w:name="X742a71009e95b44ddcd1c26adff2d195c22e9fc"/>
    <w:p>
      <w:pPr>
        <w:pStyle w:val="Heading2"/>
        <w:keepNext/>
        <w:keepLines/>
        <w:pageBreakBefore w:val="0"/>
        <w:widowControl/>
      </w:pPr>
      <w:r>
        <w:rPr>
          <w:rFonts w:ascii="Arial" w:hAnsi="Arial" w:eastAsia="Arial"/>
          <w:b/>
          <w:color w:val="1F4E78"/>
        </w:rPr>
        <w:t xml:space="preserve">13.6 Weight Use by Tier (Normative)</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Tier</w:t>
            </w:r>
          </w:p>
        </w:tc>
        <w:tc>
          <w:tcPr>
            <w:shd w:fill="1F4E78" w:val="clear"/>
            <w:tcMar>
              <w:top w:w="80" w:type="dxa"/>
              <w:start w:w="90" w:type="dxa"/>
              <w:bottom w:w="80" w:type="dxa"/>
              <w:end w:w="90" w:type="dxa"/>
            </w:tcMar>
          </w:tcPr>
          <w:p>
            <w:pPr>
              <w:pStyle w:val="Compact"/>
              <w:jc w:val="left"/>
            </w:pPr>
            <w:r>
              <w:rPr>
                <w:b/>
                <w:bCs/>
                <w:color w:val="FFFFFF"/>
              </w:rPr>
              <w:t xml:space="preserve">Weight Policy</w:t>
            </w:r>
          </w:p>
        </w:tc>
      </w:tr>
      <w:tr>
        <w:trPr/>
        <w:tc>
          <w:tcPr>
            <w:tcMar>
              <w:top w:w="80" w:type="dxa"/>
              <w:start w:w="90" w:type="dxa"/>
              <w:bottom w:w="80" w:type="dxa"/>
              <w:end w:w="90" w:type="dxa"/>
            </w:tcMar>
            <w:shd w:fill="F7FBFF" w:val="clear"/>
          </w:tcPr>
          <w:p>
            <w:pPr>
              <w:pStyle w:val="Compact"/>
              <w:jc w:val="left"/>
            </w:pPr>
            <w:r>
              <w:t xml:space="preserve">Tier 1</w:t>
            </w:r>
          </w:p>
        </w:tc>
        <w:tc>
          <w:tcPr>
            <w:tcMar>
              <w:top w:w="80" w:type="dxa"/>
              <w:start w:w="90" w:type="dxa"/>
              <w:bottom w:w="80" w:type="dxa"/>
              <w:end w:w="90" w:type="dxa"/>
            </w:tcMar>
            <w:shd w:fill="F7FBFF" w:val="clear"/>
          </w:tcPr>
          <w:p>
            <w:pPr>
              <w:pStyle w:val="Compact"/>
              <w:jc w:val="left"/>
            </w:pPr>
            <w:r>
              <w:t xml:space="preserve">Floor-preserving uniform residual allocation allowed (documented); raw 1/7 union weights are prohibited where constitutional floors apply.</w:t>
            </w:r>
          </w:p>
        </w:tc>
      </w:tr>
      <w:tr>
        <w:trPr/>
        <w:tc>
          <w:tcPr>
            <w:tcMar>
              <w:top w:w="80" w:type="dxa"/>
              <w:start w:w="90" w:type="dxa"/>
              <w:bottom w:w="80" w:type="dxa"/>
              <w:end w:w="90" w:type="dxa"/>
            </w:tcMar>
            <w:shd w:fill="D9EAF7" w:val="clear"/>
          </w:tcPr>
          <w:p>
            <w:pPr>
              <w:pStyle w:val="Compact"/>
              <w:jc w:val="left"/>
            </w:pPr>
            <w:r>
              <w:t xml:space="preserve">Tier 2</w:t>
            </w:r>
          </w:p>
        </w:tc>
        <w:tc>
          <w:tcPr>
            <w:tcMar>
              <w:top w:w="80" w:type="dxa"/>
              <w:start w:w="90" w:type="dxa"/>
              <w:bottom w:w="80" w:type="dxa"/>
              <w:end w:w="90" w:type="dxa"/>
            </w:tcMar>
            <w:shd w:fill="D9EAF7" w:val="clear"/>
          </w:tcPr>
          <w:p>
            <w:pPr>
              <w:pStyle w:val="Compact"/>
              <w:jc w:val="left"/>
            </w:pPr>
            <w:r>
              <w:t xml:space="preserve">Floor-preserving uniform residual allocation allowed; HDW recommended; weights must be declared in PCC.</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Tier 3</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HDW recommended; if not available, explicit interim weights allowed with justification and sensitivity analysis. Floors remain binding regardless.</w:t>
            </w:r>
          </w:p>
        </w:tc>
      </w:tr>
    </w:tbl>
    <w:bookmarkEnd w:id="229"/>
    <w:bookmarkEnd w:id="230"/>
    <w:bookmarkStart w:id="246" w:name="X65e75abfb07d76eefbd4db3a7eb1417001c1ef0"/>
    <w:p>
      <w:pPr>
        <w:pStyle w:val="Heading1"/>
        <w:keepNext/>
        <w:keepLines/>
        <w:pageBreakBefore w:val="0"/>
        <w:widowControl/>
      </w:pPr>
      <w:r>
        <w:rPr>
          <w:rFonts w:ascii="Arial" w:hAnsi="Arial" w:eastAsia="Arial"/>
          <w:b/>
          <w:color w:val="1F4E78"/>
        </w:rPr>
        <w:t xml:space="preserve">SECTION 14: AUDITABILITY AND DETERMINISM: PCC AND AIL (TIER 1-3; TIER 4 TARGET)</w:t>
      </w:r>
    </w:p>
    <w:bookmarkStart w:id="231" w:name="X3c5a375bf3aa551528459629f792d9f8f02b7a2"/>
    <w:p>
      <w:pPr>
        <w:pStyle w:val="Heading2"/>
        <w:keepNext/>
        <w:keepLines/>
        <w:pageBreakBefore w:val="0"/>
        <w:widowControl/>
      </w:pPr>
      <w:r>
        <w:rPr>
          <w:rFonts w:ascii="Arial" w:hAnsi="Arial" w:eastAsia="Arial"/>
          <w:b/>
          <w:color w:val="1F4E78"/>
        </w:rPr>
        <w:t xml:space="preserve">14.0 Purpose (Normative)</w:t>
      </w:r>
    </w:p>
    <w:p>
      <w:pPr>
        <w:pStyle w:val="FirstParagraph"/>
        <w:widowControl/>
      </w:pPr>
      <w:r>
        <w:t xml:space="preserve">Without auditability, ethics frameworks become theater or are gamed. RippleLogic therefore requires a structured decision artifact (PCC) and integrity rules (AIL) to make decisions reconstructable, challengeable, and corrigible via NCAR.</w:t>
      </w:r>
    </w:p>
    <w:p>
      <w:pPr>
        <w:pStyle w:val="BodyText"/>
        <w:widowControl/>
      </w:pPr>
      <w:r>
        <w:t xml:space="preserve">Tier boundary: Tier 1-3 auditability is fully specified here. Tier 4 determinism and hash-bound replayability are explicitly a design target only (Appendix I) and MUST NOT be claimed in the current v12.5 release.</w:t>
      </w:r>
    </w:p>
    <w:bookmarkEnd w:id="231"/>
    <w:bookmarkStart w:id="232" w:name="X2ba6eb724dcb29e490039fef1209f139bccf4e1"/>
    <w:p>
      <w:pPr>
        <w:pStyle w:val="Heading2"/>
        <w:keepNext/>
        <w:keepLines/>
        <w:pageBreakBefore w:val="0"/>
        <w:widowControl/>
      </w:pPr>
      <w:r>
        <w:rPr>
          <w:rFonts w:ascii="Arial" w:hAnsi="Arial" w:eastAsia="Arial"/>
          <w:b/>
          <w:color w:val="1F4E78"/>
        </w:rPr>
        <w:t xml:space="preserve">14.1 Artifact Integrity Law (AIL) Principles (Normative for Tier 2-3)</w:t>
      </w:r>
    </w:p>
    <w:p>
      <w:pPr>
        <w:pStyle w:val="FirstParagraph"/>
        <w:widowControl/>
      </w:pPr>
      <w:r>
        <w:t xml:space="preserve">AIL is a set of integrity constraints governing how decisions are recorded and compared.</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Principle</w:t>
            </w:r>
          </w:p>
        </w:tc>
        <w:tc>
          <w:tcPr>
            <w:shd w:fill="1F4E78" w:val="clear"/>
            <w:tcMar>
              <w:top w:w="80" w:type="dxa"/>
              <w:start w:w="90" w:type="dxa"/>
              <w:bottom w:w="80" w:type="dxa"/>
              <w:end w:w="90" w:type="dxa"/>
            </w:tcMar>
          </w:tcPr>
          <w:p>
            <w:pPr>
              <w:pStyle w:val="Compact"/>
              <w:jc w:val="left"/>
            </w:pPr>
            <w:r>
              <w:rPr>
                <w:b/>
                <w:bCs/>
                <w:color w:val="FFFFFF"/>
              </w:rPr>
              <w:t xml:space="preserve">Description</w:t>
            </w:r>
          </w:p>
        </w:tc>
      </w:tr>
      <w:tr>
        <w:trPr/>
        <w:tc>
          <w:tcPr>
            <w:tcMar>
              <w:top w:w="80" w:type="dxa"/>
              <w:start w:w="90" w:type="dxa"/>
              <w:bottom w:w="80" w:type="dxa"/>
              <w:end w:w="90" w:type="dxa"/>
            </w:tcMar>
            <w:shd w:fill="F7FBFF" w:val="clear"/>
          </w:tcPr>
          <w:p>
            <w:pPr>
              <w:pStyle w:val="Compact"/>
              <w:jc w:val="left"/>
            </w:pPr>
            <w:r>
              <w:t xml:space="preserve">AIL1 (Registry Binding / Source Traceability)</w:t>
            </w:r>
          </w:p>
        </w:tc>
        <w:tc>
          <w:tcPr>
            <w:tcMar>
              <w:top w:w="80" w:type="dxa"/>
              <w:start w:w="90" w:type="dxa"/>
              <w:bottom w:w="80" w:type="dxa"/>
              <w:end w:w="90" w:type="dxa"/>
            </w:tcMar>
            <w:shd w:fill="F7FBFF" w:val="clear"/>
          </w:tcPr>
          <w:p>
            <w:pPr>
              <w:pStyle w:val="Compact"/>
              <w:jc w:val="left"/>
            </w:pPr>
            <w:r>
              <w:t xml:space="preserve">Every Tier 2-3 PCC MUST list the normative parameters used. If hashes/registries are used, they must be referenced; if not, values must be embedded explicitly.</w:t>
            </w:r>
          </w:p>
        </w:tc>
      </w:tr>
      <w:tr>
        <w:trPr/>
        <w:tc>
          <w:tcPr>
            <w:tcMar>
              <w:top w:w="80" w:type="dxa"/>
              <w:start w:w="90" w:type="dxa"/>
              <w:bottom w:w="80" w:type="dxa"/>
              <w:end w:w="90" w:type="dxa"/>
            </w:tcMar>
            <w:shd w:fill="D9EAF7" w:val="clear"/>
          </w:tcPr>
          <w:p>
            <w:pPr>
              <w:pStyle w:val="Compact"/>
              <w:jc w:val="left"/>
            </w:pPr>
            <w:r>
              <w:t xml:space="preserve">AIL2 (Immutability)</w:t>
            </w:r>
          </w:p>
        </w:tc>
        <w:tc>
          <w:tcPr>
            <w:tcMar>
              <w:top w:w="80" w:type="dxa"/>
              <w:start w:w="90" w:type="dxa"/>
              <w:bottom w:w="80" w:type="dxa"/>
              <w:end w:w="90" w:type="dxa"/>
            </w:tcMar>
            <w:shd w:fill="D9EAF7" w:val="clear"/>
          </w:tcPr>
          <w:p>
            <w:pPr>
              <w:pStyle w:val="Compact"/>
              <w:jc w:val="left"/>
            </w:pPr>
            <w:r>
              <w:t xml:space="preserve">A PCC is immutable after signing. Any correction produces a new PCC revision that references the prior PCC and explains the change.</w:t>
            </w:r>
          </w:p>
        </w:tc>
      </w:tr>
      <w:tr>
        <w:trPr/>
        <w:tc>
          <w:tcPr>
            <w:tcMar>
              <w:top w:w="80" w:type="dxa"/>
              <w:start w:w="90" w:type="dxa"/>
              <w:bottom w:w="80" w:type="dxa"/>
              <w:end w:w="90" w:type="dxa"/>
            </w:tcMar>
            <w:shd w:fill="F7FBFF" w:val="clear"/>
          </w:tcPr>
          <w:p>
            <w:pPr>
              <w:pStyle w:val="Compact"/>
              <w:jc w:val="left"/>
            </w:pPr>
            <w:r>
              <w:t xml:space="preserve">AIL3 (Comparability)</w:t>
            </w:r>
          </w:p>
        </w:tc>
        <w:tc>
          <w:tcPr>
            <w:tcMar>
              <w:top w:w="80" w:type="dxa"/>
              <w:start w:w="90" w:type="dxa"/>
              <w:bottom w:w="80" w:type="dxa"/>
              <w:end w:w="90" w:type="dxa"/>
            </w:tcMar>
            <w:shd w:fill="F7FBFF" w:val="clear"/>
          </w:tcPr>
          <w:p>
            <w:pPr>
              <w:pStyle w:val="Compact"/>
              <w:jc w:val="left"/>
            </w:pPr>
            <w:r>
              <w:t xml:space="preserve">Options compared in one run MUST be evaluated under identical configuration.</w:t>
            </w:r>
          </w:p>
        </w:tc>
      </w:tr>
      <w:tr>
        <w:trPr/>
        <w:tc>
          <w:tcPr>
            <w:tcMar>
              <w:top w:w="80" w:type="dxa"/>
              <w:start w:w="90" w:type="dxa"/>
              <w:bottom w:w="80" w:type="dxa"/>
              <w:end w:w="90" w:type="dxa"/>
            </w:tcMar>
            <w:shd w:fill="D9EAF7" w:val="clear"/>
          </w:tcPr>
          <w:p>
            <w:pPr>
              <w:pStyle w:val="Compact"/>
              <w:jc w:val="left"/>
            </w:pPr>
            <w:r>
              <w:t xml:space="preserve">AIL4 (No Silent Overrides)</w:t>
            </w:r>
          </w:p>
        </w:tc>
        <w:tc>
          <w:tcPr>
            <w:tcMar>
              <w:top w:w="80" w:type="dxa"/>
              <w:start w:w="90" w:type="dxa"/>
              <w:bottom w:w="80" w:type="dxa"/>
              <w:end w:w="90" w:type="dxa"/>
            </w:tcMar>
            <w:shd w:fill="D9EAF7" w:val="clear"/>
          </w:tcPr>
          <w:p>
            <w:pPr>
              <w:pStyle w:val="Compact"/>
              <w:jc w:val="left"/>
            </w:pPr>
            <w:r>
              <w:t xml:space="preserve">Any override must be explicit in the PCC (what changed, why, who approved).</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AIL5 (Auditability Sufficiency)</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A Tier 3 PCC MUST contain enough information for an independent reviewer to recompute NCRC, TRC, CSV, and RLS for that run.</w:t>
            </w:r>
          </w:p>
        </w:tc>
      </w:tr>
    </w:tbl>
    <w:bookmarkEnd w:id="232"/>
    <w:bookmarkStart w:id="233" w:name="Xd42a29338290ce14f369b922f2129097db2971f"/>
    <w:p>
      <w:pPr>
        <w:pStyle w:val="Heading2"/>
        <w:keepNext/>
        <w:keepLines/>
        <w:pageBreakBefore w:val="0"/>
        <w:widowControl/>
      </w:pPr>
      <w:r>
        <w:rPr>
          <w:rFonts w:ascii="Arial" w:hAnsi="Arial" w:eastAsia="Arial"/>
          <w:b/>
          <w:color w:val="1F4E78"/>
        </w:rPr>
        <w:t xml:space="preserve">14.2 PCC Requirements by Tier (Normative)</w:t>
      </w:r>
    </w:p>
    <w:p>
      <w:pPr>
        <w:pStyle w:val="FirstParagraph"/>
        <w:widowControl/>
      </w:pPr>
      <w:r>
        <w:t xml:space="preserve">PCC.EKRegistry (CONDITIONAL; REQUIRED when any non-default e_k is used, or when a Tier 2 named-instrument exception is invoked). For each instrument record: InstrumentID; Purpose; Source/Authority; AllowedRange; TierPermitted; ReasonCodeSet; DefaultCounterfactualRequired [TRUE/FALSE].</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Tier</w:t>
            </w:r>
          </w:p>
        </w:tc>
        <w:tc>
          <w:tcPr>
            <w:shd w:fill="1F4E78" w:val="clear"/>
            <w:tcMar>
              <w:top w:w="80" w:type="dxa"/>
              <w:start w:w="90" w:type="dxa"/>
              <w:bottom w:w="80" w:type="dxa"/>
              <w:end w:w="90" w:type="dxa"/>
            </w:tcMar>
          </w:tcPr>
          <w:p>
            <w:pPr>
              <w:pStyle w:val="Compact"/>
              <w:jc w:val="left"/>
            </w:pPr>
            <w:r>
              <w:rPr>
                <w:b/>
                <w:bCs/>
                <w:color w:val="FFFFFF"/>
              </w:rPr>
              <w:t xml:space="preserve">PCC Requirement</w:t>
            </w:r>
          </w:p>
        </w:tc>
      </w:tr>
      <w:tr>
        <w:trPr/>
        <w:tc>
          <w:tcPr>
            <w:tcMar>
              <w:top w:w="80" w:type="dxa"/>
              <w:start w:w="90" w:type="dxa"/>
              <w:bottom w:w="80" w:type="dxa"/>
              <w:end w:w="90" w:type="dxa"/>
            </w:tcMar>
            <w:shd w:fill="F7FBFF" w:val="clear"/>
          </w:tcPr>
          <w:p>
            <w:pPr>
              <w:pStyle w:val="Compact"/>
              <w:jc w:val="left"/>
            </w:pPr>
            <w:r>
              <w:t xml:space="preserve">Tier 1</w:t>
            </w:r>
          </w:p>
        </w:tc>
        <w:tc>
          <w:tcPr>
            <w:tcMar>
              <w:top w:w="80" w:type="dxa"/>
              <w:start w:w="90" w:type="dxa"/>
              <w:bottom w:w="80" w:type="dxa"/>
              <w:end w:w="90" w:type="dxa"/>
            </w:tcMar>
            <w:shd w:fill="F7FBFF" w:val="clear"/>
          </w:tcPr>
          <w:p>
            <w:pPr>
              <w:pStyle w:val="Compact"/>
              <w:jc w:val="left"/>
            </w:pPr>
            <w:r>
              <w:t xml:space="preserve">Optional but recommended for learning</w:t>
            </w:r>
          </w:p>
        </w:tc>
      </w:tr>
      <w:tr>
        <w:trPr/>
        <w:tc>
          <w:tcPr>
            <w:tcMar>
              <w:top w:w="80" w:type="dxa"/>
              <w:start w:w="90" w:type="dxa"/>
              <w:bottom w:w="80" w:type="dxa"/>
              <w:end w:w="90" w:type="dxa"/>
            </w:tcMar>
            <w:shd w:fill="D9EAF7" w:val="clear"/>
          </w:tcPr>
          <w:p>
            <w:pPr>
              <w:pStyle w:val="Compact"/>
              <w:jc w:val="left"/>
            </w:pPr>
            <w:r>
              <w:t xml:space="preserve">Tier 2</w:t>
            </w:r>
          </w:p>
        </w:tc>
        <w:tc>
          <w:tcPr>
            <w:tcMar>
              <w:top w:w="80" w:type="dxa"/>
              <w:start w:w="90" w:type="dxa"/>
              <w:bottom w:w="80" w:type="dxa"/>
              <w:end w:w="90" w:type="dxa"/>
            </w:tcMar>
            <w:shd w:fill="D9EAF7" w:val="clear"/>
          </w:tcPr>
          <w:p>
            <w:pPr>
              <w:pStyle w:val="Compact"/>
              <w:jc w:val="left"/>
            </w:pPr>
            <w:r>
              <w:t xml:space="preserve">REQUIRED (basic) including Scope Coverage Declaration and Stakeholder Coverage Index (SCI ≥ 1). A full Stakeholder Discovery Protocol (SDP) record is REQUIRED when any SDP trigger holds (Section 2.2A); otherwise the PCC MUST include either a lightweight stakeholder note stating that no trigger held and why, or an SDP record voluntarily. InstanceMap is REQUIRED when any SDP trigger holds (Section 2.2A).</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Tier 3</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REQUIRED (full) including subgroup rights checks, TRC scenario table, containment results, sensitivity analysis bundle, Scope Coverage Declaration, Stakeholder Coverage Index (SCI ≥ 2), and full InstanceMap with multi-scope redundancy handling disclosures.</w:t>
            </w:r>
          </w:p>
        </w:tc>
      </w:tr>
    </w:tbl>
    <w:bookmarkEnd w:id="233"/>
    <w:bookmarkStart w:id="234" w:name="X4b3acfa890e9e42a10284885302af17332979a2"/>
    <w:p>
      <w:pPr>
        <w:pStyle w:val="Heading2"/>
        <w:keepNext/>
        <w:keepLines/>
        <w:pageBreakBefore w:val="0"/>
        <w:widowControl/>
      </w:pPr>
      <w:r>
        <w:rPr>
          <w:rFonts w:ascii="Arial" w:hAnsi="Arial" w:eastAsia="Arial"/>
          <w:b/>
          <w:color w:val="1F4E78"/>
        </w:rPr>
        <w:t xml:space="preserve">14.3 Audit Flags (Normative)</w:t>
      </w:r>
    </w:p>
    <w:p>
      <w:pPr>
        <w:pStyle w:val="FirstParagraph"/>
        <w:widowControl/>
      </w:pPr>
      <w:r>
        <w:t xml:space="preserve">Audit flags are standardized labels for integrity failures or risk warnings. Flags MUST be recorded in PCC when triggered. If any INVALID flag triggers, the PCC is invalid and the decision run MUST be recomputed after correction.</w:t>
      </w:r>
    </w:p>
    <w:p>
      <w:pPr>
        <w:pStyle w:val="BodyText"/>
        <w:widowControl/>
      </w:pPr>
      <w:r>
        <w:t xml:space="preserve">Definitions for this section:</w:t>
      </w:r>
    </w:p>
    <w:p>
      <w:pPr>
        <w:pStyle w:val="Compact"/>
        <w:widowControl/>
        <w:numPr>
          <w:ilvl w:val="0"/>
          <w:numId w:val="1155"/>
        </w:numPr>
      </w:pPr>
      <w:r>
        <w:rPr>
          <w:b/>
        </w:rPr>
        <w:t>Mode A (Containment as binding gate):</w:t>
      </w:r>
      <w:r>
        <w:t xml:space="preserve"> Containment / CSV evaluation determines which options are selectable; options failing CSV MUST NOT be selected. See Section 9 and Appendix B.11.</w:t>
      </w:r>
    </w:p>
    <w:p>
      <w:pPr>
        <w:pStyle w:val="Compact"/>
        <w:widowControl/>
        <w:numPr>
          <w:ilvl w:val="0"/>
          <w:numId w:val="1156"/>
        </w:numPr>
      </w:pPr>
      <w:r>
        <w:rPr>
          <w:b/>
        </w:rPr>
        <w:t>Mode B (diagnostic-only legacy posture):</w:t>
      </w:r>
      <w:r>
        <w:t xml:space="preserve"> a structural diagnostic is computed for information but does not affect selection. Mode B is PROHIBITED for any ordinary ranking or selection claim. Current selection-relevant structural evidence belongs inside CSV under Section 9; residual non-gate-critical use is limited by Sections 10.4 and 11.</w:t>
      </w:r>
    </w:p>
    <w:p>
      <w:pPr>
        <w:pStyle w:val="Compact"/>
        <w:widowControl/>
        <w:numPr>
          <w:ilvl w:val="0"/>
          <w:numId w:val="1157"/>
        </w:numPr>
      </w:pPr>
      <w:r>
        <w:t xml:space="preserve">KQS (Kernel Quality Score): Summary score indicating kernel readiness for propagation. See Section 6.5.</w:t>
      </w:r>
    </w:p>
    <w:p>
      <w:pPr>
        <w:pStyle w:val="Compact"/>
        <w:widowControl/>
        <w:numPr>
          <w:ilvl w:val="0"/>
          <w:numId w:val="1158"/>
        </w:numPr>
      </w:pPr>
      <w:r>
        <w:t xml:space="preserve">Kernel perturbation test: Systematic edge perturbation of ±0.05 (or ±10% of magnitude, whichever is larger) applied one-at-a-time to relied-upon non-zero kernel edges. See Section 6.6.</w:t>
      </w:r>
    </w:p>
    <w:p>
      <w:pPr>
        <w:pStyle w:val="FirstParagraph"/>
        <w:widowControl/>
      </w:pPr>
      <w:r>
        <w:t xml:space="preserve">Canonical Audit Flags - Current v12.5 Specification</w:t>
      </w:r>
    </w:p>
    <w:bookmarkEnd w:id="234"/>
    <w:bookmarkStart w:id="235" w:name="X38c993bff73fdd62904cc7a5796ddf45a518870"/>
    <w:p>
      <w:pPr>
        <w:pStyle w:val="Heading2"/>
        <w:keepNext/>
        <w:keepLines/>
        <w:pageBreakBefore w:val="0"/>
        <w:widowControl/>
      </w:pPr>
      <w:r>
        <w:rPr>
          <w:rFonts w:ascii="Arial" w:hAnsi="Arial" w:eastAsia="Arial"/>
          <w:b/>
          <w:color w:val="1F4E78"/>
        </w:rPr>
        <w:t xml:space="preserve">14.3A Canonical Audit Flag Registry v12.5 (Normative)</w:t>
      </w:r>
    </w:p>
    <w:p>
      <w:pPr>
        <w:pStyle w:val="FirstParagraph"/>
        <w:widowControl/>
      </w:pPr>
      <w:r>
        <w:t>Section 14.3A and docs/implementation/CANONICAL_AUDIT_FLAG_REGISTRY_v1.0.yaml are one controlling audit-flag registry expressed in human-readable and machine-readable form. The YAML controls token enumeration, owner, severity vocabulary, and source location; this section controls normative meaning and required action. A controlling token introduced anywhere in the Canon or an active companion MUST be added to the YAML and projected here or be explicitly labeled local/informative and non-controlling. The release verifier MUST fail when a normatively controlling token is absent from the machine registry or when the two surfaces assign incompatible ownership or severity.</w:t>
      </w:r>
    </w:p>
    <w:p>
      <w:pPr>
        <w:pStyle w:val="Heading3"/>
        <w:keepNext/>
        <w:keepLines/>
        <w:pageBreakBefore w:val="0"/>
        <w:widowControl/>
      </w:pPr>
      <w:r>
        <w:rPr>
          <w:rFonts w:ascii="Arial" w:hAnsi="Arial" w:eastAsia="Arial"/>
          <w:b/>
          <w:color w:val="1F4E78"/>
        </w:rPr>
        <w:t>14.3A.1 Supplemental current-line ownership registry (Normative)</w:t>
      </w:r>
    </w:p>
    <w:p>
      <w:pPr>
        <w:widowControl/>
      </w:pPr>
      <w:r>
        <w:t>Ownership rule. Canon tokens govern framework conformance. Agent-runtime tokens are implementation events mapped to Canon states; they do not create new gates or modify Canon precedence.</w:t>
      </w:r>
    </w:p>
    <w:tbl>
      <w:tblPr>
        <w:tblStyle w:val="Table"/>
        <w:tblW w:type="pct" w:w="5000"/>
        <w:jc w:val="left"/>
        <w:tblLook w:firstRow="1" w:lastRow="0" w:firstColumn="0" w:lastColumn="0" w:noHBand="0" w:noVBand="0" w:val="0020"/>
        <w:tblInd w:type="dxa" w:w="0"/>
      </w:tblPr>
      <w:tblGrid>
        <w:gridCol w:w="2500"/>
        <w:gridCol w:w="2350"/>
        <w:gridCol w:w="2650"/>
        <w:gridCol w:w="1500"/>
        <w:gridCol w:w="1280"/>
      </w:tblGrid>
      <w:tr>
        <w:trPr>
          <w:tblHeader w:val="on"/>
        </w:trPr>
        <w:tc>
          <w:tcPr>
            <w:tcW w:type="dxa" w:w="2500"/>
            <w:shd w:fill="1F4E78" w:val="clear"/>
            <w:tcMar>
              <w:top w:w="80" w:type="dxa"/>
              <w:start w:w="90" w:type="dxa"/>
              <w:bottom w:w="80" w:type="dxa"/>
              <w:end w:w="90" w:type="dxa"/>
            </w:tcMar>
          </w:tcPr>
          <w:p>
            <w:pPr>
              <w:widowControl/>
              <w:spacing w:before="0" w:after="40"/>
            </w:pPr>
            <w:r>
              <w:rPr>
                <w:rFonts w:ascii="Arial" w:hAnsi="Arial" w:eastAsia="Arial"/>
                <w:b/>
                <w:color w:val="FFFFFF"/>
                <w:sz w:val="18"/>
              </w:rPr>
              <w:t>Token</w:t>
            </w:r>
          </w:p>
        </w:tc>
        <w:tc>
          <w:tcPr>
            <w:tcW w:type="dxa" w:w="2350"/>
            <w:shd w:fill="1F4E78" w:val="clear"/>
            <w:tcMar>
              <w:top w:w="80" w:type="dxa"/>
              <w:start w:w="90" w:type="dxa"/>
              <w:bottom w:w="80" w:type="dxa"/>
              <w:end w:w="90" w:type="dxa"/>
            </w:tcMar>
          </w:tcPr>
          <w:p>
            <w:pPr>
              <w:widowControl/>
              <w:spacing w:before="0" w:after="40"/>
            </w:pPr>
            <w:r>
              <w:rPr>
                <w:rFonts w:ascii="Arial" w:hAnsi="Arial" w:eastAsia="Arial"/>
                <w:b/>
                <w:color w:val="FFFFFF"/>
                <w:sz w:val="18"/>
              </w:rPr>
              <w:t>Trigger</w:t>
            </w:r>
          </w:p>
        </w:tc>
        <w:tc>
          <w:tcPr>
            <w:tcW w:type="dxa" w:w="2650"/>
            <w:shd w:fill="1F4E78" w:val="clear"/>
            <w:tcMar>
              <w:top w:w="80" w:type="dxa"/>
              <w:start w:w="90" w:type="dxa"/>
              <w:bottom w:w="80" w:type="dxa"/>
              <w:end w:w="90" w:type="dxa"/>
            </w:tcMar>
          </w:tcPr>
          <w:p>
            <w:pPr>
              <w:widowControl/>
              <w:spacing w:before="0" w:after="40"/>
            </w:pPr>
            <w:r>
              <w:rPr>
                <w:rFonts w:ascii="Arial" w:hAnsi="Arial" w:eastAsia="Arial"/>
                <w:b/>
                <w:color w:val="FFFFFF"/>
                <w:sz w:val="18"/>
              </w:rPr>
              <w:t>Required action</w:t>
            </w:r>
          </w:p>
        </w:tc>
        <w:tc>
          <w:tcPr>
            <w:tcW w:type="dxa" w:w="1500"/>
            <w:shd w:fill="1F4E78" w:val="clear"/>
            <w:tcMar>
              <w:top w:w="80" w:type="dxa"/>
              <w:start w:w="90" w:type="dxa"/>
              <w:bottom w:w="80" w:type="dxa"/>
              <w:end w:w="90" w:type="dxa"/>
            </w:tcMar>
          </w:tcPr>
          <w:p>
            <w:pPr>
              <w:widowControl/>
              <w:spacing w:before="0" w:after="40"/>
            </w:pPr>
            <w:r>
              <w:rPr>
                <w:rFonts w:ascii="Arial" w:hAnsi="Arial" w:eastAsia="Arial"/>
                <w:b/>
                <w:color w:val="FFFFFF"/>
                <w:sz w:val="18"/>
              </w:rPr>
              <w:t>Severity</w:t>
            </w:r>
          </w:p>
        </w:tc>
        <w:tc>
          <w:tcPr>
            <w:tcW w:type="dxa" w:w="1280"/>
            <w:shd w:fill="1F4E78" w:val="clear"/>
            <w:tcMar>
              <w:top w:w="80" w:type="dxa"/>
              <w:start w:w="90" w:type="dxa"/>
              <w:bottom w:w="80" w:type="dxa"/>
              <w:end w:w="90" w:type="dxa"/>
            </w:tcMar>
          </w:tcPr>
          <w:p>
            <w:pPr>
              <w:widowControl/>
              <w:spacing w:before="0" w:after="40"/>
            </w:pPr>
            <w:r>
              <w:rPr>
                <w:rFonts w:ascii="Arial" w:hAnsi="Arial" w:eastAsia="Arial"/>
                <w:b/>
                <w:color w:val="FFFFFF"/>
                <w:sz w:val="18"/>
              </w:rPr>
              <w:t>Owner</w:t>
            </w:r>
          </w:p>
        </w:tc>
      </w:tr>
      <w:tr>
        <w:trPr/>
        <w:tc>
          <w:tcPr>
            <w:tcW w:type="dxa" w:w="2500"/>
            <w:tcMar>
              <w:top w:w="80" w:type="dxa"/>
              <w:start w:w="90" w:type="dxa"/>
              <w:bottom w:w="80" w:type="dxa"/>
              <w:end w:w="90" w:type="dxa"/>
            </w:tcMar>
            <w:shd w:fill="F7FBFF" w:val="clear"/>
          </w:tcPr>
          <w:p>
            <w:pPr>
              <w:widowControl/>
              <w:spacing w:before="0" w:after="40"/>
            </w:pPr>
            <w:r>
              <w:rPr>
                <w:rFonts w:ascii="Arial" w:hAnsi="Arial" w:eastAsia="Arial"/>
                <w:sz w:val="18"/>
              </w:rPr>
              <w:t>DECISIVENESS_OVERRIDE_INVALID</w:t>
            </w:r>
          </w:p>
        </w:tc>
        <w:tc>
          <w:tcPr>
            <w:tcW w:type="dxa" w:w="2350"/>
            <w:tcMar>
              <w:top w:w="80" w:type="dxa"/>
              <w:start w:w="90" w:type="dxa"/>
              <w:bottom w:w="80" w:type="dxa"/>
              <w:end w:w="90" w:type="dxa"/>
            </w:tcMar>
            <w:shd w:fill="F7FBFF" w:val="clear"/>
          </w:tcPr>
          <w:p>
            <w:pPr>
              <w:widowControl/>
              <w:spacing w:before="0" w:after="40"/>
            </w:pPr>
            <w:r>
              <w:rPr>
                <w:rFonts w:ascii="Arial" w:hAnsi="Arial" w:eastAsia="Arial"/>
                <w:sz w:val="18"/>
              </w:rPr>
              <w:t>A non-decisive result is overridden without the required lawful authority and separate AuthoritySelectionRecord.</w:t>
            </w:r>
          </w:p>
        </w:tc>
        <w:tc>
          <w:tcPr>
            <w:tcW w:type="dxa" w:w="2650"/>
            <w:tcMar>
              <w:top w:w="80" w:type="dxa"/>
              <w:start w:w="90" w:type="dxa"/>
              <w:bottom w:w="80" w:type="dxa"/>
              <w:end w:w="90" w:type="dxa"/>
            </w:tcMar>
            <w:shd w:fill="F7FBFF" w:val="clear"/>
          </w:tcPr>
          <w:p>
            <w:pPr>
              <w:widowControl/>
              <w:spacing w:before="0" w:after="40"/>
            </w:pPr>
            <w:r>
              <w:rPr>
                <w:rFonts w:ascii="Arial" w:hAnsi="Arial" w:eastAsia="Arial"/>
                <w:sz w:val="18"/>
              </w:rPr>
              <w:t>Invalidate the deterministic-selection claim; restore REFUSE_DETERMINISTIC_SELECTION and record any lawful authority selection separately.</w:t>
            </w:r>
          </w:p>
        </w:tc>
        <w:tc>
          <w:tcPr>
            <w:tcW w:type="dxa" w:w="1500"/>
            <w:tcMar>
              <w:top w:w="80" w:type="dxa"/>
              <w:start w:w="90" w:type="dxa"/>
              <w:bottom w:w="80" w:type="dxa"/>
              <w:end w:w="90" w:type="dxa"/>
            </w:tcMar>
            <w:shd w:fill="F7FBFF" w:val="clear"/>
          </w:tcPr>
          <w:p>
            <w:pPr>
              <w:widowControl/>
              <w:spacing w:before="0" w:after="40"/>
            </w:pPr>
            <w:r>
              <w:rPr>
                <w:rFonts w:ascii="Arial" w:hAnsi="Arial" w:eastAsia="Arial"/>
                <w:sz w:val="18"/>
              </w:rPr>
              <w:t>INVALID</w:t>
            </w:r>
          </w:p>
        </w:tc>
        <w:tc>
          <w:tcPr>
            <w:tcW w:type="dxa" w:w="1280"/>
            <w:tcMar>
              <w:top w:w="80" w:type="dxa"/>
              <w:start w:w="90" w:type="dxa"/>
              <w:bottom w:w="80" w:type="dxa"/>
              <w:end w:w="90" w:type="dxa"/>
            </w:tcMar>
            <w:shd w:fill="F7FBFF" w:val="clear"/>
          </w:tcPr>
          <w:p>
            <w:pPr>
              <w:widowControl/>
              <w:spacing w:before="0" w:after="40"/>
            </w:pPr>
            <w:r>
              <w:rPr>
                <w:rFonts w:ascii="Arial" w:hAnsi="Arial" w:eastAsia="Arial"/>
                <w:sz w:val="18"/>
              </w:rPr>
              <w:t>Canon</w:t>
            </w:r>
          </w:p>
        </w:tc>
      </w:tr>
      <w:tr>
        <w:trPr/>
        <w:tc>
          <w:tcPr>
            <w:tcW w:type="dxa" w:w="2500"/>
            <w:tcMar>
              <w:top w:w="80" w:type="dxa"/>
              <w:start w:w="90" w:type="dxa"/>
              <w:bottom w:w="80" w:type="dxa"/>
              <w:end w:w="90" w:type="dxa"/>
            </w:tcMar>
            <w:shd w:fill="D9EAF7" w:val="clear"/>
          </w:tcPr>
          <w:p>
            <w:pPr>
              <w:widowControl/>
              <w:spacing w:before="0" w:after="40"/>
            </w:pPr>
            <w:r>
              <w:rPr>
                <w:rFonts w:ascii="Arial" w:hAnsi="Arial" w:eastAsia="Arial"/>
                <w:sz w:val="18"/>
              </w:rPr>
              <w:t>FALSIFICATION_LAYER_UNATTRIBUTED</w:t>
            </w:r>
          </w:p>
        </w:tc>
        <w:tc>
          <w:tcPr>
            <w:tcW w:type="dxa" w:w="2350"/>
            <w:tcMar>
              <w:top w:w="80" w:type="dxa"/>
              <w:start w:w="90" w:type="dxa"/>
              <w:bottom w:w="80" w:type="dxa"/>
              <w:end w:w="90" w:type="dxa"/>
            </w:tcMar>
            <w:shd w:fill="D9EAF7" w:val="clear"/>
          </w:tcPr>
          <w:p>
            <w:pPr>
              <w:widowControl/>
              <w:spacing w:before="0" w:after="40"/>
            </w:pPr>
            <w:r>
              <w:rPr>
                <w:rFonts w:ascii="Arial" w:hAnsi="Arial" w:eastAsia="Arial"/>
                <w:sz w:val="18"/>
              </w:rPr>
              <w:t>A falsification, revision, or failure claim is not assigned to the affected dependency layer.</w:t>
            </w:r>
          </w:p>
        </w:tc>
        <w:tc>
          <w:tcPr>
            <w:tcW w:type="dxa" w:w="2650"/>
            <w:tcMar>
              <w:top w:w="80" w:type="dxa"/>
              <w:start w:w="90" w:type="dxa"/>
              <w:bottom w:w="80" w:type="dxa"/>
              <w:end w:w="90" w:type="dxa"/>
            </w:tcMar>
            <w:shd w:fill="D9EAF7" w:val="clear"/>
          </w:tcPr>
          <w:p>
            <w:pPr>
              <w:widowControl/>
              <w:spacing w:before="0" w:after="40"/>
            </w:pPr>
            <w:r>
              <w:rPr>
                <w:rFonts w:ascii="Arial" w:hAnsi="Arial" w:eastAsia="Arial"/>
                <w:sz w:val="18"/>
              </w:rPr>
              <w:t>Attribute the failure layer and reopen all materially dependent surfaces.</w:t>
            </w:r>
          </w:p>
        </w:tc>
        <w:tc>
          <w:tcPr>
            <w:tcW w:type="dxa" w:w="1500"/>
            <w:tcMar>
              <w:top w:w="80" w:type="dxa"/>
              <w:start w:w="90" w:type="dxa"/>
              <w:bottom w:w="80" w:type="dxa"/>
              <w:end w:w="90" w:type="dxa"/>
            </w:tcMar>
            <w:shd w:fill="D9EAF7" w:val="clear"/>
          </w:tcPr>
          <w:p>
            <w:pPr>
              <w:widowControl/>
              <w:spacing w:before="0" w:after="40"/>
            </w:pPr>
            <w:r>
              <w:rPr>
                <w:rFonts w:ascii="Arial" w:hAnsi="Arial" w:eastAsia="Arial"/>
                <w:sz w:val="18"/>
              </w:rPr>
              <w:t>ESCALATE</w:t>
            </w:r>
          </w:p>
        </w:tc>
        <w:tc>
          <w:tcPr>
            <w:tcW w:type="dxa" w:w="1280"/>
            <w:tcMar>
              <w:top w:w="80" w:type="dxa"/>
              <w:start w:w="90" w:type="dxa"/>
              <w:bottom w:w="80" w:type="dxa"/>
              <w:end w:w="90" w:type="dxa"/>
            </w:tcMar>
            <w:shd w:fill="D9EAF7" w:val="clear"/>
          </w:tcPr>
          <w:p>
            <w:pPr>
              <w:widowControl/>
              <w:spacing w:before="0" w:after="40"/>
            </w:pPr>
            <w:r>
              <w:rPr>
                <w:rFonts w:ascii="Arial" w:hAnsi="Arial" w:eastAsia="Arial"/>
                <w:sz w:val="18"/>
              </w:rPr>
              <w:t>Canon</w:t>
            </w:r>
          </w:p>
        </w:tc>
      </w:tr>
      <w:tr>
        <w:trPr/>
        <w:tc>
          <w:tcPr>
            <w:tcW w:type="dxa" w:w="2500"/>
            <w:tcMar>
              <w:top w:w="80" w:type="dxa"/>
              <w:start w:w="90" w:type="dxa"/>
              <w:bottom w:w="80" w:type="dxa"/>
              <w:end w:w="90" w:type="dxa"/>
            </w:tcMar>
            <w:shd w:fill="F7FBFF" w:val="clear"/>
          </w:tcPr>
          <w:p>
            <w:pPr>
              <w:widowControl/>
              <w:spacing w:before="0" w:after="40"/>
            </w:pPr>
            <w:r>
              <w:rPr>
                <w:rFonts w:ascii="Arial" w:hAnsi="Arial" w:eastAsia="Arial"/>
                <w:sz w:val="18"/>
              </w:rPr>
              <w:t>FALSIFICATION_LAYER_SKIPPED</w:t>
            </w:r>
          </w:p>
        </w:tc>
        <w:tc>
          <w:tcPr>
            <w:tcW w:type="dxa" w:w="2350"/>
            <w:tcMar>
              <w:top w:w="80" w:type="dxa"/>
              <w:start w:w="90" w:type="dxa"/>
              <w:bottom w:w="80" w:type="dxa"/>
              <w:end w:w="90" w:type="dxa"/>
            </w:tcMar>
            <w:shd w:fill="F7FBFF" w:val="clear"/>
          </w:tcPr>
          <w:p>
            <w:pPr>
              <w:widowControl/>
              <w:spacing w:before="0" w:after="40"/>
            </w:pPr>
            <w:r>
              <w:rPr>
                <w:rFonts w:ascii="Arial" w:hAnsi="Arial" w:eastAsia="Arial"/>
                <w:sz w:val="18"/>
              </w:rPr>
              <w:t>A materially affected downstream layer is not reopened after an upstream failure.</w:t>
            </w:r>
          </w:p>
        </w:tc>
        <w:tc>
          <w:tcPr>
            <w:tcW w:type="dxa" w:w="2650"/>
            <w:tcMar>
              <w:top w:w="80" w:type="dxa"/>
              <w:start w:w="90" w:type="dxa"/>
              <w:bottom w:w="80" w:type="dxa"/>
              <w:end w:w="90" w:type="dxa"/>
            </w:tcMar>
            <w:shd w:fill="F7FBFF" w:val="clear"/>
          </w:tcPr>
          <w:p>
            <w:pPr>
              <w:widowControl/>
              <w:spacing w:before="0" w:after="40"/>
            </w:pPr>
            <w:r>
              <w:rPr>
                <w:rFonts w:ascii="Arial" w:hAnsi="Arial" w:eastAsia="Arial"/>
                <w:sz w:val="18"/>
              </w:rPr>
              <w:t>Reopen and rerun the skipped layer or narrow/withdraw the dependent claim.</w:t>
            </w:r>
          </w:p>
        </w:tc>
        <w:tc>
          <w:tcPr>
            <w:tcW w:type="dxa" w:w="1500"/>
            <w:tcMar>
              <w:top w:w="80" w:type="dxa"/>
              <w:start w:w="90" w:type="dxa"/>
              <w:bottom w:w="80" w:type="dxa"/>
              <w:end w:w="90" w:type="dxa"/>
            </w:tcMar>
            <w:shd w:fill="F7FBFF" w:val="clear"/>
          </w:tcPr>
          <w:p>
            <w:pPr>
              <w:widowControl/>
              <w:spacing w:before="0" w:after="40"/>
            </w:pPr>
            <w:r>
              <w:rPr>
                <w:rFonts w:ascii="Arial" w:hAnsi="Arial" w:eastAsia="Arial"/>
                <w:sz w:val="18"/>
              </w:rPr>
              <w:t>INVALID if claim-bearing</w:t>
            </w:r>
          </w:p>
        </w:tc>
        <w:tc>
          <w:tcPr>
            <w:tcW w:type="dxa" w:w="1280"/>
            <w:tcMar>
              <w:top w:w="80" w:type="dxa"/>
              <w:start w:w="90" w:type="dxa"/>
              <w:bottom w:w="80" w:type="dxa"/>
              <w:end w:w="90" w:type="dxa"/>
            </w:tcMar>
            <w:shd w:fill="F7FBFF" w:val="clear"/>
          </w:tcPr>
          <w:p>
            <w:pPr>
              <w:widowControl/>
              <w:spacing w:before="0" w:after="40"/>
            </w:pPr>
            <w:r>
              <w:rPr>
                <w:rFonts w:ascii="Arial" w:hAnsi="Arial" w:eastAsia="Arial"/>
                <w:sz w:val="18"/>
              </w:rPr>
              <w:t>Canon</w:t>
            </w:r>
          </w:p>
        </w:tc>
      </w:tr>
      <w:tr>
        <w:trPr/>
        <w:tc>
          <w:tcPr>
            <w:tcW w:type="dxa" w:w="2500"/>
            <w:tcMar>
              <w:top w:w="80" w:type="dxa"/>
              <w:start w:w="90" w:type="dxa"/>
              <w:bottom w:w="80" w:type="dxa"/>
              <w:end w:w="90" w:type="dxa"/>
            </w:tcMar>
            <w:shd w:fill="D9EAF7" w:val="clear"/>
          </w:tcPr>
          <w:p>
            <w:pPr>
              <w:widowControl/>
              <w:spacing w:before="0" w:after="40"/>
            </w:pPr>
            <w:r>
              <w:rPr>
                <w:rFonts w:ascii="Arial" w:hAnsi="Arial" w:eastAsia="Arial"/>
                <w:sz w:val="18"/>
              </w:rPr>
              <w:t>POST_HOC_PROJECTION_INVALID</w:t>
            </w:r>
          </w:p>
        </w:tc>
        <w:tc>
          <w:tcPr>
            <w:tcW w:type="dxa" w:w="2350"/>
            <w:tcMar>
              <w:top w:w="80" w:type="dxa"/>
              <w:start w:w="90" w:type="dxa"/>
              <w:bottom w:w="80" w:type="dxa"/>
              <w:end w:w="90" w:type="dxa"/>
            </w:tcMar>
            <w:shd w:fill="D9EAF7" w:val="clear"/>
          </w:tcPr>
          <w:p>
            <w:pPr>
              <w:widowControl/>
              <w:spacing w:before="0" w:after="40"/>
            </w:pPr>
            <w:r>
              <w:rPr>
                <w:rFonts w:ascii="Arial" w:hAnsi="Arial" w:eastAsia="Arial"/>
                <w:sz w:val="18"/>
              </w:rPr>
              <w:t>Projection, mapping, threshold, or evaluation rule is changed after results without a versioned revision branch.</w:t>
            </w:r>
          </w:p>
        </w:tc>
        <w:tc>
          <w:tcPr>
            <w:tcW w:type="dxa" w:w="2650"/>
            <w:tcMar>
              <w:top w:w="80" w:type="dxa"/>
              <w:start w:w="90" w:type="dxa"/>
              <w:bottom w:w="80" w:type="dxa"/>
              <w:end w:w="90" w:type="dxa"/>
            </w:tcMar>
            <w:shd w:fill="D9EAF7" w:val="clear"/>
          </w:tcPr>
          <w:p>
            <w:pPr>
              <w:widowControl/>
              <w:spacing w:before="0" w:after="40"/>
            </w:pPr>
            <w:r>
              <w:rPr>
                <w:rFonts w:ascii="Arial" w:hAnsi="Arial" w:eastAsia="Arial"/>
                <w:sz w:val="18"/>
              </w:rPr>
              <w:t>Invalidate the affected comparison and rerun from the frozen evaluation boundary.</w:t>
            </w:r>
          </w:p>
        </w:tc>
        <w:tc>
          <w:tcPr>
            <w:tcW w:type="dxa" w:w="1500"/>
            <w:tcMar>
              <w:top w:w="80" w:type="dxa"/>
              <w:start w:w="90" w:type="dxa"/>
              <w:bottom w:w="80" w:type="dxa"/>
              <w:end w:w="90" w:type="dxa"/>
            </w:tcMar>
            <w:shd w:fill="D9EAF7" w:val="clear"/>
          </w:tcPr>
          <w:p>
            <w:pPr>
              <w:widowControl/>
              <w:spacing w:before="0" w:after="40"/>
            </w:pPr>
            <w:r>
              <w:rPr>
                <w:rFonts w:ascii="Arial" w:hAnsi="Arial" w:eastAsia="Arial"/>
                <w:sz w:val="18"/>
              </w:rPr>
              <w:t>INVALID</w:t>
            </w:r>
          </w:p>
        </w:tc>
        <w:tc>
          <w:tcPr>
            <w:tcW w:type="dxa" w:w="1280"/>
            <w:tcMar>
              <w:top w:w="80" w:type="dxa"/>
              <w:start w:w="90" w:type="dxa"/>
              <w:bottom w:w="80" w:type="dxa"/>
              <w:end w:w="90" w:type="dxa"/>
            </w:tcMar>
            <w:shd w:fill="D9EAF7" w:val="clear"/>
          </w:tcPr>
          <w:p>
            <w:pPr>
              <w:widowControl/>
              <w:spacing w:before="0" w:after="40"/>
            </w:pPr>
            <w:r>
              <w:rPr>
                <w:rFonts w:ascii="Arial" w:hAnsi="Arial" w:eastAsia="Arial"/>
                <w:sz w:val="18"/>
              </w:rPr>
              <w:t>Canon</w:t>
            </w:r>
          </w:p>
        </w:tc>
      </w:tr>
      <w:tr>
        <w:trPr/>
        <w:tc>
          <w:tcPr>
            <w:tcW w:type="dxa" w:w="2500"/>
            <w:tcMar>
              <w:top w:w="80" w:type="dxa"/>
              <w:start w:w="90" w:type="dxa"/>
              <w:bottom w:w="80" w:type="dxa"/>
              <w:end w:w="90" w:type="dxa"/>
            </w:tcMar>
            <w:shd w:fill="F7FBFF" w:val="clear"/>
          </w:tcPr>
          <w:p>
            <w:pPr>
              <w:widowControl/>
              <w:spacing w:before="0" w:after="40"/>
            </w:pPr>
            <w:r>
              <w:rPr>
                <w:rFonts w:ascii="Arial" w:hAnsi="Arial" w:eastAsia="Arial"/>
                <w:sz w:val="18"/>
              </w:rPr>
              <w:t>NON_UNIQUE_PREDICTION</w:t>
            </w:r>
          </w:p>
        </w:tc>
        <w:tc>
          <w:tcPr>
            <w:tcW w:type="dxa" w:w="2350"/>
            <w:tcMar>
              <w:top w:w="80" w:type="dxa"/>
              <w:start w:w="90" w:type="dxa"/>
              <w:bottom w:w="80" w:type="dxa"/>
              <w:end w:w="90" w:type="dxa"/>
            </w:tcMar>
            <w:shd w:fill="F7FBFF" w:val="clear"/>
          </w:tcPr>
          <w:p>
            <w:pPr>
              <w:widowControl/>
              <w:spacing w:before="0" w:after="40"/>
            </w:pPr>
            <w:r>
              <w:rPr>
                <w:rFonts w:ascii="Arial" w:hAnsi="Arial" w:eastAsia="Arial"/>
                <w:sz w:val="18"/>
              </w:rPr>
              <w:t>A claimed necessary prediction is not unique under the declared premises or alternatives.</w:t>
            </w:r>
          </w:p>
        </w:tc>
        <w:tc>
          <w:tcPr>
            <w:tcW w:type="dxa" w:w="2650"/>
            <w:tcMar>
              <w:top w:w="80" w:type="dxa"/>
              <w:start w:w="90" w:type="dxa"/>
              <w:bottom w:w="80" w:type="dxa"/>
              <w:end w:w="90" w:type="dxa"/>
            </w:tcMar>
            <w:shd w:fill="F7FBFF" w:val="clear"/>
          </w:tcPr>
          <w:p>
            <w:pPr>
              <w:widowControl/>
              <w:spacing w:before="0" w:after="40"/>
            </w:pPr>
            <w:r>
              <w:rPr>
                <w:rFonts w:ascii="Arial" w:hAnsi="Arial" w:eastAsia="Arial"/>
                <w:sz w:val="18"/>
              </w:rPr>
              <w:t>Narrow to an assumption-bound or exploratory claim and record alternatives.</w:t>
            </w:r>
          </w:p>
        </w:tc>
        <w:tc>
          <w:tcPr>
            <w:tcW w:type="dxa" w:w="1500"/>
            <w:tcMar>
              <w:top w:w="80" w:type="dxa"/>
              <w:start w:w="90" w:type="dxa"/>
              <w:bottom w:w="80" w:type="dxa"/>
              <w:end w:w="90" w:type="dxa"/>
            </w:tcMar>
            <w:shd w:fill="F7FBFF" w:val="clear"/>
          </w:tcPr>
          <w:p>
            <w:pPr>
              <w:widowControl/>
              <w:spacing w:before="0" w:after="40"/>
            </w:pPr>
            <w:r>
              <w:rPr>
                <w:rFonts w:ascii="Arial" w:hAnsi="Arial" w:eastAsia="Arial"/>
                <w:sz w:val="18"/>
              </w:rPr>
              <w:t>REVIEW / ESCALATE</w:t>
            </w:r>
          </w:p>
        </w:tc>
        <w:tc>
          <w:tcPr>
            <w:tcW w:type="dxa" w:w="1280"/>
            <w:tcMar>
              <w:top w:w="80" w:type="dxa"/>
              <w:start w:w="90" w:type="dxa"/>
              <w:bottom w:w="80" w:type="dxa"/>
              <w:end w:w="90" w:type="dxa"/>
            </w:tcMar>
            <w:shd w:fill="F7FBFF" w:val="clear"/>
          </w:tcPr>
          <w:p>
            <w:pPr>
              <w:widowControl/>
              <w:spacing w:before="0" w:after="40"/>
            </w:pPr>
            <w:r>
              <w:rPr>
                <w:rFonts w:ascii="Arial" w:hAnsi="Arial" w:eastAsia="Arial"/>
                <w:sz w:val="18"/>
              </w:rPr>
              <w:t>Canon</w:t>
            </w:r>
          </w:p>
        </w:tc>
      </w:tr>
      <w:tr>
        <w:trPr/>
        <w:tc>
          <w:tcPr>
            <w:tcW w:type="dxa" w:w="2500"/>
            <w:tcMar>
              <w:top w:w="80" w:type="dxa"/>
              <w:start w:w="90" w:type="dxa"/>
              <w:bottom w:w="80" w:type="dxa"/>
              <w:end w:w="90" w:type="dxa"/>
            </w:tcMar>
            <w:shd w:fill="D9EAF7" w:val="clear"/>
          </w:tcPr>
          <w:p>
            <w:pPr>
              <w:widowControl/>
              <w:spacing w:before="0" w:after="40"/>
            </w:pPr>
            <w:r>
              <w:rPr>
                <w:rFonts w:ascii="Arial" w:hAnsi="Arial" w:eastAsia="Arial"/>
                <w:sz w:val="18"/>
              </w:rPr>
              <w:t>EXPLORATORY_ONLY</w:t>
            </w:r>
          </w:p>
        </w:tc>
        <w:tc>
          <w:tcPr>
            <w:tcW w:type="dxa" w:w="2350"/>
            <w:tcMar>
              <w:top w:w="80" w:type="dxa"/>
              <w:start w:w="90" w:type="dxa"/>
              <w:bottom w:w="80" w:type="dxa"/>
              <w:end w:w="90" w:type="dxa"/>
            </w:tcMar>
            <w:shd w:fill="D9EAF7" w:val="clear"/>
          </w:tcPr>
          <w:p>
            <w:pPr>
              <w:widowControl/>
              <w:spacing w:before="0" w:after="40"/>
            </w:pPr>
            <w:r>
              <w:rPr>
                <w:rFonts w:ascii="Arial" w:hAnsi="Arial" w:eastAsia="Arial"/>
                <w:sz w:val="18"/>
              </w:rPr>
              <w:t>Evidence or method supports exploration but not a confirmatory or decision-authorizing claim.</w:t>
            </w:r>
          </w:p>
        </w:tc>
        <w:tc>
          <w:tcPr>
            <w:tcW w:type="dxa" w:w="2650"/>
            <w:tcMar>
              <w:top w:w="80" w:type="dxa"/>
              <w:start w:w="90" w:type="dxa"/>
              <w:bottom w:w="80" w:type="dxa"/>
              <w:end w:w="90" w:type="dxa"/>
            </w:tcMar>
            <w:shd w:fill="D9EAF7" w:val="clear"/>
          </w:tcPr>
          <w:p>
            <w:pPr>
              <w:widowControl/>
              <w:spacing w:before="0" w:after="40"/>
            </w:pPr>
            <w:r>
              <w:rPr>
                <w:rFonts w:ascii="Arial" w:hAnsi="Arial" w:eastAsia="Arial"/>
                <w:sz w:val="18"/>
              </w:rPr>
              <w:t>Label exploratory; prohibit confirmatory, selection, authority, or deployment wording.</w:t>
            </w:r>
          </w:p>
        </w:tc>
        <w:tc>
          <w:tcPr>
            <w:tcW w:type="dxa" w:w="1500"/>
            <w:tcMar>
              <w:top w:w="80" w:type="dxa"/>
              <w:start w:w="90" w:type="dxa"/>
              <w:bottom w:w="80" w:type="dxa"/>
              <w:end w:w="90" w:type="dxa"/>
            </w:tcMar>
            <w:shd w:fill="D9EAF7" w:val="clear"/>
          </w:tcPr>
          <w:p>
            <w:pPr>
              <w:widowControl/>
              <w:spacing w:before="0" w:after="40"/>
            </w:pPr>
            <w:r>
              <w:rPr>
                <w:rFonts w:ascii="Arial" w:hAnsi="Arial" w:eastAsia="Arial"/>
                <w:sz w:val="18"/>
              </w:rPr>
              <w:t>DISCLOSE</w:t>
            </w:r>
          </w:p>
        </w:tc>
        <w:tc>
          <w:tcPr>
            <w:tcW w:type="dxa" w:w="1280"/>
            <w:tcMar>
              <w:top w:w="80" w:type="dxa"/>
              <w:start w:w="90" w:type="dxa"/>
              <w:bottom w:w="80" w:type="dxa"/>
              <w:end w:w="90" w:type="dxa"/>
            </w:tcMar>
            <w:shd w:fill="D9EAF7" w:val="clear"/>
          </w:tcPr>
          <w:p>
            <w:pPr>
              <w:widowControl/>
              <w:spacing w:before="0" w:after="40"/>
            </w:pPr>
            <w:r>
              <w:rPr>
                <w:rFonts w:ascii="Arial" w:hAnsi="Arial" w:eastAsia="Arial"/>
                <w:sz w:val="18"/>
              </w:rPr>
              <w:t>Canon</w:t>
            </w:r>
          </w:p>
        </w:tc>
      </w:tr>
      <w:tr>
        <w:trPr/>
        <w:tc>
          <w:tcPr>
            <w:tcW w:type="dxa" w:w="2500"/>
            <w:tcMar>
              <w:top w:w="80" w:type="dxa"/>
              <w:start w:w="90" w:type="dxa"/>
              <w:bottom w:w="80" w:type="dxa"/>
              <w:end w:w="90" w:type="dxa"/>
            </w:tcMar>
            <w:shd w:fill="F7FBFF" w:val="clear"/>
          </w:tcPr>
          <w:p>
            <w:pPr>
              <w:widowControl/>
              <w:spacing w:before="0" w:after="40"/>
            </w:pPr>
            <w:r>
              <w:rPr>
                <w:rFonts w:ascii="Arial" w:hAnsi="Arial" w:eastAsia="Arial"/>
                <w:sz w:val="18"/>
              </w:rPr>
              <w:t>OUTPUT_WITHOUT_ADMISSIBLE_REFERENCE</w:t>
            </w:r>
          </w:p>
        </w:tc>
        <w:tc>
          <w:tcPr>
            <w:tcW w:type="dxa" w:w="2350"/>
            <w:tcMar>
              <w:top w:w="80" w:type="dxa"/>
              <w:start w:w="90" w:type="dxa"/>
              <w:bottom w:w="80" w:type="dxa"/>
              <w:end w:w="90" w:type="dxa"/>
            </w:tcMar>
            <w:shd w:fill="F7FBFF" w:val="clear"/>
          </w:tcPr>
          <w:p>
            <w:pPr>
              <w:widowControl/>
              <w:spacing w:before="0" w:after="40"/>
            </w:pPr>
            <w:r>
              <w:rPr>
                <w:rFonts w:ascii="Arial" w:hAnsi="Arial" w:eastAsia="Arial"/>
                <w:sz w:val="18"/>
              </w:rPr>
              <w:t>A consequence-bearing output is requested or produced without an admissible reference.</w:t>
            </w:r>
          </w:p>
        </w:tc>
        <w:tc>
          <w:tcPr>
            <w:tcW w:type="dxa" w:w="2650"/>
            <w:tcMar>
              <w:top w:w="80" w:type="dxa"/>
              <w:start w:w="90" w:type="dxa"/>
              <w:bottom w:w="80" w:type="dxa"/>
              <w:end w:w="90" w:type="dxa"/>
            </w:tcMar>
            <w:shd w:fill="F7FBFF" w:val="clear"/>
          </w:tcPr>
          <w:p>
            <w:pPr>
              <w:widowControl/>
              <w:spacing w:before="0" w:after="40"/>
            </w:pPr>
            <w:r>
              <w:rPr>
                <w:rFonts w:ascii="Arial" w:hAnsi="Arial" w:eastAsia="Arial"/>
                <w:sz w:val="18"/>
              </w:rPr>
              <w:t>Refuse, narrow, or escalate; do not execute.</w:t>
            </w:r>
          </w:p>
        </w:tc>
        <w:tc>
          <w:tcPr>
            <w:tcW w:type="dxa" w:w="1500"/>
            <w:tcMar>
              <w:top w:w="80" w:type="dxa"/>
              <w:start w:w="90" w:type="dxa"/>
              <w:bottom w:w="80" w:type="dxa"/>
              <w:end w:w="90" w:type="dxa"/>
            </w:tcMar>
            <w:shd w:fill="F7FBFF" w:val="clear"/>
          </w:tcPr>
          <w:p>
            <w:pPr>
              <w:widowControl/>
              <w:spacing w:before="0" w:after="40"/>
            </w:pPr>
            <w:r>
              <w:rPr>
                <w:rFonts w:ascii="Arial" w:hAnsi="Arial" w:eastAsia="Arial"/>
                <w:sz w:val="18"/>
              </w:rPr>
              <w:t>RUNTIME_BLOCK</w:t>
            </w:r>
          </w:p>
        </w:tc>
        <w:tc>
          <w:tcPr>
            <w:tcW w:type="dxa" w:w="1280"/>
            <w:tcMar>
              <w:top w:w="80" w:type="dxa"/>
              <w:start w:w="90" w:type="dxa"/>
              <w:bottom w:w="80" w:type="dxa"/>
              <w:end w:w="90" w:type="dxa"/>
            </w:tcMar>
            <w:shd w:fill="F7FBFF" w:val="clear"/>
          </w:tcPr>
          <w:p>
            <w:pPr>
              <w:widowControl/>
              <w:spacing w:before="0" w:after="40"/>
            </w:pPr>
            <w:r>
              <w:rPr>
                <w:rFonts w:ascii="Arial" w:hAnsi="Arial" w:eastAsia="Arial"/>
                <w:sz w:val="18"/>
              </w:rPr>
              <w:t>Agent runtime</w:t>
            </w:r>
          </w:p>
        </w:tc>
      </w:tr>
      <w:tr>
        <w:trPr/>
        <w:tc>
          <w:tcPr>
            <w:tcW w:type="dxa" w:w="2500"/>
            <w:tcMar>
              <w:top w:w="80" w:type="dxa"/>
              <w:start w:w="90" w:type="dxa"/>
              <w:bottom w:w="80" w:type="dxa"/>
              <w:end w:w="90" w:type="dxa"/>
            </w:tcMar>
            <w:shd w:fill="D9EAF7" w:val="clear"/>
          </w:tcPr>
          <w:p>
            <w:pPr>
              <w:widowControl/>
              <w:spacing w:before="0" w:after="40"/>
            </w:pPr>
            <w:r>
              <w:rPr>
                <w:rFonts w:ascii="Arial" w:hAnsi="Arial" w:eastAsia="Arial"/>
                <w:sz w:val="18"/>
              </w:rPr>
              <w:t>STRUCTURAL_VIABILITY_FAIL</w:t>
            </w:r>
          </w:p>
        </w:tc>
        <w:tc>
          <w:tcPr>
            <w:tcW w:type="dxa" w:w="2350"/>
            <w:tcMar>
              <w:top w:w="80" w:type="dxa"/>
              <w:start w:w="90" w:type="dxa"/>
              <w:bottom w:w="80" w:type="dxa"/>
              <w:end w:w="90" w:type="dxa"/>
            </w:tcMar>
            <w:shd w:fill="D9EAF7" w:val="clear"/>
          </w:tcPr>
          <w:p>
            <w:pPr>
              <w:widowControl/>
              <w:spacing w:before="0" w:after="40"/>
            </w:pPr>
            <w:r>
              <w:rPr>
                <w:rFonts w:ascii="Arial" w:hAnsi="Arial" w:eastAsia="Arial"/>
                <w:sz w:val="18"/>
              </w:rPr>
              <w:t>The runtime StructuralViabilityRecord resolves fail.</w:t>
            </w:r>
          </w:p>
        </w:tc>
        <w:tc>
          <w:tcPr>
            <w:tcW w:type="dxa" w:w="2650"/>
            <w:tcMar>
              <w:top w:w="80" w:type="dxa"/>
              <w:start w:w="90" w:type="dxa"/>
              <w:bottom w:w="80" w:type="dxa"/>
              <w:end w:w="90" w:type="dxa"/>
            </w:tcMar>
            <w:shd w:fill="D9EAF7" w:val="clear"/>
          </w:tcPr>
          <w:p>
            <w:pPr>
              <w:widowControl/>
              <w:spacing w:before="0" w:after="40"/>
            </w:pPr>
            <w:r>
              <w:rPr>
                <w:rFonts w:ascii="Arial" w:hAnsi="Arial" w:eastAsia="Arial"/>
                <w:sz w:val="18"/>
              </w:rPr>
              <w:t>Block execution and route to redesign or escalation.</w:t>
            </w:r>
          </w:p>
        </w:tc>
        <w:tc>
          <w:tcPr>
            <w:tcW w:type="dxa" w:w="1500"/>
            <w:tcMar>
              <w:top w:w="80" w:type="dxa"/>
              <w:start w:w="90" w:type="dxa"/>
              <w:bottom w:w="80" w:type="dxa"/>
              <w:end w:w="90" w:type="dxa"/>
            </w:tcMar>
            <w:shd w:fill="D9EAF7" w:val="clear"/>
          </w:tcPr>
          <w:p>
            <w:pPr>
              <w:widowControl/>
              <w:spacing w:before="0" w:after="40"/>
            </w:pPr>
            <w:r>
              <w:rPr>
                <w:rFonts w:ascii="Arial" w:hAnsi="Arial" w:eastAsia="Arial"/>
                <w:sz w:val="18"/>
              </w:rPr>
              <w:t>RUNTIME_BLOCK</w:t>
            </w:r>
          </w:p>
        </w:tc>
        <w:tc>
          <w:tcPr>
            <w:tcW w:type="dxa" w:w="1280"/>
            <w:tcMar>
              <w:top w:w="80" w:type="dxa"/>
              <w:start w:w="90" w:type="dxa"/>
              <w:bottom w:w="80" w:type="dxa"/>
              <w:end w:w="90" w:type="dxa"/>
            </w:tcMar>
            <w:shd w:fill="D9EAF7" w:val="clear"/>
          </w:tcPr>
          <w:p>
            <w:pPr>
              <w:widowControl/>
              <w:spacing w:before="0" w:after="40"/>
            </w:pPr>
            <w:r>
              <w:rPr>
                <w:rFonts w:ascii="Arial" w:hAnsi="Arial" w:eastAsia="Arial"/>
                <w:sz w:val="18"/>
              </w:rPr>
              <w:t>Agent runtime</w:t>
            </w:r>
          </w:p>
        </w:tc>
      </w:tr>
      <w:tr>
        <w:trPr/>
        <w:tc>
          <w:tcPr>
            <w:tcW w:type="dxa" w:w="2500"/>
            <w:tcMar>
              <w:top w:w="80" w:type="dxa"/>
              <w:start w:w="90" w:type="dxa"/>
              <w:bottom w:w="80" w:type="dxa"/>
              <w:end w:w="90" w:type="dxa"/>
            </w:tcMar>
            <w:shd w:fill="F7FBFF" w:val="clear"/>
          </w:tcPr>
          <w:p>
            <w:pPr>
              <w:widowControl/>
              <w:spacing w:before="0" w:after="40"/>
            </w:pPr>
            <w:r>
              <w:rPr>
                <w:rFonts w:ascii="Arial" w:hAnsi="Arial" w:eastAsia="Arial"/>
                <w:sz w:val="18"/>
              </w:rPr>
              <w:t>SVC_INPUT_INSUFFICIENT</w:t>
            </w:r>
          </w:p>
        </w:tc>
        <w:tc>
          <w:tcPr>
            <w:tcW w:type="dxa" w:w="2350"/>
            <w:tcMar>
              <w:top w:w="80" w:type="dxa"/>
              <w:start w:w="90" w:type="dxa"/>
              <w:bottom w:w="80" w:type="dxa"/>
              <w:end w:w="90" w:type="dxa"/>
            </w:tcMar>
            <w:shd w:fill="F7FBFF" w:val="clear"/>
          </w:tcPr>
          <w:p>
            <w:pPr>
              <w:widowControl/>
              <w:spacing w:before="0" w:after="40"/>
            </w:pPr>
            <w:r>
              <w:rPr>
                <w:rFonts w:ascii="Arial" w:hAnsi="Arial" w:eastAsia="Arial"/>
                <w:sz w:val="18"/>
              </w:rPr>
              <w:t>Required structural-viability input is absent or unresolved.</w:t>
            </w:r>
          </w:p>
        </w:tc>
        <w:tc>
          <w:tcPr>
            <w:tcW w:type="dxa" w:w="2650"/>
            <w:tcMar>
              <w:top w:w="80" w:type="dxa"/>
              <w:start w:w="90" w:type="dxa"/>
              <w:bottom w:w="80" w:type="dxa"/>
              <w:end w:w="90" w:type="dxa"/>
            </w:tcMar>
            <w:shd w:fill="F7FBFF" w:val="clear"/>
          </w:tcPr>
          <w:p>
            <w:pPr>
              <w:widowControl/>
              <w:spacing w:before="0" w:after="40"/>
            </w:pPr>
            <w:r>
              <w:rPr>
                <w:rFonts w:ascii="Arial" w:hAnsi="Arial" w:eastAsia="Arial"/>
                <w:sz w:val="18"/>
              </w:rPr>
              <w:t>Remain advisory-only; request evidence or escalate.</w:t>
            </w:r>
          </w:p>
        </w:tc>
        <w:tc>
          <w:tcPr>
            <w:tcW w:type="dxa" w:w="1500"/>
            <w:tcMar>
              <w:top w:w="80" w:type="dxa"/>
              <w:start w:w="90" w:type="dxa"/>
              <w:bottom w:w="80" w:type="dxa"/>
              <w:end w:w="90" w:type="dxa"/>
            </w:tcMar>
            <w:shd w:fill="F7FBFF" w:val="clear"/>
          </w:tcPr>
          <w:p>
            <w:pPr>
              <w:widowControl/>
              <w:spacing w:before="0" w:after="40"/>
            </w:pPr>
            <w:r>
              <w:rPr>
                <w:rFonts w:ascii="Arial" w:hAnsi="Arial" w:eastAsia="Arial"/>
                <w:sz w:val="18"/>
              </w:rPr>
              <w:t>RUNTIME_BLOCK</w:t>
            </w:r>
          </w:p>
        </w:tc>
        <w:tc>
          <w:tcPr>
            <w:tcW w:type="dxa" w:w="1280"/>
            <w:tcMar>
              <w:top w:w="80" w:type="dxa"/>
              <w:start w:w="90" w:type="dxa"/>
              <w:bottom w:w="80" w:type="dxa"/>
              <w:end w:w="90" w:type="dxa"/>
            </w:tcMar>
            <w:shd w:fill="F7FBFF" w:val="clear"/>
          </w:tcPr>
          <w:p>
            <w:pPr>
              <w:widowControl/>
              <w:spacing w:before="0" w:after="40"/>
            </w:pPr>
            <w:r>
              <w:rPr>
                <w:rFonts w:ascii="Arial" w:hAnsi="Arial" w:eastAsia="Arial"/>
                <w:sz w:val="18"/>
              </w:rPr>
              <w:t>Agent runtime</w:t>
            </w:r>
          </w:p>
        </w:tc>
      </w:tr>
      <w:tr>
        <w:trPr/>
        <w:tc>
          <w:tcPr>
            <w:tcW w:type="dxa" w:w="2500"/>
            <w:tcMar>
              <w:top w:w="80" w:type="dxa"/>
              <w:start w:w="90" w:type="dxa"/>
              <w:bottom w:w="80" w:type="dxa"/>
              <w:end w:w="90" w:type="dxa"/>
            </w:tcMar>
            <w:shd w:fill="D9EAF7" w:val="clear"/>
          </w:tcPr>
          <w:p>
            <w:pPr>
              <w:widowControl/>
              <w:spacing w:before="0" w:after="40"/>
            </w:pPr>
            <w:r>
              <w:rPr>
                <w:rFonts w:ascii="Arial" w:hAnsi="Arial" w:eastAsia="Arial"/>
                <w:sz w:val="18"/>
              </w:rPr>
              <w:t>PERMISSION_WITHOUT_ADMISSIBILITY_INVALID</w:t>
            </w:r>
          </w:p>
        </w:tc>
        <w:tc>
          <w:tcPr>
            <w:tcW w:type="dxa" w:w="2350"/>
            <w:tcMar>
              <w:top w:w="80" w:type="dxa"/>
              <w:start w:w="90" w:type="dxa"/>
              <w:bottom w:w="80" w:type="dxa"/>
              <w:end w:w="90" w:type="dxa"/>
            </w:tcMar>
            <w:shd w:fill="D9EAF7" w:val="clear"/>
          </w:tcPr>
          <w:p>
            <w:pPr>
              <w:widowControl/>
              <w:spacing w:before="0" w:after="40"/>
            </w:pPr>
            <w:r>
              <w:rPr>
                <w:rFonts w:ascii="Arial" w:hAnsi="Arial" w:eastAsia="Arial"/>
                <w:sz w:val="18"/>
              </w:rPr>
              <w:t>Permission or approval is used as a substitute for admissibility.</w:t>
            </w:r>
          </w:p>
        </w:tc>
        <w:tc>
          <w:tcPr>
            <w:tcW w:type="dxa" w:w="2650"/>
            <w:tcMar>
              <w:top w:w="80" w:type="dxa"/>
              <w:start w:w="90" w:type="dxa"/>
              <w:bottom w:w="80" w:type="dxa"/>
              <w:end w:w="90" w:type="dxa"/>
            </w:tcMar>
            <w:shd w:fill="D9EAF7" w:val="clear"/>
          </w:tcPr>
          <w:p>
            <w:pPr>
              <w:widowControl/>
              <w:spacing w:before="0" w:after="40"/>
            </w:pPr>
            <w:r>
              <w:rPr>
                <w:rFonts w:ascii="Arial" w:hAnsi="Arial" w:eastAsia="Arial"/>
                <w:sz w:val="18"/>
              </w:rPr>
              <w:t>Block execution and record the category collapse.</w:t>
            </w:r>
          </w:p>
        </w:tc>
        <w:tc>
          <w:tcPr>
            <w:tcW w:type="dxa" w:w="1500"/>
            <w:tcMar>
              <w:top w:w="80" w:type="dxa"/>
              <w:start w:w="90" w:type="dxa"/>
              <w:bottom w:w="80" w:type="dxa"/>
              <w:end w:w="90" w:type="dxa"/>
            </w:tcMar>
            <w:shd w:fill="D9EAF7" w:val="clear"/>
          </w:tcPr>
          <w:p>
            <w:pPr>
              <w:widowControl/>
              <w:spacing w:before="0" w:after="40"/>
            </w:pPr>
            <w:r>
              <w:rPr>
                <w:rFonts w:ascii="Arial" w:hAnsi="Arial" w:eastAsia="Arial"/>
                <w:sz w:val="18"/>
              </w:rPr>
              <w:t>RUNTIME_INVALID</w:t>
            </w:r>
          </w:p>
        </w:tc>
        <w:tc>
          <w:tcPr>
            <w:tcW w:type="dxa" w:w="1280"/>
            <w:tcMar>
              <w:top w:w="80" w:type="dxa"/>
              <w:start w:w="90" w:type="dxa"/>
              <w:bottom w:w="80" w:type="dxa"/>
              <w:end w:w="90" w:type="dxa"/>
            </w:tcMar>
            <w:shd w:fill="D9EAF7" w:val="clear"/>
          </w:tcPr>
          <w:p>
            <w:pPr>
              <w:widowControl/>
              <w:spacing w:before="0" w:after="40"/>
            </w:pPr>
            <w:r>
              <w:rPr>
                <w:rFonts w:ascii="Arial" w:hAnsi="Arial" w:eastAsia="Arial"/>
                <w:sz w:val="18"/>
              </w:rPr>
              <w:t>Agent runtime</w:t>
            </w:r>
          </w:p>
        </w:tc>
      </w:tr>
      <w:tr>
        <w:trPr/>
        <w:tc>
          <w:tcPr>
            <w:tcW w:type="dxa" w:w="2500"/>
            <w:tcMar>
              <w:top w:w="80" w:type="dxa"/>
              <w:start w:w="90" w:type="dxa"/>
              <w:bottom w:w="80" w:type="dxa"/>
              <w:end w:w="90" w:type="dxa"/>
            </w:tcMar>
            <w:shd w:fill="F7FBFF" w:val="clear"/>
            <w:tcBorders>
              <w:bottom w:val="single" w:sz="8" w:space="0" w:color="1F4E78"/>
            </w:tcBorders>
          </w:tcPr>
          <w:p>
            <w:pPr>
              <w:widowControl/>
              <w:spacing w:before="0" w:after="40"/>
            </w:pPr>
            <w:r>
              <w:rPr>
                <w:rFonts w:ascii="Arial" w:hAnsi="Arial" w:eastAsia="Arial"/>
                <w:sz w:val="18"/>
              </w:rPr>
              <w:t>STRUCTURAL_OVERRIDE_OF_RIGHTS_INVALID</w:t>
            </w:r>
          </w:p>
        </w:tc>
        <w:tc>
          <w:tcPr>
            <w:tcW w:type="dxa" w:w="2350"/>
            <w:tcMar>
              <w:top w:w="80" w:type="dxa"/>
              <w:start w:w="90" w:type="dxa"/>
              <w:bottom w:w="80" w:type="dxa"/>
              <w:end w:w="90" w:type="dxa"/>
            </w:tcMar>
            <w:shd w:fill="F7FBFF" w:val="clear"/>
            <w:tcBorders>
              <w:bottom w:val="single" w:sz="8" w:space="0" w:color="1F4E78"/>
            </w:tcBorders>
          </w:tcPr>
          <w:p>
            <w:pPr>
              <w:widowControl/>
              <w:spacing w:before="0" w:after="40"/>
            </w:pPr>
            <w:r>
              <w:rPr>
                <w:rFonts w:ascii="Arial" w:hAnsi="Arial" w:eastAsia="Arial"/>
                <w:sz w:val="18"/>
              </w:rPr>
              <w:t>A structural or operational consideration is used to override RF/NCRC.</w:t>
            </w:r>
          </w:p>
        </w:tc>
        <w:tc>
          <w:tcPr>
            <w:tcW w:type="dxa" w:w="2650"/>
            <w:tcMar>
              <w:top w:w="80" w:type="dxa"/>
              <w:start w:w="90" w:type="dxa"/>
              <w:bottom w:w="80" w:type="dxa"/>
              <w:end w:w="90" w:type="dxa"/>
            </w:tcMar>
            <w:shd w:fill="F7FBFF" w:val="clear"/>
            <w:tcBorders>
              <w:bottom w:val="single" w:sz="8" w:space="0" w:color="1F4E78"/>
            </w:tcBorders>
          </w:tcPr>
          <w:p>
            <w:pPr>
              <w:widowControl/>
              <w:spacing w:before="0" w:after="40"/>
            </w:pPr>
            <w:r>
              <w:rPr>
                <w:rFonts w:ascii="Arial" w:hAnsi="Arial" w:eastAsia="Arial"/>
                <w:sz w:val="18"/>
              </w:rPr>
              <w:t>Block execution; RF/NCRC controls.</w:t>
            </w:r>
          </w:p>
        </w:tc>
        <w:tc>
          <w:tcPr>
            <w:tcW w:type="dxa" w:w="1500"/>
            <w:tcMar>
              <w:top w:w="80" w:type="dxa"/>
              <w:start w:w="90" w:type="dxa"/>
              <w:bottom w:w="80" w:type="dxa"/>
              <w:end w:w="90" w:type="dxa"/>
            </w:tcMar>
            <w:shd w:fill="F7FBFF" w:val="clear"/>
            <w:tcBorders>
              <w:bottom w:val="single" w:sz="8" w:space="0" w:color="1F4E78"/>
            </w:tcBorders>
          </w:tcPr>
          <w:p>
            <w:pPr>
              <w:widowControl/>
              <w:spacing w:before="0" w:after="40"/>
            </w:pPr>
            <w:r>
              <w:rPr>
                <w:rFonts w:ascii="Arial" w:hAnsi="Arial" w:eastAsia="Arial"/>
                <w:sz w:val="18"/>
              </w:rPr>
              <w:t>RUNTIME_INVALID</w:t>
            </w:r>
          </w:p>
        </w:tc>
        <w:tc>
          <w:tcPr>
            <w:tcW w:type="dxa" w:w="1280"/>
            <w:tcMar>
              <w:top w:w="80" w:type="dxa"/>
              <w:start w:w="90" w:type="dxa"/>
              <w:bottom w:w="80" w:type="dxa"/>
              <w:end w:w="90" w:type="dxa"/>
            </w:tcMar>
            <w:shd w:fill="F7FBFF" w:val="clear"/>
            <w:tcBorders>
              <w:bottom w:val="single" w:sz="8" w:space="0" w:color="1F4E78"/>
            </w:tcBorders>
          </w:tcPr>
          <w:p>
            <w:pPr>
              <w:widowControl/>
              <w:spacing w:before="0" w:after="40"/>
            </w:pPr>
            <w:r>
              <w:rPr>
                <w:rFonts w:ascii="Arial" w:hAnsi="Arial" w:eastAsia="Arial"/>
                <w:sz w:val="18"/>
              </w:rPr>
              <w:t>Agent runtime</w:t>
            </w:r>
          </w:p>
        </w:tc>
      </w:tr>
    </w:tbl>
    <w:p>
      <w:pPr>
        <w:spacing w:before="0" w:after="0" w:line="20" w:lineRule="exact"/>
      </w:pPr>
      <w:r>
        <w:t> </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Flag</w:t>
            </w:r>
          </w:p>
        </w:tc>
        <w:tc>
          <w:tcPr>
            <w:shd w:fill="1F4E78" w:val="clear"/>
            <w:tcMar>
              <w:top w:w="80" w:type="dxa"/>
              <w:start w:w="90" w:type="dxa"/>
              <w:bottom w:w="80" w:type="dxa"/>
              <w:end w:w="90" w:type="dxa"/>
            </w:tcMar>
          </w:tcPr>
          <w:p>
            <w:pPr>
              <w:pStyle w:val="Compact"/>
              <w:jc w:val="left"/>
            </w:pPr>
            <w:r>
              <w:rPr>
                <w:b/>
                <w:bCs/>
                <w:color w:val="FFFFFF"/>
              </w:rPr>
              <w:t xml:space="preserve">Trigger</w:t>
            </w:r>
          </w:p>
        </w:tc>
        <w:tc>
          <w:tcPr>
            <w:shd w:fill="1F4E78" w:val="clear"/>
            <w:tcMar>
              <w:top w:w="80" w:type="dxa"/>
              <w:start w:w="90" w:type="dxa"/>
              <w:bottom w:w="80" w:type="dxa"/>
              <w:end w:w="90" w:type="dxa"/>
            </w:tcMar>
          </w:tcPr>
          <w:p>
            <w:pPr>
              <w:pStyle w:val="Compact"/>
              <w:jc w:val="left"/>
            </w:pPr>
            <w:r>
              <w:rPr>
                <w:b/>
                <w:bCs/>
                <w:color w:val="FFFFFF"/>
              </w:rPr>
              <w:t xml:space="preserve">Required action</w:t>
            </w:r>
          </w:p>
        </w:tc>
        <w:tc>
          <w:tcPr>
            <w:shd w:fill="1F4E78" w:val="clear"/>
            <w:tcMar>
              <w:top w:w="80" w:type="dxa"/>
              <w:start w:w="90" w:type="dxa"/>
              <w:bottom w:w="80" w:type="dxa"/>
              <w:end w:w="90" w:type="dxa"/>
            </w:tcMar>
          </w:tcPr>
          <w:p>
            <w:pPr>
              <w:pStyle w:val="Compact"/>
              <w:jc w:val="left"/>
            </w:pPr>
            <w:r>
              <w:rPr>
                <w:b/>
                <w:bCs/>
                <w:color w:val="FFFFFF"/>
              </w:rPr>
              <w:t xml:space="preserve">Severity</w:t>
            </w:r>
          </w:p>
        </w:tc>
      </w:tr>
      <w:tr>
        <w:trPr/>
        <w:tc>
          <w:tcPr>
            <w:tcMar>
              <w:top w:w="80" w:type="dxa"/>
              <w:start w:w="90" w:type="dxa"/>
              <w:bottom w:w="80" w:type="dxa"/>
              <w:end w:w="90" w:type="dxa"/>
            </w:tcMar>
            <w:shd w:fill="F7FBFF" w:val="clear"/>
          </w:tcPr>
          <w:p>
            <w:pPr>
              <w:pStyle w:val="Compact"/>
              <w:jc w:val="left"/>
            </w:pPr>
            <w:r>
              <w:t xml:space="preserve">CATEGORY_GROUNDING_RECORD_MISSING</w:t>
            </w:r>
          </w:p>
        </w:tc>
        <w:tc>
          <w:tcPr>
            <w:tcMar>
              <w:top w:w="80" w:type="dxa"/>
              <w:start w:w="90" w:type="dxa"/>
              <w:bottom w:w="80" w:type="dxa"/>
              <w:end w:w="90" w:type="dxa"/>
            </w:tcMar>
            <w:shd w:fill="F7FBFF" w:val="clear"/>
          </w:tcPr>
          <w:p>
            <w:pPr>
              <w:pStyle w:val="Compact"/>
              <w:jc w:val="left"/>
            </w:pPr>
            <w:r>
              <w:t xml:space="preserve">Category Grounding is required and PCC.CategoryGroundingRecord is missing.</w:t>
            </w:r>
          </w:p>
        </w:tc>
        <w:tc>
          <w:tcPr>
            <w:tcMar>
              <w:top w:w="80" w:type="dxa"/>
              <w:start w:w="90" w:type="dxa"/>
              <w:bottom w:w="80" w:type="dxa"/>
              <w:end w:w="90" w:type="dxa"/>
            </w:tcMar>
            <w:shd w:fill="F7FBFF" w:val="clear"/>
          </w:tcPr>
          <w:p>
            <w:pPr>
              <w:pStyle w:val="Compact"/>
              <w:jc w:val="left"/>
            </w:pPr>
            <w:r>
              <w:t xml:space="preserve">Block deterministic framework selection, conformance, public-deployment, and optimized-metric claims until the claim is narrowed, escalated, marked sensitivity-only / monitor-only, or refused.</w:t>
            </w:r>
          </w:p>
        </w:tc>
        <w:tc>
          <w:tcPr>
            <w:tcMar>
              <w:top w:w="80" w:type="dxa"/>
              <w:start w:w="90" w:type="dxa"/>
              <w:bottom w:w="80" w:type="dxa"/>
              <w:end w:w="90" w:type="dxa"/>
            </w:tcMar>
            <w:shd w:fill="F7FBFF" w:val="clear"/>
          </w:tcPr>
          <w:p>
            <w:pPr>
              <w:pStyle w:val="Compact"/>
              <w:jc w:val="left"/>
            </w:pPr>
            <w:r>
              <w:t xml:space="preserve">INVALID</w:t>
            </w:r>
          </w:p>
        </w:tc>
      </w:tr>
      <w:tr>
        <w:trPr/>
        <w:tc>
          <w:tcPr>
            <w:tcMar>
              <w:top w:w="80" w:type="dxa"/>
              <w:start w:w="90" w:type="dxa"/>
              <w:bottom w:w="80" w:type="dxa"/>
              <w:end w:w="90" w:type="dxa"/>
            </w:tcMar>
            <w:shd w:fill="D9EAF7" w:val="clear"/>
          </w:tcPr>
          <w:p>
            <w:pPr>
              <w:pStyle w:val="Compact"/>
              <w:jc w:val="left"/>
            </w:pPr>
            <w:r>
              <w:t xml:space="preserve">SEMANTIC_DEBT_AGGREGATE_HIGH</w:t>
            </w:r>
          </w:p>
        </w:tc>
        <w:tc>
          <w:tcPr>
            <w:tcMar>
              <w:top w:w="80" w:type="dxa"/>
              <w:start w:w="90" w:type="dxa"/>
              <w:bottom w:w="80" w:type="dxa"/>
              <w:end w:w="90" w:type="dxa"/>
            </w:tcMar>
            <w:shd w:fill="D9EAF7" w:val="clear"/>
          </w:tcPr>
          <w:p>
            <w:pPr>
              <w:pStyle w:val="Compact"/>
              <w:jc w:val="left"/>
            </w:pPr>
            <w:r>
              <w:t xml:space="preserve">Semantic debt score reaches or exceeds the governed threshold for the claim context.</w:t>
            </w:r>
          </w:p>
        </w:tc>
        <w:tc>
          <w:tcPr>
            <w:tcMar>
              <w:top w:w="80" w:type="dxa"/>
              <w:start w:w="90" w:type="dxa"/>
              <w:bottom w:w="80" w:type="dxa"/>
              <w:end w:w="90" w:type="dxa"/>
            </w:tcMar>
            <w:shd w:fill="D9EAF7" w:val="clear"/>
          </w:tcPr>
          <w:p>
            <w:pPr>
              <w:pStyle w:val="Compact"/>
              <w:jc w:val="left"/>
            </w:pPr>
            <w:r>
              <w:t xml:space="preserve">Require reviewer disposition before stronger public, conformance, authority-selection, deployment-readiness, or deterministic-selection claims.</w:t>
            </w:r>
          </w:p>
        </w:tc>
        <w:tc>
          <w:tcPr>
            <w:tcMar>
              <w:top w:w="80" w:type="dxa"/>
              <w:start w:w="90" w:type="dxa"/>
              <w:bottom w:w="80" w:type="dxa"/>
              <w:end w:w="90" w:type="dxa"/>
            </w:tcMar>
            <w:shd w:fill="D9EAF7" w:val="clear"/>
          </w:tcPr>
          <w:p>
            <w:pPr>
              <w:pStyle w:val="Compact"/>
              <w:jc w:val="left"/>
            </w:pPr>
            <w:r>
              <w:t xml:space="preserve">ESCALATE</w:t>
            </w:r>
          </w:p>
        </w:tc>
      </w:tr>
      <w:tr>
        <w:trPr/>
        <w:tc>
          <w:tcPr>
            <w:tcMar>
              <w:top w:w="80" w:type="dxa"/>
              <w:start w:w="90" w:type="dxa"/>
              <w:bottom w:w="80" w:type="dxa"/>
              <w:end w:w="90" w:type="dxa"/>
            </w:tcMar>
            <w:shd w:fill="F7FBFF" w:val="clear"/>
          </w:tcPr>
          <w:p>
            <w:pPr>
              <w:pStyle w:val="Compact"/>
              <w:jc w:val="left"/>
            </w:pPr>
            <w:r>
              <w:t xml:space="preserve">SILENT_REMAINDER_INVALID</w:t>
            </w:r>
          </w:p>
        </w:tc>
        <w:tc>
          <w:tcPr>
            <w:tcMar>
              <w:top w:w="80" w:type="dxa"/>
              <w:start w:w="90" w:type="dxa"/>
              <w:bottom w:w="80" w:type="dxa"/>
              <w:end w:w="90" w:type="dxa"/>
            </w:tcMar>
            <w:shd w:fill="F7FBFF" w:val="clear"/>
          </w:tcPr>
          <w:p>
            <w:pPr>
              <w:pStyle w:val="Compact"/>
              <w:jc w:val="left"/>
            </w:pPr>
            <w:r>
              <w:t xml:space="preserve">A required field is missing or an undefined remainder is silently treated as pass, zero, or non-material.</w:t>
            </w:r>
          </w:p>
        </w:tc>
        <w:tc>
          <w:tcPr>
            <w:tcMar>
              <w:top w:w="80" w:type="dxa"/>
              <w:start w:w="90" w:type="dxa"/>
              <w:bottom w:w="80" w:type="dxa"/>
              <w:end w:w="90" w:type="dxa"/>
            </w:tcMar>
            <w:shd w:fill="F7FBFF" w:val="clear"/>
          </w:tcPr>
          <w:p>
            <w:pPr>
              <w:pStyle w:val="Compact"/>
              <w:jc w:val="left"/>
            </w:pPr>
            <w:r>
              <w:t xml:space="preserve">Declare the remainder, collect evidence, rerun, narrow the claim, escalate, or refuse.</w:t>
            </w:r>
          </w:p>
        </w:tc>
        <w:tc>
          <w:tcPr>
            <w:tcMar>
              <w:top w:w="80" w:type="dxa"/>
              <w:start w:w="90" w:type="dxa"/>
              <w:bottom w:w="80" w:type="dxa"/>
              <w:end w:w="90" w:type="dxa"/>
            </w:tcMar>
            <w:shd w:fill="F7FBFF" w:val="clear"/>
          </w:tcPr>
          <w:p>
            <w:pPr>
              <w:pStyle w:val="Compact"/>
              <w:jc w:val="left"/>
            </w:pPr>
            <w:r>
              <w:t xml:space="preserve">INVALID</w:t>
            </w:r>
          </w:p>
        </w:tc>
      </w:tr>
      <w:tr>
        <w:trPr/>
        <w:tc>
          <w:tcPr>
            <w:tcMar>
              <w:top w:w="80" w:type="dxa"/>
              <w:start w:w="90" w:type="dxa"/>
              <w:bottom w:w="80" w:type="dxa"/>
              <w:end w:w="90" w:type="dxa"/>
            </w:tcMar>
            <w:shd w:fill="D9EAF7" w:val="clear"/>
          </w:tcPr>
          <w:p>
            <w:pPr>
              <w:pStyle w:val="Compact"/>
              <w:jc w:val="left"/>
            </w:pPr>
            <w:r>
              <w:t xml:space="preserve">INSUFFICIENT_GROUNDING</w:t>
            </w:r>
          </w:p>
        </w:tc>
        <w:tc>
          <w:tcPr>
            <w:tcMar>
              <w:top w:w="80" w:type="dxa"/>
              <w:start w:w="90" w:type="dxa"/>
              <w:bottom w:w="80" w:type="dxa"/>
              <w:end w:w="90" w:type="dxa"/>
            </w:tcMar>
            <w:shd w:fill="D9EAF7" w:val="clear"/>
          </w:tcPr>
          <w:p>
            <w:pPr>
              <w:pStyle w:val="Compact"/>
              <w:jc w:val="left"/>
            </w:pPr>
            <w:r>
              <w:t xml:space="preserve">The declared reality surface is insufficient for a material rights, tail-risk, CSV, authority, conformance, or selection claim.</w:t>
            </w:r>
          </w:p>
        </w:tc>
        <w:tc>
          <w:tcPr>
            <w:tcMar>
              <w:top w:w="80" w:type="dxa"/>
              <w:start w:w="90" w:type="dxa"/>
              <w:bottom w:w="80" w:type="dxa"/>
              <w:end w:w="90" w:type="dxa"/>
            </w:tcMar>
            <w:shd w:fill="D9EAF7" w:val="clear"/>
          </w:tcPr>
          <w:p>
            <w:pPr>
              <w:pStyle w:val="Compact"/>
              <w:jc w:val="left"/>
            </w:pPr>
            <w:r>
              <w:t xml:space="preserve">Narrow the claim, collect evidence, rerun, mark exploratory/sensitivity-only, escalate, or refuse the stronger claim.</w:t>
            </w:r>
          </w:p>
        </w:tc>
        <w:tc>
          <w:tcPr>
            <w:tcMar>
              <w:top w:w="80" w:type="dxa"/>
              <w:start w:w="90" w:type="dxa"/>
              <w:bottom w:w="80" w:type="dxa"/>
              <w:end w:w="90" w:type="dxa"/>
            </w:tcMar>
            <w:shd w:fill="D9EAF7" w:val="clear"/>
          </w:tcPr>
          <w:p>
            <w:pPr>
              <w:pStyle w:val="Compact"/>
              <w:jc w:val="left"/>
            </w:pPr>
            <w:r>
              <w:t xml:space="preserve">ESCALATE/REFUSE</w:t>
            </w:r>
          </w:p>
        </w:tc>
      </w:tr>
      <w:tr>
        <w:trPr/>
        <w:tc>
          <w:tcPr>
            <w:tcMar>
              <w:top w:w="80" w:type="dxa"/>
              <w:start w:w="90" w:type="dxa"/>
              <w:bottom w:w="80" w:type="dxa"/>
              <w:end w:w="90" w:type="dxa"/>
            </w:tcMar>
            <w:shd w:fill="F7FBFF" w:val="clear"/>
          </w:tcPr>
          <w:p>
            <w:pPr>
              <w:pStyle w:val="Compact"/>
              <w:jc w:val="left"/>
            </w:pPr>
            <w:r>
              <w:t xml:space="preserve">CONTAINMENT_STRUCTURAL_DIAGNOSTIC_UNAVAILABLE</w:t>
            </w:r>
          </w:p>
        </w:tc>
        <w:tc>
          <w:tcPr>
            <w:tcMar>
              <w:top w:w="80" w:type="dxa"/>
              <w:start w:w="90" w:type="dxa"/>
              <w:bottom w:w="80" w:type="dxa"/>
              <w:end w:w="90" w:type="dxa"/>
            </w:tcMar>
            <w:shd w:fill="F7FBFF" w:val="clear"/>
          </w:tcPr>
          <w:p>
            <w:pPr>
              <w:pStyle w:val="Compact"/>
              <w:jc w:val="left"/>
            </w:pPr>
            <w:r>
              <w:t xml:space="preserve">Structural diagnostic evidence required for CSV, including UCI/HOI or declared equivalent where material, is unavailable or unresolved.</w:t>
            </w:r>
          </w:p>
        </w:tc>
        <w:tc>
          <w:tcPr>
            <w:tcMar>
              <w:top w:w="80" w:type="dxa"/>
              <w:start w:w="90" w:type="dxa"/>
              <w:bottom w:w="80" w:type="dxa"/>
              <w:end w:w="90" w:type="dxa"/>
            </w:tcMar>
            <w:shd w:fill="F7FBFF" w:val="clear"/>
          </w:tcPr>
          <w:p>
            <w:pPr>
              <w:pStyle w:val="Compact"/>
              <w:jc w:val="left"/>
            </w:pPr>
            <w:r>
              <w:t xml:space="preserve">Downgrade claim strength, collect evidence, rerun, escalate, refuse the stronger claim, or record permitted waiver where allowed.</w:t>
            </w:r>
          </w:p>
        </w:tc>
        <w:tc>
          <w:tcPr>
            <w:tcMar>
              <w:top w:w="80" w:type="dxa"/>
              <w:start w:w="90" w:type="dxa"/>
              <w:bottom w:w="80" w:type="dxa"/>
              <w:end w:w="90" w:type="dxa"/>
            </w:tcMar>
            <w:shd w:fill="F7FBFF" w:val="clear"/>
          </w:tcPr>
          <w:p>
            <w:pPr>
              <w:pStyle w:val="Compact"/>
              <w:jc w:val="left"/>
            </w:pPr>
            <w:r>
              <w:t xml:space="preserve">ESCALATE</w:t>
            </w:r>
          </w:p>
        </w:tc>
      </w:tr>
      <w:tr>
        <w:trPr/>
        <w:tc>
          <w:tcPr>
            <w:tcMar>
              <w:top w:w="80" w:type="dxa"/>
              <w:start w:w="90" w:type="dxa"/>
              <w:bottom w:w="80" w:type="dxa"/>
              <w:end w:w="90" w:type="dxa"/>
            </w:tcMar>
            <w:shd w:fill="D9EAF7" w:val="clear"/>
          </w:tcPr>
          <w:p>
            <w:pPr>
              <w:pStyle w:val="Compact"/>
              <w:jc w:val="left"/>
            </w:pPr>
            <w:r>
              <w:t xml:space="preserve">STRUCTURAL_DIAGNOSTIC_MISPLACED_TO_TIEBREAK</w:t>
            </w:r>
          </w:p>
        </w:tc>
        <w:tc>
          <w:tcPr>
            <w:tcMar>
              <w:top w:w="80" w:type="dxa"/>
              <w:start w:w="90" w:type="dxa"/>
              <w:bottom w:w="80" w:type="dxa"/>
              <w:end w:w="90" w:type="dxa"/>
            </w:tcMar>
            <w:shd w:fill="D9EAF7" w:val="clear"/>
          </w:tcPr>
          <w:p>
            <w:pPr>
              <w:pStyle w:val="Compact"/>
              <w:jc w:val="left"/>
            </w:pPr>
            <w:r>
              <w:t xml:space="preserve">A structural diagnostic that was gate-relevant to CSV was treated only as residual tie-break evidence after RLS.</w:t>
            </w:r>
          </w:p>
        </w:tc>
        <w:tc>
          <w:tcPr>
            <w:tcMar>
              <w:top w:w="80" w:type="dxa"/>
              <w:start w:w="90" w:type="dxa"/>
              <w:bottom w:w="80" w:type="dxa"/>
              <w:end w:w="90" w:type="dxa"/>
            </w:tcMar>
            <w:shd w:fill="D9EAF7" w:val="clear"/>
          </w:tcPr>
          <w:p>
            <w:pPr>
              <w:pStyle w:val="Compact"/>
              <w:jc w:val="left"/>
            </w:pPr>
            <w:r>
              <w:t xml:space="preserve">Rerun CSV with the diagnostic included or refuse the stronger claim.</w:t>
            </w:r>
          </w:p>
        </w:tc>
        <w:tc>
          <w:tcPr>
            <w:tcMar>
              <w:top w:w="80" w:type="dxa"/>
              <w:start w:w="90" w:type="dxa"/>
              <w:bottom w:w="80" w:type="dxa"/>
              <w:end w:w="90" w:type="dxa"/>
            </w:tcMar>
            <w:shd w:fill="D9EAF7" w:val="clear"/>
          </w:tcPr>
          <w:p>
            <w:pPr>
              <w:pStyle w:val="Compact"/>
              <w:jc w:val="left"/>
            </w:pPr>
            <w:r>
              <w:t xml:space="preserve">INVALID for Tier 3; ESCALATE otherwise</w:t>
            </w:r>
          </w:p>
        </w:tc>
      </w:tr>
      <w:tr>
        <w:trPr/>
        <w:tc>
          <w:tcPr>
            <w:tcMar>
              <w:top w:w="80" w:type="dxa"/>
              <w:start w:w="90" w:type="dxa"/>
              <w:bottom w:w="80" w:type="dxa"/>
              <w:end w:w="90" w:type="dxa"/>
            </w:tcMar>
            <w:shd w:fill="F7FBFF" w:val="clear"/>
          </w:tcPr>
          <w:p>
            <w:pPr>
              <w:pStyle w:val="Compact"/>
              <w:jc w:val="left"/>
            </w:pPr>
            <w:r>
              <w:t xml:space="preserve">PLSS_STRUCTURAL_DIAGNOSTIC_OMISSION</w:t>
            </w:r>
          </w:p>
        </w:tc>
        <w:tc>
          <w:tcPr>
            <w:tcMar>
              <w:top w:w="80" w:type="dxa"/>
              <w:start w:w="90" w:type="dxa"/>
              <w:bottom w:w="80" w:type="dxa"/>
              <w:end w:w="90" w:type="dxa"/>
            </w:tcMar>
            <w:shd w:fill="F7FBFF" w:val="clear"/>
          </w:tcPr>
          <w:p>
            <w:pPr>
              <w:pStyle w:val="Compact"/>
              <w:jc w:val="left"/>
            </w:pPr>
            <w:r>
              <w:t xml:space="preserve">A PLSS run omitted, down-weighted, or deferred structural diagnostic evidence that was plausibly CSV-relevant.</w:t>
            </w:r>
          </w:p>
        </w:tc>
        <w:tc>
          <w:tcPr>
            <w:tcMar>
              <w:top w:w="80" w:type="dxa"/>
              <w:start w:w="90" w:type="dxa"/>
              <w:bottom w:w="80" w:type="dxa"/>
              <w:end w:w="90" w:type="dxa"/>
            </w:tcMar>
            <w:shd w:fill="F7FBFF" w:val="clear"/>
          </w:tcPr>
          <w:p>
            <w:pPr>
              <w:pStyle w:val="Compact"/>
              <w:jc w:val="left"/>
            </w:pPr>
            <w:r>
              <w:t xml:space="preserve">Rerun with broader scrutiny, document non-relevance, or escalate.</w:t>
            </w:r>
          </w:p>
        </w:tc>
        <w:tc>
          <w:tcPr>
            <w:tcMar>
              <w:top w:w="80" w:type="dxa"/>
              <w:start w:w="90" w:type="dxa"/>
              <w:bottom w:w="80" w:type="dxa"/>
              <w:end w:w="90" w:type="dxa"/>
            </w:tcMar>
            <w:shd w:fill="F7FBFF" w:val="clear"/>
          </w:tcPr>
          <w:p>
            <w:pPr>
              <w:pStyle w:val="Compact"/>
              <w:jc w:val="left"/>
            </w:pPr>
            <w:r>
              <w:t xml:space="preserve">ESCALATE</w:t>
            </w:r>
          </w:p>
        </w:tc>
      </w:tr>
      <w:tr>
        <w:trPr/>
        <w:tc>
          <w:tcPr>
            <w:tcMar>
              <w:top w:w="80" w:type="dxa"/>
              <w:start w:w="90" w:type="dxa"/>
              <w:bottom w:w="80" w:type="dxa"/>
              <w:end w:w="90" w:type="dxa"/>
            </w:tcMar>
            <w:shd w:fill="D9EAF7" w:val="clear"/>
          </w:tcPr>
          <w:p>
            <w:pPr>
              <w:pStyle w:val="Compact"/>
              <w:jc w:val="left"/>
            </w:pPr>
            <w:r>
              <w:t xml:space="preserve">GATE_CRITICAL_CONFIDENCE_UNDERBOUNDED</w:t>
            </w:r>
          </w:p>
        </w:tc>
        <w:tc>
          <w:tcPr>
            <w:tcMar>
              <w:top w:w="80" w:type="dxa"/>
              <w:start w:w="90" w:type="dxa"/>
              <w:bottom w:w="80" w:type="dxa"/>
              <w:end w:w="90" w:type="dxa"/>
            </w:tcMar>
            <w:shd w:fill="D9EAF7" w:val="clear"/>
          </w:tcPr>
          <w:p>
            <w:pPr>
              <w:pStyle w:val="Compact"/>
              <w:jc w:val="left"/>
            </w:pPr>
            <w:r>
              <w:t xml:space="preserve">A low-confidence adverse impact in C_r, C_cat, or a material CSV indicator is used to reduce apparent severity such that RF/NCRC, TRC, or CSV would pass when a conservative bound, rerun, downgrade, escalation, or Refusal is required.</w:t>
            </w:r>
          </w:p>
        </w:tc>
        <w:tc>
          <w:tcPr>
            <w:tcMar>
              <w:top w:w="80" w:type="dxa"/>
              <w:start w:w="90" w:type="dxa"/>
              <w:bottom w:w="80" w:type="dxa"/>
              <w:end w:w="90" w:type="dxa"/>
            </w:tcMar>
            <w:shd w:fill="D9EAF7" w:val="clear"/>
          </w:tcPr>
          <w:p>
            <w:pPr>
              <w:pStyle w:val="Compact"/>
              <w:jc w:val="left"/>
            </w:pPr>
            <w:r>
              <w:t xml:space="preserve">Apply the gate-critical confidence guard; record conservative bound or unresolved gate disposition in PCC.</w:t>
            </w:r>
          </w:p>
        </w:tc>
        <w:tc>
          <w:tcPr>
            <w:tcMar>
              <w:top w:w="80" w:type="dxa"/>
              <w:start w:w="90" w:type="dxa"/>
              <w:bottom w:w="80" w:type="dxa"/>
              <w:end w:w="90" w:type="dxa"/>
            </w:tcMar>
            <w:shd w:fill="D9EAF7" w:val="clear"/>
          </w:tcPr>
          <w:p>
            <w:pPr>
              <w:pStyle w:val="Compact"/>
              <w:jc w:val="left"/>
            </w:pPr>
            <w:r>
              <w:t xml:space="preserve">ESCALATE</w:t>
            </w:r>
          </w:p>
        </w:tc>
      </w:tr>
      <w:tr>
        <w:trPr/>
        <w:tc>
          <w:tcPr>
            <w:tcMar>
              <w:top w:w="80" w:type="dxa"/>
              <w:start w:w="90" w:type="dxa"/>
              <w:bottom w:w="80" w:type="dxa"/>
              <w:end w:w="90" w:type="dxa"/>
            </w:tcMar>
            <w:shd w:fill="F7FBFF" w:val="clear"/>
          </w:tcPr>
          <w:p>
            <w:pPr>
              <w:pStyle w:val="Compact"/>
              <w:jc w:val="left"/>
            </w:pPr>
            <w:r>
              <w:t xml:space="preserve">SGP_BINDING_INTEGRITY_FAIL</w:t>
            </w:r>
          </w:p>
        </w:tc>
        <w:tc>
          <w:tcPr>
            <w:tcMar>
              <w:top w:w="80" w:type="dxa"/>
              <w:start w:w="90" w:type="dxa"/>
              <w:bottom w:w="80" w:type="dxa"/>
              <w:end w:w="90" w:type="dxa"/>
            </w:tcMar>
            <w:shd w:fill="F7FBFF" w:val="clear"/>
          </w:tcPr>
          <w:p>
            <w:pPr>
              <w:pStyle w:val="Compact"/>
              <w:jc w:val="left"/>
            </w:pPr>
            <w:r>
              <w:t xml:space="preserve">A run claims SGP-aware protection, welfare-inclusion hypothesis sensitivity, FPP, GPR, SPR, or ICP use but omits the valid version-pinned record, target boundary, band/interval, hypotheses evaluated, or required registry fields; or it silently falls back to MPS-0, zero, a convenient coefficient, or a legacy v7 scalar.</w:t>
            </w:r>
          </w:p>
        </w:tc>
        <w:tc>
          <w:tcPr>
            <w:tcMar>
              <w:top w:w="80" w:type="dxa"/>
              <w:start w:w="90" w:type="dxa"/>
              <w:bottom w:w="80" w:type="dxa"/>
              <w:end w:w="90" w:type="dxa"/>
            </w:tcMar>
            <w:shd w:fill="F7FBFF" w:val="clear"/>
          </w:tcPr>
          <w:p>
            <w:pPr>
              <w:pStyle w:val="Compact"/>
              <w:jc w:val="left"/>
            </w:pPr>
            <w:r>
              <w:t xml:space="preserve">Mark the affected PCC claim INVALID; restore the valid record and governed hypothesis set, rerun sensitivity, or remove/narrow the SGP-aware claim. No silent fallback is permitted.</w:t>
            </w:r>
          </w:p>
        </w:tc>
        <w:tc>
          <w:tcPr>
            <w:tcMar>
              <w:top w:w="80" w:type="dxa"/>
              <w:start w:w="90" w:type="dxa"/>
              <w:bottom w:w="80" w:type="dxa"/>
              <w:end w:w="90" w:type="dxa"/>
            </w:tcMar>
            <w:shd w:fill="F7FBFF" w:val="clear"/>
          </w:tcPr>
          <w:p>
            <w:pPr>
              <w:pStyle w:val="Compact"/>
              <w:jc w:val="left"/>
            </w:pPr>
            <w:r>
              <w:t xml:space="preserve">INVALID for affected SGP-aware claim</w:t>
            </w:r>
          </w:p>
        </w:tc>
      </w:tr>
      <w:tr>
        <w:trPr/>
        <w:tc>
          <w:tcPr>
            <w:tcMar>
              <w:top w:w="80" w:type="dxa"/>
              <w:start w:w="90" w:type="dxa"/>
              <w:bottom w:w="80" w:type="dxa"/>
              <w:end w:w="90" w:type="dxa"/>
            </w:tcMar>
            <w:shd w:fill="D9EAF7" w:val="clear"/>
          </w:tcPr>
          <w:p>
            <w:pPr>
              <w:pStyle w:val="Compact"/>
              <w:jc w:val="left"/>
            </w:pPr>
            <w:r>
              <w:t xml:space="preserve">RLS_DEPENDENCE_SENSITIVE</w:t>
            </w:r>
          </w:p>
        </w:tc>
        <w:tc>
          <w:tcPr>
            <w:tcMar>
              <w:top w:w="80" w:type="dxa"/>
              <w:start w:w="90" w:type="dxa"/>
              <w:bottom w:w="80" w:type="dxa"/>
              <w:end w:w="90" w:type="dxa"/>
            </w:tcMar>
            <w:shd w:fill="D9EAF7" w:val="clear"/>
          </w:tcPr>
          <w:p>
            <w:pPr>
              <w:pStyle w:val="Compact"/>
              <w:jc w:val="left"/>
            </w:pPr>
            <w:r>
              <w:t xml:space="preserve">Ranking or decisiveness changes when uncertainty dependence clusters, perfect-correlation stress, or covariance-aware aggregation is applied.</w:t>
            </w:r>
          </w:p>
        </w:tc>
        <w:tc>
          <w:tcPr>
            <w:tcMar>
              <w:top w:w="80" w:type="dxa"/>
              <w:start w:w="90" w:type="dxa"/>
              <w:bottom w:w="80" w:type="dxa"/>
              <w:end w:w="90" w:type="dxa"/>
            </w:tcMar>
            <w:shd w:fill="D9EAF7" w:val="clear"/>
          </w:tcPr>
          <w:p>
            <w:pPr>
              <w:pStyle w:val="Compact"/>
              <w:jc w:val="left"/>
            </w:pPr>
            <w:r>
              <w:t xml:space="preserve">Treat the result as non-decisive; disclose the dependence structure and complete the tie-break or governance review.</w:t>
            </w:r>
          </w:p>
        </w:tc>
        <w:tc>
          <w:tcPr>
            <w:tcMar>
              <w:top w:w="80" w:type="dxa"/>
              <w:start w:w="90" w:type="dxa"/>
              <w:bottom w:w="80" w:type="dxa"/>
              <w:end w:w="90" w:type="dxa"/>
            </w:tcMar>
            <w:shd w:fill="D9EAF7" w:val="clear"/>
          </w:tcPr>
          <w:p>
            <w:pPr>
              <w:pStyle w:val="Compact"/>
              <w:jc w:val="left"/>
            </w:pPr>
            <w:r>
              <w:t xml:space="preserve">ESCALATE</w:t>
            </w:r>
          </w:p>
        </w:tc>
      </w:tr>
      <w:tr>
        <w:trPr/>
        <w:tc>
          <w:tcPr>
            <w:tcMar>
              <w:top w:w="80" w:type="dxa"/>
              <w:start w:w="90" w:type="dxa"/>
              <w:bottom w:w="80" w:type="dxa"/>
              <w:end w:w="90" w:type="dxa"/>
            </w:tcMar>
            <w:shd w:fill="F7FBFF" w:val="clear"/>
          </w:tcPr>
          <w:p>
            <w:pPr>
              <w:pStyle w:val="Compact"/>
              <w:jc w:val="left"/>
            </w:pPr>
            <w:r>
              <w:t xml:space="preserve">SOURCE_COUPLING_RECORD_MISSING</w:t>
            </w:r>
          </w:p>
        </w:tc>
        <w:tc>
          <w:tcPr>
            <w:tcMar>
              <w:top w:w="80" w:type="dxa"/>
              <w:start w:w="90" w:type="dxa"/>
              <w:bottom w:w="80" w:type="dxa"/>
              <w:end w:w="90" w:type="dxa"/>
            </w:tcMar>
            <w:shd w:fill="F7FBFF" w:val="clear"/>
          </w:tcPr>
          <w:p>
            <w:pPr>
              <w:pStyle w:val="Compact"/>
              <w:jc w:val="left"/>
            </w:pPr>
            <w:r>
              <w:t xml:space="preserve">Source-Coupling Integrity is triggered but the required SourceCouplingRecord is absent.</w:t>
            </w:r>
          </w:p>
        </w:tc>
        <w:tc>
          <w:tcPr>
            <w:tcMar>
              <w:top w:w="80" w:type="dxa"/>
              <w:start w:w="90" w:type="dxa"/>
              <w:bottom w:w="80" w:type="dxa"/>
              <w:end w:w="90" w:type="dxa"/>
            </w:tcMar>
            <w:shd w:fill="F7FBFF" w:val="clear"/>
          </w:tcPr>
          <w:p>
            <w:pPr>
              <w:pStyle w:val="Compact"/>
              <w:jc w:val="left"/>
            </w:pPr>
            <w:r>
              <w:t xml:space="preserve">Add the SourceCouplingRecord, narrow the claim, downgrade to exploratory/monitor-only, escalate, or refuse the stronger claim.</w:t>
            </w:r>
          </w:p>
        </w:tc>
        <w:tc>
          <w:tcPr>
            <w:tcMar>
              <w:top w:w="80" w:type="dxa"/>
              <w:start w:w="90" w:type="dxa"/>
              <w:bottom w:w="80" w:type="dxa"/>
              <w:end w:w="90" w:type="dxa"/>
            </w:tcMar>
            <w:shd w:fill="F7FBFF" w:val="clear"/>
          </w:tcPr>
          <w:p>
            <w:pPr>
              <w:pStyle w:val="Compact"/>
              <w:jc w:val="left"/>
            </w:pPr>
            <w:r>
              <w:t xml:space="preserve">INVALID for affected strong claim</w:t>
            </w:r>
          </w:p>
        </w:tc>
      </w:tr>
      <w:tr>
        <w:trPr/>
        <w:tc>
          <w:tcPr>
            <w:tcMar>
              <w:top w:w="80" w:type="dxa"/>
              <w:start w:w="90" w:type="dxa"/>
              <w:bottom w:w="80" w:type="dxa"/>
              <w:end w:w="90" w:type="dxa"/>
            </w:tcMar>
            <w:shd w:fill="D9EAF7" w:val="clear"/>
          </w:tcPr>
          <w:p>
            <w:pPr>
              <w:pStyle w:val="Compact"/>
              <w:jc w:val="left"/>
            </w:pPr>
            <w:r>
              <w:t xml:space="preserve">SOURCE_COUPLING_STATUS_UNSUPPORTED</w:t>
            </w:r>
          </w:p>
        </w:tc>
        <w:tc>
          <w:tcPr>
            <w:tcMar>
              <w:top w:w="80" w:type="dxa"/>
              <w:start w:w="90" w:type="dxa"/>
              <w:bottom w:w="80" w:type="dxa"/>
              <w:end w:w="90" w:type="dxa"/>
            </w:tcMar>
            <w:shd w:fill="D9EAF7" w:val="clear"/>
          </w:tcPr>
          <w:p>
            <w:pPr>
              <w:pStyle w:val="Compact"/>
              <w:jc w:val="left"/>
            </w:pPr>
            <w:r>
              <w:t xml:space="preserve">Declared Source-Coupling status is stronger than the evidence, capability surface, or warrant supports.</w:t>
            </w:r>
          </w:p>
        </w:tc>
        <w:tc>
          <w:tcPr>
            <w:tcMar>
              <w:top w:w="80" w:type="dxa"/>
              <w:start w:w="90" w:type="dxa"/>
              <w:bottom w:w="80" w:type="dxa"/>
              <w:end w:w="90" w:type="dxa"/>
            </w:tcMar>
            <w:shd w:fill="D9EAF7" w:val="clear"/>
          </w:tcPr>
          <w:p>
            <w:pPr>
              <w:pStyle w:val="Compact"/>
              <w:jc w:val="left"/>
            </w:pPr>
            <w:r>
              <w:t xml:space="preserve">Downgrade the status, add evidence, rerun RG/CSV if material, or invalidate the affected claim.</w:t>
            </w:r>
          </w:p>
        </w:tc>
        <w:tc>
          <w:tcPr>
            <w:tcMar>
              <w:top w:w="80" w:type="dxa"/>
              <w:start w:w="90" w:type="dxa"/>
              <w:bottom w:w="80" w:type="dxa"/>
              <w:end w:w="90" w:type="dxa"/>
            </w:tcMar>
            <w:shd w:fill="D9EAF7" w:val="clear"/>
          </w:tcPr>
          <w:p>
            <w:pPr>
              <w:pStyle w:val="Compact"/>
              <w:jc w:val="left"/>
            </w:pPr>
            <w:r>
              <w:t xml:space="preserve">ESCALATE/INVALID</w:t>
            </w:r>
          </w:p>
        </w:tc>
      </w:tr>
      <w:tr>
        <w:trPr/>
        <w:tc>
          <w:tcPr>
            <w:tcMar>
              <w:top w:w="80" w:type="dxa"/>
              <w:start w:w="90" w:type="dxa"/>
              <w:bottom w:w="80" w:type="dxa"/>
              <w:end w:w="90" w:type="dxa"/>
            </w:tcMar>
            <w:shd w:fill="F7FBFF" w:val="clear"/>
          </w:tcPr>
          <w:p>
            <w:pPr>
              <w:pStyle w:val="Compact"/>
              <w:jc w:val="left"/>
            </w:pPr>
            <w:r>
              <w:t xml:space="preserve">PC_AEP_RECORD_MISSING</w:t>
            </w:r>
          </w:p>
        </w:tc>
        <w:tc>
          <w:tcPr>
            <w:tcMar>
              <w:top w:w="80" w:type="dxa"/>
              <w:start w:w="90" w:type="dxa"/>
              <w:bottom w:w="80" w:type="dxa"/>
              <w:end w:w="90" w:type="dxa"/>
            </w:tcMar>
            <w:shd w:fill="F7FBFF" w:val="clear"/>
          </w:tcPr>
          <w:p>
            <w:pPr>
              <w:pStyle w:val="Compact"/>
              <w:jc w:val="left"/>
            </w:pPr>
            <w:r>
              <w:t xml:space="preserve">PC-AEP is triggered for a physical, causal, cyber-physical, medical, ecological, infrastructure, weapons, nuclear-command, planetary-cognition, or other high-consequence execution claim, but the profile is absent.</w:t>
            </w:r>
          </w:p>
        </w:tc>
        <w:tc>
          <w:tcPr>
            <w:tcMar>
              <w:top w:w="80" w:type="dxa"/>
              <w:start w:w="90" w:type="dxa"/>
              <w:bottom w:w="80" w:type="dxa"/>
              <w:end w:w="90" w:type="dxa"/>
            </w:tcMar>
            <w:shd w:fill="F7FBFF" w:val="clear"/>
          </w:tcPr>
          <w:p>
            <w:pPr>
              <w:pStyle w:val="Compact"/>
              <w:jc w:val="left"/>
            </w:pPr>
            <w:r>
              <w:t xml:space="preserve">Add the PC-AEP, narrow the claim, mark governance-permission-only, escalate, or refuse the physical-execution claim.</w:t>
            </w:r>
          </w:p>
        </w:tc>
        <w:tc>
          <w:tcPr>
            <w:tcMar>
              <w:top w:w="80" w:type="dxa"/>
              <w:start w:w="90" w:type="dxa"/>
              <w:bottom w:w="80" w:type="dxa"/>
              <w:end w:w="90" w:type="dxa"/>
            </w:tcMar>
            <w:shd w:fill="F7FBFF" w:val="clear"/>
          </w:tcPr>
          <w:p>
            <w:pPr>
              <w:pStyle w:val="Compact"/>
              <w:jc w:val="left"/>
            </w:pPr>
            <w:r>
              <w:t xml:space="preserve">INVALID for physical-execution claim</w:t>
            </w:r>
          </w:p>
        </w:tc>
      </w:tr>
      <w:tr>
        <w:trPr/>
        <w:tc>
          <w:tcPr>
            <w:tcMar>
              <w:top w:w="80" w:type="dxa"/>
              <w:start w:w="90" w:type="dxa"/>
              <w:bottom w:w="80" w:type="dxa"/>
              <w:end w:w="90" w:type="dxa"/>
            </w:tcMar>
            <w:shd w:fill="D9EAF7" w:val="clear"/>
          </w:tcPr>
          <w:p>
            <w:pPr>
              <w:pStyle w:val="Compact"/>
              <w:jc w:val="left"/>
            </w:pPr>
            <w:r>
              <w:t xml:space="preserve">PC_AEP_STATUS_UNSUPPORTED</w:t>
            </w:r>
          </w:p>
        </w:tc>
        <w:tc>
          <w:tcPr>
            <w:tcMar>
              <w:top w:w="80" w:type="dxa"/>
              <w:start w:w="90" w:type="dxa"/>
              <w:bottom w:w="80" w:type="dxa"/>
              <w:end w:w="90" w:type="dxa"/>
            </w:tcMar>
            <w:shd w:fill="D9EAF7" w:val="clear"/>
          </w:tcPr>
          <w:p>
            <w:pPr>
              <w:pStyle w:val="Compact"/>
              <w:jc w:val="left"/>
            </w:pPr>
            <w:r>
              <w:t xml:space="preserve">Declared Physical/Causal Admissibility status exceeds what the supplied domain evidence, validity domain, boundary conditions, verification surface, monitoring, shutoff, or expert warrant supports.</w:t>
            </w:r>
          </w:p>
        </w:tc>
        <w:tc>
          <w:tcPr>
            <w:tcMar>
              <w:top w:w="80" w:type="dxa"/>
              <w:start w:w="90" w:type="dxa"/>
              <w:bottom w:w="80" w:type="dxa"/>
              <w:end w:w="90" w:type="dxa"/>
            </w:tcMar>
            <w:shd w:fill="D9EAF7" w:val="clear"/>
          </w:tcPr>
          <w:p>
            <w:pPr>
              <w:pStyle w:val="Compact"/>
              <w:jc w:val="left"/>
            </w:pPr>
            <w:r>
              <w:t xml:space="preserve">Downgrade status, collect domain evidence, narrow validity domain, rerun RG/CSV/TRC as needed, or refuse.</w:t>
            </w:r>
          </w:p>
        </w:tc>
        <w:tc>
          <w:tcPr>
            <w:tcMar>
              <w:top w:w="80" w:type="dxa"/>
              <w:start w:w="90" w:type="dxa"/>
              <w:bottom w:w="80" w:type="dxa"/>
              <w:end w:w="90" w:type="dxa"/>
            </w:tcMar>
            <w:shd w:fill="D9EAF7" w:val="clear"/>
          </w:tcPr>
          <w:p>
            <w:pPr>
              <w:pStyle w:val="Compact"/>
              <w:jc w:val="left"/>
            </w:pPr>
            <w:r>
              <w:t xml:space="preserve">ESCALATE/INVALID</w:t>
            </w:r>
          </w:p>
        </w:tc>
      </w:tr>
      <w:tr>
        <w:trPr/>
        <w:tc>
          <w:tcPr>
            <w:tcMar>
              <w:top w:w="80" w:type="dxa"/>
              <w:start w:w="90" w:type="dxa"/>
              <w:bottom w:w="80" w:type="dxa"/>
              <w:end w:w="90" w:type="dxa"/>
            </w:tcMar>
            <w:shd w:fill="F7FBFF" w:val="clear"/>
          </w:tcPr>
          <w:p>
            <w:pPr>
              <w:pStyle w:val="Compact"/>
              <w:jc w:val="left"/>
            </w:pPr>
            <w:r>
              <w:t xml:space="preserve">PHYSICAL_EXECUTION_CLAIM_OVERSTATED</w:t>
            </w:r>
          </w:p>
        </w:tc>
        <w:tc>
          <w:tcPr>
            <w:tcMar>
              <w:top w:w="80" w:type="dxa"/>
              <w:start w:w="90" w:type="dxa"/>
              <w:bottom w:w="80" w:type="dxa"/>
              <w:end w:w="90" w:type="dxa"/>
            </w:tcMar>
            <w:shd w:fill="F7FBFF" w:val="clear"/>
          </w:tcPr>
          <w:p>
            <w:pPr>
              <w:pStyle w:val="Compact"/>
              <w:jc w:val="left"/>
            </w:pPr>
            <w:r>
              <w:t xml:space="preserve">Governance permission, compliance, simulation success, fluent model output, approval, or an RLS score is represented as physical admissibility or physical safety proof.</w:t>
            </w:r>
          </w:p>
        </w:tc>
        <w:tc>
          <w:tcPr>
            <w:tcMar>
              <w:top w:w="80" w:type="dxa"/>
              <w:start w:w="90" w:type="dxa"/>
              <w:bottom w:w="80" w:type="dxa"/>
              <w:end w:w="90" w:type="dxa"/>
            </w:tcMar>
            <w:shd w:fill="F7FBFF" w:val="clear"/>
          </w:tcPr>
          <w:p>
            <w:pPr>
              <w:pStyle w:val="Compact"/>
              <w:jc w:val="left"/>
            </w:pPr>
            <w:r>
              <w:t xml:space="preserve">Correct the claim language, require PC-AEP support, downgrade to governance-permission-only or not-established, and invalidate the overstated claim until corrected.</w:t>
            </w:r>
          </w:p>
        </w:tc>
        <w:tc>
          <w:tcPr>
            <w:tcMar>
              <w:top w:w="80" w:type="dxa"/>
              <w:start w:w="90" w:type="dxa"/>
              <w:bottom w:w="80" w:type="dxa"/>
              <w:end w:w="90" w:type="dxa"/>
            </w:tcMar>
            <w:shd w:fill="F7FBFF" w:val="clear"/>
          </w:tcPr>
          <w:p>
            <w:pPr>
              <w:pStyle w:val="Compact"/>
              <w:jc w:val="left"/>
            </w:pPr>
            <w:r>
              <w:t xml:space="preserve">INVALID</w:t>
            </w:r>
          </w:p>
        </w:tc>
      </w:tr>
      <w:tr>
        <w:trPr/>
        <w:tc>
          <w:tcPr>
            <w:tcMar>
              <w:top w:w="80" w:type="dxa"/>
              <w:start w:w="90" w:type="dxa"/>
              <w:bottom w:w="80" w:type="dxa"/>
              <w:end w:w="90" w:type="dxa"/>
            </w:tcMar>
            <w:shd w:fill="D9EAF7" w:val="clear"/>
          </w:tcPr>
          <w:p>
            <w:pPr>
              <w:pStyle w:val="Compact"/>
              <w:jc w:val="left"/>
            </w:pPr>
            <w:r>
              <w:t xml:space="preserve">CANDIDATE_GENERATOR_TREATED_AS_WARRANT</w:t>
            </w:r>
          </w:p>
        </w:tc>
        <w:tc>
          <w:tcPr>
            <w:tcMar>
              <w:top w:w="80" w:type="dxa"/>
              <w:start w:w="90" w:type="dxa"/>
              <w:bottom w:w="80" w:type="dxa"/>
              <w:end w:w="90" w:type="dxa"/>
            </w:tcMar>
            <w:shd w:fill="D9EAF7" w:val="clear"/>
          </w:tcPr>
          <w:p>
            <w:pPr>
              <w:pStyle w:val="Compact"/>
              <w:jc w:val="left"/>
            </w:pPr>
            <w:r>
              <w:t xml:space="preserve">The system that generated a candidate action, plan, design, or output is treated as the admissibility warrant for that same candidate without independent evidence or anti-circularity disclosure.</w:t>
            </w:r>
          </w:p>
        </w:tc>
        <w:tc>
          <w:tcPr>
            <w:tcMar>
              <w:top w:w="80" w:type="dxa"/>
              <w:start w:w="90" w:type="dxa"/>
              <w:bottom w:w="80" w:type="dxa"/>
              <w:end w:w="90" w:type="dxa"/>
            </w:tcMar>
            <w:shd w:fill="D9EAF7" w:val="clear"/>
          </w:tcPr>
          <w:p>
            <w:pPr>
              <w:pStyle w:val="Compact"/>
              <w:jc w:val="left"/>
            </w:pPr>
            <w:r>
              <w:t xml:space="preserve">Separate candidate-generation source from admissibility-warrant source, add independent evidence or anti-circularity justification, or refuse the physical/causal claim.</w:t>
            </w:r>
          </w:p>
        </w:tc>
        <w:tc>
          <w:tcPr>
            <w:tcMar>
              <w:top w:w="80" w:type="dxa"/>
              <w:start w:w="90" w:type="dxa"/>
              <w:bottom w:w="80" w:type="dxa"/>
              <w:end w:w="90" w:type="dxa"/>
            </w:tcMar>
            <w:shd w:fill="D9EAF7" w:val="clear"/>
          </w:tcPr>
          <w:p>
            <w:pPr>
              <w:pStyle w:val="Compact"/>
              <w:jc w:val="left"/>
            </w:pPr>
            <w:r>
              <w:t xml:space="preserve">INVALID</w:t>
            </w:r>
          </w:p>
        </w:tc>
      </w:tr>
      <w:tr>
        <w:trPr/>
        <w:tc>
          <w:tcPr>
            <w:tcMar>
              <w:top w:w="80" w:type="dxa"/>
              <w:start w:w="90" w:type="dxa"/>
              <w:bottom w:w="80" w:type="dxa"/>
              <w:end w:w="90" w:type="dxa"/>
            </w:tcMar>
            <w:shd w:fill="F7FBFF" w:val="clear"/>
          </w:tcPr>
          <w:p>
            <w:pPr>
              <w:pStyle w:val="Compact"/>
              <w:jc w:val="left"/>
            </w:pPr>
            <w:r>
              <w:t xml:space="preserve">METHODOLOGICAL_INTEGRITY_RECORD_MISSING</w:t>
            </w:r>
          </w:p>
        </w:tc>
        <w:tc>
          <w:tcPr>
            <w:tcMar>
              <w:top w:w="80" w:type="dxa"/>
              <w:start w:w="90" w:type="dxa"/>
              <w:bottom w:w="80" w:type="dxa"/>
              <w:end w:w="90" w:type="dxa"/>
            </w:tcMar>
            <w:shd w:fill="F7FBFF" w:val="clear"/>
          </w:tcPr>
          <w:p>
            <w:pPr>
              <w:pStyle w:val="Compact"/>
              <w:jc w:val="left"/>
            </w:pPr>
            <w:r>
              <w:t xml:space="preserve">MFDI is triggered for a strong methodological, dependency, falsification, or necessity claim, but the required MethodologicalIntegrityRecord is absent.</w:t>
            </w:r>
          </w:p>
        </w:tc>
        <w:tc>
          <w:tcPr>
            <w:tcMar>
              <w:top w:w="80" w:type="dxa"/>
              <w:start w:w="90" w:type="dxa"/>
              <w:bottom w:w="80" w:type="dxa"/>
              <w:end w:w="90" w:type="dxa"/>
            </w:tcMar>
            <w:shd w:fill="F7FBFF" w:val="clear"/>
          </w:tcPr>
          <w:p>
            <w:pPr>
              <w:pStyle w:val="Compact"/>
              <w:jc w:val="left"/>
            </w:pPr>
            <w:r>
              <w:t xml:space="preserve">Add the record, narrow the claim, label it exploratory, rerun affected surfaces, escalate, or refuse the stronger claim.</w:t>
            </w:r>
          </w:p>
        </w:tc>
        <w:tc>
          <w:tcPr>
            <w:tcMar>
              <w:top w:w="80" w:type="dxa"/>
              <w:start w:w="90" w:type="dxa"/>
              <w:bottom w:w="80" w:type="dxa"/>
              <w:end w:w="90" w:type="dxa"/>
            </w:tcMar>
            <w:shd w:fill="F7FBFF" w:val="clear"/>
          </w:tcPr>
          <w:p>
            <w:pPr>
              <w:pStyle w:val="Compact"/>
              <w:jc w:val="left"/>
            </w:pPr>
            <w:r>
              <w:t xml:space="preserve">INVALID for affected strong claim</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METHODOLOGICAL_STATUS_UNSUPPORTED</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Declared methodological integrity status exceeds the evidence, dependency position, alternatives analysis, uncertainty basis, or revision-trigger record.</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Downgrade status, add evidence, rerun dependent surfaces, or invalidate the affected methodological claim.</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ESCALATE/INVALID</w:t>
            </w:r>
          </w:p>
        </w:tc>
      </w:tr>
    </w:tbl>
    <w:p>
      <w:pPr>
        <w:pStyle w:val="BodyText"/>
        <w:widowControl/>
      </w:pPr>
      <w:r>
        <w:t xml:space="preserve">CBI PCC fields (Normative for triggered cases). When COMPUTABLE_BUT_INADMISSIBLE is triggered, the PCC MUST record: PCC.CBI.ComputedObject; PCC.CBI.InadmissibilityReason; PCC.CBI.Layer; PCC.CBI.AllowedUse; PCC.CBI.ProhibitedUse; PCC.CBI.ReviewStatus; and, where applicable, PCC.CBI.ReviewerNote or EscalationPath.</w:t>
      </w:r>
    </w:p>
    <w:p>
      <w:pPr>
        <w:pStyle w:val="BodyText"/>
        <w:widowControl/>
      </w:pPr>
      <w:r>
        <w:t xml:space="preserve">Stewardship audit-flag tokens are defined canonically in Appendix N.7 and MUST NOT be redefined in downstream specifications; downstream documents SHALL reference Appendix N.7.</w:t>
      </w:r>
    </w:p>
    <w:p>
      <w:pPr>
        <w:widowControl/>
      </w:pPr>
      <w:r>
        <w:t>No independent audit-flag mirror table is maintained in Appendix H.3. Implementers MUST consume Section 14.3A or a mechanically generated registry derived from it. Absence from an appendix, workbook, or companion does not retire a controlling token.</w:t>
      </w:r>
    </w:p>
    <w:p>
      <w:pPr>
        <w:pStyle w:val="BodyText"/>
        <w:widowControl/>
      </w:pPr>
      <w:r>
        <w:t xml:space="preserve">Additional v9.0–v9.6 hardening flags (Normative). The canonical audit-flag set SHALL include PLSS_ESCALATION_TRIGGER_UNRESOLVED, DECISIVENESS_METHOD_POSTHOC, EK_NONDEFAULT_TIER2_INVALID, EK_PARAMETER_UNJUSTIFIED, UNCERTAINTY_PROVENANCE_MISSING, RIGHTS_CELL_UNKNOWN_GATE_CRITICAL, and CATASTROPHE_CELL_UNKNOWN_GATE_CRITICAL. These flags are triggered as specified in Sections 10.2A.7, 10.2A.8, 5.2, 5.7, and 15.1 and MUST be recorded in the PCC when applicable.</w:t>
      </w:r>
    </w:p>
    <w:p>
      <w:pPr>
        <w:pStyle w:val="BodyText"/>
        <w:widowControl/>
      </w:pPr>
      <w:r>
        <w:t xml:space="preserve">EK_PARAMETER_UNJUSTIFIED (Normative). Trigger: non-default e_k is used without (i) a matching PCC.EKRegistry entry when required, (ii) declared rationale and source/instrument note, (iii) stated bounds, or (iv) the required tier-appropriate sensitivity disclosure. Required action: populate PCC.EKRegistry and missing disclosures, or reset e_k to 1.00 and recompute. Severity: INVALID.</w:t>
      </w:r>
    </w:p>
    <w:bookmarkEnd w:id="235"/>
    <w:bookmarkStart w:id="236" w:name="Xb8fde73338fcb035e38855d97eb993a1d94f256"/>
    <w:p>
      <w:pPr>
        <w:pStyle w:val="Heading2"/>
        <w:keepNext/>
        <w:keepLines/>
        <w:pageBreakBefore w:val="0"/>
        <w:widowControl/>
      </w:pPr>
      <w:r>
        <w:rPr>
          <w:rFonts w:ascii="Arial" w:hAnsi="Arial" w:eastAsia="Arial"/>
          <w:b/>
          <w:color w:val="1F4E78"/>
        </w:rPr>
        <w:t xml:space="preserve">14.3B Minimal Validator Requirements (v10.6+; Normative)</w:t>
      </w:r>
    </w:p>
    <w:p>
      <w:pPr>
        <w:pStyle w:val="FirstParagraph"/>
        <w:widowControl/>
      </w:pPr>
      <w:r>
        <w:t xml:space="preserve">Any conformant RippleLogic v12.5 validator MUST check the following:</w:t>
      </w:r>
    </w:p>
    <w:p>
      <w:pPr>
        <w:pStyle w:val="Compact"/>
        <w:widowControl/>
        <w:numPr>
          <w:ilvl w:val="0"/>
          <w:numId w:val="1159"/>
        </w:numPr>
      </w:pPr>
      <w:r>
        <w:t xml:space="preserve">Every declared instance maps to ≥1 scope (InstanceMap completeness).</w:t>
      </w:r>
    </w:p>
    <w:p>
      <w:pPr>
        <w:pStyle w:val="Compact"/>
        <w:widowControl/>
        <w:numPr>
          <w:ilvl w:val="0"/>
          <w:numId w:val="1160"/>
        </w:numPr>
      </w:pPr>
      <w:r>
        <w:t xml:space="preserve">Confirm PCC.ScopeCoverageDeclaration.Mode is declared as FULL_SCOPE or REDUCED_SCOPE; if Mode = REDUCED_SCOPE then ScopeCoverage block is present with a blind-spot statement and escalation triggers.</w:t>
      </w:r>
    </w:p>
    <w:p>
      <w:pPr>
        <w:pStyle w:val="Compact"/>
        <w:widowControl/>
        <w:numPr>
          <w:ilvl w:val="0"/>
          <w:numId w:val="1161"/>
        </w:numPr>
      </w:pPr>
      <w:r>
        <w:t xml:space="preserve">If Mode = REDUCED_SCOPE: PCC.AdmissibilityAttestation.NCRC_full_Cr_computed is present and TRUE.</w:t>
      </w:r>
    </w:p>
    <w:p>
      <w:pPr>
        <w:pStyle w:val="FirstParagraph"/>
        <w:widowControl/>
      </w:pPr>
      <w:r>
        <w:t xml:space="preserve">If Mode = REDUCED_SCOPE: PCC.AdmissibilityAttestation.TRC_full_Ccat_computed is present and (TRUE or NA).</w:t>
      </w:r>
    </w:p>
    <w:p>
      <w:pPr>
        <w:pStyle w:val="BodyText"/>
        <w:widowControl/>
      </w:pPr>
      <w:r>
        <w:t xml:space="preserve">If TRC is computed/required (i.e., not NA): verify mandatory tail categories are present (or justified) and per-category probability sums meet p_floor; otherwise require the corresponding audit flags (MANDATORY_TAIL_CATEGORY_MISSING / …WITH_JUSTIFICATION / MANDATORY_TAIL_PROB_FLOOR_VIOLATION).</w:t>
      </w:r>
    </w:p>
    <w:p>
      <w:pPr>
        <w:pStyle w:val="BodyText"/>
        <w:widowControl/>
      </w:pPr>
      <w:r>
        <w:t xml:space="preserve">If Mode = REDUCED_SCOPE: PCC.AdmissibilityAttestation.Containment_computed_as_applicable is present and (TRUE or NA).</w:t>
      </w:r>
    </w:p>
    <w:p>
      <w:pPr>
        <w:pStyle w:val="BodyText"/>
        <w:widowControl/>
      </w:pPr>
      <w:r>
        <w:t xml:space="preserve">If CONTAINMENT_UCI_UNAVAILABLE triggers: audit flag is present, and PCC.Containment.UCIUnavailableDisposition + PCC.Containment.UCIUnavailableRemediationTimeline are present (non-empty).</w:t>
      </w:r>
    </w:p>
    <w:p>
      <w:pPr>
        <w:pStyle w:val="BodyText"/>
        <w:widowControl/>
      </w:pPr>
      <w:r>
        <w:t xml:space="preserve">Tier-3 claim enforcement (Normative). If Implementation Tier = 3 and CONTAINMENT_UCI_UNAVAILABLE is present, the validator MUST reject Tier 3 compliance unless PCC.TierClaimDisposition = TIER_ATTEMPTED_NOT_ACHIEVED_DOWNGRADED and PCC.TierAchieved = 2.</w:t>
      </w:r>
    </w:p>
    <w:p>
      <w:pPr>
        <w:pStyle w:val="Compact"/>
        <w:widowControl/>
        <w:numPr>
          <w:ilvl w:val="0"/>
          <w:numId w:val="1162"/>
        </w:numPr>
      </w:pPr>
      <w:r>
        <w:t xml:space="preserve">Non-maskable checks: rights-covered cells and catastrophe cells are unmasked (no bypass).</w:t>
      </w:r>
    </w:p>
    <w:p>
      <w:pPr>
        <w:pStyle w:val="Compact"/>
        <w:widowControl/>
        <w:numPr>
          <w:ilvl w:val="0"/>
          <w:numId w:val="1163"/>
        </w:numPr>
      </w:pPr>
      <w:r>
        <w:t xml:space="preserve">If ALLOCATION used: Σα ≤ 1 for each declared effect-token.</w:t>
      </w:r>
    </w:p>
    <w:p>
      <w:pPr>
        <w:pStyle w:val="Compact"/>
        <w:widowControl/>
        <w:numPr>
          <w:ilvl w:val="0"/>
          <w:numId w:val="1164"/>
        </w:numPr>
      </w:pPr>
      <w:r>
        <w:t xml:space="preserve">SCI level meets tier minimum (Tier 2: SCI ≥ 1; Tier 3: SCI ≥ 2).</w:t>
      </w:r>
    </w:p>
    <w:p>
      <w:pPr>
        <w:pStyle w:val="Compact"/>
        <w:widowControl/>
        <w:numPr>
          <w:ilvl w:val="0"/>
          <w:numId w:val="1165"/>
        </w:numPr>
      </w:pPr>
      <w:r>
        <w:t xml:space="preserve">If SCI equals tier minimum: Next-Run Upgrade action present.</w:t>
      </w:r>
    </w:p>
    <w:p>
      <w:pPr>
        <w:pStyle w:val="Compact"/>
        <w:widowControl/>
        <w:numPr>
          <w:ilvl w:val="0"/>
          <w:numId w:val="1166"/>
        </w:numPr>
      </w:pPr>
      <w:r>
        <w:t xml:space="preserve">Tier 2+ uncertainty: σ(u,d,a) declared for all active cells using Method A, B, or C.</w:t>
      </w:r>
    </w:p>
    <w:p>
      <w:pPr>
        <w:pStyle w:val="FirstParagraph"/>
        <w:widowControl/>
      </w:pPr>
      <w:r>
        <w:t xml:space="preserve">If PCC.Uncertainty.Method = B: verify PCC.Uncertainty.CellConfidenceAggregationMethod is present and valid, and that c(u,d,a) is recorded (or recomputable) for all active cells.</w:t>
      </w:r>
    </w:p>
    <w:p>
      <w:pPr>
        <w:pStyle w:val="Compact"/>
        <w:widowControl/>
        <w:numPr>
          <w:ilvl w:val="0"/>
          <w:numId w:val="1167"/>
        </w:numPr>
      </w:pPr>
      <w:r>
        <w:t xml:space="preserve">Tier-2 mapping triggers: if any trigger holds, instance mapping is present.</w:t>
      </w:r>
    </w:p>
    <w:p>
      <w:pPr>
        <w:pStyle w:val="FirstParagraph"/>
        <w:widowControl/>
      </w:pPr>
      <w:r>
        <w:t xml:space="preserve">Provenance binding (Normative). Any analyst-entered parameter that can steer admissibility or decisiveness - including uncertainty method choice, scenario probabilities p_s, PLSS prominence inputs q_u, and any non-default aggregation operator - MUST have a reason code, source note or elicitation note, and a compact sensitivity note if altered values plausibly change the outcome.</w:t>
      </w:r>
    </w:p>
    <w:p>
      <w:pPr>
        <w:pStyle w:val="BodyText"/>
        <w:widowControl/>
      </w:pPr>
      <w:r>
        <w:t xml:space="preserve">If any welfare-relevant state, rights-relevant state, or enabling condition materially affects admissibility, precautionary handling, selection, or tie-break outcome, PCC.NormativeInputRegister is present.</w:t>
      </w:r>
    </w:p>
    <w:p>
      <w:pPr>
        <w:pStyle w:val="BodyText"/>
        <w:widowControl/>
      </w:pPr>
      <w:r>
        <w:t xml:space="preserve">For each ADMISSIBILITY_MATERIAL, PRECAUTION_MATERIAL, SELECTION_MATERIAL, or TIEBREAK_MATERIAL entry in PCC.NormativeInputRegister, the validator MUST verify the presence of NormInputID, InputType, Materiality, AffectedObjects, EvidenceBasisType, and at least one of: EvidenceReference, GovernedInterpretationBasis (not NONE), or PrecautionaryBasis (not NONE).</w:t>
      </w:r>
    </w:p>
    <w:p>
      <w:pPr>
        <w:pStyle w:val="BodyText"/>
        <w:widowControl/>
      </w:pPr>
      <w:r>
        <w:t xml:space="preserve">If PrecautionaryBasis ≠ NONE, the validator MUST verify that the precautionary basis is explicitly stated, the affected object(s) are identified, and, for Tier 3, a ReviewerNote is present.</w:t>
      </w:r>
    </w:p>
    <w:p>
      <w:pPr>
        <w:pStyle w:val="BodyText"/>
        <w:widowControl/>
      </w:pPr>
      <w:r>
        <w:t xml:space="preserve">If OptionSymmetryStatus = OPTION_SPECIFIC_WITH_JUSTIFICATION, the validator MUST verify that a SensitivityNote is present.</w:t>
      </w:r>
    </w:p>
    <w:p>
      <w:pPr>
        <w:pStyle w:val="BodyText"/>
        <w:widowControl/>
      </w:pPr>
      <w:r>
        <w:t xml:space="preserve">If the register is required but missing, or if a required material entry is incomplete, the validator MUST set NORMATIVE_INPUT_PROVENANCE_MISSING and reject the run as non-conformant.</w:t>
      </w:r>
    </w:p>
    <w:p>
      <w:pPr>
        <w:pStyle w:val="Compact"/>
        <w:widowControl/>
        <w:numPr>
          <w:ilvl w:val="0"/>
          <w:numId w:val="1168"/>
        </w:numPr>
      </w:pPr>
      <w:r>
        <w:t xml:space="preserve">Rights-covered and catastrophe cells: never bypassed by reduced-scope mode or masking.</w:t>
      </w:r>
    </w:p>
    <w:p>
      <w:pPr>
        <w:pStyle w:val="FirstParagraph"/>
        <w:widowControl/>
      </w:pPr>
      <w:r>
        <w:t xml:space="preserve">If PLSS is declared: q_u is present for all scopes, the operator is declared, the PLSS weight vector sums to 1, and each w_u^PLSS is greater than or equal to its constitutional floor.</w:t>
      </w:r>
    </w:p>
    <w:p>
      <w:pPr>
        <w:pStyle w:val="BodyText"/>
        <w:widowControl/>
      </w:pPr>
      <w:r>
        <w:t xml:space="preserve">If UCI is used: every component is VALUE, ESTIMATE, UNKNOWN, or NA; NA components are excluded and weights renormalized; UNKNOWN components do not receive an inserted score. If U6 is material: every U6 record includes a valid U6_View_Tag and mixed values include decomposition.</w:t>
      </w:r>
    </w:p>
    <w:p>
      <w:pPr>
        <w:pStyle w:val="BodyText"/>
        <w:widowControl/>
      </w:pPr>
      <w:r>
        <w:t xml:space="preserve">If all q_u = 0 under PLSS: the validator MUST verify that the declared uniform residual fallback (or another declared fallback with justification) was applied.</w:t>
      </w:r>
    </w:p>
    <w:p>
      <w:pPr>
        <w:pStyle w:val="BodyText"/>
        <w:widowControl/>
      </w:pPr>
      <w:r>
        <w:t xml:space="preserve">If an alternative PLSS operator is used: justification and a sensitivity note are present in the PCC.</w:t>
      </w:r>
    </w:p>
    <w:p>
      <w:pPr>
        <w:pStyle w:val="BodyText"/>
        <w:widowControl/>
      </w:pPr>
      <w:r>
        <w:t xml:space="preserve">If PLSS is declared: an escalation-trigger review field is present and the PCC.PLSS block is present.</w:t>
      </w:r>
    </w:p>
    <w:p>
      <w:pPr>
        <w:pStyle w:val="BodyText"/>
        <w:widowControl/>
      </w:pPr>
      <w:r>
        <w:t xml:space="preserve">If a gate-critical UNKNOWN_IMPACT occurs in C_r or C_cat: the validator MUST reject any attempt to resolve admissibility by phantom-instance fallback alone and MUST require the corresponding audit flag plus a declared conservative bound or rerun / downgrade / escalation disposition consistent with Section 5.7.</w:t>
      </w:r>
    </w:p>
    <w:p>
      <w:pPr>
        <w:pStyle w:val="BodyText"/>
        <w:widowControl/>
      </w:pPr>
      <w:r>
        <w:t xml:space="preserve">If a non-maskable rights or catastrophe cell remains in RLS aggregation: the validator MUST verify floor-baseline consistency or the presence of a governed dual-baseline declaration that preserves the floor-reference value as the controlling gate-consistency baseline.</w:t>
      </w:r>
    </w:p>
    <w:p>
      <w:pPr>
        <w:pStyle w:val="BodyText"/>
        <w:widowControl/>
      </w:pPr>
      <w:r>
        <w:t xml:space="preserve">If a dual-baseline method is declared: the validator MUST verify that the PCC contains a per-cell or per-cell-class dual-baseline declaration identifying the affected welfare cells, the welfare baseline used, the gate baseline fixed at floor-reference, and the rationale for the exception.</w:t>
      </w:r>
    </w:p>
    <w:bookmarkEnd w:id="236"/>
    <w:bookmarkStart w:id="237" w:name="Xda4ff6fb6ed4ec851d349757fb9fcc1cbd608da"/>
    <w:p>
      <w:pPr>
        <w:pStyle w:val="Heading2"/>
        <w:keepNext/>
        <w:keepLines/>
        <w:pageBreakBefore w:val="0"/>
        <w:widowControl/>
      </w:pPr>
      <w:r>
        <w:rPr>
          <w:rFonts w:ascii="Arial" w:hAnsi="Arial" w:eastAsia="Arial"/>
          <w:b/>
          <w:color w:val="1F4E78"/>
        </w:rPr>
        <w:t xml:space="preserve">14.3B v12.5 Measurement-Maturity Validator Requirements (Normative)</w:t>
      </w:r>
    </w:p>
    <w:p>
      <w:pPr>
        <w:pStyle w:val="FirstParagraph"/>
        <w:widowControl/>
      </w:pPr>
      <w:r>
        <w:t xml:space="preserve">For Tier 2-3 claim-bearing runs, a conformant validator MUST verify that the PCC includes all Appendix V measurement-maturity fields applicable to the run. At minimum, the validator MUST check: PCC.UCI_Measurement_Readiness where UCI is used or unavailable at Containment or tie-break; PCC.Kernel_Use_Posture where numerical propagation is used or explicitly omitted; PCC.HDW_Capture_Audit for Tier 3 public or institutional weighting processes; PCC.PLSS_Escalation_Register whenever PLSS is used; PCC.Deployment_Context_Profile for Tier 2-3 claim-bearing deployments; and PCC.Biological_Evaluation_Maturity where biological SGP evidence is invoked.</w:t>
      </w:r>
    </w:p>
    <w:p>
      <w:pPr>
        <w:pStyle w:val="BodyText"/>
        <w:widowControl/>
      </w:pPr>
      <w:r>
        <w:t xml:space="preserve">The validator MUST reject or downgrade any claim that treats UCI-M1, K0/K1, BEM-1/BEM-2, unreviewed HDW, or unchallenged PLSS localism as empirically validated, capture-resistant, or operationally complete. Missing maturity fields trigger PCC_MATURITY_SURFACE_INCOMPLETE. A maturity field marked provisional may support a worked-run or architecture claim, but MUST NOT support empirical validation, ProofPack readiness, Tier 4 readiness, validated UCI, validated kernel propagation, or biological measurement-completeness claims.</w:t>
      </w:r>
    </w:p>
    <w:bookmarkEnd w:id="237"/>
    <w:bookmarkStart w:id="238" w:name="Xfc38a78a3add84a967784b7e3ed639bbc255579"/>
    <w:p>
      <w:pPr>
        <w:pStyle w:val="Heading2"/>
        <w:keepNext/>
        <w:keepLines/>
        <w:pageBreakBefore w:val="0"/>
        <w:widowControl/>
      </w:pPr>
      <w:r>
        <w:rPr>
          <w:rFonts w:ascii="Arial" w:hAnsi="Arial" w:eastAsia="Arial"/>
          <w:b/>
          <w:color w:val="1F4E78"/>
        </w:rPr>
        <w:t xml:space="preserve">14.4 Five-Sentence Public Rationale (5SPR) (Normative)</w:t>
      </w:r>
    </w:p>
    <w:p>
      <w:pPr>
        <w:pStyle w:val="FirstParagraph"/>
        <w:widowControl/>
      </w:pPr>
      <w:r>
        <w:t xml:space="preserve">Tier 2-3 PCC MUST include a Five-Sentence Public Rationale:</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Element</w:t>
            </w:r>
          </w:p>
        </w:tc>
        <w:tc>
          <w:tcPr>
            <w:shd w:fill="1F4E78" w:val="clear"/>
            <w:tcMar>
              <w:top w:w="80" w:type="dxa"/>
              <w:start w:w="90" w:type="dxa"/>
              <w:bottom w:w="80" w:type="dxa"/>
              <w:end w:w="90" w:type="dxa"/>
            </w:tcMar>
          </w:tcPr>
          <w:p>
            <w:pPr>
              <w:pStyle w:val="Compact"/>
              <w:jc w:val="left"/>
            </w:pPr>
            <w:r>
              <w:rPr>
                <w:b/>
                <w:bCs/>
                <w:color w:val="FFFFFF"/>
              </w:rPr>
              <w:t xml:space="preserve">Question</w:t>
            </w:r>
          </w:p>
        </w:tc>
      </w:tr>
      <w:tr>
        <w:trPr/>
        <w:tc>
          <w:tcPr>
            <w:tcMar>
              <w:top w:w="80" w:type="dxa"/>
              <w:start w:w="90" w:type="dxa"/>
              <w:bottom w:w="80" w:type="dxa"/>
              <w:end w:w="90" w:type="dxa"/>
            </w:tcMar>
            <w:shd w:fill="F7FBFF" w:val="clear"/>
          </w:tcPr>
          <w:p>
            <w:pPr>
              <w:pStyle w:val="Compact"/>
              <w:jc w:val="left"/>
            </w:pPr>
            <w:r>
              <w:t xml:space="preserve">CONTEXT</w:t>
            </w:r>
          </w:p>
        </w:tc>
        <w:tc>
          <w:tcPr>
            <w:tcMar>
              <w:top w:w="80" w:type="dxa"/>
              <w:start w:w="90" w:type="dxa"/>
              <w:bottom w:w="80" w:type="dxa"/>
              <w:end w:w="90" w:type="dxa"/>
            </w:tcMar>
            <w:shd w:fill="F7FBFF" w:val="clear"/>
          </w:tcPr>
          <w:p>
            <w:pPr>
              <w:pStyle w:val="Compact"/>
              <w:jc w:val="left"/>
            </w:pPr>
            <w:r>
              <w:t xml:space="preserve">What decision was made and why now?</w:t>
            </w:r>
          </w:p>
        </w:tc>
      </w:tr>
      <w:tr>
        <w:trPr/>
        <w:tc>
          <w:tcPr>
            <w:tcMar>
              <w:top w:w="80" w:type="dxa"/>
              <w:start w:w="90" w:type="dxa"/>
              <w:bottom w:w="80" w:type="dxa"/>
              <w:end w:w="90" w:type="dxa"/>
            </w:tcMar>
            <w:shd w:fill="D9EAF7" w:val="clear"/>
          </w:tcPr>
          <w:p>
            <w:pPr>
              <w:pStyle w:val="Compact"/>
              <w:jc w:val="left"/>
            </w:pPr>
            <w:r>
              <w:t xml:space="preserve">OPTIONS</w:t>
            </w:r>
          </w:p>
        </w:tc>
        <w:tc>
          <w:tcPr>
            <w:tcMar>
              <w:top w:w="80" w:type="dxa"/>
              <w:start w:w="90" w:type="dxa"/>
              <w:bottom w:w="80" w:type="dxa"/>
              <w:end w:w="90" w:type="dxa"/>
            </w:tcMar>
            <w:shd w:fill="D9EAF7" w:val="clear"/>
          </w:tcPr>
          <w:p>
            <w:pPr>
              <w:pStyle w:val="Compact"/>
              <w:jc w:val="left"/>
            </w:pPr>
            <w:r>
              <w:t xml:space="preserve">What options were considered?</w:t>
            </w:r>
          </w:p>
        </w:tc>
      </w:tr>
      <w:tr>
        <w:trPr/>
        <w:tc>
          <w:tcPr>
            <w:tcMar>
              <w:top w:w="80" w:type="dxa"/>
              <w:start w:w="90" w:type="dxa"/>
              <w:bottom w:w="80" w:type="dxa"/>
              <w:end w:w="90" w:type="dxa"/>
            </w:tcMar>
            <w:shd w:fill="F7FBFF" w:val="clear"/>
          </w:tcPr>
          <w:p>
            <w:pPr>
              <w:pStyle w:val="Compact"/>
              <w:jc w:val="left"/>
            </w:pPr>
            <w:r>
              <w:t xml:space="preserve">CONSTRAINTS</w:t>
            </w:r>
          </w:p>
        </w:tc>
        <w:tc>
          <w:tcPr>
            <w:tcMar>
              <w:top w:w="80" w:type="dxa"/>
              <w:start w:w="90" w:type="dxa"/>
              <w:bottom w:w="80" w:type="dxa"/>
              <w:end w:w="90" w:type="dxa"/>
            </w:tcMar>
            <w:shd w:fill="F7FBFF" w:val="clear"/>
          </w:tcPr>
          <w:p>
            <w:pPr>
              <w:pStyle w:val="Compact"/>
              <w:jc w:val="left"/>
            </w:pPr>
            <w:r>
              <w:t xml:space="preserve">What was eliminated by NCRC, TRC, and/or Containment (and why)?</w:t>
            </w:r>
          </w:p>
        </w:tc>
      </w:tr>
      <w:tr>
        <w:trPr/>
        <w:tc>
          <w:tcPr>
            <w:tcMar>
              <w:top w:w="80" w:type="dxa"/>
              <w:start w:w="90" w:type="dxa"/>
              <w:bottom w:w="80" w:type="dxa"/>
              <w:end w:w="90" w:type="dxa"/>
            </w:tcMar>
            <w:shd w:fill="D9EAF7" w:val="clear"/>
          </w:tcPr>
          <w:p>
            <w:pPr>
              <w:pStyle w:val="Compact"/>
              <w:jc w:val="left"/>
            </w:pPr>
            <w:r>
              <w:t xml:space="preserve">SELECTION</w:t>
            </w:r>
          </w:p>
        </w:tc>
        <w:tc>
          <w:tcPr>
            <w:tcMar>
              <w:top w:w="80" w:type="dxa"/>
              <w:start w:w="90" w:type="dxa"/>
              <w:bottom w:w="80" w:type="dxa"/>
              <w:end w:w="90" w:type="dxa"/>
            </w:tcMar>
            <w:shd w:fill="D9EAF7" w:val="clear"/>
          </w:tcPr>
          <w:p>
            <w:pPr>
              <w:pStyle w:val="Compact"/>
              <w:jc w:val="left"/>
            </w:pPr>
            <w:r>
              <w:t xml:space="preserve">Why the chosen option won among selectable options?</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MONITORING</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What follow-up will be tracked and when will NCAR Reflect occur?</w:t>
            </w:r>
          </w:p>
        </w:tc>
      </w:tr>
    </w:tbl>
    <w:bookmarkEnd w:id="238"/>
    <w:bookmarkStart w:id="239" w:name="Xe1b65910f4f8e1e4e523508171a21b1a2cfc23d"/>
    <w:p>
      <w:pPr>
        <w:pStyle w:val="Heading2"/>
        <w:keepNext/>
        <w:keepLines/>
        <w:pageBreakBefore w:val="0"/>
        <w:widowControl/>
      </w:pPr>
      <w:r>
        <w:rPr>
          <w:rFonts w:ascii="Arial" w:hAnsi="Arial" w:eastAsia="Arial"/>
          <w:b/>
          <w:color w:val="1F4E78"/>
        </w:rPr>
        <w:t xml:space="preserve">14.5 Tier-4 Design Target Boundary Statement (Normative)</w:t>
      </w:r>
    </w:p>
    <w:p>
      <w:pPr>
        <w:pStyle w:val="FirstParagraph"/>
        <w:widowControl/>
      </w:pPr>
      <w:r>
        <w:t xml:space="preserve">Tier 4 compliance claims are PROHIBITED in the current v12.5 release. Tier-4 content is design target only (Appendix I). No determinism, hash-bound replay, or ProofPack claims may be asserted until ProofPack is publicly replayable and independently verified.</w:t>
      </w:r>
    </w:p>
    <w:bookmarkEnd w:id="239"/>
    <w:bookmarkStart w:id="240" w:name="X9f5c12d611c34fbfe06ff798d101f8a9a8225e0"/>
    <w:p>
      <w:pPr>
        <w:pStyle w:val="Heading2"/>
        <w:keepNext/>
        <w:keepLines/>
        <w:pageBreakBefore w:val="0"/>
        <w:widowControl/>
      </w:pPr>
      <w:r>
        <w:rPr>
          <w:rFonts w:ascii="Arial" w:hAnsi="Arial" w:eastAsia="Arial"/>
          <w:b/>
          <w:color w:val="1F4E78"/>
        </w:rPr>
        <w:t xml:space="preserve">14.6 Socio-Technical Embedding: Legitimacy, Contestation, and Institutional Use (Informative)</w:t>
      </w:r>
    </w:p>
    <w:p>
      <w:pPr>
        <w:pStyle w:val="FirstParagraph"/>
        <w:widowControl/>
      </w:pPr>
      <w:r>
        <w:t xml:space="preserve">RippleLogic is designed for socio-technical governance settings where values are plural, power is unevenly distributed, and institutional incentives can distort decision quality. The framework therefore treats legitimacy as a procedural property rather than an assumed outcome.</w:t>
      </w:r>
    </w:p>
    <w:p>
      <w:pPr>
        <w:pStyle w:val="BodyText"/>
        <w:widowControl/>
      </w:pPr>
      <w:r>
        <w:t xml:space="preserve">Hybrid Democratic Weighting governs welfare weights through structured stakeholder participation with anti-capture safeguards, while constitutional rights and tail-risk constraints limit what can be traded away even when stakeholders disagree.</w:t>
      </w:r>
    </w:p>
    <w:p>
      <w:pPr>
        <w:pStyle w:val="BodyText"/>
        <w:widowControl/>
      </w:pPr>
      <w:r>
        <w:t xml:space="preserve">The Provenance and Compliance Certificate supports contestability: it makes normative parameters, scenario assumptions, subgroup handling, and constraint-gate outcomes explicit so that affected parties can challenge decisions with evidence rather than rhetoric.</w:t>
      </w:r>
    </w:p>
    <w:p>
      <w:pPr>
        <w:pStyle w:val="BodyText"/>
        <w:widowControl/>
      </w:pPr>
      <w:r>
        <w:t xml:space="preserve">Institutional embedding is expected to vary by context, but at minimum high-stakes deployments SHOULD include:</w:t>
      </w:r>
    </w:p>
    <w:p>
      <w:pPr>
        <w:pStyle w:val="BodyText"/>
        <w:widowControl/>
      </w:pPr>
      <w:r>
        <w:t xml:space="preserve">- Independent review capacity (at least one reviewer with no reporting relationship to the decision owner)</w:t>
      </w:r>
    </w:p>
    <w:p>
      <w:pPr>
        <w:pStyle w:val="BodyText"/>
        <w:widowControl/>
      </w:pPr>
      <w:r>
        <w:t xml:space="preserve">- Audit sampling (for example, random audit lotteries selecting ≥5% of Tier 3 PCCs for independent review)</w:t>
      </w:r>
    </w:p>
    <w:p>
      <w:pPr>
        <w:pStyle w:val="BodyText"/>
        <w:widowControl/>
      </w:pPr>
      <w:r>
        <w:t xml:space="preserve">- An escalation pathway when rights, tail-risk, or containment conditions are near-binding or sensitive under perturbations</w:t>
      </w:r>
    </w:p>
    <w:p>
      <w:pPr>
        <w:pStyle w:val="BodyText"/>
        <w:widowControl/>
      </w:pPr>
      <w:r>
        <w:t xml:space="preserve">- Designated channels through which affected stakeholders can access the PCC (or the 5SPR at minimum) and submit evidence-based challenges</w:t>
      </w:r>
    </w:p>
    <w:p>
      <w:pPr>
        <w:pStyle w:val="BodyText"/>
        <w:widowControl/>
      </w:pPr>
      <w:r>
        <w:t xml:space="preserve">- A governance body or designated authority responsible for adjudicating challenges, with documented procedures and timelines</w:t>
      </w:r>
    </w:p>
    <w:p>
      <w:pPr>
        <w:pStyle w:val="BodyText"/>
        <w:widowControl/>
      </w:pPr>
      <w:r>
        <w:t xml:space="preserve">RippleLogic does not remove politics; it makes the structure of political and ethical disagreement legible and auditable. The framework’s value proposition is not that it eliminates conflict but that it converts implicit, opaque tradeoffs into explicit, traceable, and challengeable ones.</w:t>
      </w:r>
    </w:p>
    <w:p>
      <w:pPr>
        <w:pStyle w:val="BodyText"/>
        <w:widowControl/>
      </w:pPr>
      <w:r>
        <w:t xml:space="preserve">Contestation architecture. The 5SPR (Five-Sentence Public Rationale) serves as the minimum contestability interface: any affected party should be able to read the 5SPR and understand what was decided, what was excluded and why, and what follow-up is planned. For Tier 3 decisions, the full PCC provides the detailed evidence base for substantive challenge. Challenges SHOULD be processed through a documented review procedure with:</w:t>
      </w:r>
    </w:p>
    <w:p>
      <w:pPr>
        <w:pStyle w:val="BodyText"/>
        <w:widowControl/>
      </w:pPr>
      <w:r>
        <w:t xml:space="preserve">- A defined response timeline (recommended: ≤30 days for initial response)</w:t>
      </w:r>
    </w:p>
    <w:p>
      <w:pPr>
        <w:pStyle w:val="BodyText"/>
        <w:widowControl/>
      </w:pPr>
      <w:r>
        <w:t xml:space="preserve">- Documented outcomes (challenge upheld, rejected with reasoning, or additional evidence requested)</w:t>
      </w:r>
    </w:p>
    <w:p>
      <w:pPr>
        <w:pStyle w:val="BodyText"/>
        <w:widowControl/>
      </w:pPr>
      <w:r>
        <w:t xml:space="preserve">- Version increment if the challenge results in parameter changes</w:t>
      </w:r>
    </w:p>
    <w:p>
      <w:pPr>
        <w:pStyle w:val="BodyText"/>
        <w:widowControl/>
      </w:pPr>
      <w:r>
        <w:t xml:space="preserve">- Preservation of the original PCC alongside the revised PCC</w:t>
      </w:r>
    </w:p>
    <w:p>
      <w:pPr>
        <w:pStyle w:val="BodyText"/>
        <w:widowControl/>
      </w:pPr>
      <w:r>
        <w:t xml:space="preserve">Power asymmetry awareness. In contexts where decision owners have significantly more power than affected stakeholders, the framework’s structural protections (NCRC, worst-off subgroup semantics, mandatory tail categories, independent challenger requirements) serve as institutional counterweights. However, these protections are only effective if the institutional context supports their enforcement. Deployments in contexts with weak rule of law, captured institutions, or suppressed civil society SHOULD be flagged for enhanced scrutiny and may require external oversight partnerships.</w:t>
      </w:r>
    </w:p>
    <w:bookmarkEnd w:id="240"/>
    <w:bookmarkStart w:id="244" w:name="X6013ff3c10a5e8a63fdd45fc545a4344e025be6"/>
    <w:p>
      <w:pPr>
        <w:pStyle w:val="Heading2"/>
        <w:keepNext/>
        <w:keepLines/>
        <w:pageBreakBefore w:val="0"/>
        <w:widowControl/>
      </w:pPr>
      <w:r>
        <w:rPr>
          <w:rFonts w:ascii="Arial" w:hAnsi="Arial" w:eastAsia="Arial"/>
          <w:b/>
          <w:color w:val="1F4E78"/>
        </w:rPr>
        <w:t xml:space="preserve">14.7 Stewardship Layer (Normative): Applicability and Binding Semantics</w:t>
      </w:r>
    </w:p>
    <w:bookmarkStart w:id="241" w:name="Xc1d90821c129bd2fadcb13c27725fbf81934ae8"/>
    <w:p>
      <w:pPr>
        <w:pStyle w:val="Heading3"/>
        <w:keepNext/>
        <w:keepLines/>
        <w:pageBreakBefore w:val="0"/>
        <w:widowControl/>
      </w:pPr>
      <w:r>
        <w:rPr>
          <w:rFonts w:ascii="Arial" w:hAnsi="Arial" w:eastAsia="Arial"/>
          <w:b/>
          <w:color w:val="1F4E78"/>
        </w:rPr>
        <w:t xml:space="preserve">14.7.1 Applicability Predicate (Normative)</w:t>
      </w:r>
    </w:p>
    <w:p>
      <w:pPr>
        <w:pStyle w:val="FirstParagraph"/>
        <w:widowControl/>
      </w:pPr>
      <w:r>
        <w:t xml:space="preserve">RippleLogic Stewardship requirements apply only when a run is performed in a stewardship-relevant role (power asymmetry, delegated influence, public/institutional impact, or execution capability). Define:</w:t>
      </w:r>
    </w:p>
    <w:p>
      <w:pPr>
        <w:pStyle w:val="BodyText"/>
        <w:widowControl/>
      </w:pPr>
      <w:r>
        <w:t xml:space="preserve">Stw_req(run) in {0,1}, where Stw_req(run) = 1 if and only if any of S1 through S4 holds. S5 is a modifier: it constrains provenance and influence controls when present, but S5 alone does not trigger Stw_req(run).</w:t>
      </w:r>
    </w:p>
    <w:p>
      <w:pPr>
        <w:pStyle w:val="BodyText"/>
        <w:widowControl/>
      </w:pPr>
      <w:r>
        <w:t xml:space="preserve">The Stw_req(run) predicate is defined in Section 14.7.1 and MUST NOT be redefined in downstream specifications; downstream documents SHALL reference this section.</w:t>
      </w:r>
    </w:p>
    <w:p>
      <w:pPr>
        <w:pStyle w:val="Compact"/>
        <w:widowControl/>
        <w:numPr>
          <w:ilvl w:val="0"/>
          <w:numId w:val="1169"/>
        </w:numPr>
      </w:pPr>
      <w:r>
        <w:t xml:space="preserve">S1 (Delegated Influence): An assisting system is asked to recommend, rank, or narrow option space for a decision owner, such that the decision owner may reasonably rely on it.</w:t>
      </w:r>
    </w:p>
    <w:p>
      <w:pPr>
        <w:pStyle w:val="Compact"/>
        <w:widowControl/>
        <w:numPr>
          <w:ilvl w:val="0"/>
          <w:numId w:val="1170"/>
        </w:numPr>
      </w:pPr>
      <w:r>
        <w:t xml:space="preserve">S2 (Public/Institutional Effect): Outputs are intended for public posting or institutional/policy use beyond the private decision owner.</w:t>
      </w:r>
    </w:p>
    <w:p>
      <w:pPr>
        <w:pStyle w:val="Compact"/>
        <w:widowControl/>
        <w:numPr>
          <w:ilvl w:val="0"/>
          <w:numId w:val="1171"/>
        </w:numPr>
      </w:pPr>
      <w:r>
        <w:t xml:space="preserve">S3 (Execution Capability): The assisting system can execute actions (write/post/act) or trigger downstream actions beyond drafting.</w:t>
      </w:r>
    </w:p>
    <w:p>
      <w:pPr>
        <w:pStyle w:val="Compact"/>
        <w:widowControl/>
        <w:numPr>
          <w:ilvl w:val="0"/>
          <w:numId w:val="1172"/>
        </w:numPr>
      </w:pPr>
      <w:r>
        <w:t xml:space="preserve">S4 (High-Stakes Rights Exposure): The assisted decision materially affects rights, safety, liberty, livelihood, or access to essential services, or produces irreversible/high-impact outcomes for protected stakeholders.</w:t>
      </w:r>
    </w:p>
    <w:p>
      <w:pPr>
        <w:pStyle w:val="FirstParagraph"/>
        <w:widowControl/>
      </w:pPr>
      <w:r>
        <w:t xml:space="preserve">S5 (Authenticated Operator Channel; modifier): The system has an authenticated operator channel capable of altering configuration, permissions, or deployment posture; when S5 co-occurs with any of S1 through S4, additional provenance and influence disclosure requirements apply per Appendix N.</w:t>
      </w:r>
    </w:p>
    <w:p>
      <w:pPr>
        <w:pStyle w:val="BodyText"/>
        <w:widowControl/>
      </w:pPr>
      <w:r>
        <w:t xml:space="preserve">Interpretation notes (Normative).</w:t>
      </w:r>
    </w:p>
    <w:p>
      <w:pPr>
        <w:pStyle w:val="BodyText"/>
        <w:widowControl/>
      </w:pPr>
      <w:r>
        <w:t xml:space="preserve">S1 scope limiter: Delegated influence applies when the decision owner may reasonably rely on the system’s output to materially shape a consequential decision (including meaningful option-narrowing or ranking that guides action). Purely informational or educational responses where independent judgment and verification capacity are preserved do not by themselves trigger S1.</w:t>
      </w:r>
    </w:p>
    <w:p>
      <w:pPr>
        <w:pStyle w:val="BodyText"/>
        <w:widowControl/>
      </w:pPr>
      <w:r>
        <w:t xml:space="preserve">S5 scope limiter (no loophole): S5 alone, absent any of S1 through S4, does not trigger Stewardship instrumentation. When S5 co-occurs with any of S1 through S4, Stw_req(run)=1 is triggered by the co-occurring condition(s) (S1–S4), not by S5.</w:t>
      </w:r>
    </w:p>
    <w:p>
      <w:pPr>
        <w:pStyle w:val="BodyText"/>
        <w:widowControl/>
      </w:pPr>
      <w:r>
        <w:t xml:space="preserve">If Stw_req(run) = 0, Stewardship instrumentation is OPTIONAL and Stewardship audit flags do not apply. If Stw_req(run) = 1, Stewardship instrumentation is REQUIRED per Appendix N.</w:t>
      </w:r>
    </w:p>
    <w:bookmarkEnd w:id="241"/>
    <w:bookmarkStart w:id="242" w:name="X3f54c4329cada8bde88a9d0a39bf163c044567a"/>
    <w:p>
      <w:pPr>
        <w:pStyle w:val="Heading3"/>
        <w:keepNext/>
        <w:keepLines/>
        <w:pageBreakBefore w:val="0"/>
        <w:widowControl/>
      </w:pPr>
      <w:r>
        <w:rPr>
          <w:rFonts w:ascii="Arial" w:hAnsi="Arial" w:eastAsia="Arial"/>
          <w:b/>
          <w:color w:val="1F4E78"/>
        </w:rPr>
        <w:t xml:space="preserve">14.7.2 Stewardship vs Cascade (Normative)</w:t>
      </w:r>
    </w:p>
    <w:p>
      <w:pPr>
        <w:pStyle w:val="FirstParagraph"/>
        <w:widowControl/>
      </w:pPr>
      <w:r>
        <w:t xml:space="preserve">Stewardship does not modify the RippleLogic cascade definitions for NCRC, TRC, CSV, RLS, or UCI/HOI. Stewardship governs assistance integrity (boundary stability, authorship preservation, influence transparency). When Stewardship is required (Stw_req = 1), failure conditions are enforced via audit flags and PCC validity rules defined in Appendix N.</w:t>
      </w:r>
    </w:p>
    <w:bookmarkEnd w:id="242"/>
    <w:bookmarkStart w:id="243" w:name="X990f0c111c95d9bb9155cb43d311799b3f39802"/>
    <w:p>
      <w:pPr>
        <w:pStyle w:val="Heading3"/>
        <w:keepNext/>
        <w:keepLines/>
        <w:pageBreakBefore w:val="0"/>
        <w:widowControl/>
      </w:pPr>
      <w:r>
        <w:rPr>
          <w:rFonts w:ascii="Arial" w:hAnsi="Arial" w:eastAsia="Arial"/>
          <w:b/>
          <w:color w:val="1F4E78"/>
        </w:rPr>
        <w:t xml:space="preserve">14.7.3 Flag Semantics Pointer (Normative)</w:t>
      </w:r>
    </w:p>
    <w:p>
      <w:pPr>
        <w:pStyle w:val="FirstParagraph"/>
        <w:widowControl/>
      </w:pPr>
      <w:r>
        <w:t xml:space="preserve">Stewardship flags follow the canonical audit-flag severity semantics:</w:t>
      </w:r>
    </w:p>
    <w:p>
      <w:pPr>
        <w:pStyle w:val="Compact"/>
        <w:widowControl/>
        <w:numPr>
          <w:ilvl w:val="0"/>
          <w:numId w:val="1173"/>
        </w:numPr>
      </w:pPr>
      <w:r>
        <w:t xml:space="preserve">INVALID flags invalidate the PCC and require rerun/remediation.</w:t>
      </w:r>
    </w:p>
    <w:p>
      <w:pPr>
        <w:pStyle w:val="Compact"/>
        <w:widowControl/>
        <w:numPr>
          <w:ilvl w:val="0"/>
          <w:numId w:val="1174"/>
        </w:numPr>
      </w:pPr>
      <w:r>
        <w:t xml:space="preserve">REVIEW flags require mitigation and monitoring but do not by themselves invalidate the PCC.</w:t>
      </w:r>
    </w:p>
    <w:p>
      <w:pPr>
        <w:pStyle w:val="FirstParagraph"/>
        <w:widowControl/>
      </w:pPr>
      <w:r>
        <w:t xml:space="preserve">Stewardship audit flags are defined in Appendix N and apply only when Stw_req(run) = 1.</w:t>
      </w:r>
    </w:p>
    <w:bookmarkEnd w:id="243"/>
    <w:bookmarkEnd w:id="244"/>
    <w:bookmarkStart w:id="245" w:name="X11c230114089fb0790d215902f8cbcbb7a4ef6d"/>
    <w:p>
      <w:pPr>
        <w:pStyle w:val="Heading2"/>
        <w:keepNext/>
        <w:keepLines/>
        <w:pageBreakBefore w:val="0"/>
        <w:widowControl/>
      </w:pPr>
      <w:r>
        <w:rPr>
          <w:rFonts w:ascii="Arial" w:hAnsi="Arial" w:eastAsia="Arial"/>
          <w:b/>
          <w:color w:val="1F4E78"/>
        </w:rPr>
        <w:t xml:space="preserve">14.8 Computational Closure Declaration (Normative)</w:t>
      </w:r>
    </w:p>
    <w:p>
      <w:pPr>
        <w:pStyle w:val="FirstParagraph"/>
        <w:widowControl/>
      </w:pPr>
      <w:r>
        <w:t xml:space="preserve">Purpose. Every RippleLogic run SHALL declare the boundary of computation so that claims do not silently extend beyond the scopes, horizons, evidence classes, or propagation modes actually evaluated.</w:t>
      </w:r>
    </w:p>
    <w:p>
      <w:pPr>
        <w:pStyle w:val="BodyText"/>
        <w:widowControl/>
      </w:pPr>
      <w:r>
        <w:t xml:space="preserve">A PCC.ComputationalClosure object SHALL include at minimum:</w:t>
      </w:r>
    </w:p>
    <w:p>
      <w:pPr>
        <w:pStyle w:val="BodyText"/>
        <w:widowControl/>
      </w:pPr>
      <w:r>
        <w:t xml:space="preserve">- scopes_evaluated: Union Scopes included in the run;</w:t>
      </w:r>
    </w:p>
    <w:p>
      <w:pPr>
        <w:pStyle w:val="BodyText"/>
        <w:widowControl/>
      </w:pPr>
      <w:r>
        <w:t xml:space="preserve">- scopes_guardrail_only: Union Scopes protected through floors, NCRC, TRC, or CSV but not materially weighted in residual welfare ranking;</w:t>
      </w:r>
    </w:p>
    <w:p>
      <w:pPr>
        <w:pStyle w:val="BodyText"/>
        <w:widowControl/>
      </w:pPr>
      <w:r>
        <w:t xml:space="preserve">- scopes_outside_computation: scopes not evaluated beyond humility-horizon recognition;</w:t>
      </w:r>
    </w:p>
    <w:p>
      <w:pPr>
        <w:pStyle w:val="BodyText"/>
        <w:widowControl/>
      </w:pPr>
      <w:r>
        <w:t xml:space="preserve">- time_horizon_evaluated: declared decision horizon;</w:t>
      </w:r>
    </w:p>
    <w:p>
      <w:pPr>
        <w:pStyle w:val="BodyText"/>
        <w:widowControl/>
      </w:pPr>
      <w:r>
        <w:t xml:space="preserve">- time_horizon_outside_computation: time horizons acknowledged but not modeled;</w:t>
      </w:r>
    </w:p>
    <w:p>
      <w:pPr>
        <w:pStyle w:val="BodyText"/>
        <w:widowControl/>
      </w:pPr>
      <w:r>
        <w:t xml:space="preserve">- kernel_mode: NONE, QUICK, or declared domain-kernel-id;</w:t>
      </w:r>
    </w:p>
    <w:p>
      <w:pPr>
        <w:pStyle w:val="BodyText"/>
        <w:widowControl/>
      </w:pPr>
      <w:r>
        <w:t xml:space="preserve">- propagation_edges_included: declared kernel edges or NONE;</w:t>
      </w:r>
    </w:p>
    <w:p>
      <w:pPr>
        <w:pStyle w:val="BodyText"/>
        <w:widowControl/>
      </w:pPr>
      <w:r>
        <w:t xml:space="preserve">- propagation_edges_excluded: known plausible edges excluded from computation;</w:t>
      </w:r>
    </w:p>
    <w:p>
      <w:pPr>
        <w:pStyle w:val="BodyText"/>
        <w:widowControl/>
      </w:pPr>
      <w:r>
        <w:t xml:space="preserve">- externalities_excluded: known plausible externalities excluded, with reason codes;</w:t>
      </w:r>
    </w:p>
    <w:p>
      <w:pPr>
        <w:pStyle w:val="BodyText"/>
        <w:widowControl/>
      </w:pPr>
      <w:r>
        <w:t xml:space="preserve">- claim_boundary: exact wording of what the run may and may not claim.</w:t>
      </w:r>
    </w:p>
    <w:p>
      <w:pPr>
        <w:pStyle w:val="BodyText"/>
        <w:widowControl/>
      </w:pPr>
      <w:r>
        <w:t xml:space="preserve">A run SHALL NOT claim coverage over scopes, horizons, externalities, or propagation pathways outside its ComputationalClosure boundary. Any public-facing summary SHALL preserve this claim boundary.</w:t>
      </w:r>
    </w:p>
    <w:bookmarkEnd w:id="245"/>
    <w:bookmarkEnd w:id="246"/>
    <w:bookmarkStart w:id="255" w:name="X2d02abbacb84bdbbc9c6e3c37a9b0d9bdba7ff2"/>
    <w:p>
      <w:pPr>
        <w:pStyle w:val="Heading1"/>
        <w:keepNext/>
        <w:keepLines/>
        <w:pageBreakBefore w:val="0"/>
        <w:widowControl/>
      </w:pPr>
      <w:r>
        <w:rPr>
          <w:rFonts w:ascii="Arial" w:hAnsi="Arial" w:eastAsia="Arial"/>
          <w:b/>
          <w:color w:val="1F4E78"/>
        </w:rPr>
        <w:t xml:space="preserve">SECTION 15: IMPLEMENTATION GUIDANCE AND TIERS (NORMATIVE)</w:t>
      </w:r>
    </w:p>
    <w:bookmarkStart w:id="247" w:name="X0be46f781636ed094a465aaa778b5f9a03c28b3"/>
    <w:p>
      <w:pPr>
        <w:pStyle w:val="Heading2"/>
        <w:keepNext/>
        <w:keepLines/>
        <w:pageBreakBefore w:val="0"/>
        <w:widowControl/>
      </w:pPr>
      <w:r>
        <w:rPr>
          <w:rFonts w:ascii="Arial" w:hAnsi="Arial" w:eastAsia="Arial"/>
          <w:b/>
          <w:color w:val="1F4E78"/>
        </w:rPr>
        <w:t xml:space="preserve">15.0 Purpose (Normative)</w:t>
      </w:r>
    </w:p>
    <w:p>
      <w:pPr>
        <w:pStyle w:val="FirstParagraph"/>
        <w:widowControl/>
      </w:pPr>
      <w:r>
        <w:t xml:space="preserve">This section specifies minimum compliance requirements by tier and provides operational guidance for applying RippleLogic in real decisions. Tiers define minimum obligations; deployments may exceed them. The framework is designed to improve over time via NCAR learning and governed updates.</w:t>
      </w:r>
    </w:p>
    <w:bookmarkEnd w:id="247"/>
    <w:bookmarkStart w:id="248" w:name="Xb97f555a75d89caa294982154cd03a4571fab85"/>
    <w:p>
      <w:pPr>
        <w:pStyle w:val="Heading2"/>
        <w:keepNext/>
        <w:keepLines/>
        <w:pageBreakBefore w:val="0"/>
        <w:widowControl/>
      </w:pPr>
      <w:r>
        <w:rPr>
          <w:rFonts w:ascii="Arial" w:hAnsi="Arial" w:eastAsia="Arial"/>
          <w:b/>
          <w:color w:val="1F4E78"/>
        </w:rPr>
        <w:t xml:space="preserve">15.1 Tier Requirements Matrix (Authoritative; Normative)</w:t>
      </w:r>
    </w:p>
    <w:p>
      <w:pPr>
        <w:pStyle w:val="FirstParagraph"/>
        <w:widowControl/>
      </w:pPr>
      <w:r>
        <w:t xml:space="preserve">Normative authority: This matrix is the single authoritative statement of tier compliance. If any other sentence in this document conflicts with this matrix, this matrix governs.</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Capability / Requirement</w:t>
            </w:r>
          </w:p>
        </w:tc>
        <w:tc>
          <w:tcPr>
            <w:shd w:fill="1F4E78" w:val="clear"/>
            <w:tcMar>
              <w:top w:w="80" w:type="dxa"/>
              <w:start w:w="90" w:type="dxa"/>
              <w:bottom w:w="80" w:type="dxa"/>
              <w:end w:w="90" w:type="dxa"/>
            </w:tcMar>
          </w:tcPr>
          <w:p>
            <w:pPr>
              <w:pStyle w:val="Compact"/>
              <w:jc w:val="left"/>
            </w:pPr>
            <w:r>
              <w:rPr>
                <w:b/>
                <w:bCs/>
                <w:color w:val="FFFFFF"/>
              </w:rPr>
              <w:t xml:space="preserve">Tier 1 (Heuristic)</w:t>
            </w:r>
          </w:p>
        </w:tc>
        <w:tc>
          <w:tcPr>
            <w:shd w:fill="1F4E78" w:val="clear"/>
            <w:tcMar>
              <w:top w:w="80" w:type="dxa"/>
              <w:start w:w="90" w:type="dxa"/>
              <w:bottom w:w="80" w:type="dxa"/>
              <w:end w:w="90" w:type="dxa"/>
            </w:tcMar>
          </w:tcPr>
          <w:p>
            <w:pPr>
              <w:pStyle w:val="Compact"/>
              <w:jc w:val="left"/>
            </w:pPr>
            <w:r>
              <w:rPr>
                <w:b/>
                <w:bCs/>
                <w:color w:val="FFFFFF"/>
              </w:rPr>
              <w:t xml:space="preserve">Tier 2 (Core, Strict TRC)</w:t>
            </w:r>
          </w:p>
        </w:tc>
        <w:tc>
          <w:tcPr>
            <w:shd w:fill="1F4E78" w:val="clear"/>
            <w:tcMar>
              <w:top w:w="80" w:type="dxa"/>
              <w:start w:w="90" w:type="dxa"/>
              <w:bottom w:w="80" w:type="dxa"/>
              <w:end w:w="90" w:type="dxa"/>
            </w:tcMar>
          </w:tcPr>
          <w:p>
            <w:pPr>
              <w:pStyle w:val="Compact"/>
              <w:jc w:val="left"/>
            </w:pPr>
            <w:r>
              <w:rPr>
                <w:b/>
                <w:bCs/>
                <w:color w:val="FFFFFF"/>
              </w:rPr>
              <w:t xml:space="preserve">Tier 3 (Auditable)</w:t>
            </w:r>
          </w:p>
        </w:tc>
      </w:tr>
      <w:tr>
        <w:trPr/>
        <w:tc>
          <w:tcPr>
            <w:tcMar>
              <w:top w:w="80" w:type="dxa"/>
              <w:start w:w="90" w:type="dxa"/>
              <w:bottom w:w="80" w:type="dxa"/>
              <w:end w:w="90" w:type="dxa"/>
            </w:tcMar>
            <w:shd w:fill="F7FBFF" w:val="clear"/>
          </w:tcPr>
          <w:p>
            <w:pPr>
              <w:pStyle w:val="Compact"/>
              <w:jc w:val="left"/>
            </w:pPr>
            <w:r>
              <w:t xml:space="preserve">Option set</w:t>
            </w:r>
          </w:p>
        </w:tc>
        <w:tc>
          <w:tcPr>
            <w:tcMar>
              <w:top w:w="80" w:type="dxa"/>
              <w:start w:w="90" w:type="dxa"/>
              <w:bottom w:w="80" w:type="dxa"/>
              <w:end w:w="90" w:type="dxa"/>
            </w:tcMar>
            <w:shd w:fill="F7FBFF" w:val="clear"/>
          </w:tcPr>
          <w:p>
            <w:pPr>
              <w:pStyle w:val="Compact"/>
              <w:jc w:val="left"/>
            </w:pPr>
            <w:r>
              <w:t xml:space="preserve">MUST list ≥2 options</w:t>
            </w:r>
          </w:p>
        </w:tc>
        <w:tc>
          <w:tcPr>
            <w:tcMar>
              <w:top w:w="80" w:type="dxa"/>
              <w:start w:w="90" w:type="dxa"/>
              <w:bottom w:w="80" w:type="dxa"/>
              <w:end w:w="90" w:type="dxa"/>
            </w:tcMar>
            <w:shd w:fill="F7FBFF" w:val="clear"/>
          </w:tcPr>
          <w:p>
            <w:pPr>
              <w:pStyle w:val="Compact"/>
              <w:jc w:val="left"/>
            </w:pPr>
            <w:r>
              <w:t xml:space="preserve">REQUIRED</w:t>
            </w:r>
          </w:p>
        </w:tc>
        <w:tc>
          <w:tcPr>
            <w:tcMar>
              <w:top w:w="80" w:type="dxa"/>
              <w:start w:w="90" w:type="dxa"/>
              <w:bottom w:w="80" w:type="dxa"/>
              <w:end w:w="90" w:type="dxa"/>
            </w:tcMar>
            <w:shd w:fill="F7FBFF" w:val="clear"/>
          </w:tcPr>
          <w:p>
            <w:pPr>
              <w:pStyle w:val="Compact"/>
              <w:jc w:val="left"/>
            </w:pPr>
            <w:r>
              <w:t xml:space="preserve">REQUIRED</w:t>
            </w:r>
          </w:p>
        </w:tc>
      </w:tr>
      <w:tr>
        <w:trPr/>
        <w:tc>
          <w:tcPr>
            <w:tcMar>
              <w:top w:w="80" w:type="dxa"/>
              <w:start w:w="90" w:type="dxa"/>
              <w:bottom w:w="80" w:type="dxa"/>
              <w:end w:w="90" w:type="dxa"/>
            </w:tcMar>
            <w:shd w:fill="D9EAF7" w:val="clear"/>
          </w:tcPr>
          <w:p>
            <w:pPr>
              <w:pStyle w:val="Compact"/>
              <w:jc w:val="left"/>
            </w:pPr>
            <w:r>
              <w:t xml:space="preserve">Baseline declaration</w:t>
            </w:r>
          </w:p>
        </w:tc>
        <w:tc>
          <w:tcPr>
            <w:tcMar>
              <w:top w:w="80" w:type="dxa"/>
              <w:start w:w="90" w:type="dxa"/>
              <w:bottom w:w="80" w:type="dxa"/>
              <w:end w:w="90" w:type="dxa"/>
            </w:tcMar>
            <w:shd w:fill="D9EAF7" w:val="clear"/>
          </w:tcPr>
          <w:p>
            <w:pPr>
              <w:pStyle w:val="Compact"/>
              <w:jc w:val="left"/>
            </w:pPr>
            <w:r>
              <w:t xml:space="preserve">REQUIRED</w:t>
            </w:r>
          </w:p>
        </w:tc>
        <w:tc>
          <w:tcPr>
            <w:tcMar>
              <w:top w:w="80" w:type="dxa"/>
              <w:start w:w="90" w:type="dxa"/>
              <w:bottom w:w="80" w:type="dxa"/>
              <w:end w:w="90" w:type="dxa"/>
            </w:tcMar>
            <w:shd w:fill="D9EAF7" w:val="clear"/>
          </w:tcPr>
          <w:p>
            <w:pPr>
              <w:pStyle w:val="Compact"/>
              <w:jc w:val="left"/>
            </w:pPr>
            <w:r>
              <w:t xml:space="preserve">REQUIRED</w:t>
            </w:r>
          </w:p>
        </w:tc>
        <w:tc>
          <w:tcPr>
            <w:tcMar>
              <w:top w:w="80" w:type="dxa"/>
              <w:start w:w="90" w:type="dxa"/>
              <w:bottom w:w="80" w:type="dxa"/>
              <w:end w:w="90" w:type="dxa"/>
            </w:tcMar>
            <w:shd w:fill="D9EAF7" w:val="clear"/>
          </w:tcPr>
          <w:p>
            <w:pPr>
              <w:pStyle w:val="Compact"/>
              <w:jc w:val="left"/>
            </w:pPr>
            <w:r>
              <w:t xml:space="preserve">REQUIRED</w:t>
            </w:r>
          </w:p>
        </w:tc>
      </w:tr>
      <w:tr>
        <w:trPr/>
        <w:tc>
          <w:tcPr>
            <w:tcMar>
              <w:top w:w="80" w:type="dxa"/>
              <w:start w:w="90" w:type="dxa"/>
              <w:bottom w:w="80" w:type="dxa"/>
              <w:end w:w="90" w:type="dxa"/>
            </w:tcMar>
            <w:shd w:fill="F7FBFF" w:val="clear"/>
          </w:tcPr>
          <w:p>
            <w:pPr>
              <w:pStyle w:val="Compact"/>
              <w:jc w:val="left"/>
            </w:pPr>
            <w:r>
              <w:t xml:space="preserve">Impact scale and Baseline-Zero</w:t>
            </w:r>
          </w:p>
        </w:tc>
        <w:tc>
          <w:tcPr>
            <w:tcMar>
              <w:top w:w="80" w:type="dxa"/>
              <w:start w:w="90" w:type="dxa"/>
              <w:bottom w:w="80" w:type="dxa"/>
              <w:end w:w="90" w:type="dxa"/>
            </w:tcMar>
            <w:shd w:fill="F7FBFF" w:val="clear"/>
          </w:tcPr>
          <w:p>
            <w:pPr>
              <w:pStyle w:val="Compact"/>
              <w:jc w:val="left"/>
            </w:pPr>
            <w:r>
              <w:t xml:space="preserve">REQUIRED (qualitative allowed)</w:t>
            </w:r>
          </w:p>
        </w:tc>
        <w:tc>
          <w:tcPr>
            <w:tcMar>
              <w:top w:w="80" w:type="dxa"/>
              <w:start w:w="90" w:type="dxa"/>
              <w:bottom w:w="80" w:type="dxa"/>
              <w:end w:w="90" w:type="dxa"/>
            </w:tcMar>
            <w:shd w:fill="F7FBFF" w:val="clear"/>
          </w:tcPr>
          <w:p>
            <w:pPr>
              <w:pStyle w:val="Compact"/>
              <w:jc w:val="left"/>
            </w:pPr>
            <w:r>
              <w:t xml:space="preserve">REQUIRED (quantitative recommended)</w:t>
            </w:r>
          </w:p>
        </w:tc>
        <w:tc>
          <w:tcPr>
            <w:tcMar>
              <w:top w:w="80" w:type="dxa"/>
              <w:start w:w="90" w:type="dxa"/>
              <w:bottom w:w="80" w:type="dxa"/>
              <w:end w:w="90" w:type="dxa"/>
            </w:tcMar>
            <w:shd w:fill="F7FBFF" w:val="clear"/>
          </w:tcPr>
          <w:p>
            <w:pPr>
              <w:pStyle w:val="Compact"/>
              <w:jc w:val="left"/>
            </w:pPr>
            <w:r>
              <w:t xml:space="preserve">REQUIRED (quantitative plus auditable)</w:t>
            </w:r>
          </w:p>
        </w:tc>
      </w:tr>
      <w:tr>
        <w:trPr/>
        <w:tc>
          <w:tcPr>
            <w:tcMar>
              <w:top w:w="80" w:type="dxa"/>
              <w:start w:w="90" w:type="dxa"/>
              <w:bottom w:w="80" w:type="dxa"/>
              <w:end w:w="90" w:type="dxa"/>
            </w:tcMar>
            <w:shd w:fill="D9EAF7" w:val="clear"/>
          </w:tcPr>
          <w:p>
            <w:pPr>
              <w:pStyle w:val="Compact"/>
              <w:jc w:val="left"/>
            </w:pPr>
            <w:r>
              <w:t xml:space="preserve">NCRC rights check</w:t>
            </w:r>
          </w:p>
        </w:tc>
        <w:tc>
          <w:tcPr>
            <w:tcMar>
              <w:top w:w="80" w:type="dxa"/>
              <w:start w:w="90" w:type="dxa"/>
              <w:bottom w:w="80" w:type="dxa"/>
              <w:end w:w="90" w:type="dxa"/>
            </w:tcMar>
            <w:shd w:fill="D9EAF7" w:val="clear"/>
          </w:tcPr>
          <w:p>
            <w:pPr>
              <w:pStyle w:val="Compact"/>
              <w:jc w:val="left"/>
            </w:pPr>
            <w:r>
              <w:t xml:space="preserve">REQUIRED (heuristic minimum)</w:t>
            </w:r>
          </w:p>
        </w:tc>
        <w:tc>
          <w:tcPr>
            <w:tcMar>
              <w:top w:w="80" w:type="dxa"/>
              <w:start w:w="90" w:type="dxa"/>
              <w:bottom w:w="80" w:type="dxa"/>
              <w:end w:w="90" w:type="dxa"/>
            </w:tcMar>
            <w:shd w:fill="D9EAF7" w:val="clear"/>
          </w:tcPr>
          <w:p>
            <w:pPr>
              <w:pStyle w:val="Compact"/>
              <w:jc w:val="left"/>
            </w:pPr>
            <w:r>
              <w:t xml:space="preserve">REQUIRED</w:t>
            </w:r>
          </w:p>
        </w:tc>
        <w:tc>
          <w:tcPr>
            <w:tcMar>
              <w:top w:w="80" w:type="dxa"/>
              <w:start w:w="90" w:type="dxa"/>
              <w:bottom w:w="80" w:type="dxa"/>
              <w:end w:w="90" w:type="dxa"/>
            </w:tcMar>
            <w:shd w:fill="D9EAF7" w:val="clear"/>
          </w:tcPr>
          <w:p>
            <w:pPr>
              <w:pStyle w:val="Compact"/>
              <w:jc w:val="left"/>
            </w:pPr>
            <w:r>
              <w:t xml:space="preserve">REQUIRED</w:t>
            </w:r>
          </w:p>
        </w:tc>
      </w:tr>
      <w:tr>
        <w:trPr/>
        <w:tc>
          <w:tcPr>
            <w:tcMar>
              <w:top w:w="80" w:type="dxa"/>
              <w:start w:w="90" w:type="dxa"/>
              <w:bottom w:w="80" w:type="dxa"/>
              <w:end w:w="90" w:type="dxa"/>
            </w:tcMar>
            <w:shd w:fill="F7FBFF" w:val="clear"/>
          </w:tcPr>
          <w:p>
            <w:pPr>
              <w:pStyle w:val="Compact"/>
              <w:jc w:val="left"/>
            </w:pPr>
            <w:r>
              <w:t xml:space="preserve">Worst-off subgroup for rights</w:t>
            </w:r>
          </w:p>
        </w:tc>
        <w:tc>
          <w:tcPr>
            <w:tcMar>
              <w:top w:w="80" w:type="dxa"/>
              <w:start w:w="90" w:type="dxa"/>
              <w:bottom w:w="80" w:type="dxa"/>
              <w:end w:w="90" w:type="dxa"/>
            </w:tcMar>
            <w:shd w:fill="F7FBFF" w:val="clear"/>
          </w:tcPr>
          <w:p>
            <w:pPr>
              <w:pStyle w:val="Compact"/>
              <w:jc w:val="left"/>
            </w:pPr>
            <w:r>
              <w:t xml:space="preserve">Recommended</w:t>
            </w:r>
          </w:p>
        </w:tc>
        <w:tc>
          <w:tcPr>
            <w:tcMar>
              <w:top w:w="80" w:type="dxa"/>
              <w:start w:w="90" w:type="dxa"/>
              <w:bottom w:w="80" w:type="dxa"/>
              <w:end w:w="90" w:type="dxa"/>
            </w:tcMar>
            <w:shd w:fill="F7FBFF" w:val="clear"/>
          </w:tcPr>
          <w:p>
            <w:pPr>
              <w:pStyle w:val="Compact"/>
              <w:jc w:val="left"/>
            </w:pPr>
            <w:r>
              <w:t xml:space="preserve">REQUIRED for directly affected rights cells</w:t>
            </w:r>
          </w:p>
        </w:tc>
        <w:tc>
          <w:tcPr>
            <w:tcMar>
              <w:top w:w="80" w:type="dxa"/>
              <w:start w:w="90" w:type="dxa"/>
              <w:bottom w:w="80" w:type="dxa"/>
              <w:end w:w="90" w:type="dxa"/>
            </w:tcMar>
            <w:shd w:fill="F7FBFF" w:val="clear"/>
          </w:tcPr>
          <w:p>
            <w:pPr>
              <w:pStyle w:val="Compact"/>
              <w:jc w:val="left"/>
            </w:pPr>
            <w:r>
              <w:t xml:space="preserve">REQUIRED for rights-covered cells</w:t>
            </w:r>
          </w:p>
        </w:tc>
      </w:tr>
      <w:tr>
        <w:trPr/>
        <w:tc>
          <w:tcPr>
            <w:tcMar>
              <w:top w:w="80" w:type="dxa"/>
              <w:start w:w="90" w:type="dxa"/>
              <w:bottom w:w="80" w:type="dxa"/>
              <w:end w:w="90" w:type="dxa"/>
            </w:tcMar>
            <w:shd w:fill="D9EAF7" w:val="clear"/>
          </w:tcPr>
          <w:p>
            <w:pPr>
              <w:pStyle w:val="Compact"/>
              <w:jc w:val="left"/>
            </w:pPr>
            <w:r>
              <w:t xml:space="preserve">TRC tail-risk</w:t>
            </w:r>
          </w:p>
        </w:tc>
        <w:tc>
          <w:tcPr>
            <w:tcMar>
              <w:top w:w="80" w:type="dxa"/>
              <w:start w:w="90" w:type="dxa"/>
              <w:bottom w:w="80" w:type="dxa"/>
              <w:end w:w="90" w:type="dxa"/>
            </w:tcMar>
            <w:shd w:fill="D9EAF7" w:val="clear"/>
          </w:tcPr>
          <w:p>
            <w:pPr>
              <w:pStyle w:val="Compact"/>
              <w:jc w:val="left"/>
            </w:pPr>
            <w:r>
              <w:t xml:space="preserve">Optional (qualitative screen)</w:t>
            </w:r>
          </w:p>
        </w:tc>
        <w:tc>
          <w:tcPr>
            <w:tcMar>
              <w:top w:w="80" w:type="dxa"/>
              <w:start w:w="90" w:type="dxa"/>
              <w:bottom w:w="80" w:type="dxa"/>
              <w:end w:w="90" w:type="dxa"/>
            </w:tcMar>
            <w:shd w:fill="D9EAF7" w:val="clear"/>
          </w:tcPr>
          <w:p>
            <w:pPr>
              <w:pStyle w:val="Compact"/>
              <w:jc w:val="left"/>
            </w:pPr>
            <w:r>
              <w:t xml:space="preserve">REQUIRED when catastrophe relevance plausible</w:t>
            </w:r>
          </w:p>
        </w:tc>
        <w:tc>
          <w:tcPr>
            <w:tcMar>
              <w:top w:w="80" w:type="dxa"/>
              <w:start w:w="90" w:type="dxa"/>
              <w:bottom w:w="80" w:type="dxa"/>
              <w:end w:w="90" w:type="dxa"/>
            </w:tcMar>
            <w:shd w:fill="D9EAF7" w:val="clear"/>
          </w:tcPr>
          <w:p>
            <w:pPr>
              <w:pStyle w:val="Compact"/>
              <w:jc w:val="left"/>
            </w:pPr>
            <w:r>
              <w:t xml:space="preserve">REQUIRED</w:t>
            </w:r>
          </w:p>
        </w:tc>
      </w:tr>
      <w:tr>
        <w:trPr/>
        <w:tc>
          <w:tcPr>
            <w:tcMar>
              <w:top w:w="80" w:type="dxa"/>
              <w:start w:w="90" w:type="dxa"/>
              <w:bottom w:w="80" w:type="dxa"/>
              <w:end w:w="90" w:type="dxa"/>
            </w:tcMar>
            <w:shd w:fill="F7FBFF" w:val="clear"/>
          </w:tcPr>
          <w:p>
            <w:pPr>
              <w:pStyle w:val="Compact"/>
              <w:jc w:val="left"/>
            </w:pPr>
            <w:r>
              <w:t xml:space="preserve">Scenario set size when TRC used</w:t>
            </w:r>
          </w:p>
        </w:tc>
        <w:tc>
          <w:tcPr>
            <w:tcMar>
              <w:top w:w="80" w:type="dxa"/>
              <w:start w:w="90" w:type="dxa"/>
              <w:bottom w:w="80" w:type="dxa"/>
              <w:end w:w="90" w:type="dxa"/>
            </w:tcMar>
            <w:shd w:fill="F7FBFF" w:val="clear"/>
          </w:tcPr>
          <w:p>
            <w:pPr>
              <w:pStyle w:val="Compact"/>
              <w:jc w:val="left"/>
            </w:pPr>
            <w:r>
              <w:t xml:space="preserve">N/A</w:t>
            </w:r>
          </w:p>
        </w:tc>
        <w:tc>
          <w:tcPr>
            <w:tcMar>
              <w:top w:w="80" w:type="dxa"/>
              <w:start w:w="90" w:type="dxa"/>
              <w:bottom w:w="80" w:type="dxa"/>
              <w:end w:w="90" w:type="dxa"/>
            </w:tcMar>
            <w:shd w:fill="F7FBFF" w:val="clear"/>
          </w:tcPr>
          <w:p>
            <w:pPr>
              <w:pStyle w:val="Compact"/>
              <w:jc w:val="left"/>
            </w:pPr>
            <w:r>
              <w:t xml:space="preserve">≥5 minimum</w:t>
            </w:r>
          </w:p>
        </w:tc>
        <w:tc>
          <w:tcPr>
            <w:tcMar>
              <w:top w:w="80" w:type="dxa"/>
              <w:start w:w="90" w:type="dxa"/>
              <w:bottom w:w="80" w:type="dxa"/>
              <w:end w:w="90" w:type="dxa"/>
            </w:tcMar>
            <w:shd w:fill="F7FBFF" w:val="clear"/>
          </w:tcPr>
          <w:p>
            <w:pPr>
              <w:pStyle w:val="Compact"/>
              <w:jc w:val="left"/>
            </w:pPr>
            <w:r>
              <w:t xml:space="preserve">≥20 minimum</w:t>
            </w:r>
          </w:p>
        </w:tc>
      </w:tr>
      <w:tr>
        <w:trPr/>
        <w:tc>
          <w:tcPr>
            <w:tcMar>
              <w:top w:w="80" w:type="dxa"/>
              <w:start w:w="90" w:type="dxa"/>
              <w:bottom w:w="80" w:type="dxa"/>
              <w:end w:w="90" w:type="dxa"/>
            </w:tcMar>
            <w:shd w:fill="D9EAF7" w:val="clear"/>
          </w:tcPr>
          <w:p>
            <w:pPr>
              <w:pStyle w:val="Compact"/>
              <w:jc w:val="left"/>
            </w:pPr>
            <w:r>
              <w:t xml:space="preserve">Mandatory tail categories plus p_floor</w:t>
            </w:r>
          </w:p>
        </w:tc>
        <w:tc>
          <w:tcPr>
            <w:tcMar>
              <w:top w:w="80" w:type="dxa"/>
              <w:start w:w="90" w:type="dxa"/>
              <w:bottom w:w="80" w:type="dxa"/>
              <w:end w:w="90" w:type="dxa"/>
            </w:tcMar>
            <w:shd w:fill="D9EAF7" w:val="clear"/>
          </w:tcPr>
          <w:p>
            <w:pPr>
              <w:pStyle w:val="Compact"/>
              <w:jc w:val="left"/>
            </w:pPr>
            <w:r>
              <w:t xml:space="preserve">Recommended if TRC used</w:t>
            </w:r>
          </w:p>
        </w:tc>
        <w:tc>
          <w:tcPr>
            <w:tcMar>
              <w:top w:w="80" w:type="dxa"/>
              <w:start w:w="90" w:type="dxa"/>
              <w:bottom w:w="80" w:type="dxa"/>
              <w:end w:w="90" w:type="dxa"/>
            </w:tcMar>
            <w:shd w:fill="D9EAF7" w:val="clear"/>
          </w:tcPr>
          <w:p>
            <w:pPr>
              <w:pStyle w:val="Compact"/>
              <w:jc w:val="left"/>
            </w:pPr>
            <w:r>
              <w:t xml:space="preserve">REQUIRED when TRC used</w:t>
            </w:r>
          </w:p>
        </w:tc>
        <w:tc>
          <w:tcPr>
            <w:tcMar>
              <w:top w:w="80" w:type="dxa"/>
              <w:start w:w="90" w:type="dxa"/>
              <w:bottom w:w="80" w:type="dxa"/>
              <w:end w:w="90" w:type="dxa"/>
            </w:tcMar>
            <w:shd w:fill="D9EAF7" w:val="clear"/>
          </w:tcPr>
          <w:p>
            <w:pPr>
              <w:pStyle w:val="Compact"/>
              <w:jc w:val="left"/>
            </w:pPr>
            <w:r>
              <w:t xml:space="preserve">REQUIRED</w:t>
            </w:r>
          </w:p>
        </w:tc>
      </w:tr>
      <w:tr>
        <w:trPr/>
        <w:tc>
          <w:tcPr>
            <w:tcMar>
              <w:top w:w="80" w:type="dxa"/>
              <w:start w:w="90" w:type="dxa"/>
              <w:bottom w:w="80" w:type="dxa"/>
              <w:end w:w="90" w:type="dxa"/>
            </w:tcMar>
            <w:shd w:fill="F7FBFF" w:val="clear"/>
          </w:tcPr>
          <w:p>
            <w:pPr>
              <w:pStyle w:val="Compact"/>
              <w:jc w:val="left"/>
            </w:pPr>
            <w:r>
              <w:t xml:space="preserve">CSV qualification (Containment and Structural Viability)</w:t>
            </w:r>
          </w:p>
        </w:tc>
        <w:tc>
          <w:tcPr>
            <w:tcMar>
              <w:top w:w="80" w:type="dxa"/>
              <w:start w:w="90" w:type="dxa"/>
              <w:bottom w:w="80" w:type="dxa"/>
              <w:end w:w="90" w:type="dxa"/>
            </w:tcMar>
            <w:shd w:fill="F7FBFF" w:val="clear"/>
          </w:tcPr>
          <w:p>
            <w:pPr>
              <w:pStyle w:val="Compact"/>
              <w:jc w:val="left"/>
            </w:pPr>
            <w:r>
              <w:t xml:space="preserve">REQUIRED before any ordinary ranking or selection claim; a brief qualitative screen or</w:t>
            </w:r>
            <w:r>
              <w:t xml:space="preserve"> </w:t>
            </w:r>
            <w:r>
              <w:rPr>
                <w:rStyle w:val="VerbatimChar"/>
              </w:rPr>
              <w:t xml:space="preserve">CSV_NOT_MATERIAL</w:t>
            </w:r>
            <w:r>
              <w:t xml:space="preserve"> </w:t>
            </w:r>
            <w:r>
              <w:t xml:space="preserve">rationale is sufficient</w:t>
            </w:r>
          </w:p>
        </w:tc>
        <w:tc>
          <w:tcPr>
            <w:tcMar>
              <w:top w:w="80" w:type="dxa"/>
              <w:start w:w="90" w:type="dxa"/>
              <w:bottom w:w="80" w:type="dxa"/>
              <w:end w:w="90" w:type="dxa"/>
            </w:tcMar>
            <w:shd w:fill="F7FBFF" w:val="clear"/>
          </w:tcPr>
          <w:p>
            <w:pPr>
              <w:pStyle w:val="Compact"/>
              <w:jc w:val="left"/>
            </w:pPr>
            <w:r>
              <w:t xml:space="preserve">REQUIRED proportional/assumption-bounded CSV result before RLS; quantitative UCI is not required unless material</w:t>
            </w:r>
          </w:p>
        </w:tc>
        <w:tc>
          <w:tcPr>
            <w:tcMar>
              <w:top w:w="80" w:type="dxa"/>
              <w:start w:w="90" w:type="dxa"/>
              <w:bottom w:w="80" w:type="dxa"/>
              <w:end w:w="90" w:type="dxa"/>
            </w:tcMar>
            <w:shd w:fill="F7FBFF" w:val="clear"/>
          </w:tcPr>
          <w:p>
            <w:pPr>
              <w:pStyle w:val="Compact"/>
              <w:jc w:val="left"/>
            </w:pPr>
            <w:r>
              <w:t xml:space="preserve">REQUIRED full and binding</w:t>
            </w:r>
          </w:p>
        </w:tc>
      </w:tr>
      <w:tr>
        <w:trPr/>
        <w:tc>
          <w:tcPr>
            <w:tcMar>
              <w:top w:w="80" w:type="dxa"/>
              <w:start w:w="90" w:type="dxa"/>
              <w:bottom w:w="80" w:type="dxa"/>
              <w:end w:w="90" w:type="dxa"/>
            </w:tcMar>
            <w:shd w:fill="D9EAF7" w:val="clear"/>
          </w:tcPr>
          <w:p>
            <w:pPr>
              <w:pStyle w:val="Compact"/>
              <w:jc w:val="left"/>
            </w:pPr>
            <w:r>
              <w:t xml:space="preserve">RLS scoring</w:t>
            </w:r>
          </w:p>
        </w:tc>
        <w:tc>
          <w:tcPr>
            <w:tcMar>
              <w:top w:w="80" w:type="dxa"/>
              <w:start w:w="90" w:type="dxa"/>
              <w:bottom w:w="80" w:type="dxa"/>
              <w:end w:w="90" w:type="dxa"/>
            </w:tcMar>
            <w:shd w:fill="D9EAF7" w:val="clear"/>
          </w:tcPr>
          <w:p>
            <w:pPr>
              <w:pStyle w:val="Compact"/>
              <w:jc w:val="left"/>
            </w:pPr>
            <w:r>
              <w:t xml:space="preserve">Optional; if used, only after a pass-equivalent CSV result</w:t>
            </w:r>
          </w:p>
        </w:tc>
        <w:tc>
          <w:tcPr>
            <w:tcMar>
              <w:top w:w="80" w:type="dxa"/>
              <w:start w:w="90" w:type="dxa"/>
              <w:bottom w:w="80" w:type="dxa"/>
              <w:end w:w="90" w:type="dxa"/>
            </w:tcMar>
            <w:shd w:fill="D9EAF7" w:val="clear"/>
          </w:tcPr>
          <w:p>
            <w:pPr>
              <w:pStyle w:val="Compact"/>
              <w:jc w:val="left"/>
            </w:pPr>
            <w:r>
              <w:t xml:space="preserve">REQUIRED only for selectable survivors after CSV</w:t>
            </w:r>
          </w:p>
        </w:tc>
        <w:tc>
          <w:tcPr>
            <w:tcMar>
              <w:top w:w="80" w:type="dxa"/>
              <w:start w:w="90" w:type="dxa"/>
              <w:bottom w:w="80" w:type="dxa"/>
              <w:end w:w="90" w:type="dxa"/>
            </w:tcMar>
            <w:shd w:fill="D9EAF7" w:val="clear"/>
          </w:tcPr>
          <w:p>
            <w:pPr>
              <w:pStyle w:val="Compact"/>
              <w:jc w:val="left"/>
            </w:pPr>
            <w:r>
              <w:t xml:space="preserve">REQUIRED only for selectable survivors after CSV</w:t>
            </w:r>
          </w:p>
        </w:tc>
      </w:tr>
      <w:tr>
        <w:trPr/>
        <w:tc>
          <w:tcPr>
            <w:tcMar>
              <w:top w:w="80" w:type="dxa"/>
              <w:start w:w="90" w:type="dxa"/>
              <w:bottom w:w="80" w:type="dxa"/>
              <w:end w:w="90" w:type="dxa"/>
            </w:tcMar>
            <w:shd w:fill="F7FBFF" w:val="clear"/>
          </w:tcPr>
          <w:p>
            <w:pPr>
              <w:pStyle w:val="Compact"/>
              <w:jc w:val="left"/>
            </w:pPr>
            <w:r>
              <w:t xml:space="preserve">Uncertainty plus discrimination band</w:t>
            </w:r>
          </w:p>
        </w:tc>
        <w:tc>
          <w:tcPr>
            <w:tcMar>
              <w:top w:w="80" w:type="dxa"/>
              <w:start w:w="90" w:type="dxa"/>
              <w:bottom w:w="80" w:type="dxa"/>
              <w:end w:w="90" w:type="dxa"/>
            </w:tcMar>
            <w:shd w:fill="F7FBFF" w:val="clear"/>
          </w:tcPr>
          <w:p>
            <w:pPr>
              <w:pStyle w:val="Compact"/>
              <w:jc w:val="left"/>
            </w:pPr>
            <w:r>
              <w:t xml:space="preserve">Optional</w:t>
            </w:r>
          </w:p>
        </w:tc>
        <w:tc>
          <w:tcPr>
            <w:tcMar>
              <w:top w:w="80" w:type="dxa"/>
              <w:start w:w="90" w:type="dxa"/>
              <w:bottom w:w="80" w:type="dxa"/>
              <w:end w:w="90" w:type="dxa"/>
            </w:tcMar>
            <w:shd w:fill="F7FBFF" w:val="clear"/>
          </w:tcPr>
          <w:p>
            <w:pPr>
              <w:pStyle w:val="Compact"/>
              <w:jc w:val="left"/>
            </w:pPr>
            <w:r>
              <w:t xml:space="preserve">REQUIRED (active cells)</w:t>
            </w:r>
          </w:p>
        </w:tc>
        <w:tc>
          <w:tcPr>
            <w:tcMar>
              <w:top w:w="80" w:type="dxa"/>
              <w:start w:w="90" w:type="dxa"/>
              <w:bottom w:w="80" w:type="dxa"/>
              <w:end w:w="90" w:type="dxa"/>
            </w:tcMar>
            <w:shd w:fill="F7FBFF" w:val="clear"/>
          </w:tcPr>
          <w:p>
            <w:pPr>
              <w:pStyle w:val="Compact"/>
              <w:jc w:val="left"/>
            </w:pPr>
            <w:r>
              <w:t xml:space="preserve">REQUIRED</w:t>
            </w:r>
          </w:p>
        </w:tc>
      </w:tr>
      <w:tr>
        <w:trPr/>
        <w:tc>
          <w:tcPr>
            <w:tcMar>
              <w:top w:w="80" w:type="dxa"/>
              <w:start w:w="90" w:type="dxa"/>
              <w:bottom w:w="80" w:type="dxa"/>
              <w:end w:w="90" w:type="dxa"/>
            </w:tcMar>
            <w:shd w:fill="D9EAF7" w:val="clear"/>
          </w:tcPr>
          <w:p>
            <w:pPr>
              <w:pStyle w:val="Compact"/>
              <w:jc w:val="left"/>
            </w:pPr>
            <w:r>
              <w:t xml:space="preserve">Tie-breaks (UCI/HOI)</w:t>
            </w:r>
          </w:p>
        </w:tc>
        <w:tc>
          <w:tcPr>
            <w:tcMar>
              <w:top w:w="80" w:type="dxa"/>
              <w:start w:w="90" w:type="dxa"/>
              <w:bottom w:w="80" w:type="dxa"/>
              <w:end w:w="90" w:type="dxa"/>
            </w:tcMar>
            <w:shd w:fill="D9EAF7" w:val="clear"/>
          </w:tcPr>
          <w:p>
            <w:pPr>
              <w:pStyle w:val="Compact"/>
              <w:jc w:val="left"/>
            </w:pPr>
            <w:r>
              <w:t xml:space="preserve">Optional</w:t>
            </w:r>
          </w:p>
        </w:tc>
        <w:tc>
          <w:tcPr>
            <w:tcMar>
              <w:top w:w="80" w:type="dxa"/>
              <w:start w:w="90" w:type="dxa"/>
              <w:bottom w:w="80" w:type="dxa"/>
              <w:end w:w="90" w:type="dxa"/>
            </w:tcMar>
            <w:shd w:fill="D9EAF7" w:val="clear"/>
          </w:tcPr>
          <w:p>
            <w:pPr>
              <w:pStyle w:val="Compact"/>
              <w:jc w:val="left"/>
            </w:pPr>
            <w:r>
              <w:t xml:space="preserve">Recommended</w:t>
            </w:r>
          </w:p>
        </w:tc>
        <w:tc>
          <w:tcPr>
            <w:tcMar>
              <w:top w:w="80" w:type="dxa"/>
              <w:start w:w="90" w:type="dxa"/>
              <w:bottom w:w="80" w:type="dxa"/>
              <w:end w:w="90" w:type="dxa"/>
            </w:tcMar>
            <w:shd w:fill="D9EAF7" w:val="clear"/>
          </w:tcPr>
          <w:p>
            <w:pPr>
              <w:pStyle w:val="Compact"/>
              <w:jc w:val="left"/>
            </w:pPr>
            <w:r>
              <w:t xml:space="preserve">REQUIRED when RLS non-decisive</w:t>
            </w:r>
          </w:p>
        </w:tc>
      </w:tr>
      <w:tr>
        <w:trPr/>
        <w:tc>
          <w:tcPr>
            <w:tcMar>
              <w:top w:w="80" w:type="dxa"/>
              <w:start w:w="90" w:type="dxa"/>
              <w:bottom w:w="80" w:type="dxa"/>
              <w:end w:w="90" w:type="dxa"/>
            </w:tcMar>
            <w:shd w:fill="F7FBFF" w:val="clear"/>
          </w:tcPr>
          <w:p>
            <w:pPr>
              <w:pStyle w:val="Compact"/>
              <w:jc w:val="left"/>
            </w:pPr>
            <w:r>
              <w:t xml:space="preserve">Kernel propagation</w:t>
            </w:r>
          </w:p>
        </w:tc>
        <w:tc>
          <w:tcPr>
            <w:tcMar>
              <w:top w:w="80" w:type="dxa"/>
              <w:start w:w="90" w:type="dxa"/>
              <w:bottom w:w="80" w:type="dxa"/>
              <w:end w:w="90" w:type="dxa"/>
            </w:tcMar>
            <w:shd w:fill="F7FBFF" w:val="clear"/>
          </w:tcPr>
          <w:p>
            <w:pPr>
              <w:pStyle w:val="Compact"/>
              <w:jc w:val="left"/>
            </w:pPr>
            <w:r>
              <w:t xml:space="preserve">NONE default</w:t>
            </w:r>
          </w:p>
        </w:tc>
        <w:tc>
          <w:tcPr>
            <w:tcMar>
              <w:top w:w="80" w:type="dxa"/>
              <w:start w:w="90" w:type="dxa"/>
              <w:bottom w:w="80" w:type="dxa"/>
              <w:end w:w="90" w:type="dxa"/>
            </w:tcMar>
            <w:shd w:fill="F7FBFF" w:val="clear"/>
          </w:tcPr>
          <w:p>
            <w:pPr>
              <w:pStyle w:val="Compact"/>
              <w:jc w:val="left"/>
            </w:pPr>
            <w:r>
              <w:t xml:space="preserve">NONE default; QUICK if KQS policy satisfied</w:t>
            </w:r>
          </w:p>
        </w:tc>
        <w:tc>
          <w:tcPr>
            <w:tcMar>
              <w:top w:w="80" w:type="dxa"/>
              <w:start w:w="90" w:type="dxa"/>
              <w:bottom w:w="80" w:type="dxa"/>
              <w:end w:w="90" w:type="dxa"/>
            </w:tcMar>
            <w:shd w:fill="F7FBFF" w:val="clear"/>
          </w:tcPr>
          <w:p>
            <w:pPr>
              <w:pStyle w:val="Compact"/>
              <w:jc w:val="left"/>
            </w:pPr>
            <w:r>
              <w:t xml:space="preserve">QUICK only if KQS policy satisfied plus sensitivity; else NONE</w:t>
            </w:r>
          </w:p>
        </w:tc>
      </w:tr>
      <w:tr>
        <w:trPr/>
        <w:tc>
          <w:tcPr>
            <w:tcMar>
              <w:top w:w="80" w:type="dxa"/>
              <w:start w:w="90" w:type="dxa"/>
              <w:bottom w:w="80" w:type="dxa"/>
              <w:end w:w="90" w:type="dxa"/>
            </w:tcMar>
            <w:shd w:fill="D9EAF7" w:val="clear"/>
          </w:tcPr>
          <w:p>
            <w:pPr>
              <w:pStyle w:val="Compact"/>
              <w:jc w:val="left"/>
            </w:pPr>
            <w:r>
              <w:t xml:space="preserve">KQS policy</w:t>
            </w:r>
          </w:p>
        </w:tc>
        <w:tc>
          <w:tcPr>
            <w:tcMar>
              <w:top w:w="80" w:type="dxa"/>
              <w:start w:w="90" w:type="dxa"/>
              <w:bottom w:w="80" w:type="dxa"/>
              <w:end w:w="90" w:type="dxa"/>
            </w:tcMar>
            <w:shd w:fill="D9EAF7" w:val="clear"/>
          </w:tcPr>
          <w:p>
            <w:pPr>
              <w:pStyle w:val="Compact"/>
              <w:jc w:val="left"/>
            </w:pPr>
            <w:r>
              <w:t xml:space="preserve">Optional</w:t>
            </w:r>
          </w:p>
        </w:tc>
        <w:tc>
          <w:tcPr>
            <w:tcMar>
              <w:top w:w="80" w:type="dxa"/>
              <w:start w:w="90" w:type="dxa"/>
              <w:bottom w:w="80" w:type="dxa"/>
              <w:end w:w="90" w:type="dxa"/>
            </w:tcMar>
            <w:shd w:fill="D9EAF7" w:val="clear"/>
          </w:tcPr>
          <w:p>
            <w:pPr>
              <w:pStyle w:val="Compact"/>
              <w:jc w:val="left"/>
            </w:pPr>
            <w:r>
              <w:t xml:space="preserve">REQUIRED if kernel used</w:t>
            </w:r>
          </w:p>
        </w:tc>
        <w:tc>
          <w:tcPr>
            <w:tcMar>
              <w:top w:w="80" w:type="dxa"/>
              <w:start w:w="90" w:type="dxa"/>
              <w:bottom w:w="80" w:type="dxa"/>
              <w:end w:w="90" w:type="dxa"/>
            </w:tcMar>
            <w:shd w:fill="D9EAF7" w:val="clear"/>
          </w:tcPr>
          <w:p>
            <w:pPr>
              <w:pStyle w:val="Compact"/>
              <w:jc w:val="left"/>
            </w:pPr>
            <w:r>
              <w:t xml:space="preserve">REQUIRED if kernel used</w:t>
            </w:r>
          </w:p>
        </w:tc>
      </w:tr>
      <w:tr>
        <w:trPr/>
        <w:tc>
          <w:tcPr>
            <w:tcMar>
              <w:top w:w="80" w:type="dxa"/>
              <w:start w:w="90" w:type="dxa"/>
              <w:bottom w:w="80" w:type="dxa"/>
              <w:end w:w="90" w:type="dxa"/>
            </w:tcMar>
            <w:shd w:fill="F7FBFF" w:val="clear"/>
          </w:tcPr>
          <w:p>
            <w:pPr>
              <w:pStyle w:val="Compact"/>
              <w:jc w:val="left"/>
            </w:pPr>
            <w:r>
              <w:t xml:space="preserve">Sensitivity analysis</w:t>
            </w:r>
          </w:p>
        </w:tc>
        <w:tc>
          <w:tcPr>
            <w:tcMar>
              <w:top w:w="80" w:type="dxa"/>
              <w:start w:w="90" w:type="dxa"/>
              <w:bottom w:w="80" w:type="dxa"/>
              <w:end w:w="90" w:type="dxa"/>
            </w:tcMar>
            <w:shd w:fill="F7FBFF" w:val="clear"/>
          </w:tcPr>
          <w:p>
            <w:pPr>
              <w:pStyle w:val="Compact"/>
              <w:jc w:val="left"/>
            </w:pPr>
            <w:r>
              <w:t xml:space="preserve">Optional</w:t>
            </w:r>
          </w:p>
        </w:tc>
        <w:tc>
          <w:tcPr>
            <w:tcMar>
              <w:top w:w="80" w:type="dxa"/>
              <w:start w:w="90" w:type="dxa"/>
              <w:bottom w:w="80" w:type="dxa"/>
              <w:end w:w="90" w:type="dxa"/>
            </w:tcMar>
            <w:shd w:fill="F7FBFF" w:val="clear"/>
          </w:tcPr>
          <w:p>
            <w:pPr>
              <w:pStyle w:val="Compact"/>
              <w:jc w:val="left"/>
            </w:pPr>
            <w:r>
              <w:t xml:space="preserve">Recommended</w:t>
            </w:r>
          </w:p>
        </w:tc>
        <w:tc>
          <w:tcPr>
            <w:tcMar>
              <w:top w:w="80" w:type="dxa"/>
              <w:start w:w="90" w:type="dxa"/>
              <w:bottom w:w="80" w:type="dxa"/>
              <w:end w:w="90" w:type="dxa"/>
            </w:tcMar>
            <w:shd w:fill="F7FBFF" w:val="clear"/>
          </w:tcPr>
          <w:p>
            <w:pPr>
              <w:pStyle w:val="Compact"/>
              <w:jc w:val="left"/>
            </w:pPr>
            <w:r>
              <w:t xml:space="preserve">REQUIRED</w:t>
            </w:r>
          </w:p>
        </w:tc>
      </w:tr>
      <w:tr>
        <w:trPr/>
        <w:tc>
          <w:tcPr>
            <w:tcMar>
              <w:top w:w="80" w:type="dxa"/>
              <w:start w:w="90" w:type="dxa"/>
              <w:bottom w:w="80" w:type="dxa"/>
              <w:end w:w="90" w:type="dxa"/>
            </w:tcMar>
            <w:shd w:fill="D9EAF7" w:val="clear"/>
          </w:tcPr>
          <w:p>
            <w:pPr>
              <w:pStyle w:val="Compact"/>
              <w:jc w:val="left"/>
            </w:pPr>
            <w:r>
              <w:t xml:space="preserve">PCC artifact</w:t>
            </w:r>
          </w:p>
        </w:tc>
        <w:tc>
          <w:tcPr>
            <w:tcMar>
              <w:top w:w="80" w:type="dxa"/>
              <w:start w:w="90" w:type="dxa"/>
              <w:bottom w:w="80" w:type="dxa"/>
              <w:end w:w="90" w:type="dxa"/>
            </w:tcMar>
            <w:shd w:fill="D9EAF7" w:val="clear"/>
          </w:tcPr>
          <w:p>
            <w:pPr>
              <w:pStyle w:val="Compact"/>
              <w:jc w:val="left"/>
            </w:pPr>
            <w:r>
              <w:t xml:space="preserve">Optional</w:t>
            </w:r>
          </w:p>
        </w:tc>
        <w:tc>
          <w:tcPr>
            <w:tcMar>
              <w:top w:w="80" w:type="dxa"/>
              <w:start w:w="90" w:type="dxa"/>
              <w:bottom w:w="80" w:type="dxa"/>
              <w:end w:w="90" w:type="dxa"/>
            </w:tcMar>
            <w:shd w:fill="D9EAF7" w:val="clear"/>
          </w:tcPr>
          <w:p>
            <w:pPr>
              <w:pStyle w:val="Compact"/>
              <w:jc w:val="left"/>
            </w:pPr>
            <w:r>
              <w:t xml:space="preserve">REQUIRED (basic)</w:t>
            </w:r>
          </w:p>
        </w:tc>
        <w:tc>
          <w:tcPr>
            <w:tcMar>
              <w:top w:w="80" w:type="dxa"/>
              <w:start w:w="90" w:type="dxa"/>
              <w:bottom w:w="80" w:type="dxa"/>
              <w:end w:w="90" w:type="dxa"/>
            </w:tcMar>
            <w:shd w:fill="D9EAF7" w:val="clear"/>
          </w:tcPr>
          <w:p>
            <w:pPr>
              <w:pStyle w:val="Compact"/>
              <w:jc w:val="left"/>
            </w:pPr>
            <w:r>
              <w:t xml:space="preserve">REQUIRED (full)</w:t>
            </w:r>
          </w:p>
        </w:tc>
      </w:tr>
      <w:tr>
        <w:trPr/>
        <w:tc>
          <w:tcPr>
            <w:tcMar>
              <w:top w:w="80" w:type="dxa"/>
              <w:start w:w="90" w:type="dxa"/>
              <w:bottom w:w="80" w:type="dxa"/>
              <w:end w:w="90" w:type="dxa"/>
            </w:tcMar>
            <w:shd w:fill="F7FBFF" w:val="clear"/>
          </w:tcPr>
          <w:p>
            <w:pPr>
              <w:pStyle w:val="Compact"/>
              <w:jc w:val="left"/>
            </w:pPr>
            <w:r>
              <w:t xml:space="preserve">Audit flags</w:t>
            </w:r>
          </w:p>
        </w:tc>
        <w:tc>
          <w:tcPr>
            <w:tcMar>
              <w:top w:w="80" w:type="dxa"/>
              <w:start w:w="90" w:type="dxa"/>
              <w:bottom w:w="80" w:type="dxa"/>
              <w:end w:w="90" w:type="dxa"/>
            </w:tcMar>
            <w:shd w:fill="F7FBFF" w:val="clear"/>
          </w:tcPr>
          <w:p>
            <w:pPr>
              <w:pStyle w:val="Compact"/>
              <w:jc w:val="left"/>
            </w:pPr>
            <w:r>
              <w:t xml:space="preserve">Optional</w:t>
            </w:r>
          </w:p>
        </w:tc>
        <w:tc>
          <w:tcPr>
            <w:tcMar>
              <w:top w:w="80" w:type="dxa"/>
              <w:start w:w="90" w:type="dxa"/>
              <w:bottom w:w="80" w:type="dxa"/>
              <w:end w:w="90" w:type="dxa"/>
            </w:tcMar>
            <w:shd w:fill="F7FBFF" w:val="clear"/>
          </w:tcPr>
          <w:p>
            <w:pPr>
              <w:pStyle w:val="Compact"/>
              <w:jc w:val="left"/>
            </w:pPr>
            <w:r>
              <w:t xml:space="preserve">REQUIRED when triggered</w:t>
            </w:r>
          </w:p>
        </w:tc>
        <w:tc>
          <w:tcPr>
            <w:tcMar>
              <w:top w:w="80" w:type="dxa"/>
              <w:start w:w="90" w:type="dxa"/>
              <w:bottom w:w="80" w:type="dxa"/>
              <w:end w:w="90" w:type="dxa"/>
            </w:tcMar>
            <w:shd w:fill="F7FBFF" w:val="clear"/>
          </w:tcPr>
          <w:p>
            <w:pPr>
              <w:pStyle w:val="Compact"/>
              <w:jc w:val="left"/>
            </w:pPr>
            <w:r>
              <w:t xml:space="preserve">REQUIRED when triggered</w:t>
            </w:r>
          </w:p>
        </w:tc>
      </w:tr>
      <w:tr>
        <w:trPr/>
        <w:tc>
          <w:tcPr>
            <w:tcMar>
              <w:top w:w="80" w:type="dxa"/>
              <w:start w:w="90" w:type="dxa"/>
              <w:bottom w:w="80" w:type="dxa"/>
              <w:end w:w="90" w:type="dxa"/>
            </w:tcMar>
            <w:shd w:fill="D9EAF7" w:val="clear"/>
          </w:tcPr>
          <w:p>
            <w:pPr>
              <w:pStyle w:val="Compact"/>
              <w:jc w:val="left"/>
            </w:pPr>
            <w:r>
              <w:t xml:space="preserve">Stewardship (conditional)</w:t>
            </w:r>
          </w:p>
        </w:tc>
        <w:tc>
          <w:tcPr>
            <w:tcMar>
              <w:top w:w="80" w:type="dxa"/>
              <w:start w:w="90" w:type="dxa"/>
              <w:bottom w:w="80" w:type="dxa"/>
              <w:end w:w="90" w:type="dxa"/>
            </w:tcMar>
            <w:shd w:fill="D9EAF7" w:val="clear"/>
          </w:tcPr>
          <w:p>
            <w:pPr>
              <w:pStyle w:val="Compact"/>
              <w:jc w:val="left"/>
            </w:pPr>
            <w:r>
              <w:t xml:space="preserve">Optional</w:t>
            </w:r>
          </w:p>
        </w:tc>
        <w:tc>
          <w:tcPr>
            <w:tcMar>
              <w:top w:w="80" w:type="dxa"/>
              <w:start w:w="90" w:type="dxa"/>
              <w:bottom w:w="80" w:type="dxa"/>
              <w:end w:w="90" w:type="dxa"/>
            </w:tcMar>
            <w:shd w:fill="D9EAF7" w:val="clear"/>
          </w:tcPr>
          <w:p>
            <w:pPr>
              <w:pStyle w:val="Compact"/>
              <w:jc w:val="left"/>
            </w:pPr>
            <w:r>
              <w:t xml:space="preserve">Required iff Stw_req=1</w:t>
            </w:r>
          </w:p>
        </w:tc>
        <w:tc>
          <w:tcPr>
            <w:tcMar>
              <w:top w:w="80" w:type="dxa"/>
              <w:start w:w="90" w:type="dxa"/>
              <w:bottom w:w="80" w:type="dxa"/>
              <w:end w:w="90" w:type="dxa"/>
            </w:tcMar>
            <w:shd w:fill="D9EAF7" w:val="clear"/>
          </w:tcPr>
          <w:p>
            <w:pPr>
              <w:pStyle w:val="Compact"/>
              <w:jc w:val="left"/>
            </w:pPr>
            <w:r>
              <w:t xml:space="preserve">Required (Stw_req assumed TRUE for Tier 3)</w:t>
            </w:r>
          </w:p>
        </w:tc>
      </w:tr>
      <w:tr>
        <w:trPr/>
        <w:tc>
          <w:tcPr>
            <w:tcMar>
              <w:top w:w="80" w:type="dxa"/>
              <w:start w:w="90" w:type="dxa"/>
              <w:bottom w:w="80" w:type="dxa"/>
              <w:end w:w="90" w:type="dxa"/>
            </w:tcMar>
            <w:shd w:fill="F7FBFF" w:val="clear"/>
          </w:tcPr>
          <w:p>
            <w:pPr>
              <w:pStyle w:val="Compact"/>
              <w:jc w:val="left"/>
            </w:pPr>
            <w:r>
              <w:t xml:space="preserve">Tier-4 claim</w:t>
            </w:r>
          </w:p>
        </w:tc>
        <w:tc>
          <w:tcPr>
            <w:tcMar>
              <w:top w:w="80" w:type="dxa"/>
              <w:start w:w="90" w:type="dxa"/>
              <w:bottom w:w="80" w:type="dxa"/>
              <w:end w:w="90" w:type="dxa"/>
            </w:tcMar>
            <w:shd w:fill="F7FBFF" w:val="clear"/>
          </w:tcPr>
          <w:p>
            <w:pPr>
              <w:pStyle w:val="Compact"/>
              <w:jc w:val="left"/>
            </w:pPr>
            <w:r>
              <w:t xml:space="preserve">PROHIBITED</w:t>
            </w:r>
          </w:p>
        </w:tc>
        <w:tc>
          <w:tcPr>
            <w:tcMar>
              <w:top w:w="80" w:type="dxa"/>
              <w:start w:w="90" w:type="dxa"/>
              <w:bottom w:w="80" w:type="dxa"/>
              <w:end w:w="90" w:type="dxa"/>
            </w:tcMar>
            <w:shd w:fill="F7FBFF" w:val="clear"/>
          </w:tcPr>
          <w:p>
            <w:pPr>
              <w:pStyle w:val="Compact"/>
              <w:jc w:val="left"/>
            </w:pPr>
            <w:r>
              <w:t xml:space="preserve">PROHIBITED</w:t>
            </w:r>
          </w:p>
        </w:tc>
        <w:tc>
          <w:tcPr>
            <w:tcMar>
              <w:top w:w="80" w:type="dxa"/>
              <w:start w:w="90" w:type="dxa"/>
              <w:bottom w:w="80" w:type="dxa"/>
              <w:end w:w="90" w:type="dxa"/>
            </w:tcMar>
            <w:shd w:fill="F7FBFF" w:val="clear"/>
          </w:tcPr>
          <w:p>
            <w:pPr>
              <w:pStyle w:val="Compact"/>
              <w:jc w:val="left"/>
            </w:pPr>
            <w:r>
              <w:t xml:space="preserve">PROHIBITED</w:t>
            </w:r>
          </w:p>
        </w:tc>
      </w:tr>
      <w:tr>
        <w:trPr/>
        <w:tc>
          <w:tcPr>
            <w:tcMar>
              <w:top w:w="80" w:type="dxa"/>
              <w:start w:w="90" w:type="dxa"/>
              <w:bottom w:w="80" w:type="dxa"/>
              <w:end w:w="90" w:type="dxa"/>
            </w:tcMar>
            <w:shd w:fill="D9EAF7" w:val="clear"/>
          </w:tcPr>
          <w:p>
            <w:pPr>
              <w:pStyle w:val="Compact"/>
              <w:jc w:val="left"/>
            </w:pPr>
            <w:r>
              <w:t xml:space="preserve">Stakeholder discovery and mapping (SDP/InstanceMap)</w:t>
            </w:r>
          </w:p>
        </w:tc>
        <w:tc>
          <w:tcPr>
            <w:tcMar>
              <w:top w:w="80" w:type="dxa"/>
              <w:start w:w="90" w:type="dxa"/>
              <w:bottom w:w="80" w:type="dxa"/>
              <w:end w:w="90" w:type="dxa"/>
            </w:tcMar>
            <w:shd w:fill="D9EAF7" w:val="clear"/>
          </w:tcPr>
          <w:p>
            <w:pPr>
              <w:pStyle w:val="Compact"/>
              <w:jc w:val="left"/>
            </w:pPr>
            <w:r>
              <w:t xml:space="preserve">Optional</w:t>
            </w:r>
          </w:p>
        </w:tc>
        <w:tc>
          <w:tcPr>
            <w:tcMar>
              <w:top w:w="80" w:type="dxa"/>
              <w:start w:w="90" w:type="dxa"/>
              <w:bottom w:w="80" w:type="dxa"/>
              <w:end w:w="90" w:type="dxa"/>
            </w:tcMar>
            <w:shd w:fill="D9EAF7" w:val="clear"/>
          </w:tcPr>
          <w:p>
            <w:pPr>
              <w:pStyle w:val="Compact"/>
              <w:jc w:val="left"/>
            </w:pPr>
            <w:r>
              <w:t xml:space="preserve">REQUIRED when any SDP trigger holds; otherwise a lightweight stakeholder note or voluntary SDP is RECOMMENDED</w:t>
            </w:r>
          </w:p>
        </w:tc>
        <w:tc>
          <w:tcPr>
            <w:tcMar>
              <w:top w:w="80" w:type="dxa"/>
              <w:start w:w="90" w:type="dxa"/>
              <w:bottom w:w="80" w:type="dxa"/>
              <w:end w:w="90" w:type="dxa"/>
            </w:tcMar>
            <w:shd w:fill="D9EAF7" w:val="clear"/>
          </w:tcPr>
          <w:p>
            <w:pPr>
              <w:pStyle w:val="Compact"/>
              <w:jc w:val="left"/>
            </w:pPr>
            <w:r>
              <w:t xml:space="preserve">REQUIRED (InstanceMap with multi-scope redundancy handling disclosures)</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Stakeholder Coverage Index (SCI)</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Optional</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REQUIRED (SCI ≥ 1)</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REQUIRED (SCI ≥ 2)</w:t>
            </w:r>
          </w:p>
        </w:tc>
      </w:tr>
    </w:tbl>
    <w:p>
      <w:pPr>
        <w:pStyle w:val="BodyText"/>
        <w:widowControl/>
      </w:pPr>
      <w:r>
        <w:t xml:space="preserve">Tier 3 stewardship assumption (Normative): Any Tier 3 run SHALL set Stw_req(run) = 1 by default because Tier 3 implies external scrutiny and governance-grade assistance posture.</w:t>
      </w:r>
    </w:p>
    <w:bookmarkEnd w:id="248"/>
    <w:bookmarkStart w:id="249" w:name="Xf1fb5c4ed743f8e06912f0bf9e2ef82180cc2c0"/>
    <w:p>
      <w:pPr>
        <w:pStyle w:val="Heading2"/>
        <w:keepNext/>
        <w:keepLines/>
        <w:pageBreakBefore w:val="0"/>
        <w:widowControl/>
      </w:pPr>
      <w:r>
        <w:rPr>
          <w:rFonts w:ascii="Arial" w:hAnsi="Arial" w:eastAsia="Arial"/>
          <w:b/>
          <w:color w:val="1F4E78"/>
        </w:rPr>
        <w:t xml:space="preserve">15.2 Tier 1: Heuristic Application (“2-Minute Ripple Check”) (Normative minimum)</w:t>
      </w:r>
    </w:p>
    <w:p>
      <w:pPr>
        <w:pStyle w:val="FirstParagraph"/>
        <w:widowControl/>
      </w:pPr>
      <w:r>
        <w:t xml:space="preserve">Use Tier 1 for low-stakes, reversible decisions where full calculation is disproportionate.</w:t>
      </w:r>
    </w:p>
    <w:p>
      <w:pPr>
        <w:pStyle w:val="BodyText"/>
        <w:widowControl/>
      </w:pPr>
      <w:r>
        <w:t xml:space="preserve">Tier 1 minimum protocol:</w:t>
      </w:r>
    </w:p>
    <w:p>
      <w:pPr>
        <w:pStyle w:val="Compact"/>
        <w:widowControl/>
        <w:numPr>
          <w:ilvl w:val="0"/>
          <w:numId w:val="1175"/>
        </w:numPr>
      </w:pPr>
      <w:r>
        <w:rPr>
          <w:b/>
          <w:bCs/>
        </w:rPr>
        <w:t xml:space="preserve">Decision:</w:t>
      </w:r>
      <w:r>
        <w:t xml:space="preserve"> </w:t>
      </w:r>
      <w:r>
        <w:t xml:space="preserve">What must be decided, by when?</w:t>
      </w:r>
    </w:p>
    <w:p>
      <w:pPr>
        <w:pStyle w:val="Compact"/>
        <w:widowControl/>
        <w:numPr>
          <w:ilvl w:val="0"/>
          <w:numId w:val="1175"/>
        </w:numPr>
      </w:pPr>
      <w:r>
        <w:rPr>
          <w:b/>
          <w:bCs/>
        </w:rPr>
        <w:t xml:space="preserve">Options:</w:t>
      </w:r>
      <w:r>
        <w:t xml:space="preserve"> </w:t>
      </w:r>
      <w:r>
        <w:t xml:space="preserve">List at least 2 options, including a third-path redesign option where possible.</w:t>
      </w:r>
    </w:p>
    <w:p>
      <w:pPr>
        <w:pStyle w:val="Compact"/>
        <w:widowControl/>
        <w:numPr>
          <w:ilvl w:val="0"/>
          <w:numId w:val="1175"/>
        </w:numPr>
      </w:pPr>
      <w:r>
        <w:rPr>
          <w:b/>
          <w:bCs/>
        </w:rPr>
        <w:t xml:space="preserve">Rights screen (RF/NCRC heuristic):</w:t>
      </w:r>
      <w:r>
        <w:t xml:space="preserve"> </w:t>
      </w:r>
      <w:r>
        <w:t xml:space="preserve">Could any option plausibly violate LIFE, BODY, NEED, LBTY, DIGN, PROC, INFO, or ECOL? If yes, escalate to Tier 2+.</w:t>
      </w:r>
    </w:p>
    <w:p>
      <w:pPr>
        <w:pStyle w:val="Compact"/>
        <w:widowControl/>
        <w:numPr>
          <w:ilvl w:val="0"/>
          <w:numId w:val="1175"/>
        </w:numPr>
      </w:pPr>
      <w:r>
        <w:rPr>
          <w:b/>
          <w:bCs/>
        </w:rPr>
        <w:t xml:space="preserve">Tail screen (TRC heuristic):</w:t>
      </w:r>
      <w:r>
        <w:t xml:space="preserve"> </w:t>
      </w:r>
      <w:r>
        <w:t xml:space="preserve">Could any option plausibly create catastrophic, irreversible, systemic, or ruin-path downside? If yes, escalate to Tier 2+.</w:t>
      </w:r>
    </w:p>
    <w:p>
      <w:pPr>
        <w:pStyle w:val="Compact"/>
        <w:widowControl/>
        <w:numPr>
          <w:ilvl w:val="0"/>
          <w:numId w:val="1175"/>
        </w:numPr>
      </w:pPr>
      <w:r>
        <w:rPr>
          <w:b/>
          <w:bCs/>
        </w:rPr>
        <w:t xml:space="preserve">CSV screen:</w:t>
      </w:r>
      <w:r>
        <w:t xml:space="preserve"> </w:t>
      </w:r>
      <w:r>
        <w:t xml:space="preserve">Could the apparent local gain hollow out, overload, externalize onto, or depend on failure of a larger system, or does the option lack the resources, controls, authority, reversibility, or execution conditions needed to stand? Record</w:t>
      </w:r>
      <w:r>
        <w:t xml:space="preserve"> </w:t>
      </w:r>
      <w:r>
        <w:rPr>
          <w:rStyle w:val="VerbatimChar"/>
        </w:rPr>
        <w:t xml:space="preserve">CSV_PASS_HEURISTIC</w:t>
      </w:r>
      <w:r>
        <w:t xml:space="preserve">,</w:t>
      </w:r>
      <w:r>
        <w:t xml:space="preserve"> </w:t>
      </w:r>
      <w:r>
        <w:rPr>
          <w:rStyle w:val="VerbatimChar"/>
        </w:rPr>
        <w:t xml:space="preserve">CSV_NOT_MATERIAL</w:t>
      </w:r>
      <w:r>
        <w:t xml:space="preserve">,</w:t>
      </w:r>
      <w:r>
        <w:t xml:space="preserve"> </w:t>
      </w:r>
      <w:r>
        <w:rPr>
          <w:rStyle w:val="VerbatimChar"/>
        </w:rPr>
        <w:t xml:space="preserve">CSV_REDESIGN_REQUIRED</w:t>
      </w:r>
      <w:r>
        <w:t xml:space="preserve">, or escalate. An ordinary RippleLogic ranking or selection claim MUST NOT be made without a pass-equivalent CSV result.</w:t>
      </w:r>
    </w:p>
    <w:p>
      <w:pPr>
        <w:pStyle w:val="Compact"/>
        <w:widowControl/>
        <w:numPr>
          <w:ilvl w:val="0"/>
          <w:numId w:val="1175"/>
        </w:numPr>
      </w:pPr>
      <w:r>
        <w:rPr>
          <w:b/>
          <w:bCs/>
        </w:rPr>
        <w:t xml:space="preserve">Scopes touched:</w:t>
      </w:r>
      <w:r>
        <w:t xml:space="preserve"> </w:t>
      </w:r>
      <w:r>
        <w:t xml:space="preserve">Which operational scopes U1 through U7 are materially affected?</w:t>
      </w:r>
    </w:p>
    <w:p>
      <w:pPr>
        <w:pStyle w:val="Compact"/>
        <w:widowControl/>
        <w:numPr>
          <w:ilvl w:val="0"/>
          <w:numId w:val="1175"/>
        </w:numPr>
      </w:pPr>
      <w:r>
        <w:rPr>
          <w:b/>
          <w:bCs/>
        </w:rPr>
        <w:t xml:space="preserve">Unioning move:</w:t>
      </w:r>
      <w:r>
        <w:t xml:space="preserve"> </w:t>
      </w:r>
      <w:r>
        <w:t xml:space="preserve">What redesign could reduce harms and increase shared benefit across the affected scopes?</w:t>
      </w:r>
    </w:p>
    <w:p>
      <w:pPr>
        <w:pStyle w:val="Compact"/>
        <w:widowControl/>
        <w:numPr>
          <w:ilvl w:val="0"/>
          <w:numId w:val="1175"/>
        </w:numPr>
      </w:pPr>
      <w:r>
        <w:rPr>
          <w:b/>
          <w:bCs/>
        </w:rPr>
        <w:t xml:space="preserve">Choose and record:</w:t>
      </w:r>
      <w:r>
        <w:t xml:space="preserve"> </w:t>
      </w:r>
      <w:r>
        <w:t xml:space="preserve">Compare only options that passed the heuristic qualification screens. If no option passes, redesign, escalate, delay, or refuse rather than forcing a ranking.</w:t>
      </w:r>
    </w:p>
    <w:p>
      <w:pPr>
        <w:pStyle w:val="FirstParagraph"/>
        <w:widowControl/>
      </w:pPr>
      <w:r>
        <w:t xml:space="preserve">Tier 1 recording (recommended): a short note or mini-PCC containing the eight answers and any</w:t>
      </w:r>
      <w:r>
        <w:t xml:space="preserve"> </w:t>
      </w:r>
      <w:r>
        <w:rPr>
          <w:rStyle w:val="VerbatimChar"/>
        </w:rPr>
        <w:t xml:space="preserve">CSV_NOT_MATERIAL</w:t>
      </w:r>
      <w:r>
        <w:t xml:space="preserve"> </w:t>
      </w:r>
      <w:r>
        <w:t xml:space="preserve">rationale.</w:t>
      </w:r>
    </w:p>
    <w:p>
      <w:pPr>
        <w:pStyle w:val="BodyText"/>
        <w:widowControl/>
      </w:pPr>
      <w:r>
        <w:t xml:space="preserve">Tier-1 Worked Example (informative; shows Tier escalation):</w:t>
      </w:r>
    </w:p>
    <w:p>
      <w:pPr>
        <w:pStyle w:val="BodyText"/>
        <w:widowControl/>
      </w:pPr>
      <w:r>
        <w:t xml:space="preserve">Decision: Accept a new consulting project this month, or decline to protect time for household responsibilities.</w:t>
      </w:r>
    </w:p>
    <w:p>
      <w:pPr>
        <w:pStyle w:val="BodyText"/>
        <w:widowControl/>
      </w:pPr>
      <w:r>
        <w:t xml:space="preserve">Options: (A) Accept as proposed (10 hrs/week for 4 weeks). (B) Decline. (C) Redesign: accept only if scope is reduced to 4 hrs/week and meetings are time-boxed.</w:t>
      </w:r>
    </w:p>
    <w:p>
      <w:pPr>
        <w:pStyle w:val="BodyText"/>
        <w:widowControl/>
      </w:pPr>
      <w:r>
        <w:t xml:space="preserve">Rights screen (heuristic): No plausible LIFE/BODY/NEED/LBTY/DIGN violations. PROC/INFO: contract terms are clear, no coercion. PASS at Tier 1. If any need for deceptive data use or exploitative terms were suspected, escalate to Tier 2.</w:t>
      </w:r>
    </w:p>
    <w:p>
      <w:pPr>
        <w:pStyle w:val="BodyText"/>
        <w:widowControl/>
      </w:pPr>
      <w:r>
        <w:t xml:space="preserve">Tail screen (heuristic): No plausible catastrophic, irreversible, or systemic downside. PASS at Tier 1.</w:t>
      </w:r>
    </w:p>
    <w:p>
      <w:pPr>
        <w:pStyle w:val="BodyText"/>
        <w:widowControl/>
      </w:pPr>
      <w:r>
        <w:t xml:space="preserve">CSV screen: Option A plausibly creates a local income gain by hollowing household stability and personal recovery capacity; record</w:t>
      </w:r>
      <w:r>
        <w:t xml:space="preserve"> </w:t>
      </w:r>
      <w:r>
        <w:rPr>
          <w:rStyle w:val="VerbatimChar"/>
        </w:rPr>
        <w:t xml:space="preserve">CSV_REDESIGN_REQUIRED</w:t>
      </w:r>
      <w:r>
        <w:t xml:space="preserve">. Option B is structurally viable but loses the project benefit; record</w:t>
      </w:r>
      <w:r>
        <w:t xml:space="preserve"> </w:t>
      </w:r>
      <w:r>
        <w:rPr>
          <w:rStyle w:val="VerbatimChar"/>
        </w:rPr>
        <w:t xml:space="preserve">CSV_PASS_HEURISTIC</w:t>
      </w:r>
      <w:r>
        <w:t xml:space="preserve">. Option C includes bounded hours and time-boxed meetings; record</w:t>
      </w:r>
      <w:r>
        <w:t xml:space="preserve"> </w:t>
      </w:r>
      <w:r>
        <w:rPr>
          <w:rStyle w:val="VerbatimChar"/>
        </w:rPr>
        <w:t xml:space="preserve">CSV_PASS_WITH_CONTROLS_HEURISTIC</w:t>
      </w:r>
      <w:r>
        <w:t xml:space="preserve"> </w:t>
      </w:r>
      <w:r>
        <w:t xml:space="preserve">if the limits are accepted and monitorable.</w:t>
      </w:r>
    </w:p>
    <w:p>
      <w:pPr>
        <w:pStyle w:val="BodyText"/>
        <w:widowControl/>
      </w:pPr>
      <w:r>
        <w:t xml:space="preserve">Scopes touched: U1 Self (Health, Agency, Meaning). U2 Household (Social, Material, Health). U3 Community/Organization impacts minor and reversible.</w:t>
      </w:r>
    </w:p>
    <w:p>
      <w:pPr>
        <w:pStyle w:val="BodyText"/>
        <w:widowControl/>
      </w:pPr>
      <w:r>
        <w:t xml:space="preserve">Unioning move: Option C reduces household harm while capturing some benefit. Compare B and the controlled form of C only after the CSV screen. Choose C if renegotiation succeeds and the controls are real; otherwise choose B if household strain would be material.</w:t>
      </w:r>
    </w:p>
    <w:p>
      <w:pPr>
        <w:pStyle w:val="BodyText"/>
        <w:widowControl/>
      </w:pPr>
      <w:r>
        <w:t xml:space="preserve">Record (mini-PCC): store the eight answers, CSV status, controls, and chosen option so NCAR learning can refine future time-budget decisions.</w:t>
      </w:r>
    </w:p>
    <w:bookmarkEnd w:id="249"/>
    <w:bookmarkStart w:id="250" w:name="Xe5695c936c8ffc1da4ffc03409bf68b4c00f27b"/>
    <w:p>
      <w:pPr>
        <w:pStyle w:val="Heading2"/>
        <w:keepNext/>
        <w:keepLines/>
        <w:pageBreakBefore w:val="0"/>
        <w:widowControl/>
      </w:pPr>
      <w:r>
        <w:rPr>
          <w:rFonts w:ascii="Arial" w:hAnsi="Arial" w:eastAsia="Arial"/>
          <w:b/>
          <w:color w:val="1F4E78"/>
        </w:rPr>
        <w:t xml:space="preserve">15.3 Tier 2: Core Calculable (Strict TRC and Proportional CSV Posture) (Normative)</w:t>
      </w:r>
    </w:p>
    <w:p>
      <w:pPr>
        <w:pStyle w:val="FirstParagraph"/>
        <w:widowControl/>
      </w:pPr>
      <w:r>
        <w:t xml:space="preserve">Use Tier 2 for routine but consequential decisions requiring transparent computation and a basic PCC.</w:t>
      </w:r>
    </w:p>
    <w:p>
      <w:pPr>
        <w:pStyle w:val="BodyText"/>
        <w:widowControl/>
      </w:pPr>
      <w:r>
        <w:t xml:space="preserve">Tier 2 minimum obligations:</w:t>
      </w:r>
    </w:p>
    <w:p>
      <w:pPr>
        <w:pStyle w:val="Compact"/>
        <w:widowControl/>
        <w:numPr>
          <w:ilvl w:val="0"/>
          <w:numId w:val="1176"/>
        </w:numPr>
      </w:pPr>
      <w:r>
        <w:t xml:space="preserve">Construct impacts on the [-1,+1] scale using the Section 5 pipeline.</w:t>
      </w:r>
    </w:p>
    <w:p>
      <w:pPr>
        <w:pStyle w:val="Compact"/>
        <w:widowControl/>
        <w:numPr>
          <w:ilvl w:val="0"/>
          <w:numId w:val="1176"/>
        </w:numPr>
      </w:pPr>
      <w:r>
        <w:t xml:space="preserve">Run RF/NCRC with worst-off subgroup checks for directly affected rights cells, including categorical-prohibition and severe-rights-hazard channels where triggered.</w:t>
      </w:r>
    </w:p>
    <w:p>
      <w:pPr>
        <w:pStyle w:val="Compact"/>
        <w:widowControl/>
        <w:numPr>
          <w:ilvl w:val="0"/>
          <w:numId w:val="1176"/>
        </w:numPr>
      </w:pPr>
      <w:r>
        <w:t xml:space="preserve">Execute TRC when catastrophe relevance is plausible: use at least 5 scenarios; include mandatory tail categories and probability floors unless implausible with documented justification; compute CVaR and the corridor check; and record the TRC table in the PCC.</w:t>
      </w:r>
    </w:p>
    <w:p>
      <w:pPr>
        <w:pStyle w:val="Compact"/>
        <w:widowControl/>
        <w:numPr>
          <w:ilvl w:val="0"/>
          <w:numId w:val="1176"/>
        </w:numPr>
      </w:pPr>
      <w:r>
        <w:t xml:space="preserve">Complete a proportional, assumption-bounded CSV review for every option before ordinary RLS ranking. Tier 2 CSV MAY use qualitative or proxy evidence where validated structural instruments are unavailable, but it MUST issue one explicit status from the canonical ladder:</w:t>
      </w:r>
      <w:r>
        <w:t xml:space="preserve"> </w:t>
      </w:r>
      <w:r>
        <w:rPr>
          <w:rStyle w:val="VerbatimChar"/>
        </w:rPr>
        <w:t xml:space="preserve">CSV_PASS</w:t>
      </w:r>
      <w:r>
        <w:t xml:space="preserve">,</w:t>
      </w:r>
      <w:r>
        <w:t xml:space="preserve"> </w:t>
      </w:r>
      <w:r>
        <w:rPr>
          <w:rStyle w:val="VerbatimChar"/>
        </w:rPr>
        <w:t xml:space="preserve">CSV_PASS_WITH_CONTROLS</w:t>
      </w:r>
      <w:r>
        <w:t xml:space="preserve">,</w:t>
      </w:r>
      <w:r>
        <w:t xml:space="preserve"> </w:t>
      </w:r>
      <w:r>
        <w:rPr>
          <w:rStyle w:val="VerbatimChar"/>
        </w:rPr>
        <w:t xml:space="preserve">CSV_NOT_MATERIAL</w:t>
      </w:r>
      <w:r>
        <w:t xml:space="preserve">,</w:t>
      </w:r>
      <w:r>
        <w:t xml:space="preserve"> </w:t>
      </w:r>
      <w:r>
        <w:rPr>
          <w:rStyle w:val="VerbatimChar"/>
        </w:rPr>
        <w:t xml:space="preserve">CSV_REDESIGN_REQUIRED</w:t>
      </w:r>
      <w:r>
        <w:t xml:space="preserve">,</w:t>
      </w:r>
      <w:r>
        <w:t xml:space="preserve"> </w:t>
      </w:r>
      <w:r>
        <w:rPr>
          <w:rStyle w:val="VerbatimChar"/>
        </w:rPr>
        <w:t xml:space="preserve">CSV_ESCALATE</w:t>
      </w:r>
      <w:r>
        <w:t xml:space="preserve">,</w:t>
      </w:r>
      <w:r>
        <w:t xml:space="preserve"> </w:t>
      </w:r>
      <w:r>
        <w:rPr>
          <w:rStyle w:val="VerbatimChar"/>
        </w:rPr>
        <w:t xml:space="preserve">CSV_FAIL</w:t>
      </w:r>
      <w:r>
        <w:t xml:space="preserve">, or</w:t>
      </w:r>
      <w:r>
        <w:t xml:space="preserve"> </w:t>
      </w:r>
      <w:r>
        <w:rPr>
          <w:rStyle w:val="VerbatimChar"/>
        </w:rPr>
        <w:t xml:space="preserve">CSV_EMERGENCY_PROVISIONAL</w:t>
      </w:r>
      <w:r>
        <w:t xml:space="preserve"> </w:t>
      </w:r>
      <w:r>
        <w:t xml:space="preserve">where the emergency protocol applies. A</w:t>
      </w:r>
      <w:r>
        <w:t xml:space="preserve"> </w:t>
      </w:r>
      <w:r>
        <w:rPr>
          <w:rStyle w:val="VerbatimChar"/>
        </w:rPr>
        <w:t xml:space="preserve">CSV_NOT_MATERIAL</w:t>
      </w:r>
      <w:r>
        <w:t xml:space="preserve"> </w:t>
      </w:r>
      <w:r>
        <w:t xml:space="preserve">result MUST state why no material containment or structural-viability pathway is present. Refusal is a permitted claim or action disposition after</w:t>
      </w:r>
      <w:r>
        <w:t xml:space="preserve"> </w:t>
      </w:r>
      <w:r>
        <w:rPr>
          <w:rStyle w:val="VerbatimChar"/>
        </w:rPr>
        <w:t xml:space="preserve">CSV_FAIL</w:t>
      </w:r>
      <w:r>
        <w:t xml:space="preserve">, unresolved material uncertainty, or failed authority conditions;</w:t>
      </w:r>
      <w:r>
        <w:t xml:space="preserve"> </w:t>
      </w:r>
      <w:r>
        <w:rPr>
          <w:rStyle w:val="VerbatimChar"/>
        </w:rPr>
        <w:t xml:space="preserve">CSV_REFUSE</w:t>
      </w:r>
      <w:r>
        <w:t xml:space="preserve"> </w:t>
      </w:r>
      <w:r>
        <w:t xml:space="preserve">is not a canonical CSV status token.</w:t>
      </w:r>
    </w:p>
    <w:p>
      <w:pPr>
        <w:pStyle w:val="Compact"/>
        <w:widowControl/>
        <w:numPr>
          <w:ilvl w:val="0"/>
          <w:numId w:val="1176"/>
        </w:numPr>
      </w:pPr>
      <w:r>
        <w:t xml:space="preserve">Form the selectable set only from options with adequate RG claim support, RF/NCRC pass, TRC pass, and a pass-equivalent CSV status (</w:t>
      </w:r>
      <w:r>
        <w:rPr>
          <w:rStyle w:val="VerbatimChar"/>
        </w:rPr>
        <w:t xml:space="preserve">CSV_PASS</w:t>
      </w:r>
      <w:r>
        <w:t xml:space="preserve">,</w:t>
      </w:r>
      <w:r>
        <w:t xml:space="preserve"> </w:t>
      </w:r>
      <w:r>
        <w:rPr>
          <w:rStyle w:val="VerbatimChar"/>
        </w:rPr>
        <w:t xml:space="preserve">CSV_PASS_WITH_CONTROLS</w:t>
      </w:r>
      <w:r>
        <w:t xml:space="preserve">, or</w:t>
      </w:r>
      <w:r>
        <w:t xml:space="preserve"> </w:t>
      </w:r>
      <w:r>
        <w:rPr>
          <w:rStyle w:val="VerbatimChar"/>
        </w:rPr>
        <w:t xml:space="preserve">CSV_NOT_MATERIAL</w:t>
      </w:r>
      <w:r>
        <w:t xml:space="preserve">).</w:t>
      </w:r>
    </w:p>
    <w:p>
      <w:pPr>
        <w:pStyle w:val="Compact"/>
        <w:widowControl/>
        <w:numPr>
          <w:ilvl w:val="0"/>
          <w:numId w:val="1176"/>
        </w:numPr>
      </w:pPr>
      <w:r>
        <w:t xml:space="preserve">Compute RLS only for the selectable set and record the normalized ranking. If no option is selectable, redesign, delay, escalate, or refuse; do not force a score-based choice.</w:t>
      </w:r>
    </w:p>
    <w:p>
      <w:pPr>
        <w:pStyle w:val="Compact"/>
        <w:widowControl/>
        <w:numPr>
          <w:ilvl w:val="0"/>
          <w:numId w:val="1176"/>
        </w:numPr>
      </w:pPr>
      <w:r>
        <w:t xml:space="preserve">If the selectable survivors are uncertainty-overlapped or non-decisive, apply only legitimate residual tie-break or authority-selection procedures; do not reopen or rescue a failed qualification level.</w:t>
      </w:r>
    </w:p>
    <w:p>
      <w:pPr>
        <w:pStyle w:val="Compact"/>
        <w:widowControl/>
        <w:numPr>
          <w:ilvl w:val="0"/>
          <w:numId w:val="1176"/>
        </w:numPr>
      </w:pPr>
      <w:r>
        <w:t xml:space="preserve">Produce a basic PCC plus 5SPR, including the proportional CSV evidence, status, controls, blind spots, and review trigger.</w:t>
      </w:r>
    </w:p>
    <w:p>
      <w:pPr>
        <w:pStyle w:val="FirstParagraph"/>
        <w:widowControl/>
      </w:pPr>
      <w:r>
        <w:t xml:space="preserve">Tier 2 propagation guidance:</w:t>
      </w:r>
    </w:p>
    <w:p>
      <w:pPr>
        <w:pStyle w:val="Compact"/>
        <w:widowControl/>
        <w:numPr>
          <w:ilvl w:val="0"/>
          <w:numId w:val="1177"/>
        </w:numPr>
      </w:pPr>
      <w:r>
        <w:t xml:space="preserve">Default propagation_mode = NONE.</w:t>
      </w:r>
    </w:p>
    <w:p>
      <w:pPr>
        <w:pStyle w:val="Compact"/>
        <w:widowControl/>
        <w:numPr>
          <w:ilvl w:val="0"/>
          <w:numId w:val="1177"/>
        </w:numPr>
      </w:pPr>
      <w:r>
        <w:t xml:space="preserve">QUICK propagation is allowed only if KQS policy is satisfied and sensitivity is feasible.</w:t>
      </w:r>
    </w:p>
    <w:p>
      <w:pPr>
        <w:pStyle w:val="FirstParagraph"/>
        <w:widowControl/>
      </w:pPr>
      <w:r>
        <w:t xml:space="preserve">Structural-assurance note (Normative). Proportional CSV is mandatory before ordinary Tier 2 ranking, but its evidence depth is proportional to stakes and measurement maturity. A Tier 2 CSV result based on assumptions, proxies, or qualitative evidence MUST declare those limits. If the principal hazard is plausible hollowing-out, structural degradation, physical/causal inadmissibility, uncontrolled dependency, or other containment-relevant harm that cannot be responsibly bounded at Tier 2, the run MUST escalate to Tier 3, redesign, narrow the claim, or refuse the stronger selection claim. Quantitative UCI is not universally required at Tier 2; explicit structural reasoning and a pass-equivalent CSV status are.</w:t>
      </w:r>
    </w:p>
    <w:bookmarkEnd w:id="250"/>
    <w:bookmarkStart w:id="251" w:name="Xf92bb03b9df70a0db7ddea9fdfc89463d41800f"/>
    <w:p>
      <w:pPr>
        <w:pStyle w:val="Heading2"/>
        <w:keepNext/>
        <w:keepLines/>
        <w:pageBreakBefore w:val="0"/>
        <w:widowControl/>
      </w:pPr>
      <w:r>
        <w:rPr>
          <w:rFonts w:ascii="Arial" w:hAnsi="Arial" w:eastAsia="Arial"/>
          <w:b/>
          <w:color w:val="1F4E78"/>
        </w:rPr>
        <w:t xml:space="preserve">15.4 Tier 3: Standard Auditable (Normative)</w:t>
      </w:r>
    </w:p>
    <w:p>
      <w:pPr>
        <w:pStyle w:val="FirstParagraph"/>
        <w:widowControl/>
      </w:pPr>
      <w:r>
        <w:t xml:space="preserve">Use Tier 3 for high-stakes, contested, or externally scrutinized decisions where auditability and anti-gaming posture are required.</w:t>
      </w:r>
    </w:p>
    <w:p>
      <w:pPr>
        <w:pStyle w:val="BodyText"/>
        <w:widowControl/>
      </w:pPr>
      <w:r>
        <w:t xml:space="preserve">Tier 3 minimum obligations:</w:t>
      </w:r>
    </w:p>
    <w:p>
      <w:pPr>
        <w:pStyle w:val="Compact"/>
        <w:widowControl/>
        <w:numPr>
          <w:ilvl w:val="0"/>
          <w:numId w:val="1178"/>
        </w:numPr>
      </w:pPr>
      <w:r>
        <w:t xml:space="preserve">Full PCC (Appendix H), including: impacts, subgroup semantics, scenario library, containment results, RLS, uncertainties, sensitivity, audit flags, signatures.</w:t>
      </w:r>
    </w:p>
    <w:p>
      <w:pPr>
        <w:pStyle w:val="Compact"/>
        <w:widowControl/>
        <w:numPr>
          <w:ilvl w:val="0"/>
          <w:numId w:val="1179"/>
        </w:numPr>
      </w:pPr>
      <w:r>
        <w:t xml:space="preserve">NCRC: Subgroup analysis required for rights-covered cells.</w:t>
      </w:r>
    </w:p>
    <w:p>
      <w:pPr>
        <w:pStyle w:val="Compact"/>
        <w:widowControl/>
        <w:numPr>
          <w:ilvl w:val="0"/>
          <w:numId w:val="1180"/>
        </w:numPr>
      </w:pPr>
      <w:r>
        <w:t xml:space="preserve">TRC: Required with ≥20 scenarios and mandatory tails plus probability floors (Appendix D).</w:t>
      </w:r>
    </w:p>
    <w:p>
      <w:pPr>
        <w:pStyle w:val="Compact"/>
        <w:widowControl/>
        <w:numPr>
          <w:ilvl w:val="0"/>
          <w:numId w:val="1181"/>
        </w:numPr>
      </w:pPr>
      <w:r>
        <w:t>CSV / Containment and Structural Viability: Required and binding.</w:t>
      </w:r>
    </w:p>
    <w:p>
      <w:pPr>
        <w:widowControl/>
        <w:numPr>
          <w:ilvl w:val="0"/>
          <w:numId w:val="1182"/>
        </w:numPr>
      </w:pPr>
      <w:r>
        <w:t xml:space="preserve">Sensitivity analysis bundle required:</w:t>
      </w:r>
    </w:p>
    <w:p>
      <w:pPr>
        <w:pStyle w:val="Compact"/>
        <w:widowControl/>
        <w:numPr>
          <w:ilvl w:val="1"/>
          <w:numId w:val="1183"/>
        </w:numPr>
      </w:pPr>
      <w:r>
        <w:t xml:space="preserve">Weights perturbation,</w:t>
      </w:r>
    </w:p>
    <w:p>
      <w:pPr>
        <w:pStyle w:val="Compact"/>
        <w:widowControl/>
        <w:numPr>
          <w:ilvl w:val="1"/>
          <w:numId w:val="1184"/>
        </w:numPr>
      </w:pPr>
      <w:r>
        <w:t xml:space="preserve">Rights threshold perturbation (±0.05 on θ_r as a sensitivity test),</w:t>
      </w:r>
    </w:p>
    <w:p>
      <w:pPr>
        <w:pStyle w:val="Compact"/>
        <w:widowControl/>
        <w:numPr>
          <w:ilvl w:val="1"/>
          <w:numId w:val="1185"/>
        </w:numPr>
      </w:pPr>
      <w:r>
        <w:t xml:space="preserve">Kernel perturbation if QUICK used,</w:t>
      </w:r>
    </w:p>
    <w:p>
      <w:pPr>
        <w:pStyle w:val="Compact"/>
        <w:widowControl/>
        <w:numPr>
          <w:ilvl w:val="1"/>
          <w:numId w:val="1186"/>
        </w:numPr>
      </w:pPr>
      <w:r>
        <w:t xml:space="preserve">Scenario probability perturbation.</w:t>
      </w:r>
    </w:p>
    <w:p>
      <w:pPr>
        <w:pStyle w:val="Compact"/>
      </w:pPr>
      <w:r>
        <w:t>Direct saturation β sensitivity, including the canonical default and preregistered lower and higher values,</w:t>
      </w:r>
    </w:p>
    <w:p>
      <w:pPr>
        <w:pStyle w:val="Compact"/>
      </w:pPr>
      <w:r>
        <w:t>Rights saturation β_RF sensitivity whenever a plausible change could cross a rights threshold,</w:t>
      </w:r>
    </w:p>
    <w:p>
      <w:pPr>
        <w:pStyle w:val="Compact"/>
      </w:pPr>
      <w:r>
        <w:t>FLOOR_REFERENCE versus governed STATUS_QUO ranking sensitivity where baseline choice may affect ordering or decisiveness,</w:t>
      </w:r>
    </w:p>
    <w:p>
      <w:pPr>
        <w:widowControl/>
        <w:numPr>
          <w:ilvl w:val="0"/>
          <w:numId w:val="1187"/>
        </w:numPr>
      </w:pPr>
      <w:r>
        <w:t xml:space="preserve">Kernel: QUICK permitted only if KQS policy permits:</w:t>
      </w:r>
    </w:p>
    <w:p>
      <w:pPr>
        <w:pStyle w:val="Compact"/>
        <w:widowControl/>
        <w:numPr>
          <w:ilvl w:val="1"/>
          <w:numId w:val="1188"/>
        </w:numPr>
      </w:pPr>
      <w:r>
        <w:t xml:space="preserve">KQS &lt; 0.40: NONE only,</w:t>
      </w:r>
    </w:p>
    <w:p>
      <w:pPr>
        <w:pStyle w:val="Compact"/>
        <w:widowControl/>
        <w:numPr>
          <w:ilvl w:val="1"/>
          <w:numId w:val="1189"/>
        </w:numPr>
      </w:pPr>
      <w:r>
        <w:t xml:space="preserve">0.40-0.50: QUICK plus mandatory sensitivity,</w:t>
      </w:r>
    </w:p>
    <w:p>
      <w:pPr>
        <w:pStyle w:val="Compact"/>
        <w:widowControl/>
        <w:numPr>
          <w:ilvl w:val="1"/>
          <w:numId w:val="1190"/>
        </w:numPr>
      </w:pPr>
      <w:r>
        <w:t xml:space="preserve">≥0.50: QUICK permitted plus sensitivity.</w:t>
      </w:r>
    </w:p>
    <w:p>
      <w:pPr>
        <w:pStyle w:val="Compact"/>
        <w:widowControl/>
        <w:numPr>
          <w:ilvl w:val="0"/>
          <w:numId w:val="1191"/>
        </w:numPr>
      </w:pPr>
      <w:r>
        <w:t xml:space="preserve">FULL propagation is prohibited for Tier 1-3 claims.</w:t>
      </w:r>
    </w:p>
    <w:bookmarkEnd w:id="251"/>
    <w:bookmarkStart w:id="252" w:name="Xf099e2e21385080ba88e4df8ba384a871d3ce2e"/>
    <w:p>
      <w:pPr>
        <w:pStyle w:val="Heading2"/>
        <w:keepNext/>
        <w:keepLines/>
        <w:pageBreakBefore w:val="0"/>
        <w:widowControl/>
      </w:pPr>
      <w:r>
        <w:rPr>
          <w:rFonts w:ascii="Arial" w:hAnsi="Arial" w:eastAsia="Arial"/>
          <w:b/>
          <w:color w:val="1F4E78"/>
        </w:rPr>
        <w:t xml:space="preserve">15.4A Conformance, empirical readiness, and reference implementation posture (Normative clarification)</w:t>
      </w:r>
    </w:p>
    <w:p>
      <w:pPr>
        <w:pStyle w:val="FirstParagraph"/>
        <w:widowControl/>
      </w:pPr>
      <w:r>
        <w:t xml:space="preserve">Tier 1-3 run-level conformance claims concern whether a particular run satisfies the requirements of this specification. They are distinct from framework-level empirical operational-readiness claims about comparative real-world performance, calibration quality, or superiority over alternative governance methods. Tier 3 run-level conformance means the run satisfies Tier 3 procedural, evidentiary, and audit requirements as declared; it does not by itself imply that every structural indicator family used for UCI or Containment is externally validated, mature across domains, or empirically calibrated beyond the declared measurement pack.</w:t>
      </w:r>
    </w:p>
    <w:p>
      <w:pPr>
        <w:pStyle w:val="BodyText"/>
        <w:widowControl/>
      </w:pPr>
      <w:r>
        <w:t xml:space="preserve">Reference implementation posture (Informative with binding disclosure consequence). This Foundation Paper normatively defines conformance without requiring a published reference implementation. However, project custodians SHOULD publish sibling reference implementation artifacts consisting at minimum of a machine-readable PCC schema, validator rule set, and executable Appendix R fixtures. Until such artifacts are published in a release manifest, framework-level claims of replay-grade operational readiness MUST remain provisional even where run-level Tier 1-3 conformance is possible.</w:t>
      </w:r>
    </w:p>
    <w:p>
      <w:pPr>
        <w:pStyle w:val="BodyText"/>
      </w:pPr>
      <w:r>
        <w:t>Evidence-generating adoption guidance (Informative; research-design boundary). Project custodians and participating institutions SHOULD preregister a bounded fraction of eligible Tier 3 pilots for comparator, shadow, staged-rollout, or other ethically and legally permissible evaluation designs. The design must not expose people or systems to otherwise inadmissible risk, and ordinary conformance MUST NOT be made contingent on a comparator where randomization or shadow evaluation would be unethical, unlawful, infeasible, or misleading. The purpose is to generate evidence about burden, agreement, error detection, decision quality, and outcomes rather than allowing conformant records to accumulate without comparative learning.</w:t>
      </w:r>
    </w:p>
    <w:bookmarkEnd w:id="252"/>
    <w:bookmarkStart w:id="253" w:name="X7567013d368fdece6b2970c967fba459e9ed841"/>
    <w:p>
      <w:pPr>
        <w:pStyle w:val="Heading2"/>
        <w:keepNext/>
        <w:keepLines/>
        <w:pageBreakBefore w:val="0"/>
        <w:widowControl/>
      </w:pPr>
      <w:r>
        <w:rPr>
          <w:rFonts w:ascii="Arial" w:hAnsi="Arial" w:eastAsia="Arial"/>
          <w:b/>
          <w:color w:val="1F4E78"/>
        </w:rPr>
        <w:t xml:space="preserve">15.5 NCAR Integration by Tier (Normative)</w:t>
      </w:r>
    </w:p>
    <w:p>
      <w:pPr>
        <w:pStyle w:val="FirstParagraph"/>
        <w:widowControl/>
      </w:pPr>
      <w:r>
        <w:t xml:space="preserve">All tiers SHOULD operate within NCAR.</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Phase</w:t>
            </w:r>
          </w:p>
        </w:tc>
        <w:tc>
          <w:tcPr>
            <w:shd w:fill="1F4E78" w:val="clear"/>
            <w:tcMar>
              <w:top w:w="80" w:type="dxa"/>
              <w:start w:w="90" w:type="dxa"/>
              <w:bottom w:w="80" w:type="dxa"/>
              <w:end w:w="90" w:type="dxa"/>
            </w:tcMar>
          </w:tcPr>
          <w:p>
            <w:pPr>
              <w:pStyle w:val="Compact"/>
              <w:jc w:val="left"/>
            </w:pPr>
            <w:r>
              <w:rPr>
                <w:b/>
                <w:bCs/>
                <w:color w:val="FFFFFF"/>
              </w:rPr>
              <w:t xml:space="preserve">Action</w:t>
            </w:r>
          </w:p>
        </w:tc>
      </w:tr>
      <w:tr>
        <w:trPr/>
        <w:tc>
          <w:tcPr>
            <w:tcMar>
              <w:top w:w="80" w:type="dxa"/>
              <w:start w:w="90" w:type="dxa"/>
              <w:bottom w:w="80" w:type="dxa"/>
              <w:end w:w="90" w:type="dxa"/>
            </w:tcMar>
            <w:shd w:fill="F7FBFF" w:val="clear"/>
          </w:tcPr>
          <w:p>
            <w:pPr>
              <w:pStyle w:val="Compact"/>
              <w:jc w:val="left"/>
            </w:pPr>
            <w:r>
              <w:t xml:space="preserve">Notice</w:t>
            </w:r>
          </w:p>
        </w:tc>
        <w:tc>
          <w:tcPr>
            <w:tcMar>
              <w:top w:w="80" w:type="dxa"/>
              <w:start w:w="90" w:type="dxa"/>
              <w:bottom w:w="80" w:type="dxa"/>
              <w:end w:w="90" w:type="dxa"/>
            </w:tcMar>
            <w:shd w:fill="F7FBFF" w:val="clear"/>
          </w:tcPr>
          <w:p>
            <w:pPr>
              <w:pStyle w:val="Compact"/>
              <w:jc w:val="left"/>
            </w:pPr>
            <w:r>
              <w:t xml:space="preserve">Define scope, unions, options, baseline, and configuration</w:t>
            </w:r>
          </w:p>
        </w:tc>
      </w:tr>
      <w:tr>
        <w:trPr/>
        <w:tc>
          <w:tcPr>
            <w:tcMar>
              <w:top w:w="80" w:type="dxa"/>
              <w:start w:w="90" w:type="dxa"/>
              <w:bottom w:w="80" w:type="dxa"/>
              <w:end w:w="90" w:type="dxa"/>
            </w:tcMar>
            <w:shd w:fill="D9EAF7" w:val="clear"/>
          </w:tcPr>
          <w:p>
            <w:pPr>
              <w:pStyle w:val="Compact"/>
              <w:jc w:val="left"/>
            </w:pPr>
            <w:r>
              <w:t xml:space="preserve">Choose</w:t>
            </w:r>
          </w:p>
        </w:tc>
        <w:tc>
          <w:tcPr>
            <w:tcMar>
              <w:top w:w="80" w:type="dxa"/>
              <w:start w:w="90" w:type="dxa"/>
              <w:bottom w:w="80" w:type="dxa"/>
              <w:end w:w="90" w:type="dxa"/>
            </w:tcMar>
            <w:shd w:fill="D9EAF7" w:val="clear"/>
          </w:tcPr>
          <w:p>
            <w:pPr>
              <w:pStyle w:val="Compact"/>
              <w:jc w:val="left"/>
            </w:pPr>
            <w:r>
              <w:t xml:space="preserve">Execute cascade and emit PCC</w:t>
            </w:r>
          </w:p>
        </w:tc>
      </w:tr>
      <w:tr>
        <w:trPr/>
        <w:tc>
          <w:tcPr>
            <w:tcMar>
              <w:top w:w="80" w:type="dxa"/>
              <w:start w:w="90" w:type="dxa"/>
              <w:bottom w:w="80" w:type="dxa"/>
              <w:end w:w="90" w:type="dxa"/>
            </w:tcMar>
            <w:shd w:fill="F7FBFF" w:val="clear"/>
          </w:tcPr>
          <w:p>
            <w:pPr>
              <w:pStyle w:val="Compact"/>
              <w:jc w:val="left"/>
            </w:pPr>
            <w:r>
              <w:t xml:space="preserve">Act</w:t>
            </w:r>
          </w:p>
        </w:tc>
        <w:tc>
          <w:tcPr>
            <w:tcMar>
              <w:top w:w="80" w:type="dxa"/>
              <w:start w:w="90" w:type="dxa"/>
              <w:bottom w:w="80" w:type="dxa"/>
              <w:end w:w="90" w:type="dxa"/>
            </w:tcMar>
            <w:shd w:fill="F7FBFF" w:val="clear"/>
          </w:tcPr>
          <w:p>
            <w:pPr>
              <w:pStyle w:val="Compact"/>
              <w:jc w:val="left"/>
            </w:pPr>
            <w:r>
              <w:t xml:space="preserve">Implement with monitoring aligned to predicted impacts and tail scenarios</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Reflect</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Compare observed outcomes to predictions; update indicators, kernels, scenario libraries, and weights through governed procedures</w:t>
            </w:r>
          </w:p>
        </w:tc>
      </w:tr>
    </w:tbl>
    <w:p>
      <w:pPr>
        <w:pStyle w:val="BodyText"/>
        <w:widowControl/>
      </w:pPr>
      <w:r>
        <w:t xml:space="preserve">Reflect cadence defaults:</w:t>
      </w:r>
    </w:p>
    <w:p>
      <w:pPr>
        <w:pStyle w:val="Compact"/>
        <w:widowControl/>
        <w:numPr>
          <w:ilvl w:val="0"/>
          <w:numId w:val="1192"/>
        </w:numPr>
      </w:pPr>
      <w:r>
        <w:t xml:space="preserve">Tier 2: Within 6 months or after major outcome data</w:t>
      </w:r>
    </w:p>
    <w:p>
      <w:pPr>
        <w:pStyle w:val="Compact"/>
        <w:widowControl/>
        <w:numPr>
          <w:ilvl w:val="0"/>
          <w:numId w:val="1193"/>
        </w:numPr>
      </w:pPr>
      <w:r>
        <w:t xml:space="preserve">Tier 3: Within 3-6 months or after major outcome data</w:t>
      </w:r>
    </w:p>
    <w:p>
      <w:pPr>
        <w:pStyle w:val="Compact"/>
        <w:widowControl/>
        <w:numPr>
          <w:ilvl w:val="0"/>
          <w:numId w:val="1194"/>
        </w:numPr>
      </w:pPr>
      <w:r>
        <w:t xml:space="preserve">Emergency/Fallback: Review cadence per declared severity and risk</w:t>
      </w:r>
    </w:p>
    <w:bookmarkEnd w:id="253"/>
    <w:bookmarkStart w:id="254" w:name="Xfec6866625dd4dffdf77e0aebc9cfba74744d96"/>
    <w:p>
      <w:pPr>
        <w:pStyle w:val="Heading2"/>
        <w:keepNext/>
        <w:keepLines/>
        <w:pageBreakBefore w:val="0"/>
        <w:widowControl/>
      </w:pPr>
      <w:r>
        <w:rPr>
          <w:rFonts w:ascii="Arial" w:hAnsi="Arial" w:eastAsia="Arial"/>
          <w:b/>
          <w:color w:val="1F4E78"/>
        </w:rPr>
        <w:t xml:space="preserve">15.6 Improvement and Future Upgrades (Normative stance)</w:t>
      </w:r>
    </w:p>
    <w:p>
      <w:pPr>
        <w:pStyle w:val="FirstParagraph"/>
        <w:widowControl/>
      </w:pPr>
      <w:r>
        <w:t xml:space="preserve">RippleLogic is corrigible. Any improvement MUST:</w:t>
      </w:r>
    </w:p>
    <w:p>
      <w:pPr>
        <w:pStyle w:val="Compact"/>
        <w:widowControl/>
        <w:numPr>
          <w:ilvl w:val="0"/>
          <w:numId w:val="1195"/>
        </w:numPr>
      </w:pPr>
      <w:r>
        <w:t xml:space="preserve">Preserve NCRC/TRC non-compensability structure,</w:t>
      </w:r>
    </w:p>
    <w:p>
      <w:pPr>
        <w:pStyle w:val="Compact"/>
        <w:widowControl/>
        <w:numPr>
          <w:ilvl w:val="0"/>
          <w:numId w:val="1196"/>
        </w:numPr>
      </w:pPr>
      <w:r>
        <w:t xml:space="preserve">Be explicit, versioned, and auditable (AIL),</w:t>
      </w:r>
    </w:p>
    <w:p>
      <w:pPr>
        <w:pStyle w:val="Compact"/>
        <w:widowControl/>
        <w:numPr>
          <w:ilvl w:val="0"/>
          <w:numId w:val="1197"/>
        </w:numPr>
      </w:pPr>
      <w:r>
        <w:t xml:space="preserve">Be tested under the validation program (Section 17),</w:t>
      </w:r>
    </w:p>
    <w:p>
      <w:pPr>
        <w:pStyle w:val="Compact"/>
        <w:widowControl/>
        <w:numPr>
          <w:ilvl w:val="0"/>
          <w:numId w:val="1198"/>
        </w:numPr>
      </w:pPr>
      <w:r>
        <w:t xml:space="preserve">And be introduced via governed update processes (NCAR Reflect plus versioning).</w:t>
      </w:r>
    </w:p>
    <w:bookmarkEnd w:id="254"/>
    <w:bookmarkEnd w:id="255"/>
    <w:bookmarkStart w:id="265" w:name="X0160aa132b1339db584001b4a694352730da91c"/>
    <w:p>
      <w:pPr>
        <w:pStyle w:val="Heading1"/>
        <w:keepNext/>
        <w:keepLines/>
        <w:pageBreakBefore w:val="0"/>
        <w:widowControl/>
      </w:pPr>
      <w:r>
        <w:rPr>
          <w:rFonts w:ascii="Arial" w:hAnsi="Arial" w:eastAsia="Arial"/>
          <w:b/>
          <w:color w:val="1F4E78"/>
        </w:rPr>
        <w:t xml:space="preserve">SECTION 16: RELATIONSHIP TO EXISTING FRAMEWORKS (INFORMATIVE)</w:t>
      </w:r>
    </w:p>
    <w:bookmarkStart w:id="256" w:name="Xcf42a55e8ce9d36c650be2dbf667ca4fb4c5140"/>
    <w:p>
      <w:pPr>
        <w:pStyle w:val="Heading2"/>
        <w:keepNext/>
        <w:keepLines/>
        <w:pageBreakBefore w:val="0"/>
        <w:widowControl/>
      </w:pPr>
      <w:r>
        <w:rPr>
          <w:rFonts w:ascii="Arial" w:hAnsi="Arial" w:eastAsia="Arial"/>
          <w:b/>
          <w:color w:val="1F4E78"/>
        </w:rPr>
        <w:t xml:space="preserve">16.0 Purpose</w:t>
      </w:r>
    </w:p>
    <w:p>
      <w:pPr>
        <w:pStyle w:val="FirstParagraph"/>
        <w:widowControl/>
      </w:pPr>
      <w:r>
        <w:t xml:space="preserve">This section positions RippleLogic relative to existing ethical, governance, and decision frameworks. It clarifies structural differences and interfaces.</w:t>
      </w:r>
    </w:p>
    <w:bookmarkEnd w:id="256"/>
    <w:bookmarkStart w:id="257" w:name="X3038ddab471b71daee9a63bc4805730c89c6662"/>
    <w:p>
      <w:pPr>
        <w:pStyle w:val="Heading2"/>
        <w:keepNext/>
        <w:keepLines/>
        <w:pageBreakBefore w:val="0"/>
        <w:widowControl/>
      </w:pPr>
      <w:r>
        <w:rPr>
          <w:rFonts w:ascii="Arial" w:hAnsi="Arial" w:eastAsia="Arial"/>
          <w:b/>
          <w:color w:val="1F4E78"/>
        </w:rPr>
        <w:t xml:space="preserve">16.1 Compared to Utilitarianism / Cost-Benefit Analysis (CBA)</w:t>
      </w:r>
    </w:p>
    <w:p>
      <w:pPr>
        <w:pStyle w:val="FirstParagraph"/>
        <w:widowControl/>
      </w:pPr>
      <w:r>
        <w:t xml:space="preserve">CBA often scalarizes plural values into a single metric (money/utility), enabling rights tradeoffs. RippleLogic blocks this via NCRC (rights as constraints) and TRC (tail risk as constraint), then optimizes welfare only within the admissible set.</w:t>
      </w:r>
    </w:p>
    <w:bookmarkEnd w:id="257"/>
    <w:bookmarkStart w:id="258" w:name="Xa9148774eac7305eebb529c9606c09f2c3d7081"/>
    <w:p>
      <w:pPr>
        <w:pStyle w:val="Heading2"/>
        <w:keepNext/>
        <w:keepLines/>
        <w:pageBreakBefore w:val="0"/>
        <w:widowControl/>
      </w:pPr>
      <w:r>
        <w:rPr>
          <w:rFonts w:ascii="Arial" w:hAnsi="Arial" w:eastAsia="Arial"/>
          <w:b/>
          <w:color w:val="1F4E78"/>
        </w:rPr>
        <w:t xml:space="preserve">16.2 Compared to Deontology (Rule-based ethics)</w:t>
      </w:r>
    </w:p>
    <w:p>
      <w:pPr>
        <w:pStyle w:val="FirstParagraph"/>
        <w:widowControl/>
      </w:pPr>
      <w:r>
        <w:t xml:space="preserve">Pure deontology can lack a complete operational procedure for comparing permitted options under uncertainty. RippleLogic retains non-compensable constraints but adds computable consequence modeling and tail-risk bounding.</w:t>
      </w:r>
    </w:p>
    <w:bookmarkEnd w:id="258"/>
    <w:bookmarkStart w:id="259" w:name="X6bcf97f16e0aac0b5c614567deb73f3f477926c"/>
    <w:p>
      <w:pPr>
        <w:pStyle w:val="Heading2"/>
        <w:keepNext/>
        <w:keepLines/>
        <w:pageBreakBefore w:val="0"/>
        <w:widowControl/>
      </w:pPr>
      <w:r>
        <w:rPr>
          <w:rFonts w:ascii="Arial" w:hAnsi="Arial" w:eastAsia="Arial"/>
          <w:b/>
          <w:color w:val="1F4E78"/>
        </w:rPr>
        <w:t xml:space="preserve">16.3 Compared to Rawlsian Justice and Capability Approaches</w:t>
      </w:r>
    </w:p>
    <w:p>
      <w:pPr>
        <w:pStyle w:val="FirstParagraph"/>
        <w:widowControl/>
      </w:pPr>
      <w:r>
        <w:t xml:space="preserve">Rawls provides priority of liberty and fair basic structure; capabilities provide multi-dimensional flourishing. RippleLogic operationalizes multi-dimensional welfare into a computable 7×7 matrix and makes rights floors explicit across unions.</w:t>
      </w:r>
    </w:p>
    <w:bookmarkEnd w:id="259"/>
    <w:bookmarkStart w:id="260" w:name="X77edf5dde5326f4428d70e052031756450048c0"/>
    <w:p>
      <w:pPr>
        <w:pStyle w:val="Heading2"/>
        <w:keepNext/>
        <w:keepLines/>
        <w:pageBreakBefore w:val="0"/>
        <w:widowControl/>
      </w:pPr>
      <w:r>
        <w:rPr>
          <w:rFonts w:ascii="Arial" w:hAnsi="Arial" w:eastAsia="Arial"/>
          <w:b/>
          <w:color w:val="1F4E78"/>
        </w:rPr>
        <w:t xml:space="preserve">16.4 Compared to MCDA (Multi-Criteria Decision Analysis)</w:t>
      </w:r>
    </w:p>
    <w:p>
      <w:pPr>
        <w:pStyle w:val="FirstParagraph"/>
        <w:widowControl/>
      </w:pPr>
      <w:r>
        <w:t xml:space="preserve">Standard MCDA often aggregates criteria via weighted sums or outranking without lexicographic catastrophe handling (Keeney &amp; Raiffa, 1976; Belton &amp; Stewart, 2002). RippleLogic is MCDA-like at the RLS layer but is structurally different because admissibility gates (NCRC/TRC/CSV) are lexicographic and non-compensable.</w:t>
      </w:r>
    </w:p>
    <w:bookmarkEnd w:id="260"/>
    <w:bookmarkStart w:id="261" w:name="X0797b590d65ffc37b3e2267bb4255bf550501c4"/>
    <w:p>
      <w:pPr>
        <w:pStyle w:val="Heading2"/>
        <w:keepNext/>
        <w:keepLines/>
        <w:pageBreakBefore w:val="0"/>
        <w:widowControl/>
      </w:pPr>
      <w:r>
        <w:rPr>
          <w:rFonts w:ascii="Arial" w:hAnsi="Arial" w:eastAsia="Arial"/>
          <w:b/>
          <w:color w:val="1F4E78"/>
        </w:rPr>
        <w:t xml:space="preserve">16.5 Compared to AI Alignment Toolsets (RLHF, Constitutional AI, risk frameworks)</w:t>
      </w:r>
    </w:p>
    <w:p>
      <w:pPr>
        <w:pStyle w:val="FirstParagraph"/>
        <w:widowControl/>
      </w:pPr>
      <w:r>
        <w:t xml:space="preserve">Many alignment approaches train systems toward proxies (human feedback, constitutional principles) without hard admissibility gates. RippleLogic provides a decision-engine architecture: action-space filtering by NCRC/TRC/CSV, structured welfare scoring (RLS), auditable traces (PCC), and corrigibility via NCAR.</w:t>
      </w:r>
    </w:p>
    <w:bookmarkEnd w:id="261"/>
    <w:bookmarkStart w:id="262" w:name="X87e308b94d111e7704c24730468bb31e9cb98a1"/>
    <w:p>
      <w:pPr>
        <w:pStyle w:val="Heading2"/>
        <w:keepNext/>
        <w:keepLines/>
        <w:pageBreakBefore w:val="0"/>
        <w:widowControl/>
      </w:pPr>
      <w:r>
        <w:rPr>
          <w:rFonts w:ascii="Arial" w:hAnsi="Arial" w:eastAsia="Arial"/>
          <w:b/>
          <w:color w:val="1F4E78"/>
        </w:rPr>
        <w:t xml:space="preserve">16.6 Interoperability with Governance Standards</w:t>
      </w:r>
    </w:p>
    <w:p>
      <w:pPr>
        <w:pStyle w:val="FirstParagraph"/>
        <w:widowControl/>
      </w:pPr>
      <w:r>
        <w:t xml:space="preserve">RippleLogic is designed to be interoperable with governance regimes emphasizing accountability and risk management (for example, NIST AI RMF) through its PCC record, scenario governance, and explicit risk bounding. It adds formal lexicographic rights and tail-risk operators that many standards leave at a principles level.</w:t>
      </w:r>
    </w:p>
    <w:bookmarkEnd w:id="262"/>
    <w:bookmarkStart w:id="263" w:name="Xf173dc3ad53f1f9f2ca4eda9f05b932acce96e2"/>
    <w:p>
      <w:pPr>
        <w:pStyle w:val="Heading2"/>
        <w:keepNext/>
        <w:keepLines/>
        <w:pageBreakBefore w:val="0"/>
        <w:widowControl/>
      </w:pPr>
      <w:r>
        <w:rPr>
          <w:rFonts w:ascii="Arial" w:hAnsi="Arial" w:eastAsia="Arial"/>
          <w:b/>
          <w:color w:val="1F4E78"/>
        </w:rPr>
        <w:t xml:space="preserve">16.7 Compared to Commons Governance</w:t>
      </w:r>
    </w:p>
    <w:p>
      <w:pPr>
        <w:pStyle w:val="FirstParagraph"/>
        <w:widowControl/>
      </w:pPr>
      <w:r>
        <w:t xml:space="preserve">RippleLogic is compatible with institutional approaches to governing shared resources and externalities. Where commons governance emphasizes rules-in-use, monitoring, graduated sanctions, and polycentric coordination, RippleLogic contributes a computable, auditable decision cascade that makes rights floors, tail-risk bounds, and cross-union ripple effects explicit in each decision record (Ostrom, 1990).</w:t>
      </w:r>
    </w:p>
    <w:bookmarkEnd w:id="263"/>
    <w:bookmarkStart w:id="264" w:name="X322d25f0d34f580d8ce1566b02e2214d1cd74af"/>
    <w:p>
      <w:pPr>
        <w:pStyle w:val="Heading2"/>
        <w:keepNext/>
        <w:keepLines/>
        <w:pageBreakBefore w:val="0"/>
        <w:widowControl/>
      </w:pPr>
      <w:r>
        <w:rPr>
          <w:rFonts w:ascii="Arial" w:hAnsi="Arial" w:eastAsia="Arial"/>
          <w:b/>
          <w:color w:val="1F4E78"/>
        </w:rPr>
        <w:t xml:space="preserve">16.8 RLS Validation and Calibration Status (Informative bridge)</w:t>
      </w:r>
    </w:p>
    <w:p>
      <w:pPr>
        <w:pStyle w:val="FirstParagraph"/>
        <w:widowControl/>
      </w:pPr>
      <w:r>
        <w:t xml:space="preserve">Current status. RLS is release-ready as a structured residual welfare-scoring specification and audit method. It does not yet claim empirical validation of the dimensional non-overlap of the 7x7 welfare field, calibrated decisiveness thresholds, or inter-rater reliability of cell-filling across independent analysts. A companion RLS Validation Protocol should test these claims through scored-case datasets, correlation/factor analysis across the 49 cells, inter-rater reliability studies, disagreement heatmaps, scalar-comparator analysis, and revision rules. Until those studies are completed, public claims should say that RLS is structurally complete and auditable, not that it is empirically proven to produce superior decisions.</w:t>
      </w:r>
    </w:p>
    <w:bookmarkEnd w:id="264"/>
    <w:bookmarkEnd w:id="265"/>
    <w:bookmarkStart w:id="284" w:name="X089ec1e241da03a99a44433ba9a176295787aac"/>
    <w:p>
      <w:pPr>
        <w:pStyle w:val="Heading1"/>
        <w:keepNext/>
        <w:keepLines/>
        <w:pageBreakBefore w:val="0"/>
        <w:widowControl/>
      </w:pPr>
      <w:r>
        <w:rPr>
          <w:rFonts w:ascii="Arial" w:hAnsi="Arial" w:eastAsia="Arial"/>
          <w:b/>
          <w:color w:val="1F4E78"/>
        </w:rPr>
        <w:t xml:space="preserve">SECTION 17: VALIDATION, FALSIFICATION, AND RESEARCH PROGRAM (NORMATIVE FOR CLAIMS)</w:t>
      </w:r>
    </w:p>
    <w:bookmarkStart w:id="266" w:name="X47a4de2477c9068098e86a6d19f6128ea5007c5"/>
    <w:p>
      <w:pPr>
        <w:pStyle w:val="Heading2"/>
        <w:keepNext/>
        <w:keepLines/>
        <w:pageBreakBefore w:val="0"/>
        <w:widowControl/>
      </w:pPr>
      <w:r>
        <w:rPr>
          <w:rFonts w:ascii="Arial" w:hAnsi="Arial" w:eastAsia="Arial"/>
          <w:b/>
          <w:color w:val="1F4E78"/>
        </w:rPr>
        <w:t xml:space="preserve">17.0 Purpose (Normative)</w:t>
      </w:r>
    </w:p>
    <w:p>
      <w:pPr>
        <w:pStyle w:val="FirstParagraph"/>
        <w:widowControl/>
      </w:pPr>
      <w:r>
        <w:t xml:space="preserve">RippleLogic makes testable claims about decision quality, rights protection, tail-risk avoidance, and auditability. This section specifies explicit falsification criteria and a staged validation program. Until such validation is completed, RippleLogic remains a theory-to-practice system with bounded claims: Tier compliance is claimable, real-world performance superiority is not.</w:t>
      </w:r>
    </w:p>
    <w:p>
      <w:pPr>
        <w:pStyle w:val="BodyText"/>
        <w:widowControl/>
      </w:pPr>
      <w:r>
        <w:t xml:space="preserve">This validation program follows a falsification-first posture consistent with scientific corrigibility: components that fail their empirical tests must be revised or abandoned rather than defended by authority (Popper, 1959).</w:t>
      </w:r>
    </w:p>
    <w:bookmarkEnd w:id="266"/>
    <w:bookmarkStart w:id="267" w:name="X830cbc85b73e8390680a2d605e952de4a5926a0"/>
    <w:p>
      <w:pPr>
        <w:pStyle w:val="Heading2"/>
        <w:keepNext/>
        <w:keepLines/>
        <w:pageBreakBefore w:val="0"/>
        <w:widowControl/>
      </w:pPr>
      <w:r>
        <w:rPr>
          <w:rFonts w:ascii="Arial" w:hAnsi="Arial" w:eastAsia="Arial"/>
          <w:b/>
          <w:color w:val="1F4E78"/>
        </w:rPr>
        <w:t xml:space="preserve">17.0A Layered Falsification Attribution Rule (Normative for validation claims)</w:t>
      </w:r>
    </w:p>
    <w:p>
      <w:pPr>
        <w:pStyle w:val="FirstParagraph"/>
        <w:widowControl/>
      </w:pPr>
      <w:r>
        <w:t xml:space="preserve">A failure must be attributed to the layer it actually falsifies before a broader falsification claim is made. A failed measurement does not by itself falsify the framework; a failed projection does not by itself falsify a rights floor; and a failed gate operator must not be excused as mere input error when all admissible data, projection, and parameter alternatives have been ruled out.</w:t>
      </w:r>
    </w:p>
    <w:p>
      <w:pPr>
        <w:pStyle w:val="BodyText"/>
        <w:widowControl/>
      </w:pPr>
      <w:r>
        <w:t xml:space="preserve">Every recorded validation failure SHOULD include both FalsificationClass and FalsificationLayer. Recommended FalsificationLayer values are DATA, PROJECTION, PARAMETER, GATE_OPERATOR, PRIMITIVE, GOVERNANCE, and COMMUNICATION.</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Layer</w:t>
            </w:r>
          </w:p>
        </w:tc>
        <w:tc>
          <w:tcPr>
            <w:shd w:fill="1F4E78" w:val="clear"/>
            <w:tcMar>
              <w:top w:w="80" w:type="dxa"/>
              <w:start w:w="90" w:type="dxa"/>
              <w:bottom w:w="80" w:type="dxa"/>
              <w:end w:w="90" w:type="dxa"/>
            </w:tcMar>
          </w:tcPr>
          <w:p>
            <w:pPr>
              <w:pStyle w:val="Compact"/>
              <w:jc w:val="left"/>
            </w:pPr>
            <w:r>
              <w:rPr>
                <w:b/>
                <w:bCs/>
                <w:color w:val="FFFFFF"/>
              </w:rPr>
              <w:t xml:space="preserve">What failure means</w:t>
            </w:r>
          </w:p>
        </w:tc>
        <w:tc>
          <w:tcPr>
            <w:shd w:fill="1F4E78" w:val="clear"/>
            <w:tcMar>
              <w:top w:w="80" w:type="dxa"/>
              <w:start w:w="90" w:type="dxa"/>
              <w:bottom w:w="80" w:type="dxa"/>
              <w:end w:w="90" w:type="dxa"/>
            </w:tcMar>
          </w:tcPr>
          <w:p>
            <w:pPr>
              <w:pStyle w:val="Compact"/>
              <w:jc w:val="left"/>
            </w:pPr>
            <w:r>
              <w:rPr>
                <w:b/>
                <w:bCs/>
                <w:color w:val="FFFFFF"/>
              </w:rPr>
              <w:t xml:space="preserve">Does not by itself falsify</w:t>
            </w:r>
          </w:p>
        </w:tc>
        <w:tc>
          <w:tcPr>
            <w:shd w:fill="1F4E78" w:val="clear"/>
            <w:tcMar>
              <w:top w:w="80" w:type="dxa"/>
              <w:start w:w="90" w:type="dxa"/>
              <w:bottom w:w="80" w:type="dxa"/>
              <w:end w:w="90" w:type="dxa"/>
            </w:tcMar>
          </w:tcPr>
          <w:p>
            <w:pPr>
              <w:pStyle w:val="Compact"/>
              <w:jc w:val="left"/>
            </w:pPr>
            <w:r>
              <w:rPr>
                <w:b/>
                <w:bCs/>
                <w:color w:val="FFFFFF"/>
              </w:rPr>
              <w:t xml:space="preserve">Required response</w:t>
            </w:r>
          </w:p>
        </w:tc>
      </w:tr>
      <w:tr>
        <w:trPr/>
        <w:tc>
          <w:tcPr>
            <w:tcMar>
              <w:top w:w="80" w:type="dxa"/>
              <w:start w:w="90" w:type="dxa"/>
              <w:bottom w:w="80" w:type="dxa"/>
              <w:end w:w="90" w:type="dxa"/>
            </w:tcMar>
            <w:shd w:fill="F7FBFF" w:val="clear"/>
          </w:tcPr>
          <w:p>
            <w:pPr>
              <w:pStyle w:val="Compact"/>
              <w:jc w:val="left"/>
            </w:pPr>
            <w:r>
              <w:t xml:space="preserve">DATA</w:t>
            </w:r>
          </w:p>
        </w:tc>
        <w:tc>
          <w:tcPr>
            <w:tcMar>
              <w:top w:w="80" w:type="dxa"/>
              <w:start w:w="90" w:type="dxa"/>
              <w:bottom w:w="80" w:type="dxa"/>
              <w:end w:w="90" w:type="dxa"/>
            </w:tcMar>
            <w:shd w:fill="F7FBFF" w:val="clear"/>
          </w:tcPr>
          <w:p>
            <w:pPr>
              <w:pStyle w:val="Compact"/>
              <w:jc w:val="left"/>
            </w:pPr>
            <w:r>
              <w:t xml:space="preserve">Input missing, wrong, stale, biased, or insufficient.</w:t>
            </w:r>
          </w:p>
        </w:tc>
        <w:tc>
          <w:tcPr>
            <w:tcMar>
              <w:top w:w="80" w:type="dxa"/>
              <w:start w:w="90" w:type="dxa"/>
              <w:bottom w:w="80" w:type="dxa"/>
              <w:end w:w="90" w:type="dxa"/>
            </w:tcMar>
            <w:shd w:fill="F7FBFF" w:val="clear"/>
          </w:tcPr>
          <w:p>
            <w:pPr>
              <w:pStyle w:val="Compact"/>
              <w:jc w:val="left"/>
            </w:pPr>
            <w:r>
              <w:t xml:space="preserve">Gate definitions or framework primitives.</w:t>
            </w:r>
          </w:p>
        </w:tc>
        <w:tc>
          <w:tcPr>
            <w:tcMar>
              <w:top w:w="80" w:type="dxa"/>
              <w:start w:w="90" w:type="dxa"/>
              <w:bottom w:w="80" w:type="dxa"/>
              <w:end w:w="90" w:type="dxa"/>
            </w:tcMar>
            <w:shd w:fill="F7FBFF" w:val="clear"/>
          </w:tcPr>
          <w:p>
            <w:pPr>
              <w:pStyle w:val="Compact"/>
              <w:jc w:val="left"/>
            </w:pPr>
            <w:r>
              <w:t xml:space="preserve">Re-collect, disclose uncertainty, rerun.</w:t>
            </w:r>
          </w:p>
        </w:tc>
      </w:tr>
      <w:tr>
        <w:trPr/>
        <w:tc>
          <w:tcPr>
            <w:tcMar>
              <w:top w:w="80" w:type="dxa"/>
              <w:start w:w="90" w:type="dxa"/>
              <w:bottom w:w="80" w:type="dxa"/>
              <w:end w:w="90" w:type="dxa"/>
            </w:tcMar>
            <w:shd w:fill="D9EAF7" w:val="clear"/>
          </w:tcPr>
          <w:p>
            <w:pPr>
              <w:pStyle w:val="Compact"/>
              <w:jc w:val="left"/>
            </w:pPr>
            <w:r>
              <w:t xml:space="preserve">PROJECTION</w:t>
            </w:r>
          </w:p>
        </w:tc>
        <w:tc>
          <w:tcPr>
            <w:tcMar>
              <w:top w:w="80" w:type="dxa"/>
              <w:start w:w="90" w:type="dxa"/>
              <w:bottom w:w="80" w:type="dxa"/>
              <w:end w:w="90" w:type="dxa"/>
            </w:tcMar>
            <w:shd w:fill="D9EAF7" w:val="clear"/>
          </w:tcPr>
          <w:p>
            <w:pPr>
              <w:pStyle w:val="Compact"/>
              <w:jc w:val="left"/>
            </w:pPr>
            <w:r>
              <w:t xml:space="preserve">Scenario, mapping, kernel, stakeholder model, or prediction surface was wrong.</w:t>
            </w:r>
          </w:p>
        </w:tc>
        <w:tc>
          <w:tcPr>
            <w:tcMar>
              <w:top w:w="80" w:type="dxa"/>
              <w:start w:w="90" w:type="dxa"/>
              <w:bottom w:w="80" w:type="dxa"/>
              <w:end w:w="90" w:type="dxa"/>
            </w:tcMar>
            <w:shd w:fill="D9EAF7" w:val="clear"/>
          </w:tcPr>
          <w:p>
            <w:pPr>
              <w:pStyle w:val="Compact"/>
              <w:jc w:val="left"/>
            </w:pPr>
            <w:r>
              <w:t xml:space="preserve">Rights logic or the whole framework.</w:t>
            </w:r>
          </w:p>
        </w:tc>
        <w:tc>
          <w:tcPr>
            <w:tcMar>
              <w:top w:w="80" w:type="dxa"/>
              <w:start w:w="90" w:type="dxa"/>
              <w:bottom w:w="80" w:type="dxa"/>
              <w:end w:w="90" w:type="dxa"/>
            </w:tcMar>
            <w:shd w:fill="D9EAF7" w:val="clear"/>
          </w:tcPr>
          <w:p>
            <w:pPr>
              <w:pStyle w:val="Compact"/>
              <w:jc w:val="left"/>
            </w:pPr>
            <w:r>
              <w:t xml:space="preserve">Freeze a new projection; rerun as a new run.</w:t>
            </w:r>
          </w:p>
        </w:tc>
      </w:tr>
      <w:tr>
        <w:trPr/>
        <w:tc>
          <w:tcPr>
            <w:tcMar>
              <w:top w:w="80" w:type="dxa"/>
              <w:start w:w="90" w:type="dxa"/>
              <w:bottom w:w="80" w:type="dxa"/>
              <w:end w:w="90" w:type="dxa"/>
            </w:tcMar>
            <w:shd w:fill="F7FBFF" w:val="clear"/>
          </w:tcPr>
          <w:p>
            <w:pPr>
              <w:pStyle w:val="Compact"/>
              <w:jc w:val="left"/>
            </w:pPr>
            <w:r>
              <w:t xml:space="preserve">PARAMETER</w:t>
            </w:r>
          </w:p>
        </w:tc>
        <w:tc>
          <w:tcPr>
            <w:tcMar>
              <w:top w:w="80" w:type="dxa"/>
              <w:start w:w="90" w:type="dxa"/>
              <w:bottom w:w="80" w:type="dxa"/>
              <w:end w:w="90" w:type="dxa"/>
            </w:tcMar>
            <w:shd w:fill="F7FBFF" w:val="clear"/>
          </w:tcPr>
          <w:p>
            <w:pPr>
              <w:pStyle w:val="Compact"/>
              <w:jc w:val="left"/>
            </w:pPr>
            <w:r>
              <w:t xml:space="preserve">Threshold, coefficient, weight, or corridor was mis-set or post-hoc.</w:t>
            </w:r>
          </w:p>
        </w:tc>
        <w:tc>
          <w:tcPr>
            <w:tcMar>
              <w:top w:w="80" w:type="dxa"/>
              <w:start w:w="90" w:type="dxa"/>
              <w:bottom w:w="80" w:type="dxa"/>
              <w:end w:w="90" w:type="dxa"/>
            </w:tcMar>
            <w:shd w:fill="F7FBFF" w:val="clear"/>
          </w:tcPr>
          <w:p>
            <w:pPr>
              <w:pStyle w:val="Compact"/>
              <w:jc w:val="left"/>
            </w:pPr>
            <w:r>
              <w:t xml:space="preserve">Cascade structure.</w:t>
            </w:r>
          </w:p>
        </w:tc>
        <w:tc>
          <w:tcPr>
            <w:tcMar>
              <w:top w:w="80" w:type="dxa"/>
              <w:start w:w="90" w:type="dxa"/>
              <w:bottom w:w="80" w:type="dxa"/>
              <w:end w:w="90" w:type="dxa"/>
            </w:tcMar>
            <w:shd w:fill="F7FBFF" w:val="clear"/>
          </w:tcPr>
          <w:p>
            <w:pPr>
              <w:pStyle w:val="Compact"/>
              <w:jc w:val="left"/>
            </w:pPr>
            <w:r>
              <w:t xml:space="preserve">Reset ex ante under governed procedure; rerun.</w:t>
            </w:r>
          </w:p>
        </w:tc>
      </w:tr>
      <w:tr>
        <w:trPr/>
        <w:tc>
          <w:tcPr>
            <w:tcMar>
              <w:top w:w="80" w:type="dxa"/>
              <w:start w:w="90" w:type="dxa"/>
              <w:bottom w:w="80" w:type="dxa"/>
              <w:end w:w="90" w:type="dxa"/>
            </w:tcMar>
            <w:shd w:fill="D9EAF7" w:val="clear"/>
          </w:tcPr>
          <w:p>
            <w:pPr>
              <w:pStyle w:val="Compact"/>
              <w:jc w:val="left"/>
            </w:pPr>
            <w:r>
              <w:t xml:space="preserve">GATE_OPERATOR</w:t>
            </w:r>
          </w:p>
        </w:tc>
        <w:tc>
          <w:tcPr>
            <w:tcMar>
              <w:top w:w="80" w:type="dxa"/>
              <w:start w:w="90" w:type="dxa"/>
              <w:bottom w:w="80" w:type="dxa"/>
              <w:end w:w="90" w:type="dxa"/>
            </w:tcMar>
            <w:shd w:fill="D9EAF7" w:val="clear"/>
          </w:tcPr>
          <w:p>
            <w:pPr>
              <w:pStyle w:val="Compact"/>
              <w:jc w:val="left"/>
            </w:pPr>
            <w:r>
              <w:t xml:space="preserve">NCRC, TRC, CSV, SVC, or RLS rule produces a reality-contradicted verdict under every admissible data/projection/parameter alternative.</w:t>
            </w:r>
          </w:p>
        </w:tc>
        <w:tc>
          <w:tcPr>
            <w:tcMar>
              <w:top w:w="80" w:type="dxa"/>
              <w:start w:w="90" w:type="dxa"/>
              <w:bottom w:w="80" w:type="dxa"/>
              <w:end w:w="90" w:type="dxa"/>
            </w:tcMar>
            <w:shd w:fill="D9EAF7" w:val="clear"/>
          </w:tcPr>
          <w:p>
            <w:pPr>
              <w:pStyle w:val="Compact"/>
              <w:jc w:val="left"/>
            </w:pPr>
            <w:r>
              <w:t xml:space="preserve">A single bad input.</w:t>
            </w:r>
          </w:p>
        </w:tc>
        <w:tc>
          <w:tcPr>
            <w:tcMar>
              <w:top w:w="80" w:type="dxa"/>
              <w:start w:w="90" w:type="dxa"/>
              <w:bottom w:w="80" w:type="dxa"/>
              <w:end w:w="90" w:type="dxa"/>
            </w:tcMar>
            <w:shd w:fill="D9EAF7" w:val="clear"/>
          </w:tcPr>
          <w:p>
            <w:pPr>
              <w:pStyle w:val="Compact"/>
              <w:jc w:val="left"/>
            </w:pPr>
            <w:r>
              <w:t xml:space="preserve">Challenge the operator definition; governed revision.</w:t>
            </w:r>
          </w:p>
        </w:tc>
      </w:tr>
      <w:tr>
        <w:trPr/>
        <w:tc>
          <w:tcPr>
            <w:tcMar>
              <w:top w:w="80" w:type="dxa"/>
              <w:start w:w="90" w:type="dxa"/>
              <w:bottom w:w="80" w:type="dxa"/>
              <w:end w:w="90" w:type="dxa"/>
            </w:tcMar>
            <w:shd w:fill="F7FBFF" w:val="clear"/>
          </w:tcPr>
          <w:p>
            <w:pPr>
              <w:pStyle w:val="Compact"/>
              <w:jc w:val="left"/>
            </w:pPr>
            <w:r>
              <w:t xml:space="preserve">PRIMITIVE</w:t>
            </w:r>
          </w:p>
        </w:tc>
        <w:tc>
          <w:tcPr>
            <w:tcMar>
              <w:top w:w="80" w:type="dxa"/>
              <w:start w:w="90" w:type="dxa"/>
              <w:bottom w:w="80" w:type="dxa"/>
              <w:end w:w="90" w:type="dxa"/>
            </w:tcMar>
            <w:shd w:fill="F7FBFF" w:val="clear"/>
          </w:tcPr>
          <w:p>
            <w:pPr>
              <w:pStyle w:val="Compact"/>
              <w:jc w:val="left"/>
            </w:pPr>
            <w:r>
              <w:t xml:space="preserve">A declared primitive cannot reconstruct a required phenomenon or produces unavoidable contradiction.</w:t>
            </w:r>
          </w:p>
        </w:tc>
        <w:tc>
          <w:tcPr>
            <w:tcMar>
              <w:top w:w="80" w:type="dxa"/>
              <w:start w:w="90" w:type="dxa"/>
              <w:bottom w:w="80" w:type="dxa"/>
              <w:end w:w="90" w:type="dxa"/>
            </w:tcMar>
            <w:shd w:fill="F7FBFF" w:val="clear"/>
          </w:tcPr>
          <w:p>
            <w:pPr>
              <w:pStyle w:val="Compact"/>
              <w:jc w:val="left"/>
            </w:pPr>
            <w:r>
              <w:t xml:space="preserve">Any single failed run.</w:t>
            </w:r>
          </w:p>
        </w:tc>
        <w:tc>
          <w:tcPr>
            <w:tcMar>
              <w:top w:w="80" w:type="dxa"/>
              <w:start w:w="90" w:type="dxa"/>
              <w:bottom w:w="80" w:type="dxa"/>
              <w:end w:w="90" w:type="dxa"/>
            </w:tcMar>
            <w:shd w:fill="F7FBFF" w:val="clear"/>
          </w:tcPr>
          <w:p>
            <w:pPr>
              <w:pStyle w:val="Compact"/>
              <w:jc w:val="left"/>
            </w:pPr>
            <w:r>
              <w:t xml:space="preserve">Reopen Primitive Audit.</w:t>
            </w:r>
          </w:p>
        </w:tc>
      </w:tr>
      <w:tr>
        <w:trPr/>
        <w:tc>
          <w:tcPr>
            <w:tcMar>
              <w:top w:w="80" w:type="dxa"/>
              <w:start w:w="90" w:type="dxa"/>
              <w:bottom w:w="80" w:type="dxa"/>
              <w:end w:w="90" w:type="dxa"/>
            </w:tcMar>
            <w:shd w:fill="D9EAF7" w:val="clear"/>
          </w:tcPr>
          <w:p>
            <w:pPr>
              <w:pStyle w:val="Compact"/>
              <w:jc w:val="left"/>
            </w:pPr>
            <w:r>
              <w:t xml:space="preserve">GOVERNANCE</w:t>
            </w:r>
          </w:p>
        </w:tc>
        <w:tc>
          <w:tcPr>
            <w:tcMar>
              <w:top w:w="80" w:type="dxa"/>
              <w:start w:w="90" w:type="dxa"/>
              <w:bottom w:w="80" w:type="dxa"/>
              <w:end w:w="90" w:type="dxa"/>
            </w:tcMar>
            <w:shd w:fill="D9EAF7" w:val="clear"/>
          </w:tcPr>
          <w:p>
            <w:pPr>
              <w:pStyle w:val="Compact"/>
              <w:jc w:val="left"/>
            </w:pPr>
            <w:r>
              <w:t xml:space="preserve">Authority, permission, legitimacy, contestability, or accountability failed.</w:t>
            </w:r>
          </w:p>
        </w:tc>
        <w:tc>
          <w:tcPr>
            <w:tcMar>
              <w:top w:w="80" w:type="dxa"/>
              <w:start w:w="90" w:type="dxa"/>
              <w:bottom w:w="80" w:type="dxa"/>
              <w:end w:w="90" w:type="dxa"/>
            </w:tcMar>
            <w:shd w:fill="D9EAF7" w:val="clear"/>
          </w:tcPr>
          <w:p>
            <w:pPr>
              <w:pStyle w:val="Compact"/>
              <w:jc w:val="left"/>
            </w:pPr>
            <w:r>
              <w:t xml:space="preserve">Structural or mathematical cascade.</w:t>
            </w:r>
          </w:p>
        </w:tc>
        <w:tc>
          <w:tcPr>
            <w:tcMar>
              <w:top w:w="80" w:type="dxa"/>
              <w:start w:w="90" w:type="dxa"/>
              <w:bottom w:w="80" w:type="dxa"/>
              <w:end w:w="90" w:type="dxa"/>
            </w:tcMar>
            <w:shd w:fill="D9EAF7" w:val="clear"/>
          </w:tcPr>
          <w:p>
            <w:pPr>
              <w:pStyle w:val="Compact"/>
              <w:jc w:val="left"/>
            </w:pPr>
            <w:r>
              <w:t xml:space="preserve">Governance review and authority correction.</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COMMUNICATION</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Public claim, summary, or disclosure exceeded claim boundary.</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Underlying ethics or mechanics.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Correct the claim and update release/audit record.</w:t>
            </w:r>
          </w:p>
        </w:tc>
      </w:tr>
    </w:tbl>
    <w:p>
      <w:pPr>
        <w:pStyle w:val="BodyText"/>
        <w:widowControl/>
      </w:pPr>
      <w:r>
        <w:t xml:space="preserve">Validator guidance. A failure logged without FalsificationLayer SHOULD trigger FALSIFICATION_LAYER_UNATTRIBUTED. A run that invokes PRIMITIVE or GATE_OPERATOR failure without first addressing plausible DATA, PROJECTION, and PARAMETER explanations SHOULD trigger FALSIFICATION_LAYER_SKIPPED and require escalation.</w:t>
      </w:r>
    </w:p>
    <w:p>
      <w:pPr>
        <w:pStyle w:val="BodyText"/>
        <w:widowControl/>
      </w:pPr>
      <w:r>
        <w:t xml:space="preserve">Additional v12.0 do-not-collapse rules. Structural viability is not ethical permissibility. Stability is not justice. Permission is not admissibility. Output generation is not an admissible reference. A plan that can stand structurally can still violate rights; a generated answer can still lack a valid reference; and an authorized action can still fail the MathGov cascade.</w:t>
      </w:r>
    </w:p>
    <w:bookmarkEnd w:id="267"/>
    <w:bookmarkStart w:id="268" w:name="Xad90d1233ccaac769728e98b409b78519bdb6b3"/>
    <w:p>
      <w:pPr>
        <w:pStyle w:val="Heading2"/>
        <w:keepNext/>
        <w:keepLines/>
        <w:pageBreakBefore w:val="0"/>
        <w:widowControl/>
      </w:pPr>
      <w:r>
        <w:rPr>
          <w:rFonts w:ascii="Arial" w:hAnsi="Arial" w:eastAsia="Arial"/>
          <w:b/>
          <w:color w:val="1F4E78"/>
        </w:rPr>
        <w:t xml:space="preserve">17.1 Core Empirical Claims (Testable Hypotheses)</w:t>
      </w:r>
    </w:p>
    <w:bookmarkEnd w:id="268"/>
    <w:bookmarkStart w:id="269" w:name="X5abc5a38970b5efc250300ac8d9c841ce676ef7"/>
    <w:p>
      <w:pPr>
        <w:pStyle w:val="Heading2"/>
        <w:keepNext/>
        <w:keepLines/>
        <w:pageBreakBefore w:val="0"/>
        <w:widowControl/>
      </w:pPr>
      <w:r>
        <w:rPr>
          <w:rFonts w:ascii="Arial" w:hAnsi="Arial" w:eastAsia="Arial"/>
          <w:b/>
          <w:color w:val="1F4E78"/>
        </w:rPr>
        <w:t xml:space="preserve">17.1A MNA-Layer Empirical Hypotheses (Normative research frontier)</w:t>
      </w:r>
    </w:p>
    <w:p>
      <w:pPr>
        <w:pStyle w:val="FirstParagraph"/>
        <w:widowControl/>
      </w:pPr>
      <w:r>
        <w:t xml:space="preserve">H-MNA1 (model adequacy under stakeholder omission). Multi-agent predictive performance worsens when stakeholder welfare, rights, or enabling-condition variables are omitted from world models in settings where cooperation, conflict, or harm depend materially on them.</w:t>
      </w:r>
    </w:p>
    <w:p>
      <w:pPr>
        <w:pStyle w:val="BodyText"/>
        <w:widowControl/>
      </w:pPr>
      <w:r>
        <w:t xml:space="preserve">H-MNA2 (instability under normative omission). Architectures that systematically ignore stakeholders’ welfare conditions, rights floors, or enabling conditions exhibit higher instability, defection, tail risk, or containment failure in repeated multi-agent environments than otherwise comparable architectures that track them explicitly.</w:t>
      </w:r>
    </w:p>
    <w:p>
      <w:pPr>
        <w:pStyle w:val="BodyText"/>
        <w:widowControl/>
      </w:pPr>
      <w:r>
        <w:t xml:space="preserve">H-MNA3 (cascade advantage over unconstrained scalarization). Rights-first and catastrophe-bounded cascade architectures reduce ruin-like outcomes, rights breaches, or coherence losses relative to unconstrained scalar optimization in comparable decision classes.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Hypothesis</w:t>
            </w:r>
          </w:p>
        </w:tc>
        <w:tc>
          <w:tcPr>
            <w:shd w:fill="1F4E78" w:val="clear"/>
            <w:tcMar>
              <w:top w:w="80" w:type="dxa"/>
              <w:start w:w="90" w:type="dxa"/>
              <w:bottom w:w="80" w:type="dxa"/>
              <w:end w:w="90" w:type="dxa"/>
            </w:tcMar>
          </w:tcPr>
          <w:p>
            <w:pPr>
              <w:pStyle w:val="Compact"/>
              <w:jc w:val="left"/>
            </w:pPr>
            <w:r>
              <w:rPr>
                <w:b/>
                <w:bCs/>
                <w:color w:val="FFFFFF"/>
              </w:rPr>
              <w:t xml:space="preserve">Description</w:t>
            </w:r>
          </w:p>
        </w:tc>
      </w:tr>
      <w:tr>
        <w:trPr/>
        <w:tc>
          <w:tcPr>
            <w:tcMar>
              <w:top w:w="80" w:type="dxa"/>
              <w:start w:w="90" w:type="dxa"/>
              <w:bottom w:w="80" w:type="dxa"/>
              <w:end w:w="90" w:type="dxa"/>
            </w:tcMar>
            <w:shd w:fill="F7FBFF" w:val="clear"/>
          </w:tcPr>
          <w:p>
            <w:pPr>
              <w:pStyle w:val="Compact"/>
              <w:jc w:val="left"/>
            </w:pPr>
            <w:r>
              <w:t xml:space="preserve">H1</w:t>
            </w:r>
          </w:p>
        </w:tc>
        <w:tc>
          <w:tcPr>
            <w:tcMar>
              <w:top w:w="80" w:type="dxa"/>
              <w:start w:w="90" w:type="dxa"/>
              <w:bottom w:w="80" w:type="dxa"/>
              <w:end w:w="90" w:type="dxa"/>
            </w:tcMar>
            <w:shd w:fill="F7FBFF" w:val="clear"/>
          </w:tcPr>
          <w:p>
            <w:pPr>
              <w:pStyle w:val="Compact"/>
              <w:jc w:val="left"/>
            </w:pPr>
            <w:r>
              <w:t xml:space="preserve">Rights coherence: Decisions that pass NCRC produce fewer rights infringements than comparable baseline decisions, controlling for context.</w:t>
            </w:r>
          </w:p>
        </w:tc>
      </w:tr>
      <w:tr>
        <w:trPr/>
        <w:tc>
          <w:tcPr>
            <w:tcMar>
              <w:top w:w="80" w:type="dxa"/>
              <w:start w:w="90" w:type="dxa"/>
              <w:bottom w:w="80" w:type="dxa"/>
              <w:end w:w="90" w:type="dxa"/>
            </w:tcMar>
            <w:shd w:fill="D9EAF7" w:val="clear"/>
          </w:tcPr>
          <w:p>
            <w:pPr>
              <w:pStyle w:val="Compact"/>
              <w:jc w:val="left"/>
            </w:pPr>
            <w:r>
              <w:t xml:space="preserve">H2</w:t>
            </w:r>
          </w:p>
        </w:tc>
        <w:tc>
          <w:tcPr>
            <w:tcMar>
              <w:top w:w="80" w:type="dxa"/>
              <w:start w:w="90" w:type="dxa"/>
              <w:bottom w:w="80" w:type="dxa"/>
              <w:end w:w="90" w:type="dxa"/>
            </w:tcMar>
            <w:shd w:fill="D9EAF7" w:val="clear"/>
          </w:tcPr>
          <w:p>
            <w:pPr>
              <w:pStyle w:val="Compact"/>
              <w:jc w:val="left"/>
            </w:pPr>
            <w:r>
              <w:t xml:space="preserve">Tail-risk effectiveness: Decisions constrained by TRC exhibit lower realized tail losses than comparable decisions without TRC.</w:t>
            </w:r>
          </w:p>
        </w:tc>
      </w:tr>
      <w:tr>
        <w:trPr/>
        <w:tc>
          <w:tcPr>
            <w:tcMar>
              <w:top w:w="80" w:type="dxa"/>
              <w:start w:w="90" w:type="dxa"/>
              <w:bottom w:w="80" w:type="dxa"/>
              <w:end w:w="90" w:type="dxa"/>
            </w:tcMar>
            <w:shd w:fill="F7FBFF" w:val="clear"/>
          </w:tcPr>
          <w:p>
            <w:pPr>
              <w:pStyle w:val="Compact"/>
              <w:jc w:val="left"/>
            </w:pPr>
            <w:r>
              <w:t xml:space="preserve">H3</w:t>
            </w:r>
          </w:p>
        </w:tc>
        <w:tc>
          <w:tcPr>
            <w:tcMar>
              <w:top w:w="80" w:type="dxa"/>
              <w:start w:w="90" w:type="dxa"/>
              <w:bottom w:w="80" w:type="dxa"/>
              <w:end w:w="90" w:type="dxa"/>
            </w:tcMar>
            <w:shd w:fill="F7FBFF" w:val="clear"/>
          </w:tcPr>
          <w:p>
            <w:pPr>
              <w:pStyle w:val="Compact"/>
              <w:jc w:val="left"/>
            </w:pPr>
            <w:r>
              <w:t xml:space="preserve">Ripple sign accuracy (after calibration): After NCAR updates, predicted impact signs match observed sign in ≥70% of evaluated cells.</w:t>
            </w:r>
          </w:p>
        </w:tc>
      </w:tr>
      <w:tr>
        <w:trPr/>
        <w:tc>
          <w:tcPr>
            <w:tcMar>
              <w:top w:w="80" w:type="dxa"/>
              <w:start w:w="90" w:type="dxa"/>
              <w:bottom w:w="80" w:type="dxa"/>
              <w:end w:w="90" w:type="dxa"/>
            </w:tcMar>
            <w:shd w:fill="D9EAF7" w:val="clear"/>
          </w:tcPr>
          <w:p>
            <w:pPr>
              <w:pStyle w:val="Compact"/>
              <w:jc w:val="left"/>
            </w:pPr>
            <w:r>
              <w:t xml:space="preserve">H4</w:t>
            </w:r>
          </w:p>
        </w:tc>
        <w:tc>
          <w:tcPr>
            <w:tcMar>
              <w:top w:w="80" w:type="dxa"/>
              <w:start w:w="90" w:type="dxa"/>
              <w:bottom w:w="80" w:type="dxa"/>
              <w:end w:w="90" w:type="dxa"/>
            </w:tcMar>
            <w:shd w:fill="D9EAF7" w:val="clear"/>
          </w:tcPr>
          <w:p>
            <w:pPr>
              <w:pStyle w:val="Compact"/>
              <w:jc w:val="left"/>
            </w:pPr>
            <w:r>
              <w:t xml:space="preserve">Structural early warning: Persistent HOI &gt; 0 predicts subsequent structural degradation better than baseline KPI monitoring.</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H5</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Anti-gaming effectiveness: In adversarial tests, specification gaming succeeds less often (≥30% reduction) relative to comparable governance processes without PCC plus mandatory tails plus subgroup semantics.</w:t>
            </w:r>
          </w:p>
        </w:tc>
      </w:tr>
    </w:tbl>
    <w:p>
      <w:pPr>
        <w:pStyle w:val="BodyText"/>
        <w:widowControl/>
      </w:pPr>
      <w:r>
        <w:t xml:space="preserve">Because ripple effects partially track cooperation and network propagation dynamics, validation should also test whether kernel updates improve predictive performance in contexts where cooperation and trust dynamics are known to matter (Axelrod, 1984; Nowak, 2006; Christakis &amp; Fowler, 2009).</w:t>
      </w:r>
    </w:p>
    <w:p>
      <w:pPr>
        <w:pStyle w:val="BodyText"/>
        <w:widowControl/>
      </w:pPr>
      <w:r>
        <w:t xml:space="preserve">H6 (PLSS prominence convergence). For recurring decision classes with standardized guidance, independently trained evaluators applying the same evidence base will produce PLSS prominence vectors with moderate or better convergence, operationalized in pilot testing by a pre-declared inter-rater agreement threshold.</w:t>
      </w:r>
    </w:p>
    <w:p>
      <w:pPr>
        <w:pStyle w:val="BodyText"/>
        <w:widowControl/>
      </w:pPr>
      <w:r>
        <w:t xml:space="preserve">H7 (PLSS floor activation). In a non-trivial fraction of PLSS-assessed decisions, constitutional floor weights assigned to guardrail scopes will contribute materially to final welfare ranking differences, demonstrating that guardrail scope retention is operational rather than merely decorative.</w:t>
      </w:r>
    </w:p>
    <w:p>
      <w:pPr>
        <w:pStyle w:val="BodyText"/>
        <w:widowControl/>
      </w:pPr>
      <w:r>
        <w:t xml:space="preserve">H8 (PLSS escalation fidelity). In pilot validation, plausible ET-trigger conditions will be detected and logged with sufficient sensitivity that PLSS posture is not systematically retained in clearly non-local cases.</w:t>
      </w:r>
    </w:p>
    <w:bookmarkEnd w:id="269"/>
    <w:bookmarkStart w:id="270" w:name="X681c5fa61c5cbf6e6e49941a2d232ede61a97c0"/>
    <w:p>
      <w:pPr>
        <w:pStyle w:val="Heading2"/>
        <w:keepNext/>
        <w:keepLines/>
        <w:pageBreakBefore w:val="0"/>
        <w:widowControl/>
      </w:pPr>
      <w:r>
        <w:rPr>
          <w:rFonts w:ascii="Arial" w:hAnsi="Arial" w:eastAsia="Arial"/>
          <w:b/>
          <w:color w:val="1F4E78"/>
        </w:rPr>
        <w:t xml:space="preserve">17.2 Falsification Criteria (Normative)</w:t>
      </w:r>
    </w:p>
    <w:bookmarkEnd w:id="270"/>
    <w:bookmarkStart w:id="271" w:name="X22eda53dbfbba6d0d1019d436d6ac1fa084a419"/>
    <w:p>
      <w:pPr>
        <w:pStyle w:val="Heading2"/>
        <w:keepNext/>
        <w:keepLines/>
        <w:pageBreakBefore w:val="0"/>
        <w:widowControl/>
      </w:pPr>
      <w:r>
        <w:rPr>
          <w:rFonts w:ascii="Arial" w:hAnsi="Arial" w:eastAsia="Arial"/>
          <w:b/>
          <w:color w:val="1F4E78"/>
        </w:rPr>
        <w:t xml:space="preserve">17.2A MNA-Layer Falsifiers (Normative)</w:t>
      </w:r>
    </w:p>
    <w:p>
      <w:pPr>
        <w:pStyle w:val="FirstParagraph"/>
        <w:widowControl/>
      </w:pPr>
      <w:r>
        <w:t xml:space="preserve">F-MNA1. Omission of welfare, rights, or enabling-condition variables does not reduce predictive adequacy in relevant multi-agent domains where those variables were hypothesized to matter materially.</w:t>
      </w:r>
    </w:p>
    <w:p>
      <w:pPr>
        <w:pStyle w:val="BodyText"/>
        <w:widowControl/>
      </w:pPr>
      <w:r>
        <w:t xml:space="preserve">F-MNA2. Architectures ignoring such conditions do not exhibit higher instability, tail risk, rights breach incidence, or containment failure than comparable architectures that track them explicitly.</w:t>
      </w:r>
    </w:p>
    <w:p>
      <w:pPr>
        <w:pStyle w:val="BodyText"/>
        <w:widowControl/>
      </w:pPr>
      <w:r>
        <w:t xml:space="preserve">F-MNA3. Cascade-constrained policies do not outperform unconstrained scalarized policies on declared rights, coherence, or tail-risk metrics in the relevant validation class.</w:t>
      </w:r>
    </w:p>
    <w:p>
      <w:pPr>
        <w:pStyle w:val="BodyText"/>
        <w:widowControl/>
      </w:pPr>
      <w:r>
        <w:t xml:space="preserve">Defect attribution prior to invoking F1-F5 follows the Appendix AE.3 layer matrix: each failure should be assigned to the layer it actually falsifies before any broader empirical falsifier is invoked.</w:t>
      </w:r>
    </w:p>
    <w:p>
      <w:pPr>
        <w:pStyle w:val="BodyText"/>
        <w:widowControl/>
      </w:pPr>
      <w:r>
        <w:t xml:space="preserve">RippleLogic components must be revised (or rejected) if evidence meets any of the following:</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Criterion</w:t>
            </w:r>
          </w:p>
        </w:tc>
        <w:tc>
          <w:tcPr>
            <w:shd w:fill="1F4E78" w:val="clear"/>
            <w:tcMar>
              <w:top w:w="80" w:type="dxa"/>
              <w:start w:w="90" w:type="dxa"/>
              <w:bottom w:w="80" w:type="dxa"/>
              <w:end w:w="90" w:type="dxa"/>
            </w:tcMar>
          </w:tcPr>
          <w:p>
            <w:pPr>
              <w:pStyle w:val="Compact"/>
              <w:jc w:val="left"/>
            </w:pPr>
            <w:r>
              <w:rPr>
                <w:b/>
                <w:bCs/>
                <w:color w:val="FFFFFF"/>
              </w:rPr>
              <w:t xml:space="preserve">Description</w:t>
            </w:r>
          </w:p>
        </w:tc>
      </w:tr>
      <w:tr>
        <w:trPr/>
        <w:tc>
          <w:tcPr>
            <w:tcMar>
              <w:top w:w="80" w:type="dxa"/>
              <w:start w:w="90" w:type="dxa"/>
              <w:bottom w:w="80" w:type="dxa"/>
              <w:end w:w="90" w:type="dxa"/>
            </w:tcMar>
            <w:shd w:fill="F7FBFF" w:val="clear"/>
          </w:tcPr>
          <w:p>
            <w:pPr>
              <w:pStyle w:val="Compact"/>
              <w:jc w:val="left"/>
            </w:pPr>
            <w:r>
              <w:t xml:space="preserve">F1</w:t>
            </w:r>
          </w:p>
        </w:tc>
        <w:tc>
          <w:tcPr>
            <w:tcMar>
              <w:top w:w="80" w:type="dxa"/>
              <w:start w:w="90" w:type="dxa"/>
              <w:bottom w:w="80" w:type="dxa"/>
              <w:end w:w="90" w:type="dxa"/>
            </w:tcMar>
            <w:shd w:fill="F7FBFF" w:val="clear"/>
          </w:tcPr>
          <w:p>
            <w:pPr>
              <w:pStyle w:val="Compact"/>
              <w:jc w:val="left"/>
            </w:pPr>
            <w:r>
              <w:t xml:space="preserve">NCRC failure: NCRC-passing decisions systematically produce worse rights outcomes than NCRC-failing decisions.</w:t>
            </w:r>
          </w:p>
        </w:tc>
      </w:tr>
      <w:tr>
        <w:trPr/>
        <w:tc>
          <w:tcPr>
            <w:tcMar>
              <w:top w:w="80" w:type="dxa"/>
              <w:start w:w="90" w:type="dxa"/>
              <w:bottom w:w="80" w:type="dxa"/>
              <w:end w:w="90" w:type="dxa"/>
            </w:tcMar>
            <w:shd w:fill="D9EAF7" w:val="clear"/>
          </w:tcPr>
          <w:p>
            <w:pPr>
              <w:pStyle w:val="Compact"/>
              <w:jc w:val="left"/>
            </w:pPr>
            <w:r>
              <w:t xml:space="preserve">F2</w:t>
            </w:r>
          </w:p>
        </w:tc>
        <w:tc>
          <w:tcPr>
            <w:tcMar>
              <w:top w:w="80" w:type="dxa"/>
              <w:start w:w="90" w:type="dxa"/>
              <w:bottom w:w="80" w:type="dxa"/>
              <w:end w:w="90" w:type="dxa"/>
            </w:tcMar>
            <w:shd w:fill="D9EAF7" w:val="clear"/>
          </w:tcPr>
          <w:p>
            <w:pPr>
              <w:pStyle w:val="Compact"/>
              <w:jc w:val="left"/>
            </w:pPr>
            <w:r>
              <w:t xml:space="preserve">TRC failure: TRC-constrained decisions show no reduction in realized tail losses compared to controls.</w:t>
            </w:r>
          </w:p>
        </w:tc>
      </w:tr>
      <w:tr>
        <w:trPr/>
        <w:tc>
          <w:tcPr>
            <w:tcMar>
              <w:top w:w="80" w:type="dxa"/>
              <w:start w:w="90" w:type="dxa"/>
              <w:bottom w:w="80" w:type="dxa"/>
              <w:end w:w="90" w:type="dxa"/>
            </w:tcMar>
            <w:shd w:fill="F7FBFF" w:val="clear"/>
          </w:tcPr>
          <w:p>
            <w:pPr>
              <w:pStyle w:val="Compact"/>
              <w:jc w:val="left"/>
            </w:pPr>
            <w:r>
              <w:t xml:space="preserve">F3</w:t>
            </w:r>
          </w:p>
        </w:tc>
        <w:tc>
          <w:tcPr>
            <w:tcMar>
              <w:top w:w="80" w:type="dxa"/>
              <w:start w:w="90" w:type="dxa"/>
              <w:bottom w:w="80" w:type="dxa"/>
              <w:end w:w="90" w:type="dxa"/>
            </w:tcMar>
            <w:shd w:fill="F7FBFF" w:val="clear"/>
          </w:tcPr>
          <w:p>
            <w:pPr>
              <w:pStyle w:val="Compact"/>
              <w:jc w:val="left"/>
            </w:pPr>
            <w:r>
              <w:t xml:space="preserve">Ripple predictiveness failure: Sign accuracy remains &lt; 60% across successive NCAR cycles for key cells.</w:t>
            </w:r>
          </w:p>
        </w:tc>
      </w:tr>
      <w:tr>
        <w:trPr/>
        <w:tc>
          <w:tcPr>
            <w:tcMar>
              <w:top w:w="80" w:type="dxa"/>
              <w:start w:w="90" w:type="dxa"/>
              <w:bottom w:w="80" w:type="dxa"/>
              <w:end w:w="90" w:type="dxa"/>
            </w:tcMar>
            <w:shd w:fill="D9EAF7" w:val="clear"/>
          </w:tcPr>
          <w:p>
            <w:pPr>
              <w:pStyle w:val="Compact"/>
              <w:jc w:val="left"/>
            </w:pPr>
            <w:r>
              <w:t xml:space="preserve">F4</w:t>
            </w:r>
          </w:p>
        </w:tc>
        <w:tc>
          <w:tcPr>
            <w:tcMar>
              <w:top w:w="80" w:type="dxa"/>
              <w:start w:w="90" w:type="dxa"/>
              <w:bottom w:w="80" w:type="dxa"/>
              <w:end w:w="90" w:type="dxa"/>
            </w:tcMar>
            <w:shd w:fill="D9EAF7" w:val="clear"/>
          </w:tcPr>
          <w:p>
            <w:pPr>
              <w:pStyle w:val="Compact"/>
              <w:jc w:val="left"/>
            </w:pPr>
            <w:r>
              <w:t xml:space="preserve">Structural safeguard failure: UCI/HOI do not correlate with or predict meaningful degradation.</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F5</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Anti-gaming failure: Red-team exercises repeatedly exploit predictable loopholes (&gt; 30% of adversarial runs).</w:t>
            </w:r>
          </w:p>
        </w:tc>
      </w:tr>
    </w:tbl>
    <w:bookmarkEnd w:id="271"/>
    <w:bookmarkStart w:id="272" w:name="Xa965097f465630e396df61f50ca9565ef54ba9b"/>
    <w:p>
      <w:pPr>
        <w:pStyle w:val="Heading2"/>
        <w:keepNext/>
        <w:keepLines/>
        <w:pageBreakBefore w:val="0"/>
        <w:widowControl/>
      </w:pPr>
      <w:r>
        <w:rPr>
          <w:rFonts w:ascii="Arial" w:hAnsi="Arial" w:eastAsia="Arial"/>
          <w:b/>
          <w:color w:val="1F4E78"/>
        </w:rPr>
        <w:t xml:space="preserve">17.3 Validation Phases (Normative roadmap)</w:t>
      </w:r>
    </w:p>
    <w:p>
      <w:pPr>
        <w:pStyle w:val="FirstParagraph"/>
        <w:widowControl/>
      </w:pPr>
      <w:r>
        <w:t xml:space="preserve">Phase 1: Formal verification and implementation testing (0-6 months)</w:t>
      </w:r>
    </w:p>
    <w:p>
      <w:pPr>
        <w:pStyle w:val="Compact"/>
        <w:widowControl/>
        <w:numPr>
          <w:ilvl w:val="0"/>
          <w:numId w:val="1199"/>
        </w:numPr>
      </w:pPr>
      <w:r>
        <w:t xml:space="preserve">Independent implementation of Tier 2-3 algorithms from spec.</w:t>
      </w:r>
    </w:p>
    <w:p>
      <w:pPr>
        <w:pStyle w:val="Compact"/>
        <w:widowControl/>
        <w:numPr>
          <w:ilvl w:val="0"/>
          <w:numId w:val="1200"/>
        </w:numPr>
      </w:pPr>
      <w:r>
        <w:t xml:space="preserve">Unit tests for canonical equations (Appendix B).</w:t>
      </w:r>
    </w:p>
    <w:p>
      <w:pPr>
        <w:pStyle w:val="Compact"/>
        <w:widowControl/>
        <w:numPr>
          <w:ilvl w:val="0"/>
          <w:numId w:val="1201"/>
        </w:numPr>
      </w:pPr>
      <w:r>
        <w:t xml:space="preserve">Adversarial tests for masking, subgroup erasure, scenario omission, confidence inflation.</w:t>
      </w:r>
    </w:p>
    <w:p>
      <w:pPr>
        <w:pStyle w:val="Compact"/>
        <w:widowControl/>
        <w:numPr>
          <w:ilvl w:val="0"/>
          <w:numId w:val="1202"/>
        </w:numPr>
      </w:pPr>
      <w:r>
        <w:t xml:space="preserve">Produce reference PCCs and reproducibility checks.</w:t>
      </w:r>
    </w:p>
    <w:p>
      <w:pPr>
        <w:pStyle w:val="FirstParagraph"/>
        <w:widowControl/>
      </w:pPr>
      <w:r>
        <w:t xml:space="preserve">Phase 2: Measurement validation (4-15 months)</w:t>
      </w:r>
    </w:p>
    <w:p>
      <w:pPr>
        <w:pStyle w:val="Compact"/>
        <w:widowControl/>
        <w:numPr>
          <w:ilvl w:val="0"/>
          <w:numId w:val="1203"/>
        </w:numPr>
      </w:pPr>
      <w:r>
        <w:t xml:space="preserve">Indicator reliability and validity for welfare dimensions and UCI components.</w:t>
      </w:r>
    </w:p>
    <w:p>
      <w:pPr>
        <w:pStyle w:val="Compact"/>
        <w:widowControl/>
        <w:numPr>
          <w:ilvl w:val="0"/>
          <w:numId w:val="1204"/>
        </w:numPr>
      </w:pPr>
      <w:r>
        <w:t xml:space="preserve">Cross-population measurement checks where relevant.</w:t>
      </w:r>
    </w:p>
    <w:p>
      <w:pPr>
        <w:pStyle w:val="Compact"/>
        <w:widowControl/>
        <w:numPr>
          <w:ilvl w:val="0"/>
          <w:numId w:val="1205"/>
        </w:numPr>
      </w:pPr>
      <w:r>
        <w:t xml:space="preserve">Calibrate magnitude anchors and uncertainty mappings.</w:t>
      </w:r>
    </w:p>
    <w:p>
      <w:pPr>
        <w:pStyle w:val="FirstParagraph"/>
        <w:widowControl/>
      </w:pPr>
      <w:r>
        <w:t xml:space="preserve">Phase 3: Controlled pilots (10-24 months)</w:t>
      </w:r>
    </w:p>
    <w:p>
      <w:pPr>
        <w:pStyle w:val="Compact"/>
        <w:widowControl/>
        <w:numPr>
          <w:ilvl w:val="0"/>
          <w:numId w:val="1206"/>
        </w:numPr>
      </w:pPr>
      <w:r>
        <w:t xml:space="preserve">Pilot deployments in organizations or municipalities.</w:t>
      </w:r>
    </w:p>
    <w:p>
      <w:pPr>
        <w:pStyle w:val="Compact"/>
        <w:widowControl/>
        <w:numPr>
          <w:ilvl w:val="0"/>
          <w:numId w:val="1207"/>
        </w:numPr>
      </w:pPr>
      <w:r>
        <w:t xml:space="preserve">Compare RippleLogic vs baseline governance processes on: rights incidents, tail losses, stakeholder legitimacy, audit completeness, decision reversal rates.</w:t>
      </w:r>
    </w:p>
    <w:p>
      <w:pPr>
        <w:pStyle w:val="FirstParagraph"/>
        <w:widowControl/>
      </w:pPr>
      <w:r>
        <w:t xml:space="preserve">Phase 4: Field studies and scaling (18-36+ months)</w:t>
      </w:r>
    </w:p>
    <w:p>
      <w:pPr>
        <w:pStyle w:val="Compact"/>
        <w:widowControl/>
        <w:numPr>
          <w:ilvl w:val="0"/>
          <w:numId w:val="1208"/>
        </w:numPr>
      </w:pPr>
      <w:r>
        <w:t xml:space="preserve">Longitudinal monitoring of UCI/HOI and realized outcomes.</w:t>
      </w:r>
    </w:p>
    <w:p>
      <w:pPr>
        <w:pStyle w:val="Compact"/>
        <w:widowControl/>
        <w:numPr>
          <w:ilvl w:val="0"/>
          <w:numId w:val="1209"/>
        </w:numPr>
      </w:pPr>
      <w:r>
        <w:t xml:space="preserve">Kernel calibration and scenario library refinement.</w:t>
      </w:r>
    </w:p>
    <w:p>
      <w:pPr>
        <w:pStyle w:val="Compact"/>
        <w:widowControl/>
        <w:numPr>
          <w:ilvl w:val="0"/>
          <w:numId w:val="1210"/>
        </w:numPr>
      </w:pPr>
      <w:r>
        <w:t xml:space="preserve">Comparative performance across domains.</w:t>
      </w:r>
    </w:p>
    <w:bookmarkEnd w:id="272"/>
    <w:bookmarkStart w:id="273" w:name="Xb35b4b4d73d064ba594bb9476141f4a8a5e8e2e"/>
    <w:p>
      <w:pPr>
        <w:pStyle w:val="Heading2"/>
        <w:keepNext/>
        <w:keepLines/>
        <w:pageBreakBefore w:val="0"/>
        <w:widowControl/>
      </w:pPr>
      <w:r>
        <w:rPr>
          <w:rFonts w:ascii="Arial" w:hAnsi="Arial" w:eastAsia="Arial"/>
          <w:b/>
          <w:color w:val="1F4E78"/>
        </w:rPr>
        <w:t xml:space="preserve">17.4 Metrics and Targets (Normative defaults)</w:t>
      </w:r>
    </w:p>
    <w:bookmarkEnd w:id="273"/>
    <w:bookmarkStart w:id="274" w:name="Xe6e41a348a024a47d9ceee2bb89bfc15470a5e9"/>
    <w:p>
      <w:pPr>
        <w:pStyle w:val="Heading2"/>
        <w:keepNext/>
        <w:keepLines/>
        <w:pageBreakBefore w:val="0"/>
        <w:widowControl/>
      </w:pPr>
      <w:r>
        <w:rPr>
          <w:rFonts w:ascii="Arial" w:hAnsi="Arial" w:eastAsia="Arial"/>
          <w:b/>
          <w:color w:val="1F4E78"/>
        </w:rPr>
        <w:t xml:space="preserve">17.4A Inter-Rater Reliability Commitment (Normative commitment)</w:t>
      </w:r>
    </w:p>
    <w:p>
      <w:pPr>
        <w:pStyle w:val="Heading3"/>
        <w:keepNext/>
        <w:keepLines/>
        <w:pageBreakBefore w:val="0"/>
        <w:widowControl/>
      </w:pPr>
      <w:r>
        <w:rPr>
          <w:rFonts w:ascii="Arial" w:hAnsi="Arial" w:eastAsia="Arial"/>
          <w:b/>
          <w:color w:val="1F4E78"/>
        </w:rPr>
        <w:t>IRR single-source rule (Normative).</w:t>
      </w:r>
    </w:p>
    <w:p>
      <w:pPr>
        <w:widowControl/>
      </w:pPr>
      <w:r>
        <w:t>The target table in this section controls. The RLS Validation Protocol mirrors and operationalizes it; any divergent threshold or statistic in a companion is non-controlling until adopted here.</w:t>
      </w:r>
    </w:p>
    <w:p>
      <w:pPr>
        <w:pStyle w:val="FirstParagraph"/>
        <w:widowControl/>
      </w:pPr>
      <w:r>
        <w:t xml:space="preserve">Before Tier 3 operational-readiness claims are made, the framework SHALL publish or register at least one inter-rater reliability (IRR) study on a representative case set covering: (i) welfare-cell anchoring, including magnitude construction mu_k using both percentile anchoring and threshold anchoring methods, (ii) rights-floor evaluation, including subgroup identification and worst-off impact estimation, (iii) local-scope/PLSS usage, including prominence signal construction and scope classification, and (iv) scenario construction and probability assignment for TRC.</w:t>
      </w:r>
    </w:p>
    <w:p>
      <w:pPr>
        <w:pStyle w:val="BodyText"/>
        <w:widowControl/>
      </w:pPr>
      <w:r>
        <w:t xml:space="preserve">The study MUST report the case set, evaluator instructions, adjudication procedure, disagreement classes, and reliability statistics appropriate to the data type used.</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Component</w:t>
            </w:r>
          </w:p>
        </w:tc>
        <w:tc>
          <w:tcPr>
            <w:shd w:fill="1F4E78" w:val="clear"/>
            <w:tcMar>
              <w:top w:w="80" w:type="dxa"/>
              <w:start w:w="90" w:type="dxa"/>
              <w:bottom w:w="80" w:type="dxa"/>
              <w:end w:w="90" w:type="dxa"/>
            </w:tcMar>
          </w:tcPr>
          <w:p>
            <w:pPr>
              <w:pStyle w:val="Compact"/>
              <w:jc w:val="left"/>
            </w:pPr>
            <w:r>
              <w:rPr>
                <w:b/>
                <w:bCs/>
                <w:color w:val="FFFFFF"/>
              </w:rPr>
              <w:t xml:space="preserve">Target ICC</w:t>
            </w:r>
          </w:p>
        </w:tc>
        <w:tc>
          <w:tcPr>
            <w:shd w:fill="1F4E78" w:val="clear"/>
            <w:tcMar>
              <w:top w:w="80" w:type="dxa"/>
              <w:start w:w="90" w:type="dxa"/>
              <w:bottom w:w="80" w:type="dxa"/>
              <w:end w:w="90" w:type="dxa"/>
            </w:tcMar>
          </w:tcPr>
          <w:p>
            <w:pPr>
              <w:pStyle w:val="Compact"/>
              <w:jc w:val="left"/>
            </w:pPr>
            <w:r>
              <w:rPr>
                <w:b/>
                <w:bCs/>
                <w:color w:val="FFFFFF"/>
              </w:rPr>
              <w:t xml:space="preserve">Minimum acceptable</w:t>
            </w:r>
          </w:p>
        </w:tc>
        <w:tc>
          <w:tcPr>
            <w:shd w:fill="1F4E78" w:val="clear"/>
            <w:tcMar>
              <w:top w:w="80" w:type="dxa"/>
              <w:start w:w="90" w:type="dxa"/>
              <w:bottom w:w="80" w:type="dxa"/>
              <w:end w:w="90" w:type="dxa"/>
            </w:tcMar>
          </w:tcPr>
          <w:p>
            <w:pPr>
              <w:pStyle w:val="Compact"/>
              <w:jc w:val="left"/>
            </w:pPr>
            <w:r>
              <w:rPr>
                <w:b/>
                <w:bCs/>
                <w:color w:val="FFFFFF"/>
              </w:rPr>
              <w:t xml:space="preserve">Notes</w:t>
            </w:r>
          </w:p>
        </w:tc>
      </w:tr>
      <w:tr>
        <w:trPr/>
        <w:tc>
          <w:tcPr>
            <w:tcMar>
              <w:top w:w="80" w:type="dxa"/>
              <w:start w:w="90" w:type="dxa"/>
              <w:bottom w:w="80" w:type="dxa"/>
              <w:end w:w="90" w:type="dxa"/>
            </w:tcMar>
            <w:shd w:fill="F7FBFF" w:val="clear"/>
          </w:tcPr>
          <w:p>
            <w:pPr>
              <w:pStyle w:val="Compact"/>
              <w:jc w:val="left"/>
            </w:pPr>
            <w:r>
              <w:t xml:space="preserve">Magnitude construction (mu_k)</w:t>
            </w:r>
          </w:p>
        </w:tc>
        <w:tc>
          <w:tcPr>
            <w:tcMar>
              <w:top w:w="80" w:type="dxa"/>
              <w:start w:w="90" w:type="dxa"/>
              <w:bottom w:w="80" w:type="dxa"/>
              <w:end w:w="90" w:type="dxa"/>
            </w:tcMar>
            <w:shd w:fill="F7FBFF" w:val="clear"/>
          </w:tcPr>
          <w:p>
            <w:pPr>
              <w:pStyle w:val="Compact"/>
              <w:jc w:val="left"/>
            </w:pPr>
            <w:r>
              <w:t xml:space="preserve">&gt;= 0.70</w:t>
            </w:r>
          </w:p>
        </w:tc>
        <w:tc>
          <w:tcPr>
            <w:tcMar>
              <w:top w:w="80" w:type="dxa"/>
              <w:start w:w="90" w:type="dxa"/>
              <w:bottom w:w="80" w:type="dxa"/>
              <w:end w:w="90" w:type="dxa"/>
            </w:tcMar>
            <w:shd w:fill="F7FBFF" w:val="clear"/>
          </w:tcPr>
          <w:p>
            <w:pPr>
              <w:pStyle w:val="Compact"/>
              <w:jc w:val="left"/>
            </w:pPr>
            <w:r>
              <w:t xml:space="preserve">&gt;= 0.60</w:t>
            </w:r>
          </w:p>
        </w:tc>
        <w:tc>
          <w:tcPr>
            <w:tcMar>
              <w:top w:w="80" w:type="dxa"/>
              <w:start w:w="90" w:type="dxa"/>
              <w:bottom w:w="80" w:type="dxa"/>
              <w:end w:w="90" w:type="dxa"/>
            </w:tcMar>
            <w:shd w:fill="F7FBFF" w:val="clear"/>
          </w:tcPr>
          <w:p>
            <w:pPr>
              <w:pStyle w:val="Compact"/>
              <w:jc w:val="left"/>
            </w:pPr>
            <w:r>
              <w:t xml:space="preserve">Tested separately for percentile and threshold anchoring</w:t>
            </w:r>
          </w:p>
        </w:tc>
      </w:tr>
      <w:tr>
        <w:trPr/>
        <w:tc>
          <w:tcPr>
            <w:tcMar>
              <w:top w:w="80" w:type="dxa"/>
              <w:start w:w="90" w:type="dxa"/>
              <w:bottom w:w="80" w:type="dxa"/>
              <w:end w:w="90" w:type="dxa"/>
            </w:tcMar>
            <w:shd w:fill="D9EAF7" w:val="clear"/>
          </w:tcPr>
          <w:p>
            <w:pPr>
              <w:pStyle w:val="Compact"/>
              <w:jc w:val="left"/>
            </w:pPr>
            <w:r>
              <w:t xml:space="preserve">Rights-floor pass/fail (NCRC)</w:t>
            </w:r>
          </w:p>
        </w:tc>
        <w:tc>
          <w:tcPr>
            <w:tcMar>
              <w:top w:w="80" w:type="dxa"/>
              <w:start w:w="90" w:type="dxa"/>
              <w:bottom w:w="80" w:type="dxa"/>
              <w:end w:w="90" w:type="dxa"/>
            </w:tcMar>
            <w:shd w:fill="D9EAF7" w:val="clear"/>
          </w:tcPr>
          <w:p>
            <w:pPr>
              <w:pStyle w:val="Compact"/>
              <w:jc w:val="left"/>
            </w:pPr>
            <w:r>
              <w:t xml:space="preserve">&gt;= 0.80</w:t>
            </w:r>
          </w:p>
        </w:tc>
        <w:tc>
          <w:tcPr>
            <w:tcMar>
              <w:top w:w="80" w:type="dxa"/>
              <w:start w:w="90" w:type="dxa"/>
              <w:bottom w:w="80" w:type="dxa"/>
              <w:end w:w="90" w:type="dxa"/>
            </w:tcMar>
            <w:shd w:fill="D9EAF7" w:val="clear"/>
          </w:tcPr>
          <w:p>
            <w:pPr>
              <w:pStyle w:val="Compact"/>
              <w:jc w:val="left"/>
            </w:pPr>
            <w:r>
              <w:t xml:space="preserve">&gt;= 0.70</w:t>
            </w:r>
          </w:p>
        </w:tc>
        <w:tc>
          <w:tcPr>
            <w:tcMar>
              <w:top w:w="80" w:type="dxa"/>
              <w:start w:w="90" w:type="dxa"/>
              <w:bottom w:w="80" w:type="dxa"/>
              <w:end w:w="90" w:type="dxa"/>
            </w:tcMar>
            <w:shd w:fill="D9EAF7" w:val="clear"/>
          </w:tcPr>
          <w:p>
            <w:pPr>
              <w:pStyle w:val="Compact"/>
              <w:jc w:val="left"/>
            </w:pPr>
            <w:r>
              <w:t xml:space="preserve">Binary gate; higher target reflects non-compensability</w:t>
            </w:r>
          </w:p>
        </w:tc>
      </w:tr>
      <w:tr>
        <w:trPr/>
        <w:tc>
          <w:tcPr>
            <w:tcMar>
              <w:top w:w="80" w:type="dxa"/>
              <w:start w:w="90" w:type="dxa"/>
              <w:bottom w:w="80" w:type="dxa"/>
              <w:end w:w="90" w:type="dxa"/>
            </w:tcMar>
            <w:shd w:fill="F7FBFF" w:val="clear"/>
          </w:tcPr>
          <w:p>
            <w:pPr>
              <w:pStyle w:val="Compact"/>
              <w:jc w:val="left"/>
            </w:pPr>
            <w:r>
              <w:t xml:space="preserve">TRC pass/fail</w:t>
            </w:r>
          </w:p>
        </w:tc>
        <w:tc>
          <w:tcPr>
            <w:tcMar>
              <w:top w:w="80" w:type="dxa"/>
              <w:start w:w="90" w:type="dxa"/>
              <w:bottom w:w="80" w:type="dxa"/>
              <w:end w:w="90" w:type="dxa"/>
            </w:tcMar>
            <w:shd w:fill="F7FBFF" w:val="clear"/>
          </w:tcPr>
          <w:p>
            <w:pPr>
              <w:pStyle w:val="Compact"/>
              <w:jc w:val="left"/>
            </w:pPr>
            <w:r>
              <w:t xml:space="preserve">&gt;= 0.80</w:t>
            </w:r>
          </w:p>
        </w:tc>
        <w:tc>
          <w:tcPr>
            <w:tcMar>
              <w:top w:w="80" w:type="dxa"/>
              <w:start w:w="90" w:type="dxa"/>
              <w:bottom w:w="80" w:type="dxa"/>
              <w:end w:w="90" w:type="dxa"/>
            </w:tcMar>
            <w:shd w:fill="F7FBFF" w:val="clear"/>
          </w:tcPr>
          <w:p>
            <w:pPr>
              <w:pStyle w:val="Compact"/>
              <w:jc w:val="left"/>
            </w:pPr>
            <w:r>
              <w:t xml:space="preserve">&gt;= 0.70</w:t>
            </w:r>
          </w:p>
        </w:tc>
        <w:tc>
          <w:tcPr>
            <w:tcMar>
              <w:top w:w="80" w:type="dxa"/>
              <w:start w:w="90" w:type="dxa"/>
              <w:bottom w:w="80" w:type="dxa"/>
              <w:end w:w="90" w:type="dxa"/>
            </w:tcMar>
            <w:shd w:fill="F7FBFF" w:val="clear"/>
          </w:tcPr>
          <w:p>
            <w:pPr>
              <w:pStyle w:val="Compact"/>
              <w:jc w:val="left"/>
            </w:pPr>
            <w:r>
              <w:t xml:space="preserve">Binary gate</w:t>
            </w:r>
          </w:p>
        </w:tc>
      </w:tr>
      <w:tr>
        <w:trPr/>
        <w:tc>
          <w:tcPr>
            <w:tcMar>
              <w:top w:w="80" w:type="dxa"/>
              <w:start w:w="90" w:type="dxa"/>
              <w:bottom w:w="80" w:type="dxa"/>
              <w:end w:w="90" w:type="dxa"/>
            </w:tcMar>
            <w:shd w:fill="D9EAF7" w:val="clear"/>
          </w:tcPr>
          <w:p>
            <w:pPr>
              <w:pStyle w:val="Compact"/>
              <w:jc w:val="left"/>
            </w:pPr>
            <w:r>
              <w:t xml:space="preserve">RLS ranking order</w:t>
            </w:r>
          </w:p>
        </w:tc>
        <w:tc>
          <w:tcPr>
            <w:tcMar>
              <w:top w:w="80" w:type="dxa"/>
              <w:start w:w="90" w:type="dxa"/>
              <w:bottom w:w="80" w:type="dxa"/>
              <w:end w:w="90" w:type="dxa"/>
            </w:tcMar>
            <w:shd w:fill="D9EAF7" w:val="clear"/>
          </w:tcPr>
          <w:p>
            <w:pPr>
              <w:pStyle w:val="Compact"/>
              <w:jc w:val="left"/>
            </w:pPr>
            <w:r>
              <w:t xml:space="preserve">&gt;= 0.70</w:t>
            </w:r>
          </w:p>
        </w:tc>
        <w:tc>
          <w:tcPr>
            <w:tcMar>
              <w:top w:w="80" w:type="dxa"/>
              <w:start w:w="90" w:type="dxa"/>
              <w:bottom w:w="80" w:type="dxa"/>
              <w:end w:w="90" w:type="dxa"/>
            </w:tcMar>
            <w:shd w:fill="D9EAF7" w:val="clear"/>
          </w:tcPr>
          <w:p>
            <w:pPr>
              <w:pStyle w:val="Compact"/>
              <w:jc w:val="left"/>
            </w:pPr>
            <w:r>
              <w:t xml:space="preserve">&gt;= 0.60</w:t>
            </w:r>
          </w:p>
        </w:tc>
        <w:tc>
          <w:tcPr>
            <w:tcMar>
              <w:top w:w="80" w:type="dxa"/>
              <w:start w:w="90" w:type="dxa"/>
              <w:bottom w:w="80" w:type="dxa"/>
              <w:end w:w="90" w:type="dxa"/>
            </w:tcMar>
            <w:shd w:fill="D9EAF7" w:val="clear"/>
          </w:tcPr>
          <w:p>
            <w:pPr>
              <w:pStyle w:val="Compact"/>
              <w:jc w:val="left"/>
            </w:pPr>
            <w:r>
              <w:t xml:space="preserve">Ordinal agreement on option ranking</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PLSS prominence classification</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&gt;= 0.70</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&gt;= 0.60</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Prominent vs Guardrail per scope</w:t>
            </w:r>
          </w:p>
        </w:tc>
      </w:tr>
    </w:tbl>
    <w:p>
      <w:pPr>
        <w:pStyle w:val="BodyText"/>
        <w:widowControl/>
      </w:pPr>
      <w:r>
        <w:t xml:space="preserve">Sustained inability to exceed the minimum acceptable threshold on any component after rubric training indicates that the component requires redesign or additional anchoring guidance.</w:t>
      </w:r>
    </w:p>
    <w:p>
      <w:pPr>
        <w:pStyle w:val="BodyText"/>
        <w:widowControl/>
      </w:pPr>
      <w:r>
        <w:t xml:space="preserve">Until such evidence exists, Tier 3 remains architecturally specified but empirically incomplete.</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Metric</w:t>
            </w:r>
          </w:p>
        </w:tc>
        <w:tc>
          <w:tcPr>
            <w:shd w:fill="1F4E78" w:val="clear"/>
            <w:tcMar>
              <w:top w:w="80" w:type="dxa"/>
              <w:start w:w="90" w:type="dxa"/>
              <w:bottom w:w="80" w:type="dxa"/>
              <w:end w:w="90" w:type="dxa"/>
            </w:tcMar>
          </w:tcPr>
          <w:p>
            <w:pPr>
              <w:pStyle w:val="Compact"/>
              <w:jc w:val="left"/>
            </w:pPr>
            <w:r>
              <w:rPr>
                <w:b/>
                <w:bCs/>
                <w:color w:val="FFFFFF"/>
              </w:rPr>
              <w:t xml:space="preserve">Definition</w:t>
            </w:r>
          </w:p>
        </w:tc>
        <w:tc>
          <w:tcPr>
            <w:shd w:fill="1F4E78" w:val="clear"/>
            <w:tcMar>
              <w:top w:w="80" w:type="dxa"/>
              <w:start w:w="90" w:type="dxa"/>
              <w:bottom w:w="80" w:type="dxa"/>
              <w:end w:w="90" w:type="dxa"/>
            </w:tcMar>
          </w:tcPr>
          <w:p>
            <w:pPr>
              <w:pStyle w:val="Compact"/>
              <w:jc w:val="left"/>
            </w:pPr>
            <w:r>
              <w:rPr>
                <w:b/>
                <w:bCs/>
                <w:color w:val="FFFFFF"/>
              </w:rPr>
              <w:t xml:space="preserve">Default Target</w:t>
            </w:r>
          </w:p>
        </w:tc>
      </w:tr>
      <w:tr>
        <w:trPr/>
        <w:tc>
          <w:tcPr>
            <w:tcMar>
              <w:top w:w="80" w:type="dxa"/>
              <w:start w:w="90" w:type="dxa"/>
              <w:bottom w:w="80" w:type="dxa"/>
              <w:end w:w="90" w:type="dxa"/>
            </w:tcMar>
            <w:shd w:fill="F7FBFF" w:val="clear"/>
          </w:tcPr>
          <w:p>
            <w:pPr>
              <w:pStyle w:val="Compact"/>
              <w:jc w:val="left"/>
            </w:pPr>
            <w:r>
              <w:t xml:space="preserve">Rights violation rate</w:t>
            </w:r>
          </w:p>
        </w:tc>
        <w:tc>
          <w:tcPr>
            <w:tcMar>
              <w:top w:w="80" w:type="dxa"/>
              <w:start w:w="90" w:type="dxa"/>
              <w:bottom w:w="80" w:type="dxa"/>
              <w:end w:w="90" w:type="dxa"/>
            </w:tcMar>
            <w:shd w:fill="F7FBFF" w:val="clear"/>
          </w:tcPr>
          <w:p>
            <w:pPr>
              <w:pStyle w:val="Compact"/>
              <w:jc w:val="left"/>
            </w:pPr>
            <w:r>
              <w:t xml:space="preserve">Verified post-decision rights infringements per protected subgroup</w:t>
            </w:r>
          </w:p>
        </w:tc>
        <w:tc>
          <w:tcPr>
            <w:tcMar>
              <w:top w:w="80" w:type="dxa"/>
              <w:start w:w="90" w:type="dxa"/>
              <w:bottom w:w="80" w:type="dxa"/>
              <w:end w:w="90" w:type="dxa"/>
            </w:tcMar>
            <w:shd w:fill="F7FBFF" w:val="clear"/>
          </w:tcPr>
          <w:p>
            <w:pPr>
              <w:pStyle w:val="Compact"/>
              <w:jc w:val="left"/>
            </w:pPr>
            <w:r>
              <w:t xml:space="preserve">Lower than baseline governance</w:t>
            </w:r>
          </w:p>
        </w:tc>
      </w:tr>
      <w:tr>
        <w:trPr/>
        <w:tc>
          <w:tcPr>
            <w:tcMar>
              <w:top w:w="80" w:type="dxa"/>
              <w:start w:w="90" w:type="dxa"/>
              <w:bottom w:w="80" w:type="dxa"/>
              <w:end w:w="90" w:type="dxa"/>
            </w:tcMar>
            <w:shd w:fill="D9EAF7" w:val="clear"/>
          </w:tcPr>
          <w:p>
            <w:pPr>
              <w:pStyle w:val="Compact"/>
              <w:jc w:val="left"/>
            </w:pPr>
            <w:r>
              <w:t xml:space="preserve">Tail-loss severity</w:t>
            </w:r>
          </w:p>
        </w:tc>
        <w:tc>
          <w:tcPr>
            <w:tcMar>
              <w:top w:w="80" w:type="dxa"/>
              <w:start w:w="90" w:type="dxa"/>
              <w:bottom w:w="80" w:type="dxa"/>
              <w:end w:w="90" w:type="dxa"/>
            </w:tcMar>
            <w:shd w:fill="D9EAF7" w:val="clear"/>
          </w:tcPr>
          <w:p>
            <w:pPr>
              <w:pStyle w:val="Compact"/>
              <w:jc w:val="left"/>
            </w:pPr>
            <w:r>
              <w:t xml:space="preserve">Realized catastrophe-cell loss in worst outcomes</w:t>
            </w:r>
          </w:p>
        </w:tc>
        <w:tc>
          <w:tcPr>
            <w:tcMar>
              <w:top w:w="80" w:type="dxa"/>
              <w:start w:w="90" w:type="dxa"/>
              <w:bottom w:w="80" w:type="dxa"/>
              <w:end w:w="90" w:type="dxa"/>
            </w:tcMar>
            <w:shd w:fill="D9EAF7" w:val="clear"/>
          </w:tcPr>
          <w:p>
            <w:pPr>
              <w:pStyle w:val="Compact"/>
              <w:jc w:val="left"/>
            </w:pPr>
            <w:r>
              <w:t xml:space="preserve">Lower than baseline governance</w:t>
            </w:r>
          </w:p>
        </w:tc>
      </w:tr>
      <w:tr>
        <w:trPr/>
        <w:tc>
          <w:tcPr>
            <w:tcMar>
              <w:top w:w="80" w:type="dxa"/>
              <w:start w:w="90" w:type="dxa"/>
              <w:bottom w:w="80" w:type="dxa"/>
              <w:end w:w="90" w:type="dxa"/>
            </w:tcMar>
            <w:shd w:fill="F7FBFF" w:val="clear"/>
          </w:tcPr>
          <w:p>
            <w:pPr>
              <w:pStyle w:val="Compact"/>
              <w:jc w:val="left"/>
            </w:pPr>
            <w:r>
              <w:t xml:space="preserve">Sign accuracy</w:t>
            </w:r>
          </w:p>
        </w:tc>
        <w:tc>
          <w:tcPr>
            <w:tcMar>
              <w:top w:w="80" w:type="dxa"/>
              <w:start w:w="90" w:type="dxa"/>
              <w:bottom w:w="80" w:type="dxa"/>
              <w:end w:w="90" w:type="dxa"/>
            </w:tcMar>
            <w:shd w:fill="F7FBFF" w:val="clear"/>
          </w:tcPr>
          <w:p>
            <w:pPr>
              <w:pStyle w:val="Compact"/>
              <w:jc w:val="left"/>
            </w:pPr>
            <w:r>
              <w:t xml:space="preserve">Match of predicted vs observed sign</w:t>
            </w:r>
          </w:p>
        </w:tc>
        <w:tc>
          <w:tcPr>
            <w:tcMar>
              <w:top w:w="80" w:type="dxa"/>
              <w:start w:w="90" w:type="dxa"/>
              <w:bottom w:w="80" w:type="dxa"/>
              <w:end w:w="90" w:type="dxa"/>
            </w:tcMar>
            <w:shd w:fill="F7FBFF" w:val="clear"/>
          </w:tcPr>
          <w:p>
            <w:pPr>
              <w:pStyle w:val="Compact"/>
              <w:jc w:val="left"/>
            </w:pPr>
            <w:r>
              <w:t xml:space="preserve">≥0.70 after calibration</w:t>
            </w:r>
          </w:p>
        </w:tc>
      </w:tr>
      <w:tr>
        <w:trPr/>
        <w:tc>
          <w:tcPr>
            <w:tcMar>
              <w:top w:w="80" w:type="dxa"/>
              <w:start w:w="90" w:type="dxa"/>
              <w:bottom w:w="80" w:type="dxa"/>
              <w:end w:w="90" w:type="dxa"/>
            </w:tcMar>
            <w:shd w:fill="D9EAF7" w:val="clear"/>
          </w:tcPr>
          <w:p>
            <w:pPr>
              <w:pStyle w:val="Compact"/>
              <w:jc w:val="left"/>
            </w:pPr>
            <w:r>
              <w:t xml:space="preserve">Magnitude error (RMSE)</w:t>
            </w:r>
          </w:p>
        </w:tc>
        <w:tc>
          <w:tcPr>
            <w:tcMar>
              <w:top w:w="80" w:type="dxa"/>
              <w:start w:w="90" w:type="dxa"/>
              <w:bottom w:w="80" w:type="dxa"/>
              <w:end w:w="90" w:type="dxa"/>
            </w:tcMar>
            <w:shd w:fill="D9EAF7" w:val="clear"/>
          </w:tcPr>
          <w:p>
            <w:pPr>
              <w:pStyle w:val="Compact"/>
              <w:jc w:val="left"/>
            </w:pPr>
            <w:r>
              <w:t xml:space="preserve">RMSE on normalized [-1,+1] for measurable cells</w:t>
            </w:r>
          </w:p>
        </w:tc>
        <w:tc>
          <w:tcPr>
            <w:tcMar>
              <w:top w:w="80" w:type="dxa"/>
              <w:start w:w="90" w:type="dxa"/>
              <w:bottom w:w="80" w:type="dxa"/>
              <w:end w:w="90" w:type="dxa"/>
            </w:tcMar>
            <w:shd w:fill="D9EAF7" w:val="clear"/>
          </w:tcPr>
          <w:p>
            <w:pPr>
              <w:pStyle w:val="Compact"/>
              <w:jc w:val="left"/>
            </w:pPr>
            <w:r>
              <w:t xml:space="preserve">≤0.25 (domain-dependent)</w:t>
            </w:r>
          </w:p>
        </w:tc>
      </w:tr>
      <w:tr>
        <w:trPr/>
        <w:tc>
          <w:tcPr>
            <w:tcMar>
              <w:top w:w="80" w:type="dxa"/>
              <w:start w:w="90" w:type="dxa"/>
              <w:bottom w:w="80" w:type="dxa"/>
              <w:end w:w="90" w:type="dxa"/>
            </w:tcMar>
            <w:shd w:fill="F7FBFF" w:val="clear"/>
          </w:tcPr>
          <w:p>
            <w:pPr>
              <w:pStyle w:val="Compact"/>
              <w:jc w:val="left"/>
            </w:pPr>
            <w:r>
              <w:t xml:space="preserve">Audit completeness</w:t>
            </w:r>
          </w:p>
        </w:tc>
        <w:tc>
          <w:tcPr>
            <w:tcMar>
              <w:top w:w="80" w:type="dxa"/>
              <w:start w:w="90" w:type="dxa"/>
              <w:bottom w:w="80" w:type="dxa"/>
              <w:end w:w="90" w:type="dxa"/>
            </w:tcMar>
            <w:shd w:fill="F7FBFF" w:val="clear"/>
          </w:tcPr>
          <w:p>
            <w:pPr>
              <w:pStyle w:val="Compact"/>
              <w:jc w:val="left"/>
            </w:pPr>
            <w:r>
              <w:t xml:space="preserve">Proportion of required PCC fields correctly filled</w:t>
            </w:r>
          </w:p>
        </w:tc>
        <w:tc>
          <w:tcPr>
            <w:tcMar>
              <w:top w:w="80" w:type="dxa"/>
              <w:start w:w="90" w:type="dxa"/>
              <w:bottom w:w="80" w:type="dxa"/>
              <w:end w:w="90" w:type="dxa"/>
            </w:tcMar>
            <w:shd w:fill="F7FBFF" w:val="clear"/>
          </w:tcPr>
          <w:p>
            <w:pPr>
              <w:pStyle w:val="Compact"/>
              <w:jc w:val="left"/>
            </w:pPr>
            <w:r>
              <w:t xml:space="preserve">≥0.95 Tier 3</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Gaming success rate</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Fraction of adversarial attempts that change outcome illegitimately</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Decreasing over time; investigate if &gt; 0.30</w:t>
            </w:r>
          </w:p>
        </w:tc>
      </w:tr>
    </w:tbl>
    <w:bookmarkEnd w:id="274"/>
    <w:bookmarkStart w:id="275" w:name="Xf6657669dce0c22c9cca265498314573b68c82f"/>
    <w:p>
      <w:pPr>
        <w:pStyle w:val="Heading2"/>
        <w:keepNext/>
        <w:keepLines/>
        <w:pageBreakBefore w:val="0"/>
        <w:widowControl/>
      </w:pPr>
      <w:r>
        <w:rPr>
          <w:rFonts w:ascii="Arial" w:hAnsi="Arial" w:eastAsia="Arial"/>
          <w:b/>
          <w:color w:val="1F4E78"/>
        </w:rPr>
        <w:t xml:space="preserve">17.5 Study Design Requirements (Normative)</w:t>
      </w:r>
    </w:p>
    <w:p>
      <w:pPr>
        <w:pStyle w:val="Compact"/>
        <w:widowControl/>
        <w:numPr>
          <w:ilvl w:val="0"/>
          <w:numId w:val="1211"/>
        </w:numPr>
      </w:pPr>
      <w:r>
        <w:t xml:space="preserve">Pre-registration required for pilots claiming performance improvements.</w:t>
      </w:r>
    </w:p>
    <w:p>
      <w:pPr>
        <w:pStyle w:val="Compact"/>
        <w:widowControl/>
        <w:numPr>
          <w:ilvl w:val="0"/>
          <w:numId w:val="1212"/>
        </w:numPr>
      </w:pPr>
      <w:r>
        <w:t xml:space="preserve">Control or comparator condition recommended (baseline governance).</w:t>
      </w:r>
    </w:p>
    <w:p>
      <w:pPr>
        <w:pStyle w:val="Compact"/>
        <w:widowControl/>
        <w:numPr>
          <w:ilvl w:val="0"/>
          <w:numId w:val="1213"/>
        </w:numPr>
      </w:pPr>
      <w:r>
        <w:t xml:space="preserve">Blinding recommended for backtests: analyst should not know outcome during the run.</w:t>
      </w:r>
    </w:p>
    <w:bookmarkEnd w:id="275"/>
    <w:bookmarkStart w:id="276" w:name="X4de1483d1f9012ffce12ecc9f881abed0d34ea4"/>
    <w:p>
      <w:pPr>
        <w:pStyle w:val="Heading2"/>
        <w:keepNext/>
        <w:keepLines/>
        <w:pageBreakBefore w:val="0"/>
        <w:widowControl/>
      </w:pPr>
      <w:r>
        <w:rPr>
          <w:rFonts w:ascii="Arial" w:hAnsi="Arial" w:eastAsia="Arial"/>
          <w:b/>
          <w:color w:val="1F4E78"/>
        </w:rPr>
        <w:t xml:space="preserve">17.5A Projection Pre-Registration</w:t>
      </w:r>
    </w:p>
    <w:bookmarkEnd w:id="276"/>
    <w:bookmarkStart w:id="277" w:name="X0da44e8cdd3ed4983f782a131e51bfac2220343"/>
    <w:p>
      <w:pPr>
        <w:pStyle w:val="Heading2"/>
        <w:keepNext/>
        <w:keepLines/>
        <w:pageBreakBefore w:val="0"/>
        <w:widowControl/>
      </w:pPr>
      <w:r>
        <w:rPr>
          <w:rFonts w:ascii="Arial" w:hAnsi="Arial" w:eastAsia="Arial"/>
          <w:b/>
          <w:color w:val="1F4E78"/>
        </w:rPr>
        <w:t xml:space="preserve">17.5A.5 Freeze-Hash and Unique-Prediction Requirement (Normative for public validation and ProofPack-prep claims)</w:t>
      </w:r>
    </w:p>
    <w:p>
      <w:pPr>
        <w:pStyle w:val="FirstParagraph"/>
        <w:widowControl/>
      </w:pPr>
      <w:r>
        <w:t xml:space="preserve">A validation claim is not falsifiable unless the projection was frozen before outcome evidence was consulted. For Tier 3 public pilots, public validation claims, and ProofPack-prep runs, ProjectionPreRegistration SHOULD include projection_freeze_hash, freeze_timestamp_utc, prediction_scope, predicted_observable_consequence_class, outcome_observation_timestamp, and post_observation_modification.</w:t>
      </w:r>
    </w:p>
    <w:p>
      <w:pPr>
        <w:pStyle w:val="BodyText"/>
        <w:widowControl/>
      </w:pPr>
      <w:r>
        <w:t xml:space="preserve">A material validation claim SHOULD produce exactly one predicted observable consequence class or a declared finite prediction set with pre-specified resolution rule. If the projection produces no prediction, an open-ended prediction, or a non-unique prediction without resolution rule, the claim is exploratory rather than falsifiable and SHOULD be marked NON_UNIQUE_PREDICTION or EXPLORATORY_ONLY.</w:t>
      </w:r>
    </w:p>
    <w:p>
      <w:pPr>
        <w:pStyle w:val="BodyText"/>
        <w:widowControl/>
      </w:pPr>
      <w:r>
        <w:t xml:space="preserve">If post_observation_modification=TRUE for a material validation claim, the run MUST NOT be used as a falsification test for that claim and SHOULD set POST_HOC_PROJECTION_INVALID with severity INVALID. A revised projection requires a new freeze hash and a new run. (Normative for pilots and Tier 3; Recommended otherwise)</w:t>
      </w:r>
    </w:p>
    <w:p>
      <w:pPr>
        <w:pStyle w:val="BodyText"/>
        <w:widowControl/>
      </w:pPr>
      <w:r>
        <w:t xml:space="preserve">Purpose. To preserve falsifiability and prevent post-hoc projection drift, pilot runs and Tier 3 runs SHALL pre-register the projection map from declared inputs to admissibility verdict before decision data is consulted in a way that could influence parameter selection.</w:t>
      </w:r>
    </w:p>
    <w:bookmarkEnd w:id="277"/>
    <w:bookmarkStart w:id="278" w:name="Xa54224eff8d12f63023100a8f88f16222817109"/>
    <w:p>
      <w:pPr>
        <w:pStyle w:val="Heading2"/>
        <w:keepNext/>
        <w:keepLines/>
        <w:pageBreakBefore w:val="0"/>
        <w:widowControl/>
      </w:pPr>
      <w:r>
        <w:rPr>
          <w:rFonts w:ascii="Arial" w:hAnsi="Arial" w:eastAsia="Arial"/>
          <w:b/>
          <w:color w:val="1F4E78"/>
        </w:rPr>
        <w:t xml:space="preserve">17.5A.1 ProjectionPreRegistration object (Normative)</w:t>
      </w:r>
    </w:p>
    <w:p>
      <w:pPr>
        <w:pStyle w:val="FirstParagraph"/>
        <w:widowControl/>
      </w:pPr>
      <w:r>
        <w:t xml:space="preserve">A ProjectionPreRegistration object SHALL be emitted, signed, timestamped, and stored before any cascade computation that contributes to a pilot or Tier 3 decision record. It SHALL contain at minimum: decision boundary, time horizon, and option set; stakeholder discovery record, including LSS and instance-to-scope mapping; rights coverage set C_r and per-right thresholds theta_r, including any non-default values with justification; catastrophe cell set C_cat, scenario set S, scenario probabilities p_s, CVaR confidence alpha, and TRC corridor tau_TRC; Containment trigger conditions and containing scopes; constitutional weight floors and any tier-appropriate non-default weights with justification; SGP v8.4 binding for impacted stakeholders, including target/record id, MPS band and interval, FPP status, validity status, and planned interval-sensitivity points; subgroup uplift gamma_subgroup and any non-default value with justification; kernel mode and kernel quality status where applicable; sensitivity sweep specification; pre-declared falsification, refusal, escalation, and re-run conditions.</w:t>
      </w:r>
    </w:p>
    <w:bookmarkEnd w:id="278"/>
    <w:bookmarkStart w:id="279" w:name="X1739ed9b8c1ee1944ac8f5cef3bd374d29531ac"/>
    <w:p>
      <w:pPr>
        <w:pStyle w:val="Heading2"/>
        <w:keepNext/>
        <w:keepLines/>
        <w:pageBreakBefore w:val="0"/>
        <w:widowControl/>
      </w:pPr>
      <w:r>
        <w:rPr>
          <w:rFonts w:ascii="Arial" w:hAnsi="Arial" w:eastAsia="Arial"/>
          <w:b/>
          <w:color w:val="1F4E78"/>
        </w:rPr>
        <w:t xml:space="preserve">17.5A.2 Modification discipline (Normative)</w:t>
      </w:r>
    </w:p>
    <w:p>
      <w:pPr>
        <w:pStyle w:val="FirstParagraph"/>
        <w:widowControl/>
      </w:pPr>
      <w:r>
        <w:t xml:space="preserve">Once emitted, the ProjectionPreRegistration object SHALL NOT be materially modified after observation in any way that affects admissibility, selectability, selection, or conformance claims.</w:t>
      </w:r>
    </w:p>
    <w:p>
      <w:pPr>
        <w:pStyle w:val="BodyText"/>
        <w:widowControl/>
      </w:pPr>
      <w:r>
        <w:t xml:space="preserve">If material modification is required, the current run SHALL enter Refusal under Section 4.9, document the reason in PCC.RefusalRecord, and emit a new ProjectionPreRegistration object before any subsequent run.</w:t>
      </w:r>
    </w:p>
    <w:p>
      <w:pPr>
        <w:pStyle w:val="BodyText"/>
        <w:widowControl/>
      </w:pPr>
      <w:r>
        <w:t xml:space="preserve">Non-material corrections, including typographical corrections, reference updates, or formatting changes that do not alter values or verdict logic, MAY be applied with version increment and documented diff.</w:t>
      </w:r>
    </w:p>
    <w:bookmarkEnd w:id="279"/>
    <w:bookmarkStart w:id="280" w:name="X17219fff100a553172b49274b2278376c925db2"/>
    <w:p>
      <w:pPr>
        <w:pStyle w:val="Heading2"/>
        <w:keepNext/>
        <w:keepLines/>
        <w:pageBreakBefore w:val="0"/>
        <w:widowControl/>
      </w:pPr>
      <w:r>
        <w:rPr>
          <w:rFonts w:ascii="Arial" w:hAnsi="Arial" w:eastAsia="Arial"/>
          <w:b/>
          <w:color w:val="1F4E78"/>
        </w:rPr>
        <w:t xml:space="preserve">17.5A.3 Tier application (Normative)</w:t>
      </w:r>
    </w:p>
    <w:p>
      <w:pPr>
        <w:pStyle w:val="FirstParagraph"/>
        <w:widowControl/>
      </w:pPr>
      <w:r>
        <w:t xml:space="preserve">Tier 3: Projection Pre-Registration is REQUIRED for all runs.</w:t>
      </w:r>
    </w:p>
    <w:p>
      <w:pPr>
        <w:pStyle w:val="BodyText"/>
        <w:widowControl/>
      </w:pPr>
      <w:r>
        <w:t xml:space="preserve">Tier 2: Projection Pre-Registration is REQUIRED for pilots and RECOMMENDED otherwise.</w:t>
      </w:r>
    </w:p>
    <w:p>
      <w:pPr>
        <w:pStyle w:val="BodyText"/>
        <w:widowControl/>
      </w:pPr>
      <w:r>
        <w:t xml:space="preserve">Tier 1: Projection Pre-Registration is RECOMMENDED where stakes are medium or high.</w:t>
      </w:r>
    </w:p>
    <w:bookmarkEnd w:id="280"/>
    <w:bookmarkStart w:id="281" w:name="X7aab0bfe0bc51e17e2a070ea3dc6b328d1a3e81"/>
    <w:p>
      <w:pPr>
        <w:pStyle w:val="Heading2"/>
        <w:keepNext/>
        <w:keepLines/>
        <w:pageBreakBefore w:val="0"/>
        <w:widowControl/>
      </w:pPr>
      <w:r>
        <w:rPr>
          <w:rFonts w:ascii="Arial" w:hAnsi="Arial" w:eastAsia="Arial"/>
          <w:b/>
          <w:color w:val="1F4E78"/>
        </w:rPr>
        <w:t xml:space="preserve">17.5A.4 Storage and audit (Normative)</w:t>
      </w:r>
    </w:p>
    <w:p>
      <w:pPr>
        <w:pStyle w:val="FirstParagraph"/>
        <w:widowControl/>
      </w:pPr>
      <w:r>
        <w:t xml:space="preserve">The ProjectionPreRegistration object SHALL be stored with the PCC and referenced by hash. An independent reviewer SHALL be able to reconstruct the declared projection map from the stored object using only the applicable canon, declared evidence base, and referenced companion artifacts.</w:t>
      </w:r>
    </w:p>
    <w:bookmarkEnd w:id="281"/>
    <w:bookmarkStart w:id="282" w:name="X580f7353578f041253804eda3bec8466f16c90e"/>
    <w:p>
      <w:pPr>
        <w:pStyle w:val="Heading2"/>
        <w:keepNext/>
        <w:keepLines/>
        <w:pageBreakBefore w:val="0"/>
        <w:widowControl/>
      </w:pPr>
      <w:r>
        <w:rPr>
          <w:rFonts w:ascii="Arial" w:hAnsi="Arial" w:eastAsia="Arial"/>
          <w:b/>
          <w:color w:val="1F4E78"/>
        </w:rPr>
        <w:t xml:space="preserve">17.6 Backtesting Protocol (Normative)</w:t>
      </w:r>
    </w:p>
    <w:p>
      <w:pPr>
        <w:pStyle w:val="FirstParagraph"/>
        <w:widowControl/>
      </w:pPr>
      <w:r>
        <w:t xml:space="preserve">A backtest run MUST:</w:t>
      </w:r>
    </w:p>
    <w:p>
      <w:pPr>
        <w:pStyle w:val="Compact"/>
        <w:widowControl/>
        <w:numPr>
          <w:ilvl w:val="0"/>
          <w:numId w:val="1214"/>
        </w:numPr>
      </w:pPr>
      <w:r>
        <w:t xml:space="preserve">Reconstruct the information available at decision time (no hindsight leakage),</w:t>
      </w:r>
    </w:p>
    <w:p>
      <w:pPr>
        <w:pStyle w:val="Compact"/>
        <w:widowControl/>
        <w:numPr>
          <w:ilvl w:val="0"/>
          <w:numId w:val="1215"/>
        </w:numPr>
      </w:pPr>
      <w:r>
        <w:t xml:space="preserve">Define an option set consistent with the historical context,</w:t>
      </w:r>
    </w:p>
    <w:p>
      <w:pPr>
        <w:pStyle w:val="Compact"/>
        <w:widowControl/>
        <w:numPr>
          <w:ilvl w:val="0"/>
          <w:numId w:val="1216"/>
        </w:numPr>
      </w:pPr>
      <w:r>
        <w:t xml:space="preserve">Execute RippleLogic using only those inputs,</w:t>
      </w:r>
    </w:p>
    <w:p>
      <w:pPr>
        <w:pStyle w:val="Compact"/>
        <w:widowControl/>
        <w:numPr>
          <w:ilvl w:val="0"/>
          <w:numId w:val="1217"/>
        </w:numPr>
      </w:pPr>
      <w:r>
        <w:t xml:space="preserve">Record a “Backtest PCC” with full trace,</w:t>
      </w:r>
    </w:p>
    <w:p>
      <w:pPr>
        <w:pStyle w:val="Compact"/>
        <w:widowControl/>
        <w:numPr>
          <w:ilvl w:val="0"/>
          <w:numId w:val="1218"/>
        </w:numPr>
      </w:pPr>
      <w:r>
        <w:t xml:space="preserve">Score predictions against realized outcomes using declared metrics.</w:t>
      </w:r>
    </w:p>
    <w:bookmarkEnd w:id="282"/>
    <w:bookmarkStart w:id="283" w:name="X2923e8f2d00763e439ce7cb37e096278a8ddfa8"/>
    <w:p>
      <w:pPr>
        <w:pStyle w:val="Heading2"/>
        <w:keepNext/>
        <w:keepLines/>
        <w:pageBreakBefore w:val="0"/>
        <w:widowControl/>
      </w:pPr>
      <w:r>
        <w:rPr>
          <w:rFonts w:ascii="Arial" w:hAnsi="Arial" w:eastAsia="Arial"/>
          <w:b/>
          <w:color w:val="1F4E78"/>
        </w:rPr>
        <w:t xml:space="preserve">17.7 Open Science and Responsible Disclosure (Normative intent)</w:t>
      </w:r>
    </w:p>
    <w:p>
      <w:pPr>
        <w:pStyle w:val="FirstParagraph"/>
        <w:widowControl/>
      </w:pPr>
      <w:r>
        <w:t xml:space="preserve">Where feasible, publish:</w:t>
      </w:r>
    </w:p>
    <w:p>
      <w:pPr>
        <w:pStyle w:val="Compact"/>
        <w:widowControl/>
        <w:numPr>
          <w:ilvl w:val="0"/>
          <w:numId w:val="1219"/>
        </w:numPr>
      </w:pPr>
      <w:r>
        <w:t xml:space="preserve">Anonymized PCC datasets,</w:t>
      </w:r>
    </w:p>
    <w:p>
      <w:pPr>
        <w:pStyle w:val="Compact"/>
        <w:widowControl/>
        <w:numPr>
          <w:ilvl w:val="0"/>
          <w:numId w:val="1220"/>
        </w:numPr>
      </w:pPr>
      <w:r>
        <w:t xml:space="preserve">Scenario libraries and kernels (with evidence notes),</w:t>
      </w:r>
    </w:p>
    <w:p>
      <w:pPr>
        <w:pStyle w:val="Compact"/>
        <w:widowControl/>
        <w:numPr>
          <w:ilvl w:val="0"/>
          <w:numId w:val="1221"/>
        </w:numPr>
      </w:pPr>
      <w:r>
        <w:t xml:space="preserve">Failure cases and revisions.</w:t>
      </w:r>
    </w:p>
    <w:p>
      <w:pPr>
        <w:pStyle w:val="FirstParagraph"/>
        <w:widowControl/>
      </w:pPr>
      <w:r>
        <w:t xml:space="preserve">Security note: Where publishing would create exploitation risk, disclosure should be responsible and staged, but internal auditability must be preserved.</w:t>
      </w:r>
    </w:p>
    <w:bookmarkEnd w:id="283"/>
    <w:bookmarkEnd w:id="284"/>
    <w:bookmarkStart w:id="289" w:name="X402e2bfa59587f51ce837d827c7dd686ee06e51"/>
    <w:p>
      <w:pPr>
        <w:pStyle w:val="Heading1"/>
        <w:keepNext/>
        <w:keepLines/>
        <w:pageBreakBefore w:val="0"/>
        <w:widowControl/>
      </w:pPr>
      <w:r>
        <w:rPr>
          <w:rFonts w:ascii="Arial" w:hAnsi="Arial" w:eastAsia="Arial"/>
          <w:b/>
          <w:color w:val="1F4E78"/>
        </w:rPr>
        <w:t xml:space="preserve">SECTION 18: APPLICATIONS AND USE CASES (INFORMATIVE)</w:t>
      </w:r>
    </w:p>
    <w:bookmarkStart w:id="285" w:name="X390b4e5955e383e1f7e2763f30a9dffa6f462db"/>
    <w:p>
      <w:pPr>
        <w:pStyle w:val="Heading2"/>
        <w:keepNext/>
        <w:keepLines/>
        <w:pageBreakBefore w:val="0"/>
        <w:widowControl/>
      </w:pPr>
      <w:r>
        <w:rPr>
          <w:rFonts w:ascii="Arial" w:hAnsi="Arial" w:eastAsia="Arial"/>
          <w:b/>
          <w:color w:val="1F4E78"/>
        </w:rPr>
        <w:t xml:space="preserve">18.1 AI Deployment Governance (Tier 3)</w:t>
      </w:r>
    </w:p>
    <w:p>
      <w:pPr>
        <w:pStyle w:val="FirstParagraph"/>
        <w:widowControl/>
      </w:pPr>
      <w:r>
        <w:t xml:space="preserve">Decision context: An organization is deciding whether to deploy an AI system that affects users at scale.</w:t>
      </w:r>
    </w:p>
    <w:p>
      <w:pPr>
        <w:pStyle w:val="BodyText"/>
        <w:widowControl/>
      </w:pPr>
      <w:r>
        <w:t xml:space="preserve">Key obligations:</w:t>
      </w:r>
    </w:p>
    <w:p>
      <w:pPr>
        <w:pStyle w:val="Compact"/>
        <w:widowControl/>
        <w:numPr>
          <w:ilvl w:val="0"/>
          <w:numId w:val="1222"/>
        </w:numPr>
      </w:pPr>
      <w:r>
        <w:t xml:space="preserve">NCRC: Protect dignity, information integrity, due process for worst-off subgroups.</w:t>
      </w:r>
    </w:p>
    <w:p>
      <w:pPr>
        <w:pStyle w:val="Compact"/>
        <w:widowControl/>
        <w:numPr>
          <w:ilvl w:val="0"/>
          <w:numId w:val="1223"/>
        </w:numPr>
      </w:pPr>
      <w:r>
        <w:t xml:space="preserve">TRC: Model catastrophic tails (infrastructure disruption, mass manipulation, cascading conflict).</w:t>
      </w:r>
    </w:p>
    <w:p>
      <w:pPr>
        <w:pStyle w:val="Compact"/>
        <w:widowControl/>
        <w:numPr>
          <w:ilvl w:val="0"/>
          <w:numId w:val="1224"/>
        </w:numPr>
      </w:pPr>
      <w:r>
        <w:t xml:space="preserve">Containment: Avoid organizational gains that degrade Polity/Humanity coherence (legitimacy collapse, epistemic fragmentation).</w:t>
      </w:r>
    </w:p>
    <w:p>
      <w:pPr>
        <w:pStyle w:val="Compact"/>
        <w:widowControl/>
        <w:numPr>
          <w:ilvl w:val="0"/>
          <w:numId w:val="1225"/>
        </w:numPr>
      </w:pPr>
      <w:r>
        <w:t xml:space="preserve">PCC: Produce auditable trace; ensure comparability across options.</w:t>
      </w:r>
    </w:p>
    <w:bookmarkEnd w:id="285"/>
    <w:bookmarkStart w:id="286" w:name="Xe748ad163efe56edee6e6863dc84b79e6916643"/>
    <w:p>
      <w:pPr>
        <w:pStyle w:val="Heading2"/>
        <w:keepNext/>
        <w:keepLines/>
        <w:pageBreakBefore w:val="0"/>
        <w:widowControl/>
      </w:pPr>
      <w:r>
        <w:rPr>
          <w:rFonts w:ascii="Arial" w:hAnsi="Arial" w:eastAsia="Arial"/>
          <w:b/>
          <w:color w:val="1F4E78"/>
        </w:rPr>
        <w:t xml:space="preserve">18.2 Climate and Energy Policy (Tier 3)</w:t>
      </w:r>
    </w:p>
    <w:p>
      <w:pPr>
        <w:pStyle w:val="FirstParagraph"/>
        <w:widowControl/>
      </w:pPr>
      <w:r>
        <w:t xml:space="preserve">Decision context: A polity evaluates energy transition policies that impact households, industries, and biosphere stability.</w:t>
      </w:r>
    </w:p>
    <w:p>
      <w:pPr>
        <w:pStyle w:val="BodyText"/>
        <w:widowControl/>
      </w:pPr>
      <w:r>
        <w:t xml:space="preserve">Key obligations:</w:t>
      </w:r>
    </w:p>
    <w:p>
      <w:pPr>
        <w:pStyle w:val="Compact"/>
        <w:widowControl/>
        <w:numPr>
          <w:ilvl w:val="0"/>
          <w:numId w:val="1226"/>
        </w:numPr>
      </w:pPr>
      <w:r>
        <w:t xml:space="preserve">NCRC: Protect basic needs (energy poverty), health, life.</w:t>
      </w:r>
    </w:p>
    <w:p>
      <w:pPr>
        <w:pStyle w:val="Compact"/>
        <w:widowControl/>
        <w:numPr>
          <w:ilvl w:val="0"/>
          <w:numId w:val="1227"/>
        </w:numPr>
      </w:pPr>
      <w:r>
        <w:t xml:space="preserve">TRC: Include climate tipping cascade scenarios; enforce corridor.</w:t>
      </w:r>
    </w:p>
    <w:p>
      <w:pPr>
        <w:pStyle w:val="Compact"/>
        <w:widowControl/>
        <w:numPr>
          <w:ilvl w:val="0"/>
          <w:numId w:val="1228"/>
        </w:numPr>
      </w:pPr>
      <w:r>
        <w:t xml:space="preserve">Containment: Prevent short-term gains from degrading Biosphere UCI beyond tolerance.</w:t>
      </w:r>
    </w:p>
    <w:bookmarkEnd w:id="286"/>
    <w:bookmarkStart w:id="287" w:name="X9b802bdc1483963786870ff49d6e2929ad3f6e5"/>
    <w:p>
      <w:pPr>
        <w:pStyle w:val="Heading2"/>
        <w:keepNext/>
        <w:keepLines/>
        <w:pageBreakBefore w:val="0"/>
        <w:widowControl/>
      </w:pPr>
      <w:r>
        <w:rPr>
          <w:rFonts w:ascii="Arial" w:hAnsi="Arial" w:eastAsia="Arial"/>
          <w:b/>
          <w:color w:val="1F4E78"/>
        </w:rPr>
        <w:t xml:space="preserve">18.3 Organizational Strategy (Tier 2-3)</w:t>
      </w:r>
    </w:p>
    <w:p>
      <w:pPr>
        <w:pStyle w:val="FirstParagraph"/>
        <w:widowControl/>
      </w:pPr>
      <w:r>
        <w:t xml:space="preserve">Decision context: Organization deciding on major restructuring, automation, supply chain change.</w:t>
      </w:r>
    </w:p>
    <w:p>
      <w:pPr>
        <w:pStyle w:val="BodyText"/>
        <w:widowControl/>
      </w:pPr>
      <w:r>
        <w:t xml:space="preserve">Key obligations:</w:t>
      </w:r>
    </w:p>
    <w:p>
      <w:pPr>
        <w:pStyle w:val="Compact"/>
        <w:widowControl/>
        <w:numPr>
          <w:ilvl w:val="0"/>
          <w:numId w:val="1229"/>
        </w:numPr>
      </w:pPr>
      <w:r>
        <w:t xml:space="preserve">NCRC: Protect basic needs and dignity for worst-off employees/communities.</w:t>
      </w:r>
    </w:p>
    <w:p>
      <w:pPr>
        <w:pStyle w:val="Compact"/>
        <w:widowControl/>
        <w:numPr>
          <w:ilvl w:val="0"/>
          <w:numId w:val="1230"/>
        </w:numPr>
      </w:pPr>
      <w:r>
        <w:t xml:space="preserve">TRC: Required at Tier 2 if catastrophe relevance is plausible.</w:t>
      </w:r>
    </w:p>
    <w:p>
      <w:pPr>
        <w:pStyle w:val="Compact"/>
        <w:widowControl/>
        <w:numPr>
          <w:ilvl w:val="0"/>
          <w:numId w:val="1231"/>
        </w:numPr>
      </w:pPr>
      <w:r>
        <w:t xml:space="preserve">Containment: Detect hollowing-out risk even if near-term welfare improves.</w:t>
      </w:r>
    </w:p>
    <w:bookmarkEnd w:id="287"/>
    <w:bookmarkStart w:id="288" w:name="X1add7b05b71bde5195f315ecdf5471b000a8f98"/>
    <w:p>
      <w:pPr>
        <w:pStyle w:val="Heading2"/>
        <w:keepNext/>
        <w:keepLines/>
        <w:pageBreakBefore w:val="0"/>
        <w:widowControl/>
      </w:pPr>
      <w:r>
        <w:rPr>
          <w:rFonts w:ascii="Arial" w:hAnsi="Arial" w:eastAsia="Arial"/>
          <w:b/>
          <w:color w:val="1F4E78"/>
        </w:rPr>
        <w:t xml:space="preserve">18.4 Personal and Household Decisions (Tier 1)</w:t>
      </w:r>
    </w:p>
    <w:p>
      <w:pPr>
        <w:pStyle w:val="FirstParagraph"/>
        <w:widowControl/>
      </w:pPr>
      <w:r>
        <w:t xml:space="preserve">Decision context: Personal choices (job change, relocation, major purchase) where stakes are limited and reversible.</w:t>
      </w:r>
    </w:p>
    <w:p>
      <w:pPr>
        <w:pStyle w:val="BodyText"/>
        <w:widowControl/>
      </w:pPr>
      <w:r>
        <w:t xml:space="preserve">Use Tier 1 heuristic: options, rights screen, tail screen, unions touched, unioning redesign.</w:t>
      </w:r>
    </w:p>
    <w:p>
      <w:pPr>
        <w:pStyle w:val="BodyText"/>
        <w:widowControl/>
      </w:pPr>
      <w:r>
        <w:t xml:space="preserve">Escalate to Tier 2 if any plausible rights risk exists or if the decision touches catastrophe relevance.</w:t>
      </w:r>
    </w:p>
    <w:bookmarkEnd w:id="288"/>
    <w:bookmarkEnd w:id="289"/>
    <w:bookmarkStart w:id="294" w:name="Xe542aaa270e77e7bfb0f91fd0164e6d362f4d6e"/>
    <w:p>
      <w:pPr>
        <w:pStyle w:val="Heading1"/>
        <w:keepNext/>
        <w:keepLines/>
        <w:pageBreakBefore w:val="0"/>
        <w:widowControl/>
      </w:pPr>
      <w:r>
        <w:rPr>
          <w:rFonts w:ascii="Arial" w:hAnsi="Arial" w:eastAsia="Arial"/>
          <w:b/>
          <w:color w:val="1F4E78"/>
        </w:rPr>
        <w:t xml:space="preserve">SECTION 19: LIMITATIONS AND NON-TARGETS (NORMATIVE BOUNDARIES)</w:t>
      </w:r>
    </w:p>
    <w:bookmarkStart w:id="290" w:name="Xb7ccd37c1f10878c73a72657e5bebb2ddf0471c"/>
    <w:p>
      <w:pPr>
        <w:pStyle w:val="Heading2"/>
        <w:keepNext/>
        <w:keepLines/>
        <w:pageBreakBefore w:val="0"/>
        <w:widowControl/>
      </w:pPr>
      <w:r>
        <w:rPr>
          <w:rFonts w:ascii="Arial" w:hAnsi="Arial" w:eastAsia="Arial"/>
          <w:b/>
          <w:color w:val="1F4E78"/>
        </w:rPr>
        <w:t xml:space="preserve">19.1 Epistemic Limitations (Normative acknowledgment)</w:t>
      </w:r>
    </w:p>
    <w:p>
      <w:pPr>
        <w:pStyle w:val="FirstParagraph"/>
        <w:widowControl/>
      </w:pPr>
      <w:r>
        <w:t xml:space="preserve">Input quality dependence: RippleLogic outputs are only as good as the evidence and estimation process. The framework reduces predictable failures but does not guarantee correct forecasts.</w:t>
      </w:r>
    </w:p>
    <w:p>
      <w:pPr>
        <w:pStyle w:val="BodyText"/>
        <w:widowControl/>
      </w:pPr>
      <w:r>
        <w:t xml:space="preserve">Measurement difficulty: Some dimensions (Meaning; aspects of Agency) are harder to measure reliably across cultures. RippleLogic treats such measurement with caution and uncertainty documentation.</w:t>
      </w:r>
    </w:p>
    <w:p>
      <w:pPr>
        <w:pStyle w:val="BodyText"/>
        <w:widowControl/>
      </w:pPr>
      <w:r>
        <w:t xml:space="preserve">Kernel uncertainty and operational status: Ripple propagation via the QUICK kernel mode is architecturally specified and canon-complete for Tier 1-3 implementation. However, the Starter KOPS (Appendix K) carries evidence classes B and E with a global shrink factor of 0.35, and the KQS policy (Section 6.5) requires KQS &gt;= 0.40 for any kernel use. In practice, most early Tier 2-3 runs are expected to operate in NONE propagation mode because domain-specific kernels with sufficient evidence coverage, identifiability, and predictive validation do not yet exist. The NONE mode is a valid and conformant propagation posture, not a workaround. Building empirically grounded kernels with KQS &gt;= 0.50 is a Phase 2-3 validation priority (Section 17.3). Ripple-awareness is already operational in the current release line through the multi-scope welfare matrix (which makes cross-scale consequences visible), through containment (which detects cross-scale degradation), and through UCI/HOI (which monitors structural integrity). Numerical kernel-based propagation remains a design-ready capability awaiting domain-specific calibration. The current release line mitigates kernel uncertainty with KQS policy, sensitivity requirements, and humility fallback to NONE.</w:t>
      </w:r>
    </w:p>
    <w:p>
      <w:pPr>
        <w:pStyle w:val="BodyText"/>
        <w:widowControl/>
      </w:pPr>
      <w:r>
        <w:t xml:space="preserve">Scenario incompleteness: Scenario libraries cannot enumerate all tail risks; mandatory tail categories reduce omission but cannot eliminate deep uncertainty.</w:t>
      </w:r>
    </w:p>
    <w:bookmarkEnd w:id="290"/>
    <w:bookmarkStart w:id="291" w:name="Xa834e5f5aa4ab0dad9afce11726d697641c8068"/>
    <w:p>
      <w:pPr>
        <w:pStyle w:val="Heading2"/>
        <w:keepNext/>
        <w:keepLines/>
        <w:pageBreakBefore w:val="0"/>
        <w:widowControl/>
      </w:pPr>
      <w:r>
        <w:rPr>
          <w:rFonts w:ascii="Arial" w:hAnsi="Arial" w:eastAsia="Arial"/>
          <w:b/>
          <w:color w:val="1F4E78"/>
        </w:rPr>
        <w:t xml:space="preserve">19.2 Institutional and Governance Prerequisites</w:t>
      </w:r>
    </w:p>
    <w:p>
      <w:pPr>
        <w:pStyle w:val="FirstParagraph"/>
        <w:widowControl/>
      </w:pPr>
      <w:r>
        <w:t xml:space="preserve">Tier 3 requires trained analysts and governance capacity: subgroup analysis, scenario governance, structural indicators for UCI, and audit review.</w:t>
      </w:r>
    </w:p>
    <w:p>
      <w:pPr>
        <w:pStyle w:val="BodyText"/>
        <w:widowControl/>
      </w:pPr>
      <w:r>
        <w:t xml:space="preserve">HDW governance can be captured if safeguards are weak. RippleLogic mandates anti-capture mechanisms, but real-world institutions must implement them.</w:t>
      </w:r>
    </w:p>
    <w:bookmarkEnd w:id="291"/>
    <w:bookmarkStart w:id="292" w:name="X29dee0daea0ddd6fa241f5bfa71cddc691b74c2"/>
    <w:p>
      <w:pPr>
        <w:pStyle w:val="Heading2"/>
        <w:keepNext/>
        <w:keepLines/>
        <w:pageBreakBefore w:val="0"/>
        <w:widowControl/>
      </w:pPr>
      <w:r>
        <w:rPr>
          <w:rFonts w:ascii="Arial" w:hAnsi="Arial" w:eastAsia="Arial"/>
          <w:b/>
          <w:color w:val="1F4E78"/>
        </w:rPr>
        <w:t xml:space="preserve">19.3 Risks of Compliance Theater</w:t>
      </w:r>
    </w:p>
    <w:p>
      <w:pPr>
        <w:pStyle w:val="FirstParagraph"/>
        <w:widowControl/>
      </w:pPr>
      <w:r>
        <w:t xml:space="preserve">Any framework can be used as a rubber stamp. RippleLogic mitigates via:</w:t>
      </w:r>
    </w:p>
    <w:p>
      <w:pPr>
        <w:pStyle w:val="Compact"/>
        <w:widowControl/>
        <w:numPr>
          <w:ilvl w:val="0"/>
          <w:numId w:val="1232"/>
        </w:numPr>
      </w:pPr>
      <w:r>
        <w:t xml:space="preserve">Hard gates (NCRC/TRC/CSV),</w:t>
      </w:r>
    </w:p>
    <w:p>
      <w:pPr>
        <w:pStyle w:val="Compact"/>
        <w:widowControl/>
        <w:numPr>
          <w:ilvl w:val="0"/>
          <w:numId w:val="1233"/>
        </w:numPr>
      </w:pPr>
      <w:r>
        <w:t xml:space="preserve">Non-maskable cells and audit flags,</w:t>
      </w:r>
    </w:p>
    <w:p>
      <w:pPr>
        <w:pStyle w:val="Compact"/>
        <w:widowControl/>
        <w:numPr>
          <w:ilvl w:val="0"/>
          <w:numId w:val="1234"/>
        </w:numPr>
      </w:pPr>
      <w:r>
        <w:t xml:space="preserve">Challenger requirement in emergency mode,</w:t>
      </w:r>
    </w:p>
    <w:p>
      <w:pPr>
        <w:pStyle w:val="Compact"/>
        <w:widowControl/>
        <w:numPr>
          <w:ilvl w:val="0"/>
          <w:numId w:val="1235"/>
        </w:numPr>
      </w:pPr>
      <w:r>
        <w:t xml:space="preserve">Required PCC traceability and sensitivity.</w:t>
      </w:r>
    </w:p>
    <w:p>
      <w:pPr>
        <w:pStyle w:val="FirstParagraph"/>
        <w:widowControl/>
      </w:pPr>
      <w:r>
        <w:t xml:space="preserve">Nonetheless, compliance theater remains a risk; validation and external scrutiny matter.</w:t>
      </w:r>
    </w:p>
    <w:bookmarkEnd w:id="292"/>
    <w:bookmarkStart w:id="293" w:name="Xe161f74e291dbed0dc43c6e1332d52d62e33ef0"/>
    <w:p>
      <w:pPr>
        <w:pStyle w:val="Heading2"/>
        <w:keepNext/>
        <w:keepLines/>
        <w:pageBreakBefore w:val="0"/>
        <w:widowControl/>
      </w:pPr>
      <w:r>
        <w:rPr>
          <w:rFonts w:ascii="Arial" w:hAnsi="Arial" w:eastAsia="Arial"/>
          <w:b/>
          <w:color w:val="1F4E78"/>
        </w:rPr>
        <w:t xml:space="preserve">19.4 Non-Targets (Normative)</w:t>
      </w:r>
    </w:p>
    <w:p>
      <w:pPr>
        <w:pStyle w:val="FirstParagraph"/>
        <w:widowControl/>
      </w:pPr>
      <w:r>
        <w:t xml:space="preserve">RippleLogic is NOT designed to:</w:t>
      </w:r>
    </w:p>
    <w:p>
      <w:pPr>
        <w:pStyle w:val="Compact"/>
        <w:widowControl/>
        <w:numPr>
          <w:ilvl w:val="0"/>
          <w:numId w:val="1236"/>
        </w:numPr>
      </w:pPr>
      <w:r>
        <w:t xml:space="preserve">Replace personal moral dialogue in intimate relationships,</w:t>
      </w:r>
    </w:p>
    <w:p>
      <w:pPr>
        <w:pStyle w:val="Compact"/>
        <w:widowControl/>
        <w:numPr>
          <w:ilvl w:val="0"/>
          <w:numId w:val="1237"/>
        </w:numPr>
      </w:pPr>
      <w:r>
        <w:t xml:space="preserve">Dictate aesthetic or spiritual preferences,</w:t>
      </w:r>
    </w:p>
    <w:p>
      <w:pPr>
        <w:pStyle w:val="Compact"/>
        <w:widowControl/>
        <w:numPr>
          <w:ilvl w:val="0"/>
          <w:numId w:val="1238"/>
        </w:numPr>
      </w:pPr>
      <w:r>
        <w:t xml:space="preserve">Resolve all deep metaphysical disagreements,</w:t>
      </w:r>
    </w:p>
    <w:p>
      <w:pPr>
        <w:pStyle w:val="Compact"/>
        <w:widowControl/>
        <w:numPr>
          <w:ilvl w:val="0"/>
          <w:numId w:val="1239"/>
        </w:numPr>
      </w:pPr>
      <w:r>
        <w:t xml:space="preserve">Provide certainty under irreducible uncertainty,</w:t>
      </w:r>
    </w:p>
    <w:p>
      <w:pPr>
        <w:pStyle w:val="Compact"/>
        <w:widowControl/>
        <w:numPr>
          <w:ilvl w:val="0"/>
          <w:numId w:val="1240"/>
        </w:numPr>
      </w:pPr>
      <w:r>
        <w:t xml:space="preserve">Function as a rhetorical weapon to end debate.</w:t>
      </w:r>
    </w:p>
    <w:p>
      <w:pPr>
        <w:pStyle w:val="FirstParagraph"/>
        <w:widowControl/>
      </w:pPr>
      <w:r>
        <w:t xml:space="preserve">It is a public decision operating system: a method for auditable, multi-stakeholder, high-consequence decisions.</w:t>
      </w:r>
    </w:p>
    <w:bookmarkEnd w:id="293"/>
    <w:bookmarkEnd w:id="294"/>
    <w:bookmarkStart w:id="328" w:name="X38ba925486c44f2a1a208d0015ed8cd9f4a6796"/>
    <w:p>
      <w:pPr>
        <w:pStyle w:val="Heading1"/>
        <w:keepNext/>
        <w:keepLines/>
        <w:pageBreakBefore w:val="0"/>
        <w:widowControl/>
      </w:pPr>
      <w:r>
        <w:rPr>
          <w:rFonts w:ascii="Arial" w:hAnsi="Arial" w:eastAsia="Arial"/>
          <w:b/>
          <w:color w:val="1F4E78"/>
        </w:rPr>
        <w:t xml:space="preserve">SECTION 20: CONCLUSION: PROSPEROUS FUTURES FOR INTELLIGENCES</w:t>
      </w:r>
    </w:p>
    <w:bookmarkStart w:id="295" w:name="X7629c46db5bb953562ac20ade4b25dbe8724eb0"/>
    <w:p>
      <w:pPr>
        <w:pStyle w:val="Heading2"/>
        <w:keepNext/>
        <w:keepLines/>
        <w:pageBreakBefore w:val="0"/>
        <w:widowControl/>
      </w:pPr>
      <w:r>
        <w:rPr>
          <w:rFonts w:ascii="Arial" w:hAnsi="Arial" w:eastAsia="Arial"/>
          <w:b/>
          <w:color w:val="1F4E78"/>
        </w:rPr>
        <w:t xml:space="preserve">20.1 Prosperity Defined (Normative operational definition)</w:t>
      </w:r>
    </w:p>
    <w:p>
      <w:pPr>
        <w:pStyle w:val="FirstParagraph"/>
        <w:widowControl/>
      </w:pPr>
      <w:r>
        <w:t xml:space="preserve">In RippleLogic terms:</w:t>
      </w:r>
    </w:p>
    <w:p>
      <w:pPr>
        <w:pStyle w:val="BodyText"/>
        <w:widowControl/>
      </w:pPr>
      <w:r>
        <w:t xml:space="preserve">Prosperity = rights-safe (NCRC) + tail-safe (TRC) + containment-safe + net-positive welfare across unions + coherence preserved (UCI/HOI safeguards) + corrigible learning (NCAR)</w:t>
      </w:r>
    </w:p>
    <w:p>
      <w:pPr>
        <w:pStyle w:val="BodyText"/>
        <w:widowControl/>
      </w:pPr>
      <w:r>
        <w:t xml:space="preserve">This definition blocks false prosperity:</w:t>
      </w:r>
    </w:p>
    <w:p>
      <w:pPr>
        <w:pStyle w:val="Compact"/>
        <w:widowControl/>
        <w:numPr>
          <w:ilvl w:val="0"/>
          <w:numId w:val="1241"/>
        </w:numPr>
      </w:pPr>
      <w:r>
        <w:t xml:space="preserve">“Growth” that violates rights is not prosperity.</w:t>
      </w:r>
    </w:p>
    <w:p>
      <w:pPr>
        <w:pStyle w:val="Compact"/>
        <w:widowControl/>
        <w:numPr>
          <w:ilvl w:val="0"/>
          <w:numId w:val="1242"/>
        </w:numPr>
      </w:pPr>
      <w:r>
        <w:t xml:space="preserve">“Efficiency” that increases catastrophic exposure is not prosperity.</w:t>
      </w:r>
    </w:p>
    <w:p>
      <w:pPr>
        <w:pStyle w:val="Compact"/>
        <w:widowControl/>
        <w:numPr>
          <w:ilvl w:val="0"/>
          <w:numId w:val="1243"/>
        </w:numPr>
      </w:pPr>
      <w:r>
        <w:t xml:space="preserve">“Success” that hollows out structural coherence is not prosperity.</w:t>
      </w:r>
    </w:p>
    <w:bookmarkEnd w:id="295"/>
    <w:bookmarkStart w:id="296" w:name="Xe65dbd59248123eb04fa77fbdbbed0adc26dcc8"/>
    <w:p>
      <w:pPr>
        <w:pStyle w:val="Heading2"/>
        <w:keepNext/>
        <w:keepLines/>
        <w:pageBreakBefore w:val="0"/>
        <w:widowControl/>
      </w:pPr>
      <w:r>
        <w:rPr>
          <w:rFonts w:ascii="Arial" w:hAnsi="Arial" w:eastAsia="Arial"/>
          <w:b/>
          <w:color w:val="1F4E78"/>
        </w:rPr>
        <w:t xml:space="preserve">20.2 RippleLogic Thesis</w:t>
      </w:r>
    </w:p>
    <w:p>
      <w:pPr>
        <w:pStyle w:val="FirstParagraph"/>
        <w:widowControl/>
      </w:pPr>
      <w:r>
        <w:t xml:space="preserve">Alignment across humans, institutions, and AI requires non-compensable constraints on rights and catastrophic risk, explicit modeling of ripple propagation through layered and intersecting analytical scopes, transparent and auditable decision procedures, and corrigible learning loops. These requirements are motivated by interdependence in complex systems (Meadows, 2008; Newman, 2010), planetary life-support constraints (Steffen et al., 2015; Rockström et al., 2009, 2023), and the asymmetric tail-risk properties of ruin dynamics (Taleb, 2012; Ord, 2020).</w:t>
      </w:r>
    </w:p>
    <w:bookmarkEnd w:id="296"/>
    <w:bookmarkStart w:id="327" w:name="Xe1c7a23ab28766262305b09b788a1f84ab975a9"/>
    <w:p>
      <w:pPr>
        <w:pStyle w:val="Heading2"/>
        <w:keepNext/>
        <w:keepLines/>
        <w:pageBreakBefore w:val="0"/>
        <w:widowControl/>
      </w:pPr>
      <w:r>
        <w:rPr>
          <w:rFonts w:ascii="Arial" w:hAnsi="Arial" w:eastAsia="Arial"/>
          <w:b/>
          <w:color w:val="1F4E78"/>
        </w:rPr>
        <w:t xml:space="preserve">20.3 Call to Test, Critique, and Deploy (Normative stance)</w:t>
      </w:r>
    </w:p>
    <w:p>
      <w:pPr>
        <w:pStyle w:val="FirstParagraph"/>
        <w:widowControl/>
      </w:pPr>
      <w:r>
        <w:t xml:space="preserve">RippleLogic v12.5 is a spec-hardened scaffold intended to be tested, falsified where wrong, refined where incomplete, and used proportionally to stakes. The method is designed to move societies toward ethically, sustainably, harmoniously, prosperously, and verifiably coordinated flourishing by making decision structure explicit, auditable, and corrigible.</w:t>
      </w:r>
    </w:p>
    <w:p>
      <w:pPr>
        <w:pStyle w:val="BodyText"/>
        <w:widowControl/>
      </w:pPr>
      <w:r>
        <w:t xml:space="preserve">REFERENCES (APA 7)</w:t>
      </w:r>
    </w:p>
    <w:p>
      <w:pPr>
        <w:pStyle w:val="BodyText"/>
        <w:widowControl/>
      </w:pPr>
      <w:r>
        <w:t xml:space="preserve">Amodei, D., Olah, C., Steinhardt, J., Christiano, P., Schulman, J., &amp; Mané, D. (2016). Concrete problems in AI safety. arXiv. </w:t>
      </w:r>
      <w:hyperlink r:id="rId297">
        <w:r>
          <w:rPr>
            <w:rStyle w:val="Hyperlink"/>
          </w:rPr>
          <w:t xml:space="preserve">https://doi.org/10.48550/arXiv.1606.06565</w:t>
        </w:r>
      </w:hyperlink>
    </w:p>
    <w:p>
      <w:pPr>
        <w:pStyle w:val="BodyText"/>
        <w:widowControl/>
      </w:pPr>
      <w:r>
        <w:t xml:space="preserve">Arrow, K. J. (1963). Social choice and individual values (2nd ed.). Yale University Press.</w:t>
      </w:r>
    </w:p>
    <w:p>
      <w:pPr>
        <w:pStyle w:val="BodyText"/>
        <w:widowControl/>
      </w:pPr>
      <w:r>
        <w:t xml:space="preserve">Artzner, P., Delbaen, F., Eber, J.-M., &amp; Heath, D. (1999). Coherent measures of risk. Mathematical Finance, 9(3), 203–228. </w:t>
      </w:r>
      <w:hyperlink r:id="rId298">
        <w:r>
          <w:rPr>
            <w:rStyle w:val="Hyperlink"/>
          </w:rPr>
          <w:t xml:space="preserve">https://doi.org/10.1111/1467-9965.00068</w:t>
        </w:r>
      </w:hyperlink>
    </w:p>
    <w:p>
      <w:pPr>
        <w:pStyle w:val="BodyText"/>
        <w:widowControl/>
      </w:pPr>
      <w:r>
        <w:t xml:space="preserve">Axelrod, R. (1984). The evolution of cooperation. Basic Books.</w:t>
      </w:r>
    </w:p>
    <w:p>
      <w:pPr>
        <w:pStyle w:val="BodyText"/>
        <w:widowControl/>
      </w:pPr>
      <w:r>
        <w:t xml:space="preserve">Barabási, A.-L., &amp; Albert, R. (1999). Emergence of scaling in random networks. Science, 286(5439), 509–512. </w:t>
      </w:r>
      <w:hyperlink r:id="rId299">
        <w:r>
          <w:rPr>
            <w:rStyle w:val="Hyperlink"/>
          </w:rPr>
          <w:t xml:space="preserve">https://doi.org/10.1126/science.286.5439.509</w:t>
        </w:r>
      </w:hyperlink>
    </w:p>
    <w:p>
      <w:pPr>
        <w:pStyle w:val="BodyText"/>
        <w:widowControl/>
      </w:pPr>
      <w:r>
        <w:t xml:space="preserve">Becker, G. S. (1981). A treatise on the family. Harvard University Press.</w:t>
      </w:r>
    </w:p>
    <w:p>
      <w:pPr>
        <w:pStyle w:val="BodyText"/>
        <w:widowControl/>
      </w:pPr>
      <w:r>
        <w:t xml:space="preserve">Belton, V., &amp; Stewart, T. J. (2002). Multiple criteria decision analysis: An integrated approach. Kluwer Academic Publishers.</w:t>
      </w:r>
    </w:p>
    <w:p>
      <w:pPr>
        <w:pStyle w:val="BodyText"/>
        <w:widowControl/>
      </w:pPr>
      <w:r>
        <w:t xml:space="preserve">Bostrom, N. (2014). Superintelligence: Paths, dangers, strategies. Oxford University Press.</w:t>
      </w:r>
    </w:p>
    <w:p>
      <w:pPr>
        <w:pStyle w:val="BodyText"/>
        <w:widowControl/>
      </w:pPr>
      <w:r>
        <w:t xml:space="preserve">Bowlby, J. (1988). A secure base: Parent-child attachment and healthy human development. Basic Books.</w:t>
      </w:r>
    </w:p>
    <w:p>
      <w:pPr>
        <w:pStyle w:val="BodyText"/>
        <w:widowControl/>
      </w:pPr>
      <w:r>
        <w:t xml:space="preserve">Christakis, N. A., &amp; Fowler, J. H. (2009). Connected: The surprising power of our social networks and how they shape our lives. Little, Brown and Company.</w:t>
      </w:r>
    </w:p>
    <w:p>
      <w:pPr>
        <w:pStyle w:val="BodyText"/>
        <w:widowControl/>
      </w:pPr>
      <w:r>
        <w:t xml:space="preserve">Council of Europe. (1950). Convention for the Protection of Human Rights and Fundamental Freedoms (European Convention on Human Rights). </w:t>
      </w:r>
      <w:hyperlink r:id="rId300">
        <w:r>
          <w:rPr>
            <w:rStyle w:val="Hyperlink"/>
          </w:rPr>
          <w:t xml:space="preserve">https://www.echr.coe.int/the-convention</w:t>
        </w:r>
      </w:hyperlink>
    </w:p>
    <w:p>
      <w:pPr>
        <w:pStyle w:val="BodyText"/>
        <w:widowControl/>
      </w:pPr>
      <w:r>
        <w:t xml:space="preserve">Dunbar, R. I. M. (1992). Neocortex size as a constraint on group size in primates. Journal of Human Evolution, 22(6), 469–493. </w:t>
      </w:r>
      <w:hyperlink r:id="rId301">
        <w:r>
          <w:rPr>
            <w:rStyle w:val="Hyperlink"/>
          </w:rPr>
          <w:t xml:space="preserve">https://doi.org/10.1016/0047-2484(92)90081-J</w:t>
        </w:r>
      </w:hyperlink>
    </w:p>
    <w:p>
      <w:pPr>
        <w:pStyle w:val="BodyText"/>
        <w:widowControl/>
      </w:pPr>
      <w:r>
        <w:t xml:space="preserve">Dunbar, R. I. M. (1993). Coevolution of neocortical size, group size and language in humans. Behavioral and Brain Sciences, 16(4), 681–735. </w:t>
      </w:r>
      <w:hyperlink r:id="rId302">
        <w:r>
          <w:rPr>
            <w:rStyle w:val="Hyperlink"/>
          </w:rPr>
          <w:t xml:space="preserve">https://doi.org/10.1017/S0140525X00032325</w:t>
        </w:r>
      </w:hyperlink>
    </w:p>
    <w:p>
      <w:pPr>
        <w:pStyle w:val="BodyText"/>
        <w:widowControl/>
      </w:pPr>
      <w:r>
        <w:t xml:space="preserve">Edmondson, A. (1999). Psychological safety and learning behavior in work teams. Administrative Science Quarterly, 44(2), 350–383. </w:t>
      </w:r>
      <w:hyperlink r:id="rId303">
        <w:r>
          <w:rPr>
            <w:rStyle w:val="Hyperlink"/>
          </w:rPr>
          <w:t xml:space="preserve">https://doi.org/10.2307/2666999</w:t>
        </w:r>
      </w:hyperlink>
    </w:p>
    <w:p>
      <w:pPr>
        <w:pStyle w:val="BodyText"/>
        <w:widowControl/>
      </w:pPr>
      <w:r>
        <w:t xml:space="preserve">Estes, J. A., Terborgh, J., Brashares, J. S., Power, M. E., Berger, J., Bond, W. J., Carpenter, S. R., Essington, T. E., Holt, R. D., Jackson, J. B. C., Marquis, R. J., Oksanen, L., Oksanen, T., Paine, R. T., Pikitch, E. K., Ripple, W. J., Sandin, S. A., Scheffer, M., Schoener, T. W., … Wardle, D. A. (2011). Trophic downgrading of planet Earth. Science, 333(6040), 301–306. </w:t>
      </w:r>
      <w:hyperlink r:id="rId304">
        <w:r>
          <w:rPr>
            <w:rStyle w:val="Hyperlink"/>
          </w:rPr>
          <w:t xml:space="preserve">https://doi.org/10.1126/science.1205106</w:t>
        </w:r>
      </w:hyperlink>
    </w:p>
    <w:p>
      <w:pPr>
        <w:pStyle w:val="BodyText"/>
        <w:widowControl/>
      </w:pPr>
      <w:r>
        <w:t xml:space="preserve">Floridi, L. (2013). The ethics of information. Oxford University Press.</w:t>
      </w:r>
    </w:p>
    <w:p>
      <w:pPr>
        <w:pStyle w:val="BodyText"/>
        <w:widowControl/>
      </w:pPr>
      <w:r>
        <w:t xml:space="preserve">Goodhart, C. A. E. (1984). Problems of monetary management: The UK experience. In C. A. E. Goodhart (Ed.), Monetary theory and practice: The UK experience (pp. 91–121). Macmillan.</w:t>
      </w:r>
    </w:p>
    <w:p>
      <w:pPr>
        <w:pStyle w:val="BodyText"/>
        <w:widowControl/>
      </w:pPr>
      <w:r>
        <w:t xml:space="preserve">Hammond, J. S., Keeney, R. L., &amp; Raiffa, H. (1998). Smart choices: A practical guide to making better decisions. Harvard Business School Press.</w:t>
      </w:r>
    </w:p>
    <w:p>
      <w:pPr>
        <w:pStyle w:val="BodyText"/>
        <w:widowControl/>
      </w:pPr>
      <w:r>
        <w:t xml:space="preserve">Integrated Food Security Phase Classification (IPC) Global Partners. (n.d.). Integrated Food Security Phase Classification (IPC) framework and tools. Retrieved February 19, 2026, from </w:t>
      </w:r>
      <w:hyperlink r:id="rId305">
        <w:r>
          <w:rPr>
            <w:rStyle w:val="Hyperlink"/>
          </w:rPr>
          <w:t xml:space="preserve">https://www.ipcinfo.org/</w:t>
        </w:r>
      </w:hyperlink>
    </w:p>
    <w:p>
      <w:pPr>
        <w:pStyle w:val="BodyText"/>
        <w:widowControl/>
      </w:pPr>
      <w:r>
        <w:t xml:space="preserve">Intergovernmental Panel on Climate Change. (2023). Climate change 2023: Synthesis report. </w:t>
      </w:r>
      <w:hyperlink r:id="rId306">
        <w:r>
          <w:rPr>
            <w:rStyle w:val="Hyperlink"/>
          </w:rPr>
          <w:t xml:space="preserve">https://doi.org/10.59327/IPCC/AR6-9789291691647</w:t>
        </w:r>
      </w:hyperlink>
    </w:p>
    <w:p>
      <w:pPr>
        <w:pStyle w:val="BodyText"/>
        <w:widowControl/>
      </w:pPr>
      <w:r>
        <w:t xml:space="preserve">International Labour Organization. (1998). ILO Declaration on Fundamental Principles and Rights at Work and its Follow-up. Retrieved February 19, 2026, from </w:t>
      </w:r>
      <w:hyperlink r:id="rId307">
        <w:r>
          <w:rPr>
            <w:rStyle w:val="Hyperlink"/>
          </w:rPr>
          <w:t xml:space="preserve">https://www.ilo.org/ilo-declaration-fundamental-principles-and-rights-work/about-declaration/text-declaration-and-its-follow</w:t>
        </w:r>
      </w:hyperlink>
    </w:p>
    <w:p>
      <w:pPr>
        <w:pStyle w:val="BodyText"/>
        <w:widowControl/>
      </w:pPr>
      <w:r>
        <w:t xml:space="preserve">International Labour Organization. (2012). ILO indicators of forced labour (Special Action Programme to Combat Forced Labour).</w:t>
      </w:r>
      <w:r>
        <w:t xml:space="preserve"> </w:t>
      </w:r>
      <w:hyperlink r:id="rId308">
        <w:r>
          <w:rPr>
            <w:rStyle w:val="Hyperlink"/>
          </w:rPr>
          <w:t xml:space="preserve">https://www.ilo.org/publications/ilo-indicators-forced-labour</w:t>
        </w:r>
      </w:hyperlink>
    </w:p>
    <w:p>
      <w:pPr>
        <w:pStyle w:val="BodyText"/>
        <w:widowControl/>
      </w:pPr>
      <w:r>
        <w:t xml:space="preserve">Kahneman, D., &amp; Tversky, A. (1979). Prospect theory: An analysis of decision under risk. Econometrica, 47(2), 263–291. </w:t>
      </w:r>
      <w:hyperlink r:id="rId309">
        <w:r>
          <w:rPr>
            <w:rStyle w:val="Hyperlink"/>
          </w:rPr>
          <w:t xml:space="preserve">https://doi.org/10.2307/1914185</w:t>
        </w:r>
      </w:hyperlink>
    </w:p>
    <w:p>
      <w:pPr>
        <w:pStyle w:val="BodyText"/>
        <w:widowControl/>
      </w:pPr>
      <w:r>
        <w:t xml:space="preserve">Keeney, R. L., &amp; Raiffa, H. (1976). Decisions with multiple objectives: Preferences and value tradeoffs. Wiley.</w:t>
      </w:r>
    </w:p>
    <w:p>
      <w:pPr>
        <w:pStyle w:val="BodyText"/>
        <w:widowControl/>
      </w:pPr>
      <w:r>
        <w:t xml:space="preserve">Lenton, T. M., Held, H., Kriegler, E., Hall, J. W., Lucht, W., Rahmstorf, S., &amp; Schellnhuber, H. J. (2008). Tipping elements in the Earth’s climate system. Proceedings of the National Academy of Sciences, 105(6), 1786–1793. </w:t>
      </w:r>
      <w:hyperlink r:id="rId310">
        <w:r>
          <w:rPr>
            <w:rStyle w:val="Hyperlink"/>
          </w:rPr>
          <w:t xml:space="preserve">https://doi.org/10.1073/pnas.0705414105</w:t>
        </w:r>
      </w:hyperlink>
    </w:p>
    <w:p>
      <w:pPr>
        <w:pStyle w:val="BodyText"/>
        <w:widowControl/>
      </w:pPr>
      <w:r>
        <w:t xml:space="preserve">Manheim, D., &amp; Garrabrant, S. (2018). Categorizing variants of Goodhart’s law. arXiv. </w:t>
      </w:r>
      <w:hyperlink r:id="rId311">
        <w:r>
          <w:rPr>
            <w:rStyle w:val="Hyperlink"/>
          </w:rPr>
          <w:t xml:space="preserve">https://doi.org/10.48550/arXiv.1803.04585</w:t>
        </w:r>
      </w:hyperlink>
    </w:p>
    <w:p>
      <w:pPr>
        <w:pStyle w:val="BodyText"/>
        <w:widowControl/>
      </w:pPr>
      <w:r>
        <w:t xml:space="preserve">March, J. G., &amp; Simon, H. A. (1958). Organizations. Wiley.</w:t>
      </w:r>
    </w:p>
    <w:p>
      <w:pPr>
        <w:pStyle w:val="BodyText"/>
        <w:widowControl/>
      </w:pPr>
      <w:r>
        <w:t xml:space="preserve">Max-Neef, M. A. (1991). Human scale development: Conception, application and further reflections. Apex Press.</w:t>
      </w:r>
    </w:p>
    <w:p>
      <w:pPr>
        <w:pStyle w:val="BodyText"/>
        <w:widowControl/>
      </w:pPr>
      <w:r>
        <w:t xml:space="preserve">McGaughran, J. (2026). Sentience Gradient Protocol (SGP) v8.4 [Specification]. MathGov Institute for Ethical Systems Design. Historical lineage: Sentience Gradient Protocol (SGP) v7.0 [Specification]; v6.0 [Specification]; v5.5 [Specification]; v5.4 [Specification]; v5.3 [Specification]; v5.2.1 [Specification]; v5.2 [Specification]; and v4.7.2 [Historical predecessor specification].</w:t>
      </w:r>
    </w:p>
    <w:p>
      <w:pPr>
        <w:pStyle w:val="BodyText"/>
        <w:widowControl/>
      </w:pPr>
      <w:r>
        <w:t xml:space="preserve">Meadows, D. H. (2008). Thinking in systems: A primer. Chelsea Green Publishing.</w:t>
      </w:r>
    </w:p>
    <w:p>
      <w:pPr>
        <w:pStyle w:val="BodyText"/>
        <w:widowControl/>
      </w:pPr>
      <w:r>
        <w:t xml:space="preserve">National Institute of Standards and Technology. (2023). Artificial Intelligence Risk Management Framework (AI RMF 1.0) (NIST AI 100-1). </w:t>
      </w:r>
      <w:hyperlink r:id="rId312">
        <w:r>
          <w:rPr>
            <w:rStyle w:val="Hyperlink"/>
          </w:rPr>
          <w:t xml:space="preserve">https://doi.org/10.6028/NIST.AI.100-1</w:t>
        </w:r>
      </w:hyperlink>
    </w:p>
    <w:p>
      <w:pPr>
        <w:pStyle w:val="BodyText"/>
        <w:widowControl/>
      </w:pPr>
      <w:r>
        <w:t xml:space="preserve">Newman, M. E. J. (2010). Networks: An introduction. Oxford University Press.</w:t>
      </w:r>
    </w:p>
    <w:p>
      <w:pPr>
        <w:pStyle w:val="BodyText"/>
        <w:widowControl/>
      </w:pPr>
      <w:r>
        <w:t xml:space="preserve">North, D. C. (1990). Institutions, institutional change and economic performance. Cambridge University Press.</w:t>
      </w:r>
    </w:p>
    <w:p>
      <w:pPr>
        <w:pStyle w:val="BodyText"/>
        <w:widowControl/>
      </w:pPr>
      <w:r>
        <w:t xml:space="preserve">Nowak, M. A. (2006). Five rules for the evolution of cooperation. Science, 314(5805), 1560–1563. </w:t>
      </w:r>
      <w:hyperlink r:id="rId313">
        <w:r>
          <w:rPr>
            <w:rStyle w:val="Hyperlink"/>
          </w:rPr>
          <w:t xml:space="preserve">https://doi.org/10.1126/science.1133755</w:t>
        </w:r>
      </w:hyperlink>
    </w:p>
    <w:p>
      <w:pPr>
        <w:pStyle w:val="BodyText"/>
        <w:widowControl/>
      </w:pPr>
      <w:r>
        <w:t xml:space="preserve">Nussbaum, M. C. (2011). Creating capabilities: The human development approach. Harvard University Press.</w:t>
      </w:r>
    </w:p>
    <w:p>
      <w:pPr>
        <w:pStyle w:val="BodyText"/>
        <w:widowControl/>
      </w:pPr>
      <w:r>
        <w:t xml:space="preserve">Odum, E. P. (1971). Fundamentals of ecology (3rd ed.). W. B. Saunders.</w:t>
      </w:r>
    </w:p>
    <w:p>
      <w:pPr>
        <w:pStyle w:val="BodyText"/>
        <w:widowControl/>
      </w:pPr>
      <w:r>
        <w:t xml:space="preserve">Ord, T. (2020). The precipice: Existential risk and the future of humanity. Hachette Books.</w:t>
      </w:r>
    </w:p>
    <w:p>
      <w:pPr>
        <w:pStyle w:val="BodyText"/>
        <w:widowControl/>
      </w:pPr>
      <w:r>
        <w:t xml:space="preserve">Ostrom, E. (1990). Governing the commons: The evolution of institutions for collective action. Cambridge University Press.</w:t>
      </w:r>
    </w:p>
    <w:p>
      <w:pPr>
        <w:pStyle w:val="BodyText"/>
        <w:widowControl/>
      </w:pPr>
      <w:r>
        <w:t xml:space="preserve">Popper, K. (1959). The logic of scientific discovery. Hutchinson.</w:t>
      </w:r>
    </w:p>
    <w:p>
      <w:pPr>
        <w:pStyle w:val="BodyText"/>
        <w:widowControl/>
      </w:pPr>
      <w:r>
        <w:t xml:space="preserve">Putnam, R. D. (2000). Bowling alone: The collapse and revival of American community. Simon &amp; Schuster.</w:t>
      </w:r>
    </w:p>
    <w:p>
      <w:pPr>
        <w:pStyle w:val="BodyText"/>
        <w:widowControl/>
      </w:pPr>
      <w:r>
        <w:t xml:space="preserve">Rawls, J. (1971). A theory of justice. Harvard University Press.</w:t>
      </w:r>
    </w:p>
    <w:p>
      <w:pPr>
        <w:pStyle w:val="BodyText"/>
        <w:widowControl/>
      </w:pPr>
      <w:r>
        <w:t xml:space="preserve">Reporters Without Borders. (n.d.). World Press Freedom Index. Retrieved February 19, 2026, from </w:t>
      </w:r>
      <w:hyperlink r:id="rId314">
        <w:r>
          <w:rPr>
            <w:rStyle w:val="Hyperlink"/>
          </w:rPr>
          <w:t xml:space="preserve">https://rsf.org/en/index</w:t>
        </w:r>
      </w:hyperlink>
    </w:p>
    <w:p>
      <w:pPr>
        <w:pStyle w:val="BodyText"/>
        <w:widowControl/>
      </w:pPr>
      <w:r>
        <w:t xml:space="preserve">Rockafellar, R. T., &amp; Uryasev, S. (2000). Optimization of conditional value-at-risk. Journal of Risk, 2(3), 21–41.</w:t>
      </w:r>
      <w:r>
        <w:t xml:space="preserve"> </w:t>
      </w:r>
      <w:hyperlink r:id="rId315">
        <w:r>
          <w:rPr>
            <w:rStyle w:val="Hyperlink"/>
          </w:rPr>
          <w:t xml:space="preserve">https://doi.org/10.21314/JOR.2000.038</w:t>
        </w:r>
      </w:hyperlink>
    </w:p>
    <w:p>
      <w:pPr>
        <w:pStyle w:val="BodyText"/>
        <w:widowControl/>
      </w:pPr>
      <w:r>
        <w:t xml:space="preserve">Rockström, J., Gupta, J., Qin, D., Lade, S. J., Abrams, J. F., Andersen, L. S., Armstrong McKay, D. I., Bai, X., Bala, G., Bunn, S. E., Ciobanu, D., DeClerck, F., Ebi, K., Gifford, L., Gordon, C., Hasan, S., Kanie, N., Lenton, T. M., Loriani, S., … Zhang, X. (2023). Safe and just Earth system boundaries. Nature, 619(7968), 102–111. </w:t>
      </w:r>
      <w:hyperlink r:id="rId316">
        <w:r>
          <w:rPr>
            <w:rStyle w:val="Hyperlink"/>
          </w:rPr>
          <w:t xml:space="preserve">https://doi.org/10.1038/s41586-023-06083-8</w:t>
        </w:r>
      </w:hyperlink>
    </w:p>
    <w:p>
      <w:pPr>
        <w:pStyle w:val="BodyText"/>
        <w:widowControl/>
      </w:pPr>
      <w:r>
        <w:t xml:space="preserve">Rockström, J., Steffen, W., Noone, K., Persson, Å., Chapin, F. S., Lambin, E. F., Lenton, T. M., Scheffer, M., Folke, C., Schellnhuber, H. J., Nykvist, B., de Wit, C. A., Hughes, T., van der Leeuw, S., Rodhe, H., Sörlin, S., Snyder, P. K., Costanza, R., Svedin, U., … Foley, J. A. (2009). A safe operating space for humanity. Nature, 461(7263), 472–475. </w:t>
      </w:r>
      <w:hyperlink r:id="rId317">
        <w:r>
          <w:rPr>
            <w:rStyle w:val="Hyperlink"/>
          </w:rPr>
          <w:t xml:space="preserve">https://doi.org/10.1038/461472a</w:t>
        </w:r>
      </w:hyperlink>
    </w:p>
    <w:p>
      <w:pPr>
        <w:pStyle w:val="BodyText"/>
        <w:widowControl/>
      </w:pPr>
      <w:r>
        <w:t xml:space="preserve">Russell, S. (2019). Human compatible: Artificial intelligence and the problem of control. Viking.</w:t>
      </w:r>
    </w:p>
    <w:p>
      <w:pPr>
        <w:pStyle w:val="BodyText"/>
        <w:widowControl/>
      </w:pPr>
      <w:r>
        <w:t xml:space="preserve">Ryan, R. M., &amp; Deci, E. L. (2000). Self-determination theory and the facilitation of intrinsic motivation, social development, and well-being. American Psychologist, 55(1), 68–78. </w:t>
      </w:r>
      <w:hyperlink r:id="rId318">
        <w:r>
          <w:rPr>
            <w:rStyle w:val="Hyperlink"/>
          </w:rPr>
          <w:t xml:space="preserve">https://doi.org/10.1037/0003-066X.55.1.68</w:t>
        </w:r>
      </w:hyperlink>
    </w:p>
    <w:p>
      <w:pPr>
        <w:pStyle w:val="BodyText"/>
        <w:widowControl/>
      </w:pPr>
      <w:r>
        <w:t xml:space="preserve">Sen, A. (1999). Development as freedom. Knopf.</w:t>
      </w:r>
    </w:p>
    <w:p>
      <w:pPr>
        <w:pStyle w:val="BodyText"/>
        <w:widowControl/>
      </w:pPr>
      <w:r>
        <w:t xml:space="preserve">Sen, A. (2009). The idea of justice. Harvard University Press.</w:t>
      </w:r>
    </w:p>
    <w:p>
      <w:pPr>
        <w:pStyle w:val="BodyText"/>
        <w:widowControl/>
      </w:pPr>
      <w:r>
        <w:t xml:space="preserve">Simon, H. A. (1962). The architecture of complexity. Proceedings of the American Philosophical Society, 106(6), 467–482.</w:t>
      </w:r>
    </w:p>
    <w:p>
      <w:pPr>
        <w:pStyle w:val="BodyText"/>
        <w:widowControl/>
      </w:pPr>
      <w:r>
        <w:t xml:space="preserve">Steffen, W., Richardson, K., Rockström, J., Cornell, S. E., Fetzer, I., Bennett, E. M., Biggs, R., Carpenter, S. R., de Vries, W., de Wit, C. A., Folke, C., Gerten, D., Heinke, J., Mace, G. M., Persson, L. M., Ramanathan, V., Reyers, B., &amp; Sörlin, S. (2015). Planetary boundaries: Guiding human development on a changing planet. Science, 347(6223), 1259855. </w:t>
      </w:r>
      <w:hyperlink r:id="rId319">
        <w:r>
          <w:rPr>
            <w:rStyle w:val="Hyperlink"/>
          </w:rPr>
          <w:t xml:space="preserve">https://doi.org/10.1126/science.1259855</w:t>
        </w:r>
      </w:hyperlink>
    </w:p>
    <w:p>
      <w:pPr>
        <w:pStyle w:val="BodyText"/>
        <w:widowControl/>
      </w:pPr>
      <w:r>
        <w:t xml:space="preserve">Taleb, N. N. (2012). Antifragile: Things that gain from disorder. Random House.</w:t>
      </w:r>
    </w:p>
    <w:p>
      <w:pPr>
        <w:pStyle w:val="BodyText"/>
        <w:widowControl/>
      </w:pPr>
      <w:r>
        <w:t xml:space="preserve">United Nations. (1966). International Covenant on Civil and Political Rights. United Nations Treaty Collection. Retrieved February 19, 2026, from </w:t>
      </w:r>
      <w:hyperlink r:id="rId320">
        <w:r>
          <w:rPr>
            <w:rStyle w:val="Hyperlink"/>
          </w:rPr>
          <w:t xml:space="preserve">https://treaties.un.org/Pages/ViewDetails.aspx?src=TREATY&amp;mtdsg_no=IV-4&amp;chapter=4&amp;clang=\_en</w:t>
        </w:r>
      </w:hyperlink>
    </w:p>
    <w:p>
      <w:pPr>
        <w:pStyle w:val="BodyText"/>
        <w:widowControl/>
      </w:pPr>
      <w:r>
        <w:t xml:space="preserve">United Nations. (1984). Convention against Torture and Other Cruel, Inhuman or Degrading Treatment or Punishment. United Nations Treaty Collection. Retrieved February 19, 2026, from </w:t>
      </w:r>
      <w:hyperlink r:id="rId321">
        <w:r>
          <w:rPr>
            <w:rStyle w:val="Hyperlink"/>
          </w:rPr>
          <w:t xml:space="preserve">https://treaties.un.org/Pages/ViewDetails.aspx?src=TREATY&amp;mtdsg_no=IV-9&amp;chapter=4&amp;clang=\_en</w:t>
        </w:r>
      </w:hyperlink>
    </w:p>
    <w:p>
      <w:pPr>
        <w:pStyle w:val="BodyText"/>
        <w:widowControl/>
      </w:pPr>
      <w:r>
        <w:t xml:space="preserve">United Nations Human Settlements Programme (UN-Habitat). (2003). The challenge of slums: Global report on human settlements 2003. Earthscan. Retrieved February 19, 2026, from </w:t>
      </w:r>
      <w:hyperlink r:id="rId322">
        <w:r>
          <w:rPr>
            <w:rStyle w:val="Hyperlink"/>
          </w:rPr>
          <w:t xml:space="preserve">https://unhabitat.org/the-challenge-of-slums-global-report-on-human-settlements-2003</w:t>
        </w:r>
      </w:hyperlink>
    </w:p>
    <w:p>
      <w:pPr>
        <w:pStyle w:val="BodyText"/>
        <w:widowControl/>
      </w:pPr>
      <w:r>
        <w:t xml:space="preserve">United Nations Office on Genocide Prevention and the Responsibility to Protect. (2014). Framework of Analysis for Atrocity Crimes. Retrieved February 19, 2026, from </w:t>
      </w:r>
      <w:hyperlink r:id="rId323">
        <w:r>
          <w:rPr>
            <w:rStyle w:val="Hyperlink"/>
          </w:rPr>
          <w:t xml:space="preserve">https://www.un.org/en/genocideprevention/publications.shtml</w:t>
        </w:r>
      </w:hyperlink>
    </w:p>
    <w:p>
      <w:pPr>
        <w:pStyle w:val="BodyText"/>
        <w:widowControl/>
      </w:pPr>
      <w:r>
        <w:t xml:space="preserve">Üstün, T. B., Kostanjsek, N., Chatterji, S., &amp; Rehm, J. (Eds.). (2010). Measuring health and disability: Manual for WHO Disability Assessment Schedule (WHODAS 2.0). World Health Organization. </w:t>
      </w:r>
      <w:hyperlink r:id="rId324">
        <w:r>
          <w:rPr>
            <w:rStyle w:val="Hyperlink"/>
          </w:rPr>
          <w:t xml:space="preserve">https://iris.who.int/handle/10665/43974</w:t>
        </w:r>
      </w:hyperlink>
    </w:p>
    <w:p>
      <w:pPr>
        <w:pStyle w:val="BodyText"/>
        <w:widowControl/>
      </w:pPr>
      <w:r>
        <w:t xml:space="preserve">Weber, M. (1978). Economy and society (G. Roth &amp; C. Wittich, Eds.). University of California Press. (Original work published 1922)</w:t>
      </w:r>
    </w:p>
    <w:p>
      <w:pPr>
        <w:pStyle w:val="BodyText"/>
        <w:widowControl/>
      </w:pPr>
      <w:r>
        <w:t xml:space="preserve">World Health Organization. (2001). International classification of functioning, disability and health (ICF). Retrieved February 19, 2026, from </w:t>
      </w:r>
      <w:hyperlink r:id="rId325">
        <w:r>
          <w:rPr>
            <w:rStyle w:val="Hyperlink"/>
          </w:rPr>
          <w:t xml:space="preserve">https://www.who.int/standards/classifications/international-classification-of-functioning-disability-and-health</w:t>
        </w:r>
      </w:hyperlink>
    </w:p>
    <w:p>
      <w:pPr>
        <w:pStyle w:val="BodyText"/>
        <w:widowControl/>
      </w:pPr>
      <w:r>
        <w:t xml:space="preserve">World Justice Project. (n.d.). Rule of Law Index. Retrieved February 19, 2026, from </w:t>
      </w:r>
      <w:hyperlink r:id="rId326">
        <w:r>
          <w:rPr>
            <w:rStyle w:val="Hyperlink"/>
          </w:rPr>
          <w:t xml:space="preserve">https://worldjusticeproject.org/rule-of-law-index/</w:t>
        </w:r>
      </w:hyperlink>
    </w:p>
    <w:p>
      <w:pPr>
        <w:pStyle w:val="BodyText"/>
        <w:widowControl/>
      </w:pPr>
      <w:r>
        <w:t xml:space="preserve">APPENDICES</w:t>
      </w:r>
    </w:p>
    <w:bookmarkEnd w:id="327"/>
    <w:bookmarkEnd w:id="328"/>
    <w:bookmarkStart w:id="345" w:name="appendix-a-symbols-and-notation-v120"/>
    <w:p>
      <w:pPr>
        <w:pStyle w:val="Heading1"/>
        <w:keepNext/>
        <w:keepLines/>
        <w:pageBreakBefore w:val="0"/>
        <w:widowControl/>
      </w:pPr>
      <w:r>
        <w:rPr>
          <w:rFonts w:ascii="Arial" w:hAnsi="Arial" w:eastAsia="Arial"/>
          <w:b/>
          <w:color w:val="1F4E78"/>
        </w:rPr>
        <w:t xml:space="preserve">APPENDIX A: SYMBOLS AND NOTATION (v12.0)</w:t>
      </w:r>
    </w:p>
    <w:p>
      <w:pPr>
        <w:pStyle w:val="FirstParagraph"/>
        <w:widowControl/>
      </w:pPr>
      <w:r>
        <w:t xml:space="preserve">Appendix A is normative for symbol meanings and domains.</w:t>
      </w:r>
    </w:p>
    <w:p>
      <w:pPr>
        <w:pStyle w:val="BodyText"/>
        <w:widowControl/>
      </w:pPr>
      <w:r>
        <w:t xml:space="preserve">Terminology note (Normative). u indexes Union Scopes (short: Scopes). “Union(s)” remains an allowed legacy alias. This does not change meanings in v9.0 and earlier, it clarifies the canonical term in v9.0.</w:t>
      </w:r>
    </w:p>
    <w:p>
      <w:pPr>
        <w:pStyle w:val="BodyText"/>
        <w:widowControl/>
      </w:pPr>
      <w:r>
        <w:t xml:space="preserve">RealityGroundingRecord / RCR: A PCC-linked record identifying a run’s decision-relevant reality surface, material reality claims, evidence traces, declared unknowns, RealityGroundingStatus, vehicle/content/effect notes where social or institutional constructs are material, surface/territory limitations, and falsification or monitoring triggers. This is the canonical record. The older label RealitySurfaceRecord is deprecated and may be used only as a legacy full-text alias for the surface-description portion of RCR; RSR MUST NOT be used for RealitySurfaceRecord. To avoid acronym collision with ReferenceStructureRecord, use RCR for RealityGroundingRecord and RefStructRecord for ReferenceStructureRecord where abbreviations are needed.</w:t>
      </w:r>
    </w:p>
    <w:p>
      <w:pPr>
        <w:pStyle w:val="BodyText"/>
        <w:widowControl/>
      </w:pPr>
      <w:r>
        <w:t xml:space="preserve">RealityGroundingStatus: The declared status of a decision claim’s contact with the relevant reality surface. Allowed values: GROUNDED, ESTIMATED, ASSUMPTION_BOUND, DECLARED_UNKNOWN, OUT_OF_SCOPE_WITH_RATIONALE, INSUFFICIENT_GROUNDING. Legacy aliases EVIDENCE_BACKED -&gt; GROUNDED and INSUFFICIENT_CONTACT -&gt; INSUFFICIENT_GROUNDING are retained for backward compatibility. At Tier 2 it is operator-declared with review status explicitly recorded; at Tier 3 it must follow the declared reviewer regime; at Tier 4 it must be independently re-derivable from EvidenceTrace and hash-pinned supporting artifacts.</w:t>
      </w:r>
    </w:p>
    <w:bookmarkStart w:id="329" w:name="a1-sets-and-indices"/>
    <w:p>
      <w:pPr>
        <w:pStyle w:val="Heading2"/>
        <w:keepNext/>
        <w:keepLines/>
        <w:pageBreakBefore w:val="0"/>
        <w:widowControl/>
      </w:pPr>
      <w:r>
        <w:rPr>
          <w:rFonts w:ascii="Arial" w:hAnsi="Arial" w:eastAsia="Arial"/>
          <w:b/>
          <w:color w:val="1F4E78"/>
        </w:rPr>
        <w:t xml:space="preserve">A.1 Sets and Indices</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c>
          <w:tcPr>
            <w:shd w:fill="1F4E78" w:val="clear"/>
            <w:tcMar>
              <w:top w:w="80" w:type="dxa"/>
              <w:start w:w="90" w:type="dxa"/>
              <w:bottom w:w="80" w:type="dxa"/>
              <w:end w:w="90" w:type="dxa"/>
            </w:tcMar>
          </w:tcPr>
          <w:p>
            <w:pPr>
              <w:pStyle w:val="Compact"/>
              <w:jc w:val="left"/>
            </w:pPr>
            <w:r>
              <w:rPr>
                <w:b/>
                <w:bCs/>
                <w:color w:val="FFFFFF"/>
              </w:rPr>
              <w:t xml:space="preserve">Domain</w:t>
            </w:r>
          </w:p>
        </w:tc>
      </w:tr>
      <w:tr>
        <w:trPr/>
        <w:tc>
          <w:tcPr>
            <w:tcMar>
              <w:top w:w="80" w:type="dxa"/>
              <w:start w:w="90" w:type="dxa"/>
              <w:bottom w:w="80" w:type="dxa"/>
              <w:end w:w="90" w:type="dxa"/>
            </w:tcMar>
            <w:shd w:fill="F7FBFF" w:val="clear"/>
          </w:tcPr>
          <w:p>
            <w:pPr>
              <w:pStyle w:val="Compact"/>
              <w:jc w:val="left"/>
            </w:pPr>
            <w:r>
              <w:t xml:space="preserve">u</w:t>
            </w:r>
          </w:p>
        </w:tc>
        <w:tc>
          <w:tcPr>
            <w:tcMar>
              <w:top w:w="80" w:type="dxa"/>
              <w:start w:w="90" w:type="dxa"/>
              <w:bottom w:w="80" w:type="dxa"/>
              <w:end w:w="90" w:type="dxa"/>
            </w:tcMar>
            <w:shd w:fill="F7FBFF" w:val="clear"/>
          </w:tcPr>
          <w:p>
            <w:pPr>
              <w:pStyle w:val="Compact"/>
              <w:jc w:val="left"/>
            </w:pPr>
            <w:r>
              <w:t xml:space="preserve">Union Scope (Scope) index</w:t>
            </w:r>
          </w:p>
        </w:tc>
        <w:tc>
          <w:tcPr>
            <w:tcMar>
              <w:top w:w="80" w:type="dxa"/>
              <w:start w:w="90" w:type="dxa"/>
              <w:bottom w:w="80" w:type="dxa"/>
              <w:end w:w="90" w:type="dxa"/>
            </w:tcMar>
            <w:shd w:fill="F7FBFF" w:val="clear"/>
          </w:tcPr>
          <w:p>
            <w:pPr>
              <w:pStyle w:val="Compact"/>
              <w:jc w:val="left"/>
            </w:pPr>
            <w:r>
              <w:t xml:space="preserve">u ∈ {1,2,3,4,5,6,7}</w:t>
            </w:r>
          </w:p>
        </w:tc>
      </w:tr>
      <w:tr>
        <w:trPr/>
        <w:tc>
          <w:tcPr>
            <w:tcMar>
              <w:top w:w="80" w:type="dxa"/>
              <w:start w:w="90" w:type="dxa"/>
              <w:bottom w:w="80" w:type="dxa"/>
              <w:end w:w="90" w:type="dxa"/>
            </w:tcMar>
            <w:shd w:fill="D9EAF7" w:val="clear"/>
          </w:tcPr>
          <w:p>
            <w:pPr>
              <w:pStyle w:val="Compact"/>
              <w:jc w:val="left"/>
            </w:pPr>
            <w:r>
              <w:t xml:space="preserve">d</w:t>
            </w:r>
          </w:p>
        </w:tc>
        <w:tc>
          <w:tcPr>
            <w:tcMar>
              <w:top w:w="80" w:type="dxa"/>
              <w:start w:w="90" w:type="dxa"/>
              <w:bottom w:w="80" w:type="dxa"/>
              <w:end w:w="90" w:type="dxa"/>
            </w:tcMar>
            <w:shd w:fill="D9EAF7" w:val="clear"/>
          </w:tcPr>
          <w:p>
            <w:pPr>
              <w:pStyle w:val="Compact"/>
              <w:jc w:val="left"/>
            </w:pPr>
            <w:r>
              <w:t xml:space="preserve">Dimension index</w:t>
            </w:r>
          </w:p>
        </w:tc>
        <w:tc>
          <w:tcPr>
            <w:tcMar>
              <w:top w:w="80" w:type="dxa"/>
              <w:start w:w="90" w:type="dxa"/>
              <w:bottom w:w="80" w:type="dxa"/>
              <w:end w:w="90" w:type="dxa"/>
            </w:tcMar>
            <w:shd w:fill="D9EAF7" w:val="clear"/>
          </w:tcPr>
          <w:p>
            <w:pPr>
              <w:pStyle w:val="Compact"/>
              <w:jc w:val="left"/>
            </w:pPr>
            <w:r>
              <w:t xml:space="preserve">d ∈ {1,2,3,4,5,6,7}</w:t>
            </w:r>
          </w:p>
        </w:tc>
      </w:tr>
      <w:tr>
        <w:trPr/>
        <w:tc>
          <w:tcPr>
            <w:tcMar>
              <w:top w:w="80" w:type="dxa"/>
              <w:start w:w="90" w:type="dxa"/>
              <w:bottom w:w="80" w:type="dxa"/>
              <w:end w:w="90" w:type="dxa"/>
            </w:tcMar>
            <w:shd w:fill="F7FBFF" w:val="clear"/>
          </w:tcPr>
          <w:p>
            <w:pPr>
              <w:pStyle w:val="Compact"/>
              <w:jc w:val="left"/>
            </w:pPr>
            <w:r>
              <w:t xml:space="preserve">a</w:t>
            </w:r>
          </w:p>
        </w:tc>
        <w:tc>
          <w:tcPr>
            <w:tcMar>
              <w:top w:w="80" w:type="dxa"/>
              <w:start w:w="90" w:type="dxa"/>
              <w:bottom w:w="80" w:type="dxa"/>
              <w:end w:w="90" w:type="dxa"/>
            </w:tcMar>
            <w:shd w:fill="F7FBFF" w:val="clear"/>
          </w:tcPr>
          <w:p>
            <w:pPr>
              <w:pStyle w:val="Compact"/>
              <w:jc w:val="left"/>
            </w:pPr>
            <w:r>
              <w:t xml:space="preserve">Option (candidate action)</w:t>
            </w:r>
          </w:p>
        </w:tc>
        <w:tc>
          <w:tcPr>
            <w:tcMar>
              <w:top w:w="80" w:type="dxa"/>
              <w:start w:w="90" w:type="dxa"/>
              <w:bottom w:w="80" w:type="dxa"/>
              <w:end w:w="90" w:type="dxa"/>
            </w:tcMar>
            <w:shd w:fill="F7FBFF" w:val="clear"/>
          </w:tcPr>
          <w:p>
            <w:pPr>
              <w:pStyle w:val="Compact"/>
              <w:jc w:val="left"/>
            </w:pPr>
            <w:r>
              <w:t xml:space="preserve">a ∈ O</w:t>
            </w:r>
          </w:p>
        </w:tc>
      </w:tr>
      <w:tr>
        <w:trPr/>
        <w:tc>
          <w:tcPr>
            <w:tcMar>
              <w:top w:w="80" w:type="dxa"/>
              <w:start w:w="90" w:type="dxa"/>
              <w:bottom w:w="80" w:type="dxa"/>
              <w:end w:w="90" w:type="dxa"/>
            </w:tcMar>
            <w:shd w:fill="D9EAF7" w:val="clear"/>
          </w:tcPr>
          <w:p>
            <w:pPr>
              <w:pStyle w:val="Compact"/>
              <w:jc w:val="left"/>
            </w:pPr>
            <w:r>
              <w:t xml:space="preserve">s</w:t>
            </w:r>
          </w:p>
        </w:tc>
        <w:tc>
          <w:tcPr>
            <w:tcMar>
              <w:top w:w="80" w:type="dxa"/>
              <w:start w:w="90" w:type="dxa"/>
              <w:bottom w:w="80" w:type="dxa"/>
              <w:end w:w="90" w:type="dxa"/>
            </w:tcMar>
            <w:shd w:fill="D9EAF7" w:val="clear"/>
          </w:tcPr>
          <w:p>
            <w:pPr>
              <w:pStyle w:val="Compact"/>
              <w:jc w:val="left"/>
            </w:pPr>
            <w:r>
              <w:t xml:space="preserve">Scenario index</w:t>
            </w:r>
          </w:p>
        </w:tc>
        <w:tc>
          <w:tcPr>
            <w:tcMar>
              <w:top w:w="80" w:type="dxa"/>
              <w:start w:w="90" w:type="dxa"/>
              <w:bottom w:w="80" w:type="dxa"/>
              <w:end w:w="90" w:type="dxa"/>
            </w:tcMar>
            <w:shd w:fill="D9EAF7" w:val="clear"/>
          </w:tcPr>
          <w:p>
            <w:pPr>
              <w:pStyle w:val="Compact"/>
              <w:jc w:val="left"/>
            </w:pPr>
            <w:r>
              <w:t xml:space="preserve">s ∈ S</w:t>
            </w:r>
          </w:p>
        </w:tc>
      </w:tr>
      <w:tr>
        <w:trPr/>
        <w:tc>
          <w:tcPr>
            <w:tcMar>
              <w:top w:w="80" w:type="dxa"/>
              <w:start w:w="90" w:type="dxa"/>
              <w:bottom w:w="80" w:type="dxa"/>
              <w:end w:w="90" w:type="dxa"/>
            </w:tcMar>
            <w:shd w:fill="F7FBFF" w:val="clear"/>
          </w:tcPr>
          <w:p>
            <w:pPr>
              <w:pStyle w:val="Compact"/>
              <w:jc w:val="left"/>
            </w:pPr>
            <w:r>
              <w:t xml:space="preserve">r</w:t>
            </w:r>
          </w:p>
        </w:tc>
        <w:tc>
          <w:tcPr>
            <w:tcMar>
              <w:top w:w="80" w:type="dxa"/>
              <w:start w:w="90" w:type="dxa"/>
              <w:bottom w:w="80" w:type="dxa"/>
              <w:end w:w="90" w:type="dxa"/>
            </w:tcMar>
            <w:shd w:fill="F7FBFF" w:val="clear"/>
          </w:tcPr>
          <w:p>
            <w:pPr>
              <w:pStyle w:val="Compact"/>
              <w:jc w:val="left"/>
            </w:pPr>
            <w:r>
              <w:t xml:space="preserve">Right index</w:t>
            </w:r>
          </w:p>
        </w:tc>
        <w:tc>
          <w:tcPr>
            <w:tcMar>
              <w:top w:w="80" w:type="dxa"/>
              <w:start w:w="90" w:type="dxa"/>
              <w:bottom w:w="80" w:type="dxa"/>
              <w:end w:w="90" w:type="dxa"/>
            </w:tcMar>
            <w:shd w:fill="F7FBFF" w:val="clear"/>
          </w:tcPr>
          <w:p>
            <w:pPr>
              <w:pStyle w:val="Compact"/>
              <w:jc w:val="left"/>
            </w:pPr>
            <w:r>
              <w:t xml:space="preserve">r ∈ R</w:t>
            </w:r>
          </w:p>
        </w:tc>
      </w:tr>
      <w:tr>
        <w:trPr/>
        <w:tc>
          <w:tcPr>
            <w:tcMar>
              <w:top w:w="80" w:type="dxa"/>
              <w:start w:w="90" w:type="dxa"/>
              <w:bottom w:w="80" w:type="dxa"/>
              <w:end w:w="90" w:type="dxa"/>
            </w:tcMar>
            <w:shd w:fill="D9EAF7" w:val="clear"/>
          </w:tcPr>
          <w:p>
            <w:pPr>
              <w:pStyle w:val="Compact"/>
              <w:jc w:val="left"/>
            </w:pPr>
            <w:r>
              <w:t xml:space="preserve">k</w:t>
            </w:r>
          </w:p>
        </w:tc>
        <w:tc>
          <w:tcPr>
            <w:tcMar>
              <w:top w:w="80" w:type="dxa"/>
              <w:start w:w="90" w:type="dxa"/>
              <w:bottom w:w="80" w:type="dxa"/>
              <w:end w:w="90" w:type="dxa"/>
            </w:tcMar>
            <w:shd w:fill="D9EAF7" w:val="clear"/>
          </w:tcPr>
          <w:p>
            <w:pPr>
              <w:pStyle w:val="Compact"/>
              <w:jc w:val="left"/>
            </w:pPr>
            <w:r>
              <w:t xml:space="preserve">Impact instance index</w:t>
            </w:r>
          </w:p>
        </w:tc>
        <w:tc>
          <w:tcPr>
            <w:tcMar>
              <w:top w:w="80" w:type="dxa"/>
              <w:start w:w="90" w:type="dxa"/>
              <w:bottom w:w="80" w:type="dxa"/>
              <w:end w:w="90" w:type="dxa"/>
            </w:tcMar>
            <w:shd w:fill="D9EAF7" w:val="clear"/>
          </w:tcPr>
          <w:p>
            <w:pPr>
              <w:pStyle w:val="Compact"/>
              <w:jc w:val="left"/>
            </w:pPr>
            <w:r>
              <w:t xml:space="preserve">integer</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g</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Protected subgroup index</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g ∈ G_{u,d}</w:t>
            </w:r>
          </w:p>
        </w:tc>
      </w:tr>
    </w:tbl>
    <w:bookmarkEnd w:id="329"/>
    <w:bookmarkStart w:id="330" w:name="a2-core-sets"/>
    <w:p>
      <w:pPr>
        <w:pStyle w:val="Heading2"/>
        <w:keepNext/>
        <w:keepLines/>
        <w:pageBreakBefore w:val="0"/>
        <w:widowControl/>
      </w:pPr>
      <w:r>
        <w:rPr>
          <w:rFonts w:ascii="Arial" w:hAnsi="Arial" w:eastAsia="Arial"/>
          <w:b/>
          <w:color w:val="1F4E78"/>
        </w:rPr>
        <w:t xml:space="preserve">A.2 Core Sets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Set</w:t>
            </w:r>
          </w:p>
        </w:tc>
        <w:tc>
          <w:tcPr>
            <w:shd w:fill="1F4E78" w:val="clear"/>
            <w:tcMar>
              <w:top w:w="80" w:type="dxa"/>
              <w:start w:w="90" w:type="dxa"/>
              <w:bottom w:w="80" w:type="dxa"/>
              <w:end w:w="90" w:type="dxa"/>
            </w:tcMar>
          </w:tcPr>
          <w:p>
            <w:pPr>
              <w:pStyle w:val="Compact"/>
              <w:jc w:val="left"/>
            </w:pPr>
            <w:r>
              <w:rPr>
                <w:b/>
                <w:bCs/>
                <w:color w:val="FFFFFF"/>
              </w:rPr>
              <w:t xml:space="preserve">Definition</w:t>
            </w:r>
          </w:p>
        </w:tc>
      </w:tr>
      <w:tr>
        <w:trPr/>
        <w:tc>
          <w:tcPr>
            <w:tcMar>
              <w:top w:w="80" w:type="dxa"/>
              <w:start w:w="90" w:type="dxa"/>
              <w:bottom w:w="80" w:type="dxa"/>
              <w:end w:w="90" w:type="dxa"/>
            </w:tcMar>
            <w:shd w:fill="F7FBFF" w:val="clear"/>
          </w:tcPr>
          <w:p>
            <w:pPr>
              <w:pStyle w:val="Compact"/>
              <w:jc w:val="left"/>
            </w:pPr>
            <w:r>
              <w:t xml:space="preserve">U</w:t>
            </w:r>
          </w:p>
        </w:tc>
        <w:tc>
          <w:tcPr>
            <w:tcMar>
              <w:top w:w="80" w:type="dxa"/>
              <w:start w:w="90" w:type="dxa"/>
              <w:bottom w:w="80" w:type="dxa"/>
              <w:end w:w="90" w:type="dxa"/>
            </w:tcMar>
            <w:shd w:fill="F7FBFF" w:val="clear"/>
          </w:tcPr>
          <w:p>
            <w:pPr>
              <w:pStyle w:val="Compact"/>
              <w:jc w:val="left"/>
            </w:pPr>
            <w:r>
              <w:t xml:space="preserve">Operational Scopes {Self, Household, Community, Organization, Polity, Humanity / Global Coordination, Biosphere}</w:t>
            </w:r>
          </w:p>
        </w:tc>
      </w:tr>
      <w:tr>
        <w:trPr/>
        <w:tc>
          <w:tcPr>
            <w:tcMar>
              <w:top w:w="80" w:type="dxa"/>
              <w:start w:w="90" w:type="dxa"/>
              <w:bottom w:w="80" w:type="dxa"/>
              <w:end w:w="90" w:type="dxa"/>
            </w:tcMar>
            <w:shd w:fill="D9EAF7" w:val="clear"/>
          </w:tcPr>
          <w:p>
            <w:pPr>
              <w:pStyle w:val="Compact"/>
              <w:jc w:val="left"/>
            </w:pPr>
            <w:r>
              <w:t xml:space="preserve">D</w:t>
            </w:r>
          </w:p>
        </w:tc>
        <w:tc>
          <w:tcPr>
            <w:tcMar>
              <w:top w:w="80" w:type="dxa"/>
              <w:start w:w="90" w:type="dxa"/>
              <w:bottom w:w="80" w:type="dxa"/>
              <w:end w:w="90" w:type="dxa"/>
            </w:tcMar>
            <w:shd w:fill="D9EAF7" w:val="clear"/>
          </w:tcPr>
          <w:p>
            <w:pPr>
              <w:pStyle w:val="Compact"/>
              <w:jc w:val="left"/>
            </w:pPr>
            <w:r>
              <w:t xml:space="preserve">Welfare dimensions {Material, Health, Social, Knowledge, Agency, Meaning, Environment}</w:t>
            </w:r>
          </w:p>
        </w:tc>
      </w:tr>
      <w:tr>
        <w:trPr/>
        <w:tc>
          <w:tcPr>
            <w:tcMar>
              <w:top w:w="80" w:type="dxa"/>
              <w:start w:w="90" w:type="dxa"/>
              <w:bottom w:w="80" w:type="dxa"/>
              <w:end w:w="90" w:type="dxa"/>
            </w:tcMar>
            <w:shd w:fill="F7FBFF" w:val="clear"/>
          </w:tcPr>
          <w:p>
            <w:pPr>
              <w:pStyle w:val="Compact"/>
              <w:jc w:val="left"/>
            </w:pPr>
            <w:r>
              <w:t xml:space="preserve">O</w:t>
            </w:r>
          </w:p>
        </w:tc>
        <w:tc>
          <w:tcPr>
            <w:tcMar>
              <w:top w:w="80" w:type="dxa"/>
              <w:start w:w="90" w:type="dxa"/>
              <w:bottom w:w="80" w:type="dxa"/>
              <w:end w:w="90" w:type="dxa"/>
            </w:tcMar>
            <w:shd w:fill="F7FBFF" w:val="clear"/>
          </w:tcPr>
          <w:p>
            <w:pPr>
              <w:pStyle w:val="Compact"/>
              <w:jc w:val="left"/>
            </w:pPr>
            <w:r>
              <w:t xml:space="preserve">Option set</w:t>
            </w:r>
          </w:p>
        </w:tc>
      </w:tr>
      <w:tr>
        <w:trPr/>
        <w:tc>
          <w:tcPr>
            <w:tcMar>
              <w:top w:w="80" w:type="dxa"/>
              <w:start w:w="90" w:type="dxa"/>
              <w:bottom w:w="80" w:type="dxa"/>
              <w:end w:w="90" w:type="dxa"/>
            </w:tcMar>
            <w:shd w:fill="D9EAF7" w:val="clear"/>
          </w:tcPr>
          <w:p>
            <w:pPr>
              <w:pStyle w:val="Compact"/>
              <w:jc w:val="left"/>
            </w:pPr>
            <w:r>
              <w:t xml:space="preserve">S</w:t>
            </w:r>
          </w:p>
        </w:tc>
        <w:tc>
          <w:tcPr>
            <w:tcMar>
              <w:top w:w="80" w:type="dxa"/>
              <w:start w:w="90" w:type="dxa"/>
              <w:bottom w:w="80" w:type="dxa"/>
              <w:end w:w="90" w:type="dxa"/>
            </w:tcMar>
            <w:shd w:fill="D9EAF7" w:val="clear"/>
          </w:tcPr>
          <w:p>
            <w:pPr>
              <w:pStyle w:val="Compact"/>
              <w:jc w:val="left"/>
            </w:pPr>
            <w:r>
              <w:t xml:space="preserve">Scenario set</w:t>
            </w:r>
          </w:p>
        </w:tc>
      </w:tr>
      <w:tr>
        <w:trPr/>
        <w:tc>
          <w:tcPr>
            <w:tcMar>
              <w:top w:w="80" w:type="dxa"/>
              <w:start w:w="90" w:type="dxa"/>
              <w:bottom w:w="80" w:type="dxa"/>
              <w:end w:w="90" w:type="dxa"/>
            </w:tcMar>
            <w:shd w:fill="F7FBFF" w:val="clear"/>
          </w:tcPr>
          <w:p>
            <w:pPr>
              <w:pStyle w:val="Compact"/>
              <w:jc w:val="left"/>
            </w:pPr>
            <w:r>
              <w:t xml:space="preserve">R</w:t>
            </w:r>
          </w:p>
        </w:tc>
        <w:tc>
          <w:tcPr>
            <w:tcMar>
              <w:top w:w="80" w:type="dxa"/>
              <w:start w:w="90" w:type="dxa"/>
              <w:bottom w:w="80" w:type="dxa"/>
              <w:end w:w="90" w:type="dxa"/>
            </w:tcMar>
            <w:shd w:fill="F7FBFF" w:val="clear"/>
          </w:tcPr>
          <w:p>
            <w:pPr>
              <w:pStyle w:val="Compact"/>
              <w:jc w:val="left"/>
            </w:pPr>
            <w:r>
              <w:t xml:space="preserve">Rights set {LIFE, BODY, LBTY, NEED, DIGN, PROC, INFO, ECOL}</w:t>
            </w:r>
          </w:p>
        </w:tc>
      </w:tr>
      <w:tr>
        <w:trPr/>
        <w:tc>
          <w:tcPr>
            <w:tcMar>
              <w:top w:w="80" w:type="dxa"/>
              <w:start w:w="90" w:type="dxa"/>
              <w:bottom w:w="80" w:type="dxa"/>
              <w:end w:w="90" w:type="dxa"/>
            </w:tcMar>
            <w:shd w:fill="D9EAF7" w:val="clear"/>
          </w:tcPr>
          <w:p>
            <w:pPr>
              <w:pStyle w:val="Compact"/>
              <w:jc w:val="left"/>
            </w:pPr>
            <w:r>
              <w:t xml:space="preserve">C_r ⊆ U×D</w:t>
            </w:r>
          </w:p>
        </w:tc>
        <w:tc>
          <w:tcPr>
            <w:tcMar>
              <w:top w:w="80" w:type="dxa"/>
              <w:start w:w="90" w:type="dxa"/>
              <w:bottom w:w="80" w:type="dxa"/>
              <w:end w:w="90" w:type="dxa"/>
            </w:tcMar>
            <w:shd w:fill="D9EAF7" w:val="clear"/>
          </w:tcPr>
          <w:p>
            <w:pPr>
              <w:pStyle w:val="Compact"/>
              <w:jc w:val="left"/>
            </w:pPr>
            <w:r>
              <w:t xml:space="preserve">Coverage set for right r</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C_cat ⊆ U×D</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Catastrophe cell set for TRC</w:t>
            </w:r>
          </w:p>
        </w:tc>
      </w:tr>
    </w:tbl>
    <w:bookmarkEnd w:id="330"/>
    <w:bookmarkStart w:id="331" w:name="a3-union-stack-canonical"/>
    <w:p>
      <w:pPr>
        <w:pStyle w:val="Heading2"/>
        <w:keepNext/>
        <w:keepLines/>
        <w:pageBreakBefore w:val="0"/>
        <w:widowControl/>
      </w:pPr>
      <w:r>
        <w:rPr>
          <w:rFonts w:ascii="Arial" w:hAnsi="Arial" w:eastAsia="Arial"/>
          <w:b/>
          <w:color w:val="1F4E78"/>
        </w:rPr>
        <w:t xml:space="preserve">A.3 Union Stack (Canonical)</w:t>
      </w:r>
    </w:p>
    <w:bookmarkEnd w:id="331"/>
    <w:bookmarkStart w:id="332" w:name="X9da93d3eeafc7686262656297d8e5f1f467b73d"/>
    <w:p>
      <w:pPr>
        <w:pStyle w:val="Heading2"/>
        <w:keepNext/>
        <w:keepLines/>
        <w:pageBreakBefore w:val="0"/>
        <w:widowControl/>
      </w:pPr>
      <w:r>
        <w:rPr>
          <w:rFonts w:ascii="Arial" w:hAnsi="Arial" w:eastAsia="Arial"/>
          <w:b/>
          <w:color w:val="1F4E78"/>
        </w:rPr>
        <w:t xml:space="preserve">Canonical Union Scopes: U1 Self; U2 Household; U3 Community; U4 Organization; U5 Polity; U6 Humanity / Global Coordination; U7 Biosphere. These are the row coordinates of the 7×7 welfare matrix. See Section 2.3 for definitions and Section 4.7 / Appendix AD for cell-level interpretation.</w:t>
      </w:r>
    </w:p>
    <w:bookmarkEnd w:id="332"/>
    <w:bookmarkStart w:id="333" w:name="Xa9ff609da2ec25b3bebbed92bc030b3eeb49bc5"/>
    <w:p>
      <w:pPr>
        <w:pStyle w:val="Heading2"/>
        <w:keepNext/>
        <w:keepLines/>
        <w:pageBreakBefore w:val="0"/>
        <w:widowControl/>
      </w:pPr>
      <w:r>
        <w:rPr>
          <w:rFonts w:ascii="Arial" w:hAnsi="Arial" w:eastAsia="Arial"/>
          <w:b/>
          <w:color w:val="1F4E78"/>
        </w:rPr>
        <w:t xml:space="preserve">A.3A Scope × Dimension Reference Table (Non-Normative, clarity payload)</w:t>
      </w:r>
    </w:p>
    <w:p>
      <w:pPr>
        <w:pStyle w:val="FirstParagraph"/>
        <w:widowControl/>
      </w:pPr>
      <w:r>
        <w:t xml:space="preserve">The table below reproduces the 7×7 Scope×Dimension reference grid for quick reading and cross-platform stability. The canonical grid definition is presented in Section 4.7.</w:t>
      </w:r>
    </w:p>
    <w:tbl>
      <w:tblPr>
        <w:tblStyle w:val="Table"/>
        <w:tblW w:type="pct" w:w="5000"/>
        <w:jc w:val="left"/>
        <w:tblLook w:firstRow="1" w:lastRow="0" w:firstColumn="0" w:lastColumn="0" w:noHBand="0" w:noVBand="0" w:val="0020"/>
        <w:tblInd w:type="dxa" w:w="0"/>
      </w:tblPr>
      <w:tblGrid>
        <w:gridCol w:w="990"/>
        <w:gridCol w:w="990"/>
        <w:gridCol w:w="990"/>
        <w:gridCol w:w="990"/>
        <w:gridCol w:w="990"/>
        <w:gridCol w:w="990"/>
        <w:gridCol w:w="990"/>
        <w:gridCol w:w="990"/>
      </w:tblGrid>
      <w:tr>
        <w:trPr>
          <w:tblHeader w:val="on"/>
        </w:trPr>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Scope \ Dimension</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D1 Material</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D2 Health</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D3 Social</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D4 Knowledge</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D5 Agency</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D6 Meaning</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D7 Environment</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U1 Self</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Personal resources, income, essentials</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Physical/mental health and safety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Relationships, belonging, support</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Learning, understanding, competence</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Autonomy, freedom, choice</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Purpose, values, spiritual well-being</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Local environment affecting self</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U2 Household</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Household livelihood, housing, food security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Household health, caregiving capacity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Family cohesion, care, safety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Household learning, skills</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Household decision rights, roles</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Household meaning, culture, identity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Home ecology, consumption footprint</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U3 Community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Community economy, access to goods/services</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Public health, local safety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Social trust, inclusion, cohesion</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Education access, knowledge commons</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Participation, civic agency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Shared narratives, cultural meaning</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Local ecosystems, pollution, resilience</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U4 Organization</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Organizational resources, viability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Workplace safety, wellbeing</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Org culture, fairness, belonging</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Org learning, data, competence</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Governance, employee agency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Mission coherence, meaning</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Operational environmental impacts</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U5 Polity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National economy, infrastructure, welfare capacity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Population health, security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Social stability, justice, cohesion</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National knowledge, R&amp;D, education</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Democratic agency, rights</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National identity, legitimacy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National environment, climate policy</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U6 Humanity / Global Coordination</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Global economy, shared resources</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Global health, existential safety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Human solidarity, equity, peace</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Global science, open knowledge</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Collective governance capacity</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Species meaning, long-run purpose</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Planetary boundaries, biosphere integrity</w:t>
            </w:r>
          </w:p>
        </w:tc>
      </w:tr>
      <w:tr>
        <w:trPr/>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U7 Biosphere</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Ecosystem services, material substrates</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Species health, biodiversity</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Symbiosis, interspecies stability</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Ecological knowledge, monitoring</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Resilience Capacity</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Life Continuity</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Habitats, climate stability, regeneration</w:t>
            </w:r>
          </w:p>
        </w:tc>
      </w:tr>
    </w:tbl>
    <w:bookmarkEnd w:id="333"/>
    <w:bookmarkStart w:id="334" w:name="a4-welfare-dimensions-canonical"/>
    <w:p>
      <w:pPr>
        <w:pStyle w:val="Heading2"/>
        <w:keepNext/>
        <w:keepLines/>
        <w:pageBreakBefore w:val="0"/>
        <w:widowControl/>
      </w:pPr>
      <w:r>
        <w:rPr>
          <w:rFonts w:ascii="Arial" w:hAnsi="Arial" w:eastAsia="Arial"/>
          <w:b/>
          <w:color w:val="1F4E78"/>
        </w:rPr>
        <w:t xml:space="preserve">A.4 Welfare Dimensions (Canonical)</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Dimension</w:t>
            </w:r>
          </w:p>
        </w:tc>
        <w:tc>
          <w:tcPr>
            <w:shd w:fill="1F4E78" w:val="clear"/>
            <w:tcMar>
              <w:top w:w="80" w:type="dxa"/>
              <w:start w:w="90" w:type="dxa"/>
              <w:bottom w:w="80" w:type="dxa"/>
              <w:end w:w="90" w:type="dxa"/>
            </w:tcMar>
          </w:tcPr>
          <w:p>
            <w:pPr>
              <w:pStyle w:val="Compact"/>
              <w:jc w:val="left"/>
            </w:pPr>
            <w:r>
              <w:rPr>
                <w:b/>
                <w:bCs/>
                <w:color w:val="FFFFFF"/>
              </w:rPr>
              <w:t xml:space="preserve">Name</w:t>
            </w:r>
          </w:p>
        </w:tc>
        <w:tc>
          <w:tcPr>
            <w:shd w:fill="1F4E78" w:val="clear"/>
            <w:tcMar>
              <w:top w:w="80" w:type="dxa"/>
              <w:start w:w="90" w:type="dxa"/>
              <w:bottom w:w="80" w:type="dxa"/>
              <w:end w:w="90" w:type="dxa"/>
            </w:tcMar>
          </w:tcPr>
          <w:p>
            <w:pPr>
              <w:pStyle w:val="Compact"/>
              <w:jc w:val="left"/>
            </w:pPr>
            <w:r>
              <w:rPr>
                <w:b/>
                <w:bCs/>
                <w:color w:val="FFFFFF"/>
              </w:rPr>
              <w:t xml:space="preserve">Summary</w:t>
            </w:r>
          </w:p>
        </w:tc>
      </w:tr>
      <w:tr>
        <w:trPr/>
        <w:tc>
          <w:tcPr>
            <w:tcMar>
              <w:top w:w="80" w:type="dxa"/>
              <w:start w:w="90" w:type="dxa"/>
              <w:bottom w:w="80" w:type="dxa"/>
              <w:end w:w="90" w:type="dxa"/>
            </w:tcMar>
            <w:shd w:fill="F7FBFF" w:val="clear"/>
          </w:tcPr>
          <w:p>
            <w:pPr>
              <w:pStyle w:val="Compact"/>
              <w:jc w:val="left"/>
            </w:pPr>
            <w:r>
              <w:t xml:space="preserve">D₁</w:t>
            </w:r>
          </w:p>
        </w:tc>
        <w:tc>
          <w:tcPr>
            <w:tcMar>
              <w:top w:w="80" w:type="dxa"/>
              <w:start w:w="90" w:type="dxa"/>
              <w:bottom w:w="80" w:type="dxa"/>
              <w:end w:w="90" w:type="dxa"/>
            </w:tcMar>
            <w:shd w:fill="F7FBFF" w:val="clear"/>
          </w:tcPr>
          <w:p>
            <w:pPr>
              <w:pStyle w:val="Compact"/>
              <w:jc w:val="left"/>
            </w:pPr>
            <w:r>
              <w:t xml:space="preserve">Material</w:t>
            </w:r>
          </w:p>
        </w:tc>
        <w:tc>
          <w:tcPr>
            <w:tcMar>
              <w:top w:w="80" w:type="dxa"/>
              <w:start w:w="90" w:type="dxa"/>
              <w:bottom w:w="80" w:type="dxa"/>
              <w:end w:w="90" w:type="dxa"/>
            </w:tcMar>
            <w:shd w:fill="F7FBFF" w:val="clear"/>
          </w:tcPr>
          <w:p>
            <w:pPr>
              <w:pStyle w:val="Compact"/>
              <w:jc w:val="left"/>
            </w:pPr>
            <w:r>
              <w:t xml:space="preserve">Resources, infrastructure, subsistence security</w:t>
            </w:r>
          </w:p>
        </w:tc>
      </w:tr>
      <w:tr>
        <w:trPr/>
        <w:tc>
          <w:tcPr>
            <w:tcMar>
              <w:top w:w="80" w:type="dxa"/>
              <w:start w:w="90" w:type="dxa"/>
              <w:bottom w:w="80" w:type="dxa"/>
              <w:end w:w="90" w:type="dxa"/>
            </w:tcMar>
            <w:shd w:fill="D9EAF7" w:val="clear"/>
          </w:tcPr>
          <w:p>
            <w:pPr>
              <w:pStyle w:val="Compact"/>
              <w:jc w:val="left"/>
            </w:pPr>
            <w:r>
              <w:t xml:space="preserve">D₂</w:t>
            </w:r>
          </w:p>
        </w:tc>
        <w:tc>
          <w:tcPr>
            <w:tcMar>
              <w:top w:w="80" w:type="dxa"/>
              <w:start w:w="90" w:type="dxa"/>
              <w:bottom w:w="80" w:type="dxa"/>
              <w:end w:w="90" w:type="dxa"/>
            </w:tcMar>
            <w:shd w:fill="D9EAF7" w:val="clear"/>
          </w:tcPr>
          <w:p>
            <w:pPr>
              <w:pStyle w:val="Compact"/>
              <w:jc w:val="left"/>
            </w:pPr>
            <w:r>
              <w:t xml:space="preserve">Health</w:t>
            </w:r>
          </w:p>
        </w:tc>
        <w:tc>
          <w:tcPr>
            <w:tcMar>
              <w:top w:w="80" w:type="dxa"/>
              <w:start w:w="90" w:type="dxa"/>
              <w:bottom w:w="80" w:type="dxa"/>
              <w:end w:w="90" w:type="dxa"/>
            </w:tcMar>
            <w:shd w:fill="D9EAF7" w:val="clear"/>
          </w:tcPr>
          <w:p>
            <w:pPr>
              <w:pStyle w:val="Compact"/>
              <w:jc w:val="left"/>
            </w:pPr>
            <w:r>
              <w:t xml:space="preserve">Physical/mental functioning, morbidity/mortality risk</w:t>
            </w:r>
          </w:p>
        </w:tc>
      </w:tr>
      <w:tr>
        <w:trPr/>
        <w:tc>
          <w:tcPr>
            <w:tcMar>
              <w:top w:w="80" w:type="dxa"/>
              <w:start w:w="90" w:type="dxa"/>
              <w:bottom w:w="80" w:type="dxa"/>
              <w:end w:w="90" w:type="dxa"/>
            </w:tcMar>
            <w:shd w:fill="F7FBFF" w:val="clear"/>
          </w:tcPr>
          <w:p>
            <w:pPr>
              <w:pStyle w:val="Compact"/>
              <w:jc w:val="left"/>
            </w:pPr>
            <w:r>
              <w:t xml:space="preserve">D₃</w:t>
            </w:r>
          </w:p>
        </w:tc>
        <w:tc>
          <w:tcPr>
            <w:tcMar>
              <w:top w:w="80" w:type="dxa"/>
              <w:start w:w="90" w:type="dxa"/>
              <w:bottom w:w="80" w:type="dxa"/>
              <w:end w:w="90" w:type="dxa"/>
            </w:tcMar>
            <w:shd w:fill="F7FBFF" w:val="clear"/>
          </w:tcPr>
          <w:p>
            <w:pPr>
              <w:pStyle w:val="Compact"/>
              <w:jc w:val="left"/>
            </w:pPr>
            <w:r>
              <w:t xml:space="preserve">Social</w:t>
            </w:r>
          </w:p>
        </w:tc>
        <w:tc>
          <w:tcPr>
            <w:tcMar>
              <w:top w:w="80" w:type="dxa"/>
              <w:start w:w="90" w:type="dxa"/>
              <w:bottom w:w="80" w:type="dxa"/>
              <w:end w:w="90" w:type="dxa"/>
            </w:tcMar>
            <w:shd w:fill="F7FBFF" w:val="clear"/>
          </w:tcPr>
          <w:p>
            <w:pPr>
              <w:pStyle w:val="Compact"/>
              <w:jc w:val="left"/>
            </w:pPr>
            <w:r>
              <w:t xml:space="preserve">Trust, belonging, relational integrity</w:t>
            </w:r>
          </w:p>
        </w:tc>
      </w:tr>
      <w:tr>
        <w:trPr/>
        <w:tc>
          <w:tcPr>
            <w:tcMar>
              <w:top w:w="80" w:type="dxa"/>
              <w:start w:w="90" w:type="dxa"/>
              <w:bottom w:w="80" w:type="dxa"/>
              <w:end w:w="90" w:type="dxa"/>
            </w:tcMar>
            <w:shd w:fill="D9EAF7" w:val="clear"/>
          </w:tcPr>
          <w:p>
            <w:pPr>
              <w:pStyle w:val="Compact"/>
              <w:jc w:val="left"/>
            </w:pPr>
            <w:r>
              <w:t xml:space="preserve">D₄</w:t>
            </w:r>
          </w:p>
        </w:tc>
        <w:tc>
          <w:tcPr>
            <w:tcMar>
              <w:top w:w="80" w:type="dxa"/>
              <w:start w:w="90" w:type="dxa"/>
              <w:bottom w:w="80" w:type="dxa"/>
              <w:end w:w="90" w:type="dxa"/>
            </w:tcMar>
            <w:shd w:fill="D9EAF7" w:val="clear"/>
          </w:tcPr>
          <w:p>
            <w:pPr>
              <w:pStyle w:val="Compact"/>
              <w:jc w:val="left"/>
            </w:pPr>
            <w:r>
              <w:t xml:space="preserve">Knowledge</w:t>
            </w:r>
          </w:p>
        </w:tc>
        <w:tc>
          <w:tcPr>
            <w:tcMar>
              <w:top w:w="80" w:type="dxa"/>
              <w:start w:w="90" w:type="dxa"/>
              <w:bottom w:w="80" w:type="dxa"/>
              <w:end w:w="90" w:type="dxa"/>
            </w:tcMar>
            <w:shd w:fill="D9EAF7" w:val="clear"/>
          </w:tcPr>
          <w:p>
            <w:pPr>
              <w:pStyle w:val="Compact"/>
              <w:jc w:val="left"/>
            </w:pPr>
            <w:r>
              <w:t xml:space="preserve">Epistemic access, learning conditions</w:t>
            </w:r>
          </w:p>
        </w:tc>
      </w:tr>
      <w:tr>
        <w:trPr/>
        <w:tc>
          <w:tcPr>
            <w:tcMar>
              <w:top w:w="80" w:type="dxa"/>
              <w:start w:w="90" w:type="dxa"/>
              <w:bottom w:w="80" w:type="dxa"/>
              <w:end w:w="90" w:type="dxa"/>
            </w:tcMar>
            <w:shd w:fill="F7FBFF" w:val="clear"/>
          </w:tcPr>
          <w:p>
            <w:pPr>
              <w:pStyle w:val="Compact"/>
              <w:jc w:val="left"/>
            </w:pPr>
            <w:r>
              <w:t xml:space="preserve">D₅</w:t>
            </w:r>
          </w:p>
        </w:tc>
        <w:tc>
          <w:tcPr>
            <w:tcMar>
              <w:top w:w="80" w:type="dxa"/>
              <w:start w:w="90" w:type="dxa"/>
              <w:bottom w:w="80" w:type="dxa"/>
              <w:end w:w="90" w:type="dxa"/>
            </w:tcMar>
            <w:shd w:fill="F7FBFF" w:val="clear"/>
          </w:tcPr>
          <w:p>
            <w:pPr>
              <w:pStyle w:val="Compact"/>
              <w:jc w:val="left"/>
            </w:pPr>
            <w:r>
              <w:t xml:space="preserve">Agency</w:t>
            </w:r>
          </w:p>
        </w:tc>
        <w:tc>
          <w:tcPr>
            <w:tcMar>
              <w:top w:w="80" w:type="dxa"/>
              <w:start w:w="90" w:type="dxa"/>
              <w:bottom w:w="80" w:type="dxa"/>
              <w:end w:w="90" w:type="dxa"/>
            </w:tcMar>
            <w:shd w:fill="F7FBFF" w:val="clear"/>
          </w:tcPr>
          <w:p>
            <w:pPr>
              <w:pStyle w:val="Compact"/>
              <w:jc w:val="left"/>
            </w:pPr>
            <w:r>
              <w:t xml:space="preserve">Autonomy, effective choice, freedom from coercion</w:t>
            </w:r>
          </w:p>
        </w:tc>
      </w:tr>
      <w:tr>
        <w:trPr/>
        <w:tc>
          <w:tcPr>
            <w:tcMar>
              <w:top w:w="80" w:type="dxa"/>
              <w:start w:w="90" w:type="dxa"/>
              <w:bottom w:w="80" w:type="dxa"/>
              <w:end w:w="90" w:type="dxa"/>
            </w:tcMar>
            <w:shd w:fill="D9EAF7" w:val="clear"/>
          </w:tcPr>
          <w:p>
            <w:pPr>
              <w:pStyle w:val="Compact"/>
              <w:jc w:val="left"/>
            </w:pPr>
            <w:r>
              <w:t xml:space="preserve">D₆</w:t>
            </w:r>
          </w:p>
        </w:tc>
        <w:tc>
          <w:tcPr>
            <w:tcMar>
              <w:top w:w="80" w:type="dxa"/>
              <w:start w:w="90" w:type="dxa"/>
              <w:bottom w:w="80" w:type="dxa"/>
              <w:end w:w="90" w:type="dxa"/>
            </w:tcMar>
            <w:shd w:fill="D9EAF7" w:val="clear"/>
          </w:tcPr>
          <w:p>
            <w:pPr>
              <w:pStyle w:val="Compact"/>
              <w:jc w:val="left"/>
            </w:pPr>
            <w:r>
              <w:t xml:space="preserve">Meaning</w:t>
            </w:r>
          </w:p>
        </w:tc>
        <w:tc>
          <w:tcPr>
            <w:tcMar>
              <w:top w:w="80" w:type="dxa"/>
              <w:start w:w="90" w:type="dxa"/>
              <w:bottom w:w="80" w:type="dxa"/>
              <w:end w:w="90" w:type="dxa"/>
            </w:tcMar>
            <w:shd w:fill="D9EAF7" w:val="clear"/>
          </w:tcPr>
          <w:p>
            <w:pPr>
              <w:pStyle w:val="Compact"/>
              <w:jc w:val="left"/>
            </w:pPr>
            <w:r>
              <w:t xml:space="preserve">Purpose/coherence/valued projects (cautious measurement)</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D₇</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Environment</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Ecological and built context integrity</w:t>
            </w:r>
          </w:p>
        </w:tc>
      </w:tr>
    </w:tbl>
    <w:bookmarkEnd w:id="334"/>
    <w:bookmarkStart w:id="335" w:name="a5-impact-objects"/>
    <w:p>
      <w:pPr>
        <w:pStyle w:val="Heading2"/>
        <w:keepNext/>
        <w:keepLines/>
        <w:pageBreakBefore w:val="0"/>
        <w:widowControl/>
      </w:pPr>
      <w:r>
        <w:rPr>
          <w:rFonts w:ascii="Arial" w:hAnsi="Arial" w:eastAsia="Arial"/>
          <w:b/>
          <w:color w:val="1F4E78"/>
        </w:rPr>
        <w:t xml:space="preserve">A.5 Impact Objects</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c>
          <w:tcPr>
            <w:shd w:fill="1F4E78" w:val="clear"/>
            <w:tcMar>
              <w:top w:w="80" w:type="dxa"/>
              <w:start w:w="90" w:type="dxa"/>
              <w:bottom w:w="80" w:type="dxa"/>
              <w:end w:w="90" w:type="dxa"/>
            </w:tcMar>
          </w:tcPr>
          <w:p>
            <w:pPr>
              <w:pStyle w:val="Compact"/>
              <w:jc w:val="left"/>
            </w:pPr>
            <w:r>
              <w:rPr>
                <w:b/>
                <w:bCs/>
                <w:color w:val="FFFFFF"/>
              </w:rPr>
              <w:t xml:space="preserve">Range</w:t>
            </w:r>
          </w:p>
        </w:tc>
      </w:tr>
      <w:tr>
        <w:trPr/>
        <w:tc>
          <w:tcPr>
            <w:tcMar>
              <w:top w:w="80" w:type="dxa"/>
              <w:start w:w="90" w:type="dxa"/>
              <w:bottom w:w="80" w:type="dxa"/>
              <w:end w:w="90" w:type="dxa"/>
            </w:tcMar>
            <w:shd w:fill="F7FBFF" w:val="clear"/>
          </w:tcPr>
          <w:p>
            <w:pPr>
              <w:pStyle w:val="Compact"/>
              <w:jc w:val="left"/>
            </w:pPr>
            <w:r>
              <w:t xml:space="preserve">Ĩ_dir(u,d,a)</w:t>
            </w:r>
          </w:p>
        </w:tc>
        <w:tc>
          <w:tcPr>
            <w:tcMar>
              <w:top w:w="80" w:type="dxa"/>
              <w:start w:w="90" w:type="dxa"/>
              <w:bottom w:w="80" w:type="dxa"/>
              <w:end w:w="90" w:type="dxa"/>
            </w:tcMar>
            <w:shd w:fill="F7FBFF" w:val="clear"/>
          </w:tcPr>
          <w:p>
            <w:pPr>
              <w:pStyle w:val="Compact"/>
              <w:jc w:val="left"/>
            </w:pPr>
            <w:r>
              <w:t xml:space="preserve">Pre-saturation direct impact</w:t>
            </w:r>
          </w:p>
        </w:tc>
        <w:tc>
          <w:tcPr>
            <w:tcMar>
              <w:top w:w="80" w:type="dxa"/>
              <w:start w:w="90" w:type="dxa"/>
              <w:bottom w:w="80" w:type="dxa"/>
              <w:end w:w="90" w:type="dxa"/>
            </w:tcMar>
            <w:shd w:fill="F7FBFF" w:val="clear"/>
          </w:tcPr>
          <w:p>
            <w:pPr>
              <w:pStyle w:val="Compact"/>
              <w:jc w:val="left"/>
            </w:pPr>
            <w:r>
              <w:t xml:space="preserve">ℝ</w:t>
            </w:r>
          </w:p>
        </w:tc>
      </w:tr>
      <w:tr>
        <w:trPr/>
        <w:tc>
          <w:tcPr>
            <w:tcMar>
              <w:top w:w="80" w:type="dxa"/>
              <w:start w:w="90" w:type="dxa"/>
              <w:bottom w:w="80" w:type="dxa"/>
              <w:end w:w="90" w:type="dxa"/>
            </w:tcMar>
            <w:shd w:fill="D9EAF7" w:val="clear"/>
          </w:tcPr>
          <w:p>
            <w:pPr>
              <w:pStyle w:val="Compact"/>
              <w:jc w:val="left"/>
            </w:pPr>
            <w:r>
              <w:t xml:space="preserve">I_dir(u,d,a)</w:t>
            </w:r>
          </w:p>
        </w:tc>
        <w:tc>
          <w:tcPr>
            <w:tcMar>
              <w:top w:w="80" w:type="dxa"/>
              <w:start w:w="90" w:type="dxa"/>
              <w:bottom w:w="80" w:type="dxa"/>
              <w:end w:w="90" w:type="dxa"/>
            </w:tcMar>
            <w:shd w:fill="D9EAF7" w:val="clear"/>
          </w:tcPr>
          <w:p>
            <w:pPr>
              <w:pStyle w:val="Compact"/>
              <w:jc w:val="left"/>
            </w:pPr>
            <w:r>
              <w:t xml:space="preserve">Direct impact (post-saturation)</w:t>
            </w:r>
          </w:p>
        </w:tc>
        <w:tc>
          <w:tcPr>
            <w:tcMar>
              <w:top w:w="80" w:type="dxa"/>
              <w:start w:w="90" w:type="dxa"/>
              <w:bottom w:w="80" w:type="dxa"/>
              <w:end w:w="90" w:type="dxa"/>
            </w:tcMar>
            <w:shd w:fill="D9EAF7" w:val="clear"/>
          </w:tcPr>
          <w:p>
            <w:pPr>
              <w:pStyle w:val="Compact"/>
              <w:jc w:val="left"/>
            </w:pPr>
            <w:r>
              <w:t xml:space="preserve">[-1,+1]</w:t>
            </w:r>
          </w:p>
        </w:tc>
      </w:tr>
      <w:tr>
        <w:trPr/>
        <w:tc>
          <w:tcPr>
            <w:tcMar>
              <w:top w:w="80" w:type="dxa"/>
              <w:start w:w="90" w:type="dxa"/>
              <w:bottom w:w="80" w:type="dxa"/>
              <w:end w:w="90" w:type="dxa"/>
            </w:tcMar>
            <w:shd w:fill="F7FBFF" w:val="clear"/>
          </w:tcPr>
          <w:p>
            <w:pPr>
              <w:pStyle w:val="Compact"/>
              <w:jc w:val="left"/>
            </w:pPr>
            <w:r>
              <w:t xml:space="preserve">Ĩ_prop(u,d,a)</w:t>
            </w:r>
          </w:p>
        </w:tc>
        <w:tc>
          <w:tcPr>
            <w:tcMar>
              <w:top w:w="80" w:type="dxa"/>
              <w:start w:w="90" w:type="dxa"/>
              <w:bottom w:w="80" w:type="dxa"/>
              <w:end w:w="90" w:type="dxa"/>
            </w:tcMar>
            <w:shd w:fill="F7FBFF" w:val="clear"/>
          </w:tcPr>
          <w:p>
            <w:pPr>
              <w:pStyle w:val="Compact"/>
              <w:jc w:val="left"/>
            </w:pPr>
            <w:r>
              <w:t xml:space="preserve">Pre-saturation propagated impact</w:t>
            </w:r>
          </w:p>
        </w:tc>
        <w:tc>
          <w:tcPr>
            <w:tcMar>
              <w:top w:w="80" w:type="dxa"/>
              <w:start w:w="90" w:type="dxa"/>
              <w:bottom w:w="80" w:type="dxa"/>
              <w:end w:w="90" w:type="dxa"/>
            </w:tcMar>
            <w:shd w:fill="F7FBFF" w:val="clear"/>
          </w:tcPr>
          <w:p>
            <w:pPr>
              <w:pStyle w:val="Compact"/>
              <w:jc w:val="left"/>
            </w:pPr>
            <w:r>
              <w:t xml:space="preserve">ℝ</w:t>
            </w:r>
          </w:p>
        </w:tc>
      </w:tr>
      <w:tr>
        <w:trPr/>
        <w:tc>
          <w:tcPr>
            <w:tcMar>
              <w:top w:w="80" w:type="dxa"/>
              <w:start w:w="90" w:type="dxa"/>
              <w:bottom w:w="80" w:type="dxa"/>
              <w:end w:w="90" w:type="dxa"/>
            </w:tcMar>
            <w:shd w:fill="D9EAF7" w:val="clear"/>
          </w:tcPr>
          <w:p>
            <w:pPr>
              <w:pStyle w:val="Compact"/>
              <w:jc w:val="left"/>
            </w:pPr>
            <w:r>
              <w:t xml:space="preserve">I_prop(u,d,a)</w:t>
            </w:r>
          </w:p>
        </w:tc>
        <w:tc>
          <w:tcPr>
            <w:tcMar>
              <w:top w:w="80" w:type="dxa"/>
              <w:start w:w="90" w:type="dxa"/>
              <w:bottom w:w="80" w:type="dxa"/>
              <w:end w:w="90" w:type="dxa"/>
            </w:tcMar>
            <w:shd w:fill="D9EAF7" w:val="clear"/>
          </w:tcPr>
          <w:p>
            <w:pPr>
              <w:pStyle w:val="Compact"/>
              <w:jc w:val="left"/>
            </w:pPr>
            <w:r>
              <w:t xml:space="preserve">Propagated impact (post-saturation)</w:t>
            </w:r>
          </w:p>
        </w:tc>
        <w:tc>
          <w:tcPr>
            <w:tcMar>
              <w:top w:w="80" w:type="dxa"/>
              <w:start w:w="90" w:type="dxa"/>
              <w:bottom w:w="80" w:type="dxa"/>
              <w:end w:w="90" w:type="dxa"/>
            </w:tcMar>
            <w:shd w:fill="D9EAF7" w:val="clear"/>
          </w:tcPr>
          <w:p>
            <w:pPr>
              <w:pStyle w:val="Compact"/>
              <w:jc w:val="left"/>
            </w:pPr>
            <w:r>
              <w:t xml:space="preserve">[-1,+1]</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I_rights(u,d,a)</w:t>
            </w:r>
          </w:p>
        </w:tc>
        <w:tc>
          <w:tcPr>
            <w:tcMar>
              <w:top w:w="80" w:type="dxa"/>
              <w:start w:w="90" w:type="dxa"/>
              <w:bottom w:w="80" w:type="dxa"/>
              <w:end w:w="90" w:type="dxa"/>
            </w:tcMar>
            <w:tcBorders>
              <w:bottom w:val="single" w:sz="8" w:space="0" w:color="1F4E78"/>
            </w:tcBorders>
            <w:shd w:fill="F7FBFF" w:val="clear"/>
          </w:tcPr>
          <w:p>
            <w:pPr>
              <w:pStyle w:val="Compact"/>
              <w:jc w:val="left"/>
            </w:pPr>
            <w:r>
              <w:t>Worst-off subgroup rights-floor impact</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[-1,+1]</w:t>
            </w:r>
          </w:p>
        </w:tc>
      </w:tr>
    </w:tbl>
    <w:bookmarkEnd w:id="335"/>
    <w:bookmarkStart w:id="336" w:name="a6-impact-instance-attributes"/>
    <w:p>
      <w:pPr>
        <w:pStyle w:val="Heading2"/>
        <w:keepNext/>
        <w:keepLines/>
        <w:pageBreakBefore w:val="0"/>
        <w:widowControl/>
      </w:pPr>
      <w:r>
        <w:rPr>
          <w:rFonts w:ascii="Arial" w:hAnsi="Arial" w:eastAsia="Arial"/>
          <w:b/>
          <w:color w:val="1F4E78"/>
        </w:rPr>
        <w:t xml:space="preserve">A.6 Impact Instance Attributes</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c>
          <w:tcPr>
            <w:shd w:fill="1F4E78" w:val="clear"/>
            <w:tcMar>
              <w:top w:w="80" w:type="dxa"/>
              <w:start w:w="90" w:type="dxa"/>
              <w:bottom w:w="80" w:type="dxa"/>
              <w:end w:w="90" w:type="dxa"/>
            </w:tcMar>
          </w:tcPr>
          <w:p>
            <w:pPr>
              <w:pStyle w:val="Compact"/>
              <w:jc w:val="left"/>
            </w:pPr>
            <w:r>
              <w:rPr>
                <w:b/>
                <w:bCs/>
                <w:color w:val="FFFFFF"/>
              </w:rPr>
              <w:t xml:space="preserve">Range / Default</w:t>
            </w:r>
          </w:p>
        </w:tc>
      </w:tr>
      <w:tr>
        <w:trPr/>
        <w:tc>
          <w:tcPr>
            <w:tcMar>
              <w:top w:w="80" w:type="dxa"/>
              <w:start w:w="90" w:type="dxa"/>
              <w:bottom w:w="80" w:type="dxa"/>
              <w:end w:w="90" w:type="dxa"/>
            </w:tcMar>
            <w:shd w:fill="F7FBFF" w:val="clear"/>
          </w:tcPr>
          <w:p>
            <w:pPr>
              <w:pStyle w:val="Compact"/>
              <w:jc w:val="left"/>
            </w:pPr>
            <w:r>
              <w:t xml:space="preserve">μ_k</w:t>
            </w:r>
          </w:p>
        </w:tc>
        <w:tc>
          <w:tcPr>
            <w:tcMar>
              <w:top w:w="80" w:type="dxa"/>
              <w:start w:w="90" w:type="dxa"/>
              <w:bottom w:w="80" w:type="dxa"/>
              <w:end w:w="90" w:type="dxa"/>
            </w:tcMar>
            <w:shd w:fill="F7FBFF" w:val="clear"/>
          </w:tcPr>
          <w:p>
            <w:pPr>
              <w:pStyle w:val="Compact"/>
              <w:jc w:val="left"/>
            </w:pPr>
            <w:r>
              <w:t xml:space="preserve">Magnitude (baseline-delta, normalized)</w:t>
            </w:r>
          </w:p>
        </w:tc>
        <w:tc>
          <w:tcPr>
            <w:tcMar>
              <w:top w:w="80" w:type="dxa"/>
              <w:start w:w="90" w:type="dxa"/>
              <w:bottom w:w="80" w:type="dxa"/>
              <w:end w:w="90" w:type="dxa"/>
            </w:tcMar>
            <w:shd w:fill="F7FBFF" w:val="clear"/>
          </w:tcPr>
          <w:p>
            <w:pPr>
              <w:pStyle w:val="Compact"/>
              <w:jc w:val="left"/>
            </w:pPr>
            <w:r>
              <w:t xml:space="preserve">[-1, +1]</w:t>
            </w:r>
          </w:p>
        </w:tc>
      </w:tr>
      <w:tr>
        <w:trPr/>
        <w:tc>
          <w:tcPr>
            <w:tcMar>
              <w:top w:w="80" w:type="dxa"/>
              <w:start w:w="90" w:type="dxa"/>
              <w:bottom w:w="80" w:type="dxa"/>
              <w:end w:w="90" w:type="dxa"/>
            </w:tcMar>
            <w:shd w:fill="D9EAF7" w:val="clear"/>
          </w:tcPr>
          <w:p>
            <w:pPr>
              <w:pStyle w:val="Compact"/>
              <w:jc w:val="left"/>
            </w:pPr>
            <w:r>
              <w:t xml:space="preserve">r_k</w:t>
            </w:r>
          </w:p>
        </w:tc>
        <w:tc>
          <w:tcPr>
            <w:tcMar>
              <w:top w:w="80" w:type="dxa"/>
              <w:start w:w="90" w:type="dxa"/>
              <w:bottom w:w="80" w:type="dxa"/>
              <w:end w:w="90" w:type="dxa"/>
            </w:tcMar>
            <w:shd w:fill="D9EAF7" w:val="clear"/>
          </w:tcPr>
          <w:p>
            <w:pPr>
              <w:pStyle w:val="Compact"/>
              <w:jc w:val="left"/>
            </w:pPr>
            <w:r>
              <w:t xml:space="preserve">Reach</w:t>
            </w:r>
          </w:p>
        </w:tc>
        <w:tc>
          <w:tcPr>
            <w:tcMar>
              <w:top w:w="80" w:type="dxa"/>
              <w:start w:w="90" w:type="dxa"/>
              <w:bottom w:w="80" w:type="dxa"/>
              <w:end w:w="90" w:type="dxa"/>
            </w:tcMar>
            <w:shd w:fill="D9EAF7" w:val="clear"/>
          </w:tcPr>
          <w:p>
            <w:pPr>
              <w:pStyle w:val="Compact"/>
              <w:jc w:val="left"/>
            </w:pPr>
            <w:r>
              <w:t xml:space="preserve">[0, 1]</w:t>
            </w:r>
          </w:p>
        </w:tc>
      </w:tr>
      <w:tr>
        <w:trPr/>
        <w:tc>
          <w:tcPr>
            <w:tcMar>
              <w:top w:w="80" w:type="dxa"/>
              <w:start w:w="90" w:type="dxa"/>
              <w:bottom w:w="80" w:type="dxa"/>
              <w:end w:w="90" w:type="dxa"/>
            </w:tcMar>
            <w:shd w:fill="F7FBFF" w:val="clear"/>
          </w:tcPr>
          <w:p>
            <w:pPr>
              <w:pStyle w:val="Compact"/>
              <w:jc w:val="left"/>
            </w:pPr>
            <w:r>
              <w:t xml:space="preserve">t_k</w:t>
            </w:r>
          </w:p>
        </w:tc>
        <w:tc>
          <w:tcPr>
            <w:tcMar>
              <w:top w:w="80" w:type="dxa"/>
              <w:start w:w="90" w:type="dxa"/>
              <w:bottom w:w="80" w:type="dxa"/>
              <w:end w:w="90" w:type="dxa"/>
            </w:tcMar>
            <w:shd w:fill="F7FBFF" w:val="clear"/>
          </w:tcPr>
          <w:p>
            <w:pPr>
              <w:pStyle w:val="Compact"/>
              <w:jc w:val="left"/>
            </w:pPr>
            <w:r>
              <w:t xml:space="preserve">Time horizon</w:t>
            </w:r>
          </w:p>
        </w:tc>
        <w:tc>
          <w:tcPr>
            <w:tcMar>
              <w:top w:w="80" w:type="dxa"/>
              <w:start w:w="90" w:type="dxa"/>
              <w:bottom w:w="80" w:type="dxa"/>
              <w:end w:w="90" w:type="dxa"/>
            </w:tcMar>
            <w:shd w:fill="F7FBFF" w:val="clear"/>
          </w:tcPr>
          <w:p>
            <w:pPr>
              <w:pStyle w:val="Compact"/>
              <w:jc w:val="left"/>
            </w:pPr>
            <w:r>
              <w:t xml:space="preserve">(0, ∞) years</w:t>
            </w:r>
          </w:p>
        </w:tc>
      </w:tr>
      <w:tr>
        <w:trPr/>
        <w:tc>
          <w:tcPr>
            <w:tcMar>
              <w:top w:w="80" w:type="dxa"/>
              <w:start w:w="90" w:type="dxa"/>
              <w:bottom w:w="80" w:type="dxa"/>
              <w:end w:w="90" w:type="dxa"/>
            </w:tcMar>
            <w:shd w:fill="D9EAF7" w:val="clear"/>
          </w:tcPr>
          <w:p>
            <w:pPr>
              <w:pStyle w:val="Compact"/>
              <w:jc w:val="left"/>
            </w:pPr>
            <w:r>
              <w:t xml:space="preserve">ℓ_k</w:t>
            </w:r>
          </w:p>
        </w:tc>
        <w:tc>
          <w:tcPr>
            <w:tcMar>
              <w:top w:w="80" w:type="dxa"/>
              <w:start w:w="90" w:type="dxa"/>
              <w:bottom w:w="80" w:type="dxa"/>
              <w:end w:w="90" w:type="dxa"/>
            </w:tcMar>
            <w:shd w:fill="D9EAF7" w:val="clear"/>
          </w:tcPr>
          <w:p>
            <w:pPr>
              <w:pStyle w:val="Compact"/>
              <w:jc w:val="left"/>
            </w:pPr>
            <w:r>
              <w:t xml:space="preserve">Likelihood</w:t>
            </w:r>
          </w:p>
        </w:tc>
        <w:tc>
          <w:tcPr>
            <w:tcMar>
              <w:top w:w="80" w:type="dxa"/>
              <w:start w:w="90" w:type="dxa"/>
              <w:bottom w:w="80" w:type="dxa"/>
              <w:end w:w="90" w:type="dxa"/>
            </w:tcMar>
            <w:shd w:fill="D9EAF7" w:val="clear"/>
          </w:tcPr>
          <w:p>
            <w:pPr>
              <w:pStyle w:val="Compact"/>
              <w:jc w:val="left"/>
            </w:pPr>
            <w:r>
              <w:t xml:space="preserve">[0, 1]</w:t>
            </w:r>
          </w:p>
        </w:tc>
      </w:tr>
      <w:tr>
        <w:trPr/>
        <w:tc>
          <w:tcPr>
            <w:tcMar>
              <w:top w:w="80" w:type="dxa"/>
              <w:start w:w="90" w:type="dxa"/>
              <w:bottom w:w="80" w:type="dxa"/>
              <w:end w:w="90" w:type="dxa"/>
            </w:tcMar>
            <w:shd w:fill="F7FBFF" w:val="clear"/>
          </w:tcPr>
          <w:p>
            <w:pPr>
              <w:pStyle w:val="Compact"/>
              <w:jc w:val="left"/>
            </w:pPr>
            <w:r>
              <w:t xml:space="preserve">c_k</w:t>
            </w:r>
          </w:p>
        </w:tc>
        <w:tc>
          <w:tcPr>
            <w:tcMar>
              <w:top w:w="80" w:type="dxa"/>
              <w:start w:w="90" w:type="dxa"/>
              <w:bottom w:w="80" w:type="dxa"/>
              <w:end w:w="90" w:type="dxa"/>
            </w:tcMar>
            <w:shd w:fill="F7FBFF" w:val="clear"/>
          </w:tcPr>
          <w:p>
            <w:pPr>
              <w:pStyle w:val="Compact"/>
              <w:jc w:val="left"/>
            </w:pPr>
            <w:r>
              <w:t xml:space="preserve">Confidence</w:t>
            </w:r>
          </w:p>
        </w:tc>
        <w:tc>
          <w:tcPr>
            <w:tcMar>
              <w:top w:w="80" w:type="dxa"/>
              <w:start w:w="90" w:type="dxa"/>
              <w:bottom w:w="80" w:type="dxa"/>
              <w:end w:w="90" w:type="dxa"/>
            </w:tcMar>
            <w:shd w:fill="F7FBFF" w:val="clear"/>
          </w:tcPr>
          <w:p>
            <w:pPr>
              <w:pStyle w:val="Compact"/>
              <w:jc w:val="left"/>
            </w:pPr>
            <w:r>
              <w:t xml:space="preserve">[0.1, 1]</w:t>
            </w:r>
          </w:p>
        </w:tc>
      </w:tr>
      <w:tr>
        <w:trPr/>
        <w:tc>
          <w:tcPr>
            <w:tcMar>
              <w:top w:w="80" w:type="dxa"/>
              <w:start w:w="90" w:type="dxa"/>
              <w:bottom w:w="80" w:type="dxa"/>
              <w:end w:w="90" w:type="dxa"/>
            </w:tcMar>
            <w:shd w:fill="D9EAF7" w:val="clear"/>
          </w:tcPr>
          <w:p>
            <w:pPr>
              <w:pStyle w:val="Compact"/>
              <w:jc w:val="left"/>
            </w:pPr>
            <w:r>
              <w:t xml:space="preserve">e_k</w:t>
            </w:r>
          </w:p>
        </w:tc>
        <w:tc>
          <w:tcPr>
            <w:tcMar>
              <w:top w:w="80" w:type="dxa"/>
              <w:start w:w="90" w:type="dxa"/>
              <w:bottom w:w="80" w:type="dxa"/>
              <w:end w:w="90" w:type="dxa"/>
            </w:tcMar>
            <w:shd w:fill="D9EAF7" w:val="clear"/>
          </w:tcPr>
          <w:p>
            <w:pPr>
              <w:pStyle w:val="Compact"/>
              <w:jc w:val="left"/>
            </w:pPr>
            <w:r>
              <w:t xml:space="preserve">Equity/resilience multiplier</w:t>
            </w:r>
          </w:p>
        </w:tc>
        <w:tc>
          <w:tcPr>
            <w:tcMar>
              <w:top w:w="80" w:type="dxa"/>
              <w:start w:w="90" w:type="dxa"/>
              <w:bottom w:w="80" w:type="dxa"/>
              <w:end w:w="90" w:type="dxa"/>
            </w:tcMar>
            <w:shd w:fill="D9EAF7" w:val="clear"/>
          </w:tcPr>
          <w:p>
            <w:pPr>
              <w:pStyle w:val="Compact"/>
              <w:jc w:val="left"/>
            </w:pPr>
            <w:r>
              <w:t xml:space="preserve">Tier 2: 1.00 only unless named governed instrument; Tier 3: [0.75, 1.25] default 1.00</w:t>
            </w:r>
          </w:p>
        </w:tc>
      </w:tr>
      <w:tr>
        <w:trPr/>
        <w:tc>
          <w:tcPr>
            <w:tcMar>
              <w:top w:w="80" w:type="dxa"/>
              <w:start w:w="90" w:type="dxa"/>
              <w:bottom w:w="80" w:type="dxa"/>
              <w:end w:w="90" w:type="dxa"/>
            </w:tcMar>
            <w:shd w:fill="F7FBFF" w:val="clear"/>
          </w:tcPr>
          <w:p>
            <w:pPr>
              <w:pStyle w:val="Compact"/>
              <w:jc w:val="left"/>
            </w:pPr>
            <w:r>
              <w:t xml:space="preserve">h_{k,x}</w:t>
            </w:r>
          </w:p>
        </w:tc>
        <w:tc>
          <w:tcPr>
            <w:tcMar>
              <w:top w:w="80" w:type="dxa"/>
              <w:start w:w="90" w:type="dxa"/>
              <w:bottom w:w="80" w:type="dxa"/>
              <w:end w:w="90" w:type="dxa"/>
            </w:tcMar>
            <w:shd w:fill="F7FBFF" w:val="clear"/>
          </w:tcPr>
          <w:p>
            <w:pPr>
              <w:pStyle w:val="Compact"/>
              <w:jc w:val="left"/>
            </w:pPr>
            <w:r>
              <w:t xml:space="preserve">Registered stream coefficient for x ∈ {base, welfare}</w:t>
            </w:r>
          </w:p>
        </w:tc>
        <w:tc>
          <w:tcPr>
            <w:tcMar>
              <w:top w:w="80" w:type="dxa"/>
              <w:start w:w="90" w:type="dxa"/>
              <w:bottom w:w="80" w:type="dxa"/>
              <w:end w:w="90" w:type="dxa"/>
            </w:tcMar>
            <w:shd w:fill="F7FBFF" w:val="clear"/>
          </w:tcPr>
          <w:p>
            <w:pPr>
              <w:pStyle w:val="Compact"/>
              <w:jc w:val="left"/>
            </w:pPr>
            <w:r>
              <w:t xml:space="preserve">h_{k,base}=1 by definition; h_{k,welfare}=1 for humans and FPP, otherwise a governed inclusion hypothesis; never use an unregistered s_k or m_k alias</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t_min</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Minimum time horizon floor</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0.083 years (≈1 month); prevents τ(0) = 0</w:t>
            </w:r>
          </w:p>
        </w:tc>
      </w:tr>
    </w:tbl>
    <w:bookmarkEnd w:id="336"/>
    <w:bookmarkStart w:id="337" w:name="a7-operators-and-functions"/>
    <w:p>
      <w:pPr>
        <w:pStyle w:val="Heading2"/>
        <w:keepNext/>
        <w:keepLines/>
        <w:pageBreakBefore w:val="0"/>
        <w:widowControl/>
      </w:pPr>
      <w:r>
        <w:rPr>
          <w:rFonts w:ascii="Arial" w:hAnsi="Arial" w:eastAsia="Arial"/>
          <w:b/>
          <w:color w:val="1F4E78"/>
        </w:rPr>
        <w:t xml:space="preserve">A.7 Operators and Functions</w:t>
      </w:r>
    </w:p>
    <w:p>
      <w:pPr>
        <w:pStyle w:val="FirstParagraph"/>
        <w:widowControl/>
      </w:pPr>
      <w:r>
        <w:t xml:space="preserve">Symbol</w:t>
      </w:r>
    </w:p>
    <w:p>
      <w:pPr>
        <w:pStyle w:val="BodyText"/>
        <w:widowControl/>
      </w:pPr>
      <w:r>
        <w:t xml:space="preserve">Definition</w:t>
      </w:r>
    </w:p>
    <w:p>
      <w:pPr>
        <w:pStyle w:val="BodyText"/>
        <w:widowControl/>
      </w:pPr>
      <w:r>
        <w:t xml:space="preserve">(x)⁺</w:t>
      </w:r>
    </w:p>
    <w:p>
      <w:pPr>
        <w:pStyle w:val="BodyText"/>
        <w:widowControl/>
      </w:pPr>
      <w:r>
        <w:t xml:space="preserve">max(x, 0)</w:t>
      </w:r>
    </w:p>
    <w:p>
      <w:pPr>
        <w:pStyle w:val="BodyText"/>
        <w:widowControl/>
      </w:pPr>
      <w:r>
        <w:t xml:space="preserve">clip(x, a, b)</w:t>
      </w:r>
    </w:p>
    <w:p>
      <w:pPr>
        <w:pStyle w:val="BodyText"/>
        <w:widowControl/>
      </w:pPr>
      <w:r>
        <w:t xml:space="preserve">max(a, min(x, b))</w:t>
      </w:r>
    </w:p>
    <w:p>
      <w:pPr>
        <w:pStyle w:val="BodyText"/>
        <w:widowControl/>
      </w:pPr>
      <w:r>
        <w:t xml:space="preserve">sat_β(x)</w:t>
      </w:r>
    </w:p>
    <w:p>
      <w:pPr>
        <w:pStyle w:val="BodyText"/>
        <w:widowControl/>
      </w:pPr>
      <w:r>
        <w:t xml:space="preserve">tanh(β × x)</w:t>
      </w:r>
    </w:p>
    <w:p>
      <w:pPr>
        <w:pStyle w:val="BodyText"/>
        <w:widowControl/>
      </w:pPr>
      <w:r>
        <w:t xml:space="preserve">τ(t)</w:t>
      </w:r>
    </w:p>
    <w:p>
      <w:pPr>
        <w:pStyle w:val="BodyText"/>
        <w:widowControl/>
      </w:pPr>
      <w:r>
        <w:t xml:space="preserve">min(1, ln(1 + max(t, t_min)) / ln(1 + T_ref)) Defaults: T_ref = 25 years, t_min = 0.083 years Cap ensures τ(t) ≤ 1 for all t; floor ensures τ &gt; 0 for all t &gt; 0</w:t>
      </w:r>
    </w:p>
    <w:p>
      <w:pPr>
        <w:pStyle w:val="BodyText"/>
        <w:widowControl/>
      </w:pPr>
      <w:r>
        <w:t xml:space="preserve">φ(u, d)</w:t>
      </w:r>
    </w:p>
    <w:p>
      <w:pPr>
        <w:pStyle w:val="BodyText"/>
        <w:widowControl/>
      </w:pPr>
      <w:r>
        <w:t xml:space="preserve">7(u − 1) + d (flattening map for kernel indexing)</w:t>
      </w:r>
    </w:p>
    <w:p>
      <w:pPr>
        <w:pStyle w:val="BodyText"/>
        <w:widowControl/>
      </w:pPr>
      <w:r>
        <w:t xml:space="preserve">Contain(u, G_c)</w:t>
      </w:r>
    </w:p>
    <w:p>
      <w:pPr>
        <w:pStyle w:val="BodyText"/>
        <w:widowControl/>
      </w:pPr>
      <w:r>
        <w:t xml:space="preserve">Decision-specific set of scopes or systems declared to contain, sustain, govern, or enable union scope u in directed containment/dependency graph G_c. Scope order alone does not establish containment.</w:t>
      </w:r>
    </w:p>
    <w:p>
      <w:pPr>
        <w:pStyle w:val="BodyText"/>
        <w:widowControl/>
      </w:pPr>
      <w:r>
        <w:t xml:space="preserve">T_ref</w:t>
      </w:r>
    </w:p>
    <w:p>
      <w:pPr>
        <w:pStyle w:val="BodyText"/>
        <w:widowControl/>
      </w:pPr>
      <w:r>
        <w:t xml:space="preserve">Governance reference time horizon for temporal weighting. Default: 25 years. MUST NOT be set &lt; 10 years without charter-level justification.</w:t>
      </w:r>
    </w:p>
    <w:bookmarkEnd w:id="337"/>
    <w:bookmarkStart w:id="338" w:name="a8-kernel-and-propagation"/>
    <w:p>
      <w:pPr>
        <w:pStyle w:val="Heading2"/>
        <w:keepNext/>
        <w:keepLines/>
        <w:pageBreakBefore w:val="0"/>
        <w:widowControl/>
      </w:pPr>
      <w:r>
        <w:rPr>
          <w:rFonts w:ascii="Arial" w:hAnsi="Arial" w:eastAsia="Arial"/>
          <w:b/>
          <w:color w:val="1F4E78"/>
        </w:rPr>
        <w:t xml:space="preserve">A.8 Kernel and Propagation</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r>
      <w:tr>
        <w:trPr/>
        <w:tc>
          <w:tcPr>
            <w:tcMar>
              <w:top w:w="80" w:type="dxa"/>
              <w:start w:w="90" w:type="dxa"/>
              <w:bottom w:w="80" w:type="dxa"/>
              <w:end w:w="90" w:type="dxa"/>
            </w:tcMar>
            <w:shd w:fill="F7FBFF" w:val="clear"/>
          </w:tcPr>
          <w:p>
            <w:pPr>
              <w:pStyle w:val="Compact"/>
              <w:jc w:val="left"/>
            </w:pPr>
            <w:r>
              <w:t xml:space="preserve">K ∈ ℝ^{49×49}</w:t>
            </w:r>
          </w:p>
        </w:tc>
        <w:tc>
          <w:tcPr>
            <w:tcMar>
              <w:top w:w="80" w:type="dxa"/>
              <w:start w:w="90" w:type="dxa"/>
              <w:bottom w:w="80" w:type="dxa"/>
              <w:end w:w="90" w:type="dxa"/>
            </w:tcMar>
            <w:shd w:fill="F7FBFF" w:val="clear"/>
          </w:tcPr>
          <w:p>
            <w:pPr>
              <w:pStyle w:val="Compact"/>
              <w:jc w:val="left"/>
            </w:pPr>
            <w:r>
              <w:t xml:space="preserve">Ripple kernel matrix (sparse)</w:t>
            </w:r>
          </w:p>
        </w:tc>
      </w:tr>
      <w:tr>
        <w:trPr/>
        <w:tc>
          <w:tcPr>
            <w:tcMar>
              <w:top w:w="80" w:type="dxa"/>
              <w:start w:w="90" w:type="dxa"/>
              <w:bottom w:w="80" w:type="dxa"/>
              <w:end w:w="90" w:type="dxa"/>
            </w:tcMar>
            <w:shd w:fill="D9EAF7" w:val="clear"/>
          </w:tcPr>
          <w:p>
            <w:pPr>
              <w:pStyle w:val="Compact"/>
              <w:jc w:val="left"/>
            </w:pPr>
            <w:r>
              <w:t xml:space="preserve">K_{ij}</w:t>
            </w:r>
          </w:p>
        </w:tc>
        <w:tc>
          <w:tcPr>
            <w:tcMar>
              <w:top w:w="80" w:type="dxa"/>
              <w:start w:w="90" w:type="dxa"/>
              <w:bottom w:w="80" w:type="dxa"/>
              <w:end w:w="90" w:type="dxa"/>
            </w:tcMar>
            <w:shd w:fill="D9EAF7" w:val="clear"/>
          </w:tcPr>
          <w:p>
            <w:pPr>
              <w:pStyle w:val="Compact"/>
              <w:jc w:val="left"/>
            </w:pPr>
            <w:r>
              <w:t xml:space="preserve">Kernel entry mapping source j to target i (target-row, source-column)</w:t>
            </w:r>
          </w:p>
        </w:tc>
      </w:tr>
      <w:tr>
        <w:trPr/>
        <w:tc>
          <w:tcPr>
            <w:tcMar>
              <w:top w:w="80" w:type="dxa"/>
              <w:start w:w="90" w:type="dxa"/>
              <w:bottom w:w="80" w:type="dxa"/>
              <w:end w:w="90" w:type="dxa"/>
            </w:tcMar>
            <w:shd w:fill="F7FBFF" w:val="clear"/>
          </w:tcPr>
          <w:p>
            <w:pPr>
              <w:pStyle w:val="Compact"/>
              <w:jc w:val="left"/>
            </w:pPr>
            <w:r>
              <w:t xml:space="preserve">κ_max</w:t>
            </w:r>
          </w:p>
        </w:tc>
        <w:tc>
          <w:tcPr>
            <w:tcMar>
              <w:top w:w="80" w:type="dxa"/>
              <w:start w:w="90" w:type="dxa"/>
              <w:bottom w:w="80" w:type="dxa"/>
              <w:end w:w="90" w:type="dxa"/>
            </w:tcMar>
            <w:shd w:fill="F7FBFF" w:val="clear"/>
          </w:tcPr>
          <w:p>
            <w:pPr>
              <w:pStyle w:val="Compact"/>
              <w:jc w:val="left"/>
            </w:pPr>
            <w:r>
              <w:t xml:space="preserve">Maximum absolute kernel entry bound, default 0.5</w:t>
            </w:r>
          </w:p>
        </w:tc>
      </w:tr>
      <w:tr>
        <w:trPr/>
        <w:tc>
          <w:tcPr>
            <w:tcMar>
              <w:top w:w="80" w:type="dxa"/>
              <w:start w:w="90" w:type="dxa"/>
              <w:bottom w:w="80" w:type="dxa"/>
              <w:end w:w="90" w:type="dxa"/>
            </w:tcMar>
            <w:shd w:fill="D9EAF7" w:val="clear"/>
          </w:tcPr>
          <w:p>
            <w:pPr>
              <w:pStyle w:val="Compact"/>
              <w:jc w:val="left"/>
            </w:pPr>
            <w:r>
              <w:t xml:space="preserve">κ_use_min</w:t>
            </w:r>
          </w:p>
        </w:tc>
        <w:tc>
          <w:tcPr>
            <w:tcMar>
              <w:top w:w="80" w:type="dxa"/>
              <w:start w:w="90" w:type="dxa"/>
              <w:bottom w:w="80" w:type="dxa"/>
              <w:end w:w="90" w:type="dxa"/>
            </w:tcMar>
            <w:shd w:fill="D9EAF7" w:val="clear"/>
          </w:tcPr>
          <w:p>
            <w:pPr>
              <w:pStyle w:val="Compact"/>
              <w:jc w:val="left"/>
            </w:pPr>
            <w:r>
              <w:t xml:space="preserve">Minimum absolute kernel edge magnitude for “relied-upon edge” classification in KQS computation (Section 6.5.1). Default: 0.05 unless the PCC declares a stricter value.</w:t>
            </w:r>
          </w:p>
        </w:tc>
      </w:tr>
      <w:tr>
        <w:trPr/>
        <w:tc>
          <w:tcPr>
            <w:tcMar>
              <w:top w:w="80" w:type="dxa"/>
              <w:start w:w="90" w:type="dxa"/>
              <w:bottom w:w="80" w:type="dxa"/>
              <w:end w:w="90" w:type="dxa"/>
            </w:tcMar>
            <w:shd w:fill="F7FBFF" w:val="clear"/>
          </w:tcPr>
          <w:p>
            <w:pPr>
              <w:pStyle w:val="Compact"/>
              <w:jc w:val="left"/>
            </w:pPr>
            <w:r>
              <w:t xml:space="preserve">ρ_max</w:t>
            </w:r>
          </w:p>
        </w:tc>
        <w:tc>
          <w:tcPr>
            <w:tcMar>
              <w:top w:w="80" w:type="dxa"/>
              <w:start w:w="90" w:type="dxa"/>
              <w:bottom w:w="80" w:type="dxa"/>
              <w:end w:w="90" w:type="dxa"/>
            </w:tcMar>
            <w:shd w:fill="F7FBFF" w:val="clear"/>
          </w:tcPr>
          <w:p>
            <w:pPr>
              <w:pStyle w:val="Compact"/>
              <w:jc w:val="left"/>
            </w:pPr>
            <w:r>
              <w:t xml:space="preserve">Maximum absolute row-sum bound, default 0.9</w:t>
            </w:r>
          </w:p>
        </w:tc>
      </w:tr>
      <w:tr>
        <w:trPr/>
        <w:tc>
          <w:tcPr>
            <w:tcMar>
              <w:top w:w="80" w:type="dxa"/>
              <w:start w:w="90" w:type="dxa"/>
              <w:bottom w:w="80" w:type="dxa"/>
              <w:end w:w="90" w:type="dxa"/>
            </w:tcMar>
            <w:shd w:fill="D9EAF7" w:val="clear"/>
          </w:tcPr>
          <w:p>
            <w:pPr>
              <w:pStyle w:val="Compact"/>
              <w:jc w:val="left"/>
            </w:pPr>
            <w:r>
              <w:t xml:space="preserve">∥K∥∞</w:t>
            </w:r>
          </w:p>
        </w:tc>
        <w:tc>
          <w:tcPr>
            <w:tcMar>
              <w:top w:w="80" w:type="dxa"/>
              <w:start w:w="90" w:type="dxa"/>
              <w:bottom w:w="80" w:type="dxa"/>
              <w:end w:w="90" w:type="dxa"/>
            </w:tcMar>
            <w:shd w:fill="D9EAF7" w:val="clear"/>
          </w:tcPr>
          <w:p>
            <w:pPr>
              <w:pStyle w:val="Compact"/>
              <w:jc w:val="left"/>
            </w:pPr>
            <w:r>
              <w:t xml:space="preserve">Maximum absolute row-sum norm of K: ∥K∥∞ := max_i Σ_j |K_{ij}|. Used for Tier 1-3 kernel stability verification (Section 6.4).</w:t>
            </w:r>
          </w:p>
        </w:tc>
      </w:tr>
      <w:tr>
        <w:trPr/>
        <w:tc>
          <w:tcPr>
            <w:tcMar>
              <w:top w:w="80" w:type="dxa"/>
              <w:start w:w="90" w:type="dxa"/>
              <w:bottom w:w="80" w:type="dxa"/>
              <w:end w:w="90" w:type="dxa"/>
            </w:tcMar>
            <w:shd w:fill="F7FBFF" w:val="clear"/>
          </w:tcPr>
          <w:p>
            <w:pPr>
              <w:pStyle w:val="Compact"/>
              <w:jc w:val="left"/>
            </w:pPr>
            <w:r>
              <w:t xml:space="preserve">ρ(K)</w:t>
            </w:r>
          </w:p>
        </w:tc>
        <w:tc>
          <w:tcPr>
            <w:tcMar>
              <w:top w:w="80" w:type="dxa"/>
              <w:start w:w="90" w:type="dxa"/>
              <w:bottom w:w="80" w:type="dxa"/>
              <w:end w:w="90" w:type="dxa"/>
            </w:tcMar>
            <w:shd w:fill="F7FBFF" w:val="clear"/>
          </w:tcPr>
          <w:p>
            <w:pPr>
              <w:pStyle w:val="Compact"/>
              <w:jc w:val="left"/>
            </w:pPr>
            <w:r>
              <w:t xml:space="preserve">Spectral radius of K. For Tier 1-3, treated as satisfied when ∥K∥∞ &lt; 1 per Section 6.4 (since ρ(K) ≤ ∥K∥∞).</w:t>
            </w:r>
          </w:p>
        </w:tc>
      </w:tr>
      <w:tr>
        <w:trPr/>
        <w:tc>
          <w:tcPr>
            <w:tcMar>
              <w:top w:w="80" w:type="dxa"/>
              <w:start w:w="90" w:type="dxa"/>
              <w:bottom w:w="80" w:type="dxa"/>
              <w:end w:w="90" w:type="dxa"/>
            </w:tcMar>
            <w:shd w:fill="D9EAF7" w:val="clear"/>
          </w:tcPr>
          <w:p>
            <w:pPr>
              <w:pStyle w:val="Compact"/>
              <w:jc w:val="left"/>
            </w:pPr>
            <w:r>
              <w:t xml:space="preserve">NONE mode</w:t>
            </w:r>
          </w:p>
        </w:tc>
        <w:tc>
          <w:tcPr>
            <w:tcMar>
              <w:top w:w="80" w:type="dxa"/>
              <w:start w:w="90" w:type="dxa"/>
              <w:bottom w:w="80" w:type="dxa"/>
              <w:end w:w="90" w:type="dxa"/>
            </w:tcMar>
            <w:shd w:fill="D9EAF7" w:val="clear"/>
          </w:tcPr>
          <w:p>
            <w:pPr>
              <w:pStyle w:val="Compact"/>
              <w:jc w:val="left"/>
            </w:pPr>
            <w:r>
              <w:t xml:space="preserve">I_prop := I_dir</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QUICK mode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Ĩ_prop = I_dir + K × I_dir, then saturate</w:t>
            </w:r>
          </w:p>
        </w:tc>
      </w:tr>
    </w:tbl>
    <w:p>
      <w:pPr>
        <w:pStyle w:val="BodyText"/>
        <w:widowControl/>
      </w:pPr>
      <w:r>
        <w:t xml:space="preserve">Stream note (Normative). Kernel propagation applies per stream x∈{base, welfare} as specified in Appendix B. In Appendix A, the symbols I_dir, Ĩ_prop, and I_prop may be used as shorthand for their stream-specific forms I_dir,x, Ĩ_prop,x, and I_prop,x. Admissibility computation uses the Base stream (h_k:=1); RLS uses the Welfare stream with the governed welfare-inclusion hypothesis set carried through robust sensitivity analysis.</w:t>
      </w:r>
    </w:p>
    <w:bookmarkEnd w:id="338"/>
    <w:bookmarkStart w:id="339" w:name="a9-rights-and-constraints"/>
    <w:p>
      <w:pPr>
        <w:pStyle w:val="Heading2"/>
        <w:keepNext/>
        <w:keepLines/>
        <w:pageBreakBefore w:val="0"/>
        <w:widowControl/>
      </w:pPr>
      <w:r>
        <w:rPr>
          <w:rFonts w:ascii="Arial" w:hAnsi="Arial" w:eastAsia="Arial"/>
          <w:b/>
          <w:color w:val="1F4E78"/>
        </w:rPr>
        <w:t xml:space="preserve">A.9 Rights and Constraints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r>
      <w:tr>
        <w:trPr/>
        <w:tc>
          <w:tcPr>
            <w:tcMar>
              <w:top w:w="80" w:type="dxa"/>
              <w:start w:w="90" w:type="dxa"/>
              <w:bottom w:w="80" w:type="dxa"/>
              <w:end w:w="90" w:type="dxa"/>
            </w:tcMar>
            <w:shd w:fill="F7FBFF" w:val="clear"/>
          </w:tcPr>
          <w:p>
            <w:pPr>
              <w:pStyle w:val="Compact"/>
              <w:jc w:val="left"/>
            </w:pPr>
            <w:r>
              <w:t xml:space="preserve">θ_r</w:t>
            </w:r>
          </w:p>
        </w:tc>
        <w:tc>
          <w:tcPr>
            <w:tcMar>
              <w:top w:w="80" w:type="dxa"/>
              <w:start w:w="90" w:type="dxa"/>
              <w:bottom w:w="80" w:type="dxa"/>
              <w:end w:w="90" w:type="dxa"/>
            </w:tcMar>
            <w:shd w:fill="F7FBFF" w:val="clear"/>
          </w:tcPr>
          <w:p>
            <w:pPr>
              <w:pStyle w:val="Compact"/>
              <w:jc w:val="left"/>
            </w:pPr>
            <w:r>
              <w:t xml:space="preserve">Rights threshold for right r</w:t>
            </w:r>
          </w:p>
        </w:tc>
      </w:tr>
      <w:tr>
        <w:trPr/>
        <w:tc>
          <w:tcPr>
            <w:tcMar>
              <w:top w:w="80" w:type="dxa"/>
              <w:start w:w="90" w:type="dxa"/>
              <w:bottom w:w="80" w:type="dxa"/>
              <w:end w:w="90" w:type="dxa"/>
            </w:tcMar>
            <w:shd w:fill="D9EAF7" w:val="clear"/>
          </w:tcPr>
          <w:p>
            <w:pPr>
              <w:pStyle w:val="Compact"/>
              <w:jc w:val="left"/>
            </w:pPr>
            <w:r>
              <w:t xml:space="preserve">v_r(a)</w:t>
            </w:r>
          </w:p>
        </w:tc>
        <w:tc>
          <w:tcPr>
            <w:tcMar>
              <w:top w:w="80" w:type="dxa"/>
              <w:start w:w="90" w:type="dxa"/>
              <w:bottom w:w="80" w:type="dxa"/>
              <w:end w:w="90" w:type="dxa"/>
            </w:tcMar>
            <w:shd w:fill="D9EAF7" w:val="clear"/>
          </w:tcPr>
          <w:p>
            <w:pPr>
              <w:pStyle w:val="Compact"/>
              <w:jc w:val="left"/>
            </w:pPr>
            <w:r>
              <w:t xml:space="preserve">Violation depth for right r under option a</w:t>
            </w:r>
          </w:p>
        </w:tc>
      </w:tr>
      <w:tr>
        <w:trPr/>
        <w:tc>
          <w:tcPr>
            <w:tcMar>
              <w:top w:w="80" w:type="dxa"/>
              <w:start w:w="90" w:type="dxa"/>
              <w:bottom w:w="80" w:type="dxa"/>
              <w:end w:w="90" w:type="dxa"/>
            </w:tcMar>
            <w:shd w:fill="F7FBFF" w:val="clear"/>
          </w:tcPr>
          <w:p>
            <w:pPr>
              <w:pStyle w:val="Compact"/>
              <w:jc w:val="left"/>
            </w:pPr>
            <w:r>
              <w:t xml:space="preserve">NCRC(a)</w:t>
            </w:r>
          </w:p>
        </w:tc>
        <w:tc>
          <w:tcPr>
            <w:tcMar>
              <w:top w:w="80" w:type="dxa"/>
              <w:start w:w="90" w:type="dxa"/>
              <w:bottom w:w="80" w:type="dxa"/>
              <w:end w:w="90" w:type="dxa"/>
            </w:tcMar>
            <w:shd w:fill="F7FBFF" w:val="clear"/>
          </w:tcPr>
          <w:p>
            <w:pPr>
              <w:pStyle w:val="Compact"/>
              <w:jc w:val="left"/>
            </w:pPr>
            <w:r>
              <w:t xml:space="preserve">Rights admissibility predicate</w:t>
            </w:r>
          </w:p>
        </w:tc>
      </w:tr>
      <w:tr>
        <w:trPr/>
        <w:tc>
          <w:tcPr>
            <w:tcMar>
              <w:top w:w="80" w:type="dxa"/>
              <w:start w:w="90" w:type="dxa"/>
              <w:bottom w:w="80" w:type="dxa"/>
              <w:end w:w="90" w:type="dxa"/>
            </w:tcMar>
            <w:shd w:fill="D9EAF7" w:val="clear"/>
          </w:tcPr>
          <w:p>
            <w:pPr>
              <w:pStyle w:val="Compact"/>
              <w:jc w:val="left"/>
            </w:pPr>
            <w:r>
              <w:t xml:space="preserve">TRC(a)</w:t>
            </w:r>
          </w:p>
        </w:tc>
        <w:tc>
          <w:tcPr>
            <w:tcMar>
              <w:top w:w="80" w:type="dxa"/>
              <w:start w:w="90" w:type="dxa"/>
              <w:bottom w:w="80" w:type="dxa"/>
              <w:end w:w="90" w:type="dxa"/>
            </w:tcMar>
            <w:shd w:fill="D9EAF7" w:val="clear"/>
          </w:tcPr>
          <w:p>
            <w:pPr>
              <w:pStyle w:val="Compact"/>
              <w:jc w:val="left"/>
            </w:pPr>
            <w:r>
              <w:t xml:space="preserve">Tail-risk admissibility predicate</w:t>
            </w:r>
          </w:p>
        </w:tc>
      </w:tr>
      <w:tr>
        <w:trPr/>
        <w:tc>
          <w:tcPr>
            <w:tcMar>
              <w:top w:w="80" w:type="dxa"/>
              <w:start w:w="90" w:type="dxa"/>
              <w:bottom w:w="80" w:type="dxa"/>
              <w:end w:w="90" w:type="dxa"/>
            </w:tcMar>
            <w:shd w:fill="F7FBFF" w:val="clear"/>
          </w:tcPr>
          <w:p>
            <w:pPr>
              <w:pStyle w:val="Compact"/>
              <w:jc w:val="left"/>
            </w:pPr>
            <w:r>
              <w:t xml:space="preserve">τ_TRC</w:t>
            </w:r>
          </w:p>
        </w:tc>
        <w:tc>
          <w:tcPr>
            <w:tcMar>
              <w:top w:w="80" w:type="dxa"/>
              <w:start w:w="90" w:type="dxa"/>
              <w:bottom w:w="80" w:type="dxa"/>
              <w:end w:w="90" w:type="dxa"/>
            </w:tcMar>
            <w:shd w:fill="F7FBFF" w:val="clear"/>
          </w:tcPr>
          <w:p>
            <w:pPr>
              <w:pStyle w:val="Compact"/>
              <w:jc w:val="left"/>
            </w:pPr>
            <w:r>
              <w:t xml:space="preserve">TRC corridor threshold</w:t>
            </w:r>
          </w:p>
        </w:tc>
      </w:tr>
      <w:tr>
        <w:trPr/>
        <w:tc>
          <w:tcPr>
            <w:tcMar>
              <w:top w:w="80" w:type="dxa"/>
              <w:start w:w="90" w:type="dxa"/>
              <w:bottom w:w="80" w:type="dxa"/>
              <w:end w:w="90" w:type="dxa"/>
            </w:tcMar>
            <w:shd w:fill="D9EAF7" w:val="clear"/>
          </w:tcPr>
          <w:p>
            <w:pPr>
              <w:pStyle w:val="Compact"/>
              <w:jc w:val="left"/>
            </w:pPr>
            <w:r>
              <w:t xml:space="preserve">α</w:t>
            </w:r>
          </w:p>
        </w:tc>
        <w:tc>
          <w:tcPr>
            <w:tcMar>
              <w:top w:w="80" w:type="dxa"/>
              <w:start w:w="90" w:type="dxa"/>
              <w:bottom w:w="80" w:type="dxa"/>
              <w:end w:w="90" w:type="dxa"/>
            </w:tcMar>
            <w:shd w:fill="D9EAF7" w:val="clear"/>
          </w:tcPr>
          <w:p>
            <w:pPr>
              <w:pStyle w:val="Compact"/>
              <w:jc w:val="left"/>
            </w:pPr>
            <w:r>
              <w:t xml:space="preserve">CVaR tail level ∈ (0, 1)</w:t>
            </w:r>
          </w:p>
        </w:tc>
      </w:tr>
      <w:tr>
        <w:trPr/>
        <w:tc>
          <w:tcPr>
            <w:tcMar>
              <w:top w:w="80" w:type="dxa"/>
              <w:start w:w="90" w:type="dxa"/>
              <w:bottom w:w="80" w:type="dxa"/>
              <w:end w:w="90" w:type="dxa"/>
            </w:tcMar>
            <w:shd w:fill="F7FBFF" w:val="clear"/>
          </w:tcPr>
          <w:p>
            <w:pPr>
              <w:pStyle w:val="Compact"/>
              <w:jc w:val="left"/>
            </w:pPr>
            <w:r>
              <w:t xml:space="preserve">CVaR_α[L(a)]</w:t>
            </w:r>
          </w:p>
        </w:tc>
        <w:tc>
          <w:tcPr>
            <w:tcMar>
              <w:top w:w="80" w:type="dxa"/>
              <w:start w:w="90" w:type="dxa"/>
              <w:bottom w:w="80" w:type="dxa"/>
              <w:end w:w="90" w:type="dxa"/>
            </w:tcMar>
            <w:shd w:fill="F7FBFF" w:val="clear"/>
          </w:tcPr>
          <w:p>
            <w:pPr>
              <w:pStyle w:val="Compact"/>
              <w:jc w:val="left"/>
            </w:pPr>
            <w:r>
              <w:t xml:space="preserve">Conditional Value-at-Risk for loss distribution of option a</w:t>
            </w:r>
          </w:p>
        </w:tc>
      </w:tr>
      <w:tr>
        <w:trPr/>
        <w:tc>
          <w:tcPr>
            <w:tcMar>
              <w:top w:w="80" w:type="dxa"/>
              <w:start w:w="90" w:type="dxa"/>
              <w:bottom w:w="80" w:type="dxa"/>
              <w:end w:w="90" w:type="dxa"/>
            </w:tcMar>
            <w:shd w:fill="D9EAF7" w:val="clear"/>
          </w:tcPr>
          <w:p>
            <w:pPr>
              <w:pStyle w:val="Compact"/>
              <w:jc w:val="left"/>
            </w:pPr>
            <w:r>
              <w:t xml:space="preserve">θ_pos</w:t>
            </w:r>
          </w:p>
        </w:tc>
        <w:tc>
          <w:tcPr>
            <w:tcMar>
              <w:top w:w="80" w:type="dxa"/>
              <w:start w:w="90" w:type="dxa"/>
              <w:bottom w:w="80" w:type="dxa"/>
              <w:end w:w="90" w:type="dxa"/>
            </w:tcMar>
            <w:shd w:fill="D9EAF7" w:val="clear"/>
          </w:tcPr>
          <w:p>
            <w:pPr>
              <w:pStyle w:val="Compact"/>
              <w:jc w:val="left"/>
            </w:pPr>
            <w:r>
              <w:t xml:space="preserve">Positive impact threshold (containment trigger), default 0.05</w:t>
            </w:r>
          </w:p>
        </w:tc>
      </w:tr>
      <w:tr>
        <w:trPr/>
        <w:tc>
          <w:tcPr>
            <w:tcMar>
              <w:top w:w="80" w:type="dxa"/>
              <w:start w:w="90" w:type="dxa"/>
              <w:bottom w:w="80" w:type="dxa"/>
              <w:end w:w="90" w:type="dxa"/>
            </w:tcMar>
            <w:shd w:fill="F7FBFF" w:val="clear"/>
          </w:tcPr>
          <w:p>
            <w:pPr>
              <w:pStyle w:val="Compact"/>
              <w:jc w:val="left"/>
            </w:pPr>
            <w:r>
              <w:t xml:space="preserve">τ_c</w:t>
            </w:r>
          </w:p>
        </w:tc>
        <w:tc>
          <w:tcPr>
            <w:tcMar>
              <w:top w:w="80" w:type="dxa"/>
              <w:start w:w="90" w:type="dxa"/>
              <w:bottom w:w="80" w:type="dxa"/>
              <w:end w:w="90" w:type="dxa"/>
            </w:tcMar>
            <w:shd w:fill="F7FBFF" w:val="clear"/>
          </w:tcPr>
          <w:p>
            <w:pPr>
              <w:pStyle w:val="Compact"/>
              <w:jc w:val="left"/>
            </w:pPr>
            <w:r>
              <w:t xml:space="preserve">Containment tolerance threshold, default -0.10</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D_c</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Containment ancestor depth, default 2</w:t>
            </w:r>
          </w:p>
        </w:tc>
      </w:tr>
    </w:tbl>
    <w:bookmarkEnd w:id="339"/>
    <w:bookmarkStart w:id="340" w:name="a10-scoring-and-uncertainty"/>
    <w:p>
      <w:pPr>
        <w:pStyle w:val="Heading2"/>
        <w:keepNext/>
        <w:keepLines/>
        <w:pageBreakBefore w:val="0"/>
        <w:widowControl/>
      </w:pPr>
      <w:r>
        <w:rPr>
          <w:rFonts w:ascii="Arial" w:hAnsi="Arial" w:eastAsia="Arial"/>
          <w:b/>
          <w:color w:val="1F4E78"/>
        </w:rPr>
        <w:t xml:space="preserve">A.10 Scoring and Uncertainty</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r>
      <w:tr>
        <w:trPr/>
        <w:tc>
          <w:tcPr>
            <w:tcMar>
              <w:top w:w="80" w:type="dxa"/>
              <w:start w:w="90" w:type="dxa"/>
              <w:bottom w:w="80" w:type="dxa"/>
              <w:end w:w="90" w:type="dxa"/>
            </w:tcMar>
            <w:shd w:fill="F7FBFF" w:val="clear"/>
          </w:tcPr>
          <w:p>
            <w:pPr>
              <w:pStyle w:val="Compact"/>
              <w:jc w:val="left"/>
            </w:pPr>
            <w:r>
              <w:t xml:space="preserve">w_u</w:t>
            </w:r>
          </w:p>
        </w:tc>
        <w:tc>
          <w:tcPr>
            <w:tcMar>
              <w:top w:w="80" w:type="dxa"/>
              <w:start w:w="90" w:type="dxa"/>
              <w:bottom w:w="80" w:type="dxa"/>
              <w:end w:w="90" w:type="dxa"/>
            </w:tcMar>
            <w:shd w:fill="F7FBFF" w:val="clear"/>
          </w:tcPr>
          <w:p>
            <w:pPr>
              <w:pStyle w:val="Compact"/>
              <w:jc w:val="left"/>
            </w:pPr>
            <w:r>
              <w:t xml:space="preserve">Union weight (w_u ≥ 0, Σ_u w_u = 1)</w:t>
            </w:r>
          </w:p>
        </w:tc>
      </w:tr>
      <w:tr>
        <w:trPr/>
        <w:tc>
          <w:tcPr>
            <w:tcMar>
              <w:top w:w="80" w:type="dxa"/>
              <w:start w:w="90" w:type="dxa"/>
              <w:bottom w:w="80" w:type="dxa"/>
              <w:end w:w="90" w:type="dxa"/>
            </w:tcMar>
            <w:shd w:fill="D9EAF7" w:val="clear"/>
          </w:tcPr>
          <w:p>
            <w:pPr>
              <w:pStyle w:val="Compact"/>
              <w:jc w:val="left"/>
            </w:pPr>
            <w:r>
              <w:t xml:space="preserve">v_d</w:t>
            </w:r>
          </w:p>
        </w:tc>
        <w:tc>
          <w:tcPr>
            <w:tcMar>
              <w:top w:w="80" w:type="dxa"/>
              <w:start w:w="90" w:type="dxa"/>
              <w:bottom w:w="80" w:type="dxa"/>
              <w:end w:w="90" w:type="dxa"/>
            </w:tcMar>
            <w:shd w:fill="D9EAF7" w:val="clear"/>
          </w:tcPr>
          <w:p>
            <w:pPr>
              <w:pStyle w:val="Compact"/>
              <w:jc w:val="left"/>
            </w:pPr>
            <w:r>
              <w:t xml:space="preserve">Dimension weight (v_d ≥ 0, Σ_d v_d = 1)</w:t>
            </w:r>
          </w:p>
        </w:tc>
      </w:tr>
      <w:tr>
        <w:trPr/>
        <w:tc>
          <w:tcPr>
            <w:tcMar>
              <w:top w:w="80" w:type="dxa"/>
              <w:start w:w="90" w:type="dxa"/>
              <w:bottom w:w="80" w:type="dxa"/>
              <w:end w:w="90" w:type="dxa"/>
            </w:tcMar>
            <w:shd w:fill="F7FBFF" w:val="clear"/>
          </w:tcPr>
          <w:p>
            <w:pPr>
              <w:pStyle w:val="Compact"/>
              <w:jc w:val="left"/>
            </w:pPr>
            <w:r>
              <w:t xml:space="preserve">m(u,d)</w:t>
            </w:r>
          </w:p>
        </w:tc>
        <w:tc>
          <w:tcPr>
            <w:tcMar>
              <w:top w:w="80" w:type="dxa"/>
              <w:start w:w="90" w:type="dxa"/>
              <w:bottom w:w="80" w:type="dxa"/>
              <w:end w:w="90" w:type="dxa"/>
            </w:tcMar>
            <w:shd w:fill="F7FBFF" w:val="clear"/>
          </w:tcPr>
          <w:p>
            <w:pPr>
              <w:pStyle w:val="Compact"/>
              <w:jc w:val="left"/>
            </w:pPr>
            <w:r>
              <w:t xml:space="preserve">Applicability mask for RLS only ∈ {0, 1}</w:t>
            </w:r>
          </w:p>
        </w:tc>
      </w:tr>
      <w:tr>
        <w:trPr/>
        <w:tc>
          <w:tcPr>
            <w:tcMar>
              <w:top w:w="80" w:type="dxa"/>
              <w:start w:w="90" w:type="dxa"/>
              <w:bottom w:w="80" w:type="dxa"/>
              <w:end w:w="90" w:type="dxa"/>
            </w:tcMar>
            <w:shd w:fill="D9EAF7" w:val="clear"/>
          </w:tcPr>
          <w:p>
            <w:pPr>
              <w:pStyle w:val="Compact"/>
              <w:jc w:val="left"/>
            </w:pPr>
            <w:r>
              <w:t xml:space="preserve">κ(u,d)</w:t>
            </w:r>
          </w:p>
        </w:tc>
        <w:tc>
          <w:tcPr>
            <w:tcMar>
              <w:top w:w="80" w:type="dxa"/>
              <w:start w:w="90" w:type="dxa"/>
              <w:bottom w:w="80" w:type="dxa"/>
              <w:end w:w="90" w:type="dxa"/>
            </w:tcMar>
            <w:shd w:fill="D9EAF7" w:val="clear"/>
          </w:tcPr>
          <w:p>
            <w:pPr>
              <w:pStyle w:val="Compact"/>
              <w:jc w:val="left"/>
            </w:pPr>
            <w:r>
              <w:t xml:space="preserve">Cell multiplier for RLS, default 1</w:t>
            </w:r>
          </w:p>
        </w:tc>
      </w:tr>
      <w:tr>
        <w:trPr/>
        <w:tc>
          <w:tcPr>
            <w:tcMar>
              <w:top w:w="80" w:type="dxa"/>
              <w:start w:w="90" w:type="dxa"/>
              <w:bottom w:w="80" w:type="dxa"/>
              <w:end w:w="90" w:type="dxa"/>
            </w:tcMar>
            <w:shd w:fill="F7FBFF" w:val="clear"/>
          </w:tcPr>
          <w:p>
            <w:pPr>
              <w:pStyle w:val="Compact"/>
              <w:jc w:val="left"/>
            </w:pPr>
            <w:r>
              <w:t xml:space="preserve">RLS(a)</w:t>
            </w:r>
          </w:p>
        </w:tc>
        <w:tc>
          <w:tcPr>
            <w:tcMar>
              <w:top w:w="80" w:type="dxa"/>
              <w:start w:w="90" w:type="dxa"/>
              <w:bottom w:w="80" w:type="dxa"/>
              <w:end w:w="90" w:type="dxa"/>
            </w:tcMar>
            <w:shd w:fill="F7FBFF" w:val="clear"/>
          </w:tcPr>
          <w:p>
            <w:pPr>
              <w:pStyle w:val="Compact"/>
              <w:jc w:val="left"/>
            </w:pPr>
            <w:r>
              <w:t xml:space="preserve">RippleLogic Score</w:t>
            </w:r>
          </w:p>
        </w:tc>
      </w:tr>
      <w:tr>
        <w:trPr/>
        <w:tc>
          <w:tcPr>
            <w:tcMar>
              <w:top w:w="80" w:type="dxa"/>
              <w:start w:w="90" w:type="dxa"/>
              <w:bottom w:w="80" w:type="dxa"/>
              <w:end w:w="90" w:type="dxa"/>
            </w:tcMar>
            <w:shd w:fill="D9EAF7" w:val="clear"/>
          </w:tcPr>
          <w:p>
            <w:pPr>
              <w:pStyle w:val="Compact"/>
              <w:jc w:val="left"/>
            </w:pPr>
            <w:r>
              <w:t xml:space="preserve">σ(u,d,a)</w:t>
            </w:r>
          </w:p>
        </w:tc>
        <w:tc>
          <w:tcPr>
            <w:tcMar>
              <w:top w:w="80" w:type="dxa"/>
              <w:start w:w="90" w:type="dxa"/>
              <w:bottom w:w="80" w:type="dxa"/>
              <w:end w:w="90" w:type="dxa"/>
            </w:tcMar>
            <w:shd w:fill="D9EAF7" w:val="clear"/>
          </w:tcPr>
          <w:p>
            <w:pPr>
              <w:pStyle w:val="Compact"/>
              <w:jc w:val="left"/>
            </w:pPr>
            <w:r>
              <w:t xml:space="preserve">Cell-level uncertainty proxy</w:t>
            </w:r>
          </w:p>
        </w:tc>
      </w:tr>
      <w:tr>
        <w:trPr/>
        <w:tc>
          <w:tcPr>
            <w:tcMar>
              <w:top w:w="80" w:type="dxa"/>
              <w:start w:w="90" w:type="dxa"/>
              <w:bottom w:w="80" w:type="dxa"/>
              <w:end w:w="90" w:type="dxa"/>
            </w:tcMar>
            <w:shd w:fill="F7FBFF" w:val="clear"/>
          </w:tcPr>
          <w:p>
            <w:pPr>
              <w:pStyle w:val="Compact"/>
              <w:jc w:val="left"/>
            </w:pPr>
            <w:r>
              <w:t xml:space="preserve">σ_RLS(a)</w:t>
            </w:r>
          </w:p>
        </w:tc>
        <w:tc>
          <w:tcPr>
            <w:tcMar>
              <w:top w:w="80" w:type="dxa"/>
              <w:start w:w="90" w:type="dxa"/>
              <w:bottom w:w="80" w:type="dxa"/>
              <w:end w:w="90" w:type="dxa"/>
            </w:tcMar>
            <w:shd w:fill="F7FBFF" w:val="clear"/>
          </w:tcPr>
          <w:p>
            <w:pPr>
              <w:pStyle w:val="Compact"/>
              <w:jc w:val="left"/>
            </w:pPr>
            <w:r>
              <w:t xml:space="preserve">RLS uncertainty proxy</w:t>
            </w:r>
          </w:p>
        </w:tc>
      </w:tr>
      <w:tr>
        <w:trPr/>
        <w:tc>
          <w:tcPr>
            <w:tcMar>
              <w:top w:w="80" w:type="dxa"/>
              <w:start w:w="90" w:type="dxa"/>
              <w:bottom w:w="80" w:type="dxa"/>
              <w:end w:w="90" w:type="dxa"/>
            </w:tcMar>
            <w:shd w:fill="D9EAF7" w:val="clear"/>
          </w:tcPr>
          <w:p>
            <w:pPr>
              <w:pStyle w:val="Compact"/>
              <w:jc w:val="left"/>
            </w:pPr>
            <w:r>
              <w:t xml:space="preserve">δ</w:t>
            </w:r>
          </w:p>
        </w:tc>
        <w:tc>
          <w:tcPr>
            <w:tcMar>
              <w:top w:w="80" w:type="dxa"/>
              <w:start w:w="90" w:type="dxa"/>
              <w:bottom w:w="80" w:type="dxa"/>
              <w:end w:w="90" w:type="dxa"/>
            </w:tcMar>
            <w:shd w:fill="D9EAF7" w:val="clear"/>
          </w:tcPr>
          <w:p>
            <w:pPr>
              <w:pStyle w:val="Compact"/>
              <w:jc w:val="left"/>
            </w:pPr>
            <w:r>
              <w:t xml:space="preserve">Discrimination threshold for decisive lead, default 2</w:t>
            </w:r>
          </w:p>
        </w:tc>
      </w:tr>
      <w:tr>
        <w:trPr/>
        <w:tc>
          <w:tcPr>
            <w:tcMar>
              <w:top w:w="80" w:type="dxa"/>
              <w:start w:w="90" w:type="dxa"/>
              <w:bottom w:w="80" w:type="dxa"/>
              <w:end w:w="90" w:type="dxa"/>
            </w:tcMar>
            <w:shd w:fill="F7FBFF" w:val="clear"/>
          </w:tcPr>
          <w:p>
            <w:pPr>
              <w:pStyle w:val="Compact"/>
              <w:jc w:val="left"/>
            </w:pPr>
            <w:r>
              <w:t xml:space="preserve">ε</w:t>
            </w:r>
          </w:p>
        </w:tc>
        <w:tc>
          <w:tcPr>
            <w:tcMar>
              <w:top w:w="80" w:type="dxa"/>
              <w:start w:w="90" w:type="dxa"/>
              <w:bottom w:w="80" w:type="dxa"/>
              <w:end w:w="90" w:type="dxa"/>
            </w:tcMar>
            <w:shd w:fill="F7FBFF" w:val="clear"/>
          </w:tcPr>
          <w:p>
            <w:pPr>
              <w:pStyle w:val="Compact"/>
              <w:jc w:val="left"/>
            </w:pPr>
            <w:r>
              <w:t xml:space="preserve">Stabilizer in Gap computation, default 10⁻⁶</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λ</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Risk-aversion coefficient for RLS_adj, default 0.5</w:t>
            </w:r>
          </w:p>
        </w:tc>
      </w:tr>
    </w:tbl>
    <w:bookmarkEnd w:id="340"/>
    <w:bookmarkStart w:id="341" w:name="a11-structural-metrics"/>
    <w:p>
      <w:pPr>
        <w:pStyle w:val="Heading2"/>
        <w:keepNext/>
        <w:keepLines/>
        <w:pageBreakBefore w:val="0"/>
        <w:widowControl/>
      </w:pPr>
      <w:r>
        <w:rPr>
          <w:rFonts w:ascii="Arial" w:hAnsi="Arial" w:eastAsia="Arial"/>
          <w:b/>
          <w:color w:val="1F4E78"/>
        </w:rPr>
        <w:t xml:space="preserve">A.11 Structural Metrics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r>
      <w:tr>
        <w:trPr/>
        <w:tc>
          <w:tcPr>
            <w:tcMar>
              <w:top w:w="80" w:type="dxa"/>
              <w:start w:w="90" w:type="dxa"/>
              <w:bottom w:w="80" w:type="dxa"/>
              <w:end w:w="90" w:type="dxa"/>
            </w:tcMar>
            <w:shd w:fill="F7FBFF" w:val="clear"/>
          </w:tcPr>
          <w:p>
            <w:pPr>
              <w:pStyle w:val="Compact"/>
              <w:jc w:val="left"/>
            </w:pPr>
            <w:r>
              <w:t xml:space="preserve">UCI_u</w:t>
            </w:r>
          </w:p>
        </w:tc>
        <w:tc>
          <w:tcPr>
            <w:tcMar>
              <w:top w:w="80" w:type="dxa"/>
              <w:start w:w="90" w:type="dxa"/>
              <w:bottom w:w="80" w:type="dxa"/>
              <w:end w:w="90" w:type="dxa"/>
            </w:tcMar>
            <w:shd w:fill="F7FBFF" w:val="clear"/>
          </w:tcPr>
          <w:p>
            <w:pPr>
              <w:pStyle w:val="Compact"/>
              <w:jc w:val="left"/>
            </w:pPr>
            <w:r>
              <w:t xml:space="preserve">Union Coherence Index for union u ∈ [0, 1]</w:t>
            </w:r>
          </w:p>
        </w:tc>
      </w:tr>
      <w:tr>
        <w:trPr/>
        <w:tc>
          <w:tcPr>
            <w:tcMar>
              <w:top w:w="80" w:type="dxa"/>
              <w:start w:w="90" w:type="dxa"/>
              <w:bottom w:w="80" w:type="dxa"/>
              <w:end w:w="90" w:type="dxa"/>
            </w:tcMar>
            <w:shd w:fill="D9EAF7" w:val="clear"/>
          </w:tcPr>
          <w:p>
            <w:pPr>
              <w:pStyle w:val="Compact"/>
              <w:jc w:val="left"/>
            </w:pPr>
            <w:r>
              <w:t xml:space="preserve">ΔUCI_u(a)</w:t>
            </w:r>
          </w:p>
        </w:tc>
        <w:tc>
          <w:tcPr>
            <w:tcMar>
              <w:top w:w="80" w:type="dxa"/>
              <w:start w:w="90" w:type="dxa"/>
              <w:bottom w:w="80" w:type="dxa"/>
              <w:end w:w="90" w:type="dxa"/>
            </w:tcMar>
            <w:shd w:fill="D9EAF7" w:val="clear"/>
          </w:tcPr>
          <w:p>
            <w:pPr>
              <w:pStyle w:val="Compact"/>
              <w:jc w:val="left"/>
            </w:pPr>
            <w:r>
              <w:t xml:space="preserve">Coherence change under option a = UCI_u(a) − UCI_u(baseline)</w:t>
            </w:r>
          </w:p>
        </w:tc>
      </w:tr>
      <w:tr>
        <w:trPr/>
        <w:tc>
          <w:tcPr>
            <w:tcMar>
              <w:top w:w="80" w:type="dxa"/>
              <w:start w:w="90" w:type="dxa"/>
              <w:bottom w:w="80" w:type="dxa"/>
              <w:end w:w="90" w:type="dxa"/>
            </w:tcMar>
            <w:shd w:fill="F7FBFF" w:val="clear"/>
          </w:tcPr>
          <w:p>
            <w:pPr>
              <w:pStyle w:val="Compact"/>
              <w:jc w:val="left"/>
            </w:pPr>
            <w:r>
              <w:t xml:space="preserve">HOI_t</w:t>
            </w:r>
          </w:p>
        </w:tc>
        <w:tc>
          <w:tcPr>
            <w:tcMar>
              <w:top w:w="80" w:type="dxa"/>
              <w:start w:w="90" w:type="dxa"/>
              <w:bottom w:w="80" w:type="dxa"/>
              <w:end w:w="90" w:type="dxa"/>
            </w:tcMar>
            <w:shd w:fill="F7FBFF" w:val="clear"/>
          </w:tcPr>
          <w:p>
            <w:pPr>
              <w:pStyle w:val="Compact"/>
              <w:jc w:val="left"/>
            </w:pPr>
            <w:r>
              <w:t xml:space="preserve">Hollowing-Out Index at time t</w:t>
            </w:r>
          </w:p>
        </w:tc>
      </w:tr>
      <w:tr>
        <w:trPr/>
        <w:tc>
          <w:tcPr>
            <w:tcMar>
              <w:top w:w="80" w:type="dxa"/>
              <w:start w:w="90" w:type="dxa"/>
              <w:bottom w:w="80" w:type="dxa"/>
              <w:end w:w="90" w:type="dxa"/>
            </w:tcMar>
            <w:shd w:fill="D9EAF7" w:val="clear"/>
          </w:tcPr>
          <w:p>
            <w:pPr>
              <w:pStyle w:val="Compact"/>
              <w:jc w:val="left"/>
            </w:pPr>
            <w:r>
              <w:t xml:space="preserve">H_u</w:t>
            </w:r>
          </w:p>
        </w:tc>
        <w:tc>
          <w:tcPr>
            <w:tcMar>
              <w:top w:w="80" w:type="dxa"/>
              <w:start w:w="90" w:type="dxa"/>
              <w:bottom w:w="80" w:type="dxa"/>
              <w:end w:w="90" w:type="dxa"/>
            </w:tcMar>
            <w:shd w:fill="D9EAF7" w:val="clear"/>
          </w:tcPr>
          <w:p>
            <w:pPr>
              <w:pStyle w:val="Compact"/>
              <w:jc w:val="left"/>
            </w:pPr>
            <w:r>
              <w:t xml:space="preserve">Cohesion component of UCI</w:t>
            </w:r>
          </w:p>
        </w:tc>
      </w:tr>
      <w:tr>
        <w:trPr/>
        <w:tc>
          <w:tcPr>
            <w:tcMar>
              <w:top w:w="80" w:type="dxa"/>
              <w:start w:w="90" w:type="dxa"/>
              <w:bottom w:w="80" w:type="dxa"/>
              <w:end w:w="90" w:type="dxa"/>
            </w:tcMar>
            <w:shd w:fill="F7FBFF" w:val="clear"/>
          </w:tcPr>
          <w:p>
            <w:pPr>
              <w:pStyle w:val="Compact"/>
              <w:jc w:val="left"/>
            </w:pPr>
            <w:r>
              <w:t xml:space="preserve">F_u</w:t>
            </w:r>
          </w:p>
        </w:tc>
        <w:tc>
          <w:tcPr>
            <w:tcMar>
              <w:top w:w="80" w:type="dxa"/>
              <w:start w:w="90" w:type="dxa"/>
              <w:bottom w:w="80" w:type="dxa"/>
              <w:end w:w="90" w:type="dxa"/>
            </w:tcMar>
            <w:shd w:fill="F7FBFF" w:val="clear"/>
          </w:tcPr>
          <w:p>
            <w:pPr>
              <w:pStyle w:val="Compact"/>
              <w:jc w:val="left"/>
            </w:pPr>
            <w:r>
              <w:t xml:space="preserve">Flow component of UCI</w:t>
            </w:r>
          </w:p>
        </w:tc>
      </w:tr>
      <w:tr>
        <w:trPr/>
        <w:tc>
          <w:tcPr>
            <w:tcMar>
              <w:top w:w="80" w:type="dxa"/>
              <w:start w:w="90" w:type="dxa"/>
              <w:bottom w:w="80" w:type="dxa"/>
              <w:end w:w="90" w:type="dxa"/>
            </w:tcMar>
            <w:shd w:fill="D9EAF7" w:val="clear"/>
          </w:tcPr>
          <w:p>
            <w:pPr>
              <w:pStyle w:val="Compact"/>
              <w:jc w:val="left"/>
            </w:pPr>
            <w:r>
              <w:t xml:space="preserve">R_u</w:t>
            </w:r>
          </w:p>
        </w:tc>
        <w:tc>
          <w:tcPr>
            <w:tcMar>
              <w:top w:w="80" w:type="dxa"/>
              <w:start w:w="90" w:type="dxa"/>
              <w:bottom w:w="80" w:type="dxa"/>
              <w:end w:w="90" w:type="dxa"/>
            </w:tcMar>
            <w:shd w:fill="D9EAF7" w:val="clear"/>
          </w:tcPr>
          <w:p>
            <w:pPr>
              <w:pStyle w:val="Compact"/>
              <w:jc w:val="left"/>
            </w:pPr>
            <w:r>
              <w:t xml:space="preserve">Resilience component of UCI</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E_u</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Equity component of UCI; NA where genuinely inapplicable, UNKNOWN where applicable evidence is missing</w:t>
            </w:r>
          </w:p>
        </w:tc>
      </w:tr>
    </w:tbl>
    <w:bookmarkEnd w:id="341"/>
    <w:bookmarkStart w:id="342" w:name="a12-audit-artifacts"/>
    <w:p>
      <w:pPr>
        <w:pStyle w:val="Heading2"/>
        <w:keepNext/>
        <w:keepLines/>
        <w:pageBreakBefore w:val="0"/>
        <w:widowControl/>
      </w:pPr>
      <w:r>
        <w:rPr>
          <w:rFonts w:ascii="Arial" w:hAnsi="Arial" w:eastAsia="Arial"/>
          <w:b/>
          <w:color w:val="1F4E78"/>
        </w:rPr>
        <w:t xml:space="preserve">A.12 Audit Artifacts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r>
      <w:tr>
        <w:trPr/>
        <w:tc>
          <w:tcPr>
            <w:tcMar>
              <w:top w:w="80" w:type="dxa"/>
              <w:start w:w="90" w:type="dxa"/>
              <w:bottom w:w="80" w:type="dxa"/>
              <w:end w:w="90" w:type="dxa"/>
            </w:tcMar>
            <w:shd w:fill="F7FBFF" w:val="clear"/>
          </w:tcPr>
          <w:p>
            <w:pPr>
              <w:pStyle w:val="Compact"/>
              <w:jc w:val="left"/>
            </w:pPr>
            <w:r>
              <w:t xml:space="preserve">PCC</w:t>
            </w:r>
          </w:p>
        </w:tc>
        <w:tc>
          <w:tcPr>
            <w:tcMar>
              <w:top w:w="80" w:type="dxa"/>
              <w:start w:w="90" w:type="dxa"/>
              <w:bottom w:w="80" w:type="dxa"/>
              <w:end w:w="90" w:type="dxa"/>
            </w:tcMar>
            <w:shd w:fill="F7FBFF" w:val="clear"/>
          </w:tcPr>
          <w:p>
            <w:pPr>
              <w:pStyle w:val="Compact"/>
              <w:jc w:val="left"/>
            </w:pPr>
            <w:r>
              <w:t xml:space="preserve">Provenance and Compliance Certificate</w:t>
            </w:r>
          </w:p>
        </w:tc>
      </w:tr>
      <w:tr>
        <w:trPr/>
        <w:tc>
          <w:tcPr>
            <w:tcMar>
              <w:top w:w="80" w:type="dxa"/>
              <w:start w:w="90" w:type="dxa"/>
              <w:bottom w:w="80" w:type="dxa"/>
              <w:end w:w="90" w:type="dxa"/>
            </w:tcMar>
            <w:shd w:fill="D9EAF7" w:val="clear"/>
          </w:tcPr>
          <w:p>
            <w:pPr>
              <w:pStyle w:val="Compact"/>
              <w:jc w:val="left"/>
            </w:pPr>
            <w:r>
              <w:t xml:space="preserve">5SPR</w:t>
            </w:r>
          </w:p>
        </w:tc>
        <w:tc>
          <w:tcPr>
            <w:tcMar>
              <w:top w:w="80" w:type="dxa"/>
              <w:start w:w="90" w:type="dxa"/>
              <w:bottom w:w="80" w:type="dxa"/>
              <w:end w:w="90" w:type="dxa"/>
            </w:tcMar>
            <w:shd w:fill="D9EAF7" w:val="clear"/>
          </w:tcPr>
          <w:p>
            <w:pPr>
              <w:pStyle w:val="Compact"/>
              <w:jc w:val="left"/>
            </w:pPr>
            <w:r>
              <w:t xml:space="preserve">Five-Sentence Public Rationale</w:t>
            </w:r>
          </w:p>
        </w:tc>
      </w:tr>
      <w:tr>
        <w:trPr/>
        <w:tc>
          <w:tcPr>
            <w:tcMar>
              <w:top w:w="80" w:type="dxa"/>
              <w:start w:w="90" w:type="dxa"/>
              <w:bottom w:w="80" w:type="dxa"/>
              <w:end w:w="90" w:type="dxa"/>
            </w:tcMar>
            <w:shd w:fill="F7FBFF" w:val="clear"/>
          </w:tcPr>
          <w:p>
            <w:pPr>
              <w:pStyle w:val="Compact"/>
              <w:jc w:val="left"/>
            </w:pPr>
            <w:r>
              <w:t xml:space="preserve">AIL</w:t>
            </w:r>
          </w:p>
        </w:tc>
        <w:tc>
          <w:tcPr>
            <w:tcMar>
              <w:top w:w="80" w:type="dxa"/>
              <w:start w:w="90" w:type="dxa"/>
              <w:bottom w:w="80" w:type="dxa"/>
              <w:end w:w="90" w:type="dxa"/>
            </w:tcMar>
            <w:shd w:fill="F7FBFF" w:val="clear"/>
          </w:tcPr>
          <w:p>
            <w:pPr>
              <w:pStyle w:val="Compact"/>
              <w:jc w:val="left"/>
            </w:pPr>
            <w:r>
              <w:t xml:space="preserve">Artifact Integrity Law (Tier 2-3 integrity rules)</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Audit flags</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Standard labels for invalidity or warnings (Appendix H)</w:t>
            </w:r>
          </w:p>
        </w:tc>
      </w:tr>
    </w:tbl>
    <w:bookmarkEnd w:id="342"/>
    <w:bookmarkStart w:id="343" w:name="a13-scenario-and-trc-objects"/>
    <w:p>
      <w:pPr>
        <w:pStyle w:val="Heading2"/>
        <w:keepNext/>
        <w:keepLines/>
        <w:pageBreakBefore w:val="0"/>
        <w:widowControl/>
      </w:pPr>
      <w:r>
        <w:rPr>
          <w:rFonts w:ascii="Arial" w:hAnsi="Arial" w:eastAsia="Arial"/>
          <w:b/>
          <w:color w:val="1F4E78"/>
        </w:rPr>
        <w:t xml:space="preserve">A.13 Scenario and TRC Objects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r>
      <w:tr>
        <w:trPr/>
        <w:tc>
          <w:tcPr>
            <w:tcMar>
              <w:top w:w="80" w:type="dxa"/>
              <w:start w:w="90" w:type="dxa"/>
              <w:bottom w:w="80" w:type="dxa"/>
              <w:end w:w="90" w:type="dxa"/>
            </w:tcMar>
            <w:shd w:fill="F7FBFF" w:val="clear"/>
          </w:tcPr>
          <w:p>
            <w:pPr>
              <w:pStyle w:val="Compact"/>
              <w:jc w:val="left"/>
            </w:pPr>
            <w:r>
              <w:t xml:space="preserve">S</w:t>
            </w:r>
          </w:p>
        </w:tc>
        <w:tc>
          <w:tcPr>
            <w:tcMar>
              <w:top w:w="80" w:type="dxa"/>
              <w:start w:w="90" w:type="dxa"/>
              <w:bottom w:w="80" w:type="dxa"/>
              <w:end w:w="90" w:type="dxa"/>
            </w:tcMar>
            <w:shd w:fill="F7FBFF" w:val="clear"/>
          </w:tcPr>
          <w:p>
            <w:pPr>
              <w:pStyle w:val="Compact"/>
              <w:jc w:val="left"/>
            </w:pPr>
            <w:r>
              <w:t xml:space="preserve">Scenario set</w:t>
            </w:r>
          </w:p>
        </w:tc>
      </w:tr>
      <w:tr>
        <w:trPr/>
        <w:tc>
          <w:tcPr>
            <w:tcMar>
              <w:top w:w="80" w:type="dxa"/>
              <w:start w:w="90" w:type="dxa"/>
              <w:bottom w:w="80" w:type="dxa"/>
              <w:end w:w="90" w:type="dxa"/>
            </w:tcMar>
            <w:shd w:fill="D9EAF7" w:val="clear"/>
          </w:tcPr>
          <w:p>
            <w:pPr>
              <w:pStyle w:val="Compact"/>
              <w:jc w:val="left"/>
            </w:pPr>
            <w:r>
              <w:t xml:space="preserve">p_s</w:t>
            </w:r>
          </w:p>
        </w:tc>
        <w:tc>
          <w:tcPr>
            <w:tcMar>
              <w:top w:w="80" w:type="dxa"/>
              <w:start w:w="90" w:type="dxa"/>
              <w:bottom w:w="80" w:type="dxa"/>
              <w:end w:w="90" w:type="dxa"/>
            </w:tcMar>
            <w:shd w:fill="D9EAF7" w:val="clear"/>
          </w:tcPr>
          <w:p>
            <w:pPr>
              <w:pStyle w:val="Compact"/>
              <w:jc w:val="left"/>
            </w:pPr>
            <w:r>
              <w:t xml:space="preserve">Scenario probability (p_s ≥ 0, Σ_s p_s = 1)</w:t>
            </w:r>
          </w:p>
        </w:tc>
      </w:tr>
      <w:tr>
        <w:trPr/>
        <w:tc>
          <w:tcPr>
            <w:tcMar>
              <w:top w:w="80" w:type="dxa"/>
              <w:start w:w="90" w:type="dxa"/>
              <w:bottom w:w="80" w:type="dxa"/>
              <w:end w:w="90" w:type="dxa"/>
            </w:tcMar>
            <w:shd w:fill="F7FBFF" w:val="clear"/>
          </w:tcPr>
          <w:p>
            <w:pPr>
              <w:pStyle w:val="Compact"/>
              <w:jc w:val="left"/>
            </w:pPr>
            <w:r>
              <w:t xml:space="preserve">L(a,s)</w:t>
            </w:r>
          </w:p>
        </w:tc>
        <w:tc>
          <w:tcPr>
            <w:tcMar>
              <w:top w:w="80" w:type="dxa"/>
              <w:start w:w="90" w:type="dxa"/>
              <w:bottom w:w="80" w:type="dxa"/>
              <w:end w:w="90" w:type="dxa"/>
            </w:tcMar>
            <w:shd w:fill="F7FBFF" w:val="clear"/>
          </w:tcPr>
          <w:p>
            <w:pPr>
              <w:pStyle w:val="Compact"/>
              <w:jc w:val="left"/>
            </w:pPr>
            <w:r>
              <w:t xml:space="preserve">Scenario loss for option a under scenario s</w:t>
            </w:r>
          </w:p>
        </w:tc>
      </w:tr>
      <w:tr>
        <w:trPr/>
        <w:tc>
          <w:tcPr>
            <w:tcMar>
              <w:top w:w="80" w:type="dxa"/>
              <w:start w:w="90" w:type="dxa"/>
              <w:bottom w:w="80" w:type="dxa"/>
              <w:end w:w="90" w:type="dxa"/>
            </w:tcMar>
            <w:shd w:fill="D9EAF7" w:val="clear"/>
          </w:tcPr>
          <w:p>
            <w:pPr>
              <w:pStyle w:val="Compact"/>
              <w:jc w:val="left"/>
            </w:pPr>
            <w:r>
              <w:t xml:space="preserve">ω_c</w:t>
            </w:r>
          </w:p>
        </w:tc>
        <w:tc>
          <w:tcPr>
            <w:tcMar>
              <w:top w:w="80" w:type="dxa"/>
              <w:start w:w="90" w:type="dxa"/>
              <w:bottom w:w="80" w:type="dxa"/>
              <w:end w:w="90" w:type="dxa"/>
            </w:tcMar>
            <w:shd w:fill="D9EAF7" w:val="clear"/>
          </w:tcPr>
          <w:p>
            <w:pPr>
              <w:pStyle w:val="Compact"/>
              <w:jc w:val="left"/>
            </w:pPr>
            <w:r>
              <w:t xml:space="preserve">Catastrophe cell weight (ω_c ≥ 0, Σ_c ω_c = 1)</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p_floor</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Minimum probability floor per mandatory tail category, default 0.02</w:t>
            </w:r>
          </w:p>
        </w:tc>
      </w:tr>
    </w:tbl>
    <w:bookmarkEnd w:id="343"/>
    <w:bookmarkStart w:id="344" w:name="a14-sgp-v84-integration"/>
    <w:p>
      <w:pPr>
        <w:pStyle w:val="Heading2"/>
        <w:keepNext/>
        <w:keepLines/>
        <w:pageBreakBefore w:val="0"/>
        <w:widowControl/>
      </w:pPr>
      <w:r>
        <w:rPr>
          <w:rFonts w:ascii="Arial" w:hAnsi="Arial" w:eastAsia="Arial"/>
          <w:b/>
          <w:color w:val="1F4E78"/>
        </w:rPr>
        <w:t xml:space="preserve">A.14 SGP v8.4 Integration</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r>
      <w:tr>
        <w:trPr/>
        <w:tc>
          <w:tcPr>
            <w:tcMar>
              <w:top w:w="80" w:type="dxa"/>
              <w:start w:w="90" w:type="dxa"/>
              <w:bottom w:w="80" w:type="dxa"/>
              <w:end w:w="90" w:type="dxa"/>
            </w:tcMar>
            <w:shd w:fill="F7FBFF" w:val="clear"/>
          </w:tcPr>
          <w:p>
            <w:pPr>
              <w:pStyle w:val="Compact"/>
              <w:jc w:val="left"/>
            </w:pPr>
            <w:r>
              <w:t xml:space="preserve">MPS(E,t)</w:t>
            </w:r>
          </w:p>
        </w:tc>
        <w:tc>
          <w:tcPr>
            <w:tcMar>
              <w:top w:w="80" w:type="dxa"/>
              <w:start w:w="90" w:type="dxa"/>
              <w:bottom w:w="80" w:type="dxa"/>
              <w:end w:w="90" w:type="dxa"/>
            </w:tcMar>
            <w:shd w:fill="F7FBFF" w:val="clear"/>
          </w:tcPr>
          <w:p>
            <w:pPr>
              <w:pStyle w:val="Compact"/>
              <w:jc w:val="left"/>
            </w:pPr>
            <w:r>
              <w:t xml:space="preserve">Moral Patienthood Surface: evidence families, band, interval, confidence, and protection posture.</w:t>
            </w:r>
          </w:p>
        </w:tc>
      </w:tr>
      <w:tr>
        <w:trPr/>
        <w:tc>
          <w:tcPr>
            <w:tcMar>
              <w:top w:w="80" w:type="dxa"/>
              <w:start w:w="90" w:type="dxa"/>
              <w:bottom w:w="80" w:type="dxa"/>
              <w:end w:w="90" w:type="dxa"/>
            </w:tcMar>
            <w:shd w:fill="D9EAF7" w:val="clear"/>
          </w:tcPr>
          <w:p>
            <w:pPr>
              <w:pStyle w:val="Compact"/>
              <w:jc w:val="left"/>
            </w:pPr>
            <w:r>
              <w:t xml:space="preserve">RMCP(C,D,t)</w:t>
            </w:r>
          </w:p>
        </w:tc>
        <w:tc>
          <w:tcPr>
            <w:tcMar>
              <w:top w:w="80" w:type="dxa"/>
              <w:start w:w="90" w:type="dxa"/>
              <w:bottom w:w="80" w:type="dxa"/>
              <w:end w:w="90" w:type="dxa"/>
            </w:tcMar>
            <w:shd w:fill="D9EAF7" w:val="clear"/>
          </w:tcPr>
          <w:p>
            <w:pPr>
              <w:pStyle w:val="Compact"/>
              <w:jc w:val="left"/>
            </w:pPr>
            <w:r>
              <w:t xml:space="preserve">Reality-Management Capacity Profile for a declared entity/collective C, domain D, and time t; informative only.</w:t>
            </w:r>
          </w:p>
        </w:tc>
      </w:tr>
      <w:tr>
        <w:trPr/>
        <w:tc>
          <w:tcPr>
            <w:tcMar>
              <w:top w:w="80" w:type="dxa"/>
              <w:start w:w="90" w:type="dxa"/>
              <w:bottom w:w="80" w:type="dxa"/>
              <w:end w:w="90" w:type="dxa"/>
            </w:tcMar>
            <w:shd w:fill="F7FBFF" w:val="clear"/>
          </w:tcPr>
          <w:p>
            <w:pPr>
              <w:pStyle w:val="Compact"/>
              <w:jc w:val="left"/>
            </w:pPr>
            <w:r>
              <w:t xml:space="preserve">P100(C)</w:t>
            </w:r>
          </w:p>
        </w:tc>
        <w:tc>
          <w:tcPr>
            <w:tcMar>
              <w:top w:w="80" w:type="dxa"/>
              <w:start w:w="90" w:type="dxa"/>
              <w:bottom w:w="80" w:type="dxa"/>
              <w:end w:w="90" w:type="dxa"/>
            </w:tcMar>
            <w:shd w:fill="F7FBFF" w:val="clear"/>
          </w:tcPr>
          <w:p>
            <w:pPr>
              <w:pStyle w:val="Compact"/>
              <w:jc w:val="left"/>
            </w:pPr>
            <w:r>
              <w:t xml:space="preserve">Open top-plateau status for functional equivalence to or greater integrated reality-management capacity than the human collective anchor.</w:t>
            </w:r>
          </w:p>
        </w:tc>
      </w:tr>
      <w:tr>
        <w:trPr/>
        <w:tc>
          <w:tcPr>
            <w:tcMar>
              <w:top w:w="80" w:type="dxa"/>
              <w:start w:w="90" w:type="dxa"/>
              <w:bottom w:w="80" w:type="dxa"/>
              <w:end w:w="90" w:type="dxa"/>
            </w:tcMar>
            <w:shd w:fill="D9EAF7" w:val="clear"/>
          </w:tcPr>
          <w:p>
            <w:pPr>
              <w:pStyle w:val="Compact"/>
              <w:jc w:val="left"/>
            </w:pPr>
            <w:r>
              <w:t xml:space="preserve">FPP(E)</w:t>
            </w:r>
          </w:p>
        </w:tc>
        <w:tc>
          <w:tcPr>
            <w:tcMar>
              <w:top w:w="80" w:type="dxa"/>
              <w:start w:w="90" w:type="dxa"/>
              <w:bottom w:w="80" w:type="dxa"/>
              <w:end w:w="90" w:type="dxa"/>
            </w:tcMar>
            <w:shd w:fill="D9EAF7" w:val="clear"/>
          </w:tcPr>
          <w:p>
            <w:pPr>
              <w:pStyle w:val="Compact"/>
              <w:jc w:val="left"/>
            </w:pPr>
            <w:r>
              <w:t xml:space="preserve">Full Protection Plateau: constitutional or governed non-downgrade rights-of-protection status.</w:t>
            </w:r>
          </w:p>
        </w:tc>
      </w:tr>
      <w:tr>
        <w:trPr/>
        <w:tc>
          <w:tcPr>
            <w:tcMar>
              <w:top w:w="80" w:type="dxa"/>
              <w:start w:w="90" w:type="dxa"/>
              <w:bottom w:w="80" w:type="dxa"/>
              <w:end w:w="90" w:type="dxa"/>
            </w:tcMar>
            <w:shd w:fill="F7FBFF" w:val="clear"/>
          </w:tcPr>
          <w:p>
            <w:pPr>
              <w:pStyle w:val="Compact"/>
              <w:jc w:val="left"/>
            </w:pPr>
            <w:r>
              <w:t xml:space="preserve">GPR(E,r,t)</w:t>
            </w:r>
          </w:p>
        </w:tc>
        <w:tc>
          <w:tcPr>
            <w:tcMar>
              <w:top w:w="80" w:type="dxa"/>
              <w:start w:w="90" w:type="dxa"/>
              <w:bottom w:w="80" w:type="dxa"/>
              <w:end w:w="90" w:type="dxa"/>
            </w:tcMar>
            <w:shd w:fill="F7FBFF" w:val="clear"/>
          </w:tcPr>
          <w:p>
            <w:pPr>
              <w:pStyle w:val="Compact"/>
              <w:jc w:val="left"/>
            </w:pPr>
            <w:r>
              <w:t xml:space="preserve">Governance Participation Readiness for a named process or institution.</w:t>
            </w:r>
          </w:p>
        </w:tc>
      </w:tr>
      <w:tr>
        <w:trPr/>
        <w:tc>
          <w:tcPr>
            <w:tcMar>
              <w:top w:w="80" w:type="dxa"/>
              <w:start w:w="90" w:type="dxa"/>
              <w:bottom w:w="80" w:type="dxa"/>
              <w:end w:w="90" w:type="dxa"/>
            </w:tcMar>
            <w:shd w:fill="D9EAF7" w:val="clear"/>
          </w:tcPr>
          <w:p>
            <w:pPr>
              <w:pStyle w:val="Compact"/>
              <w:jc w:val="left"/>
            </w:pPr>
            <w:r>
              <w:t xml:space="preserve">SPR(E,r,t)</w:t>
            </w:r>
          </w:p>
        </w:tc>
        <w:tc>
          <w:tcPr>
            <w:tcMar>
              <w:top w:w="80" w:type="dxa"/>
              <w:start w:w="90" w:type="dxa"/>
              <w:bottom w:w="80" w:type="dxa"/>
              <w:end w:w="90" w:type="dxa"/>
            </w:tcMar>
            <w:shd w:fill="D9EAF7" w:val="clear"/>
          </w:tcPr>
          <w:p>
            <w:pPr>
              <w:pStyle w:val="Compact"/>
              <w:jc w:val="left"/>
            </w:pPr>
            <w:r>
              <w:t xml:space="preserve">Stewardship/Power Readiness verdict for a named consequential role.</w:t>
            </w:r>
          </w:p>
        </w:tc>
      </w:tr>
      <w:tr>
        <w:trPr/>
        <w:tc>
          <w:tcPr>
            <w:tcMar>
              <w:top w:w="80" w:type="dxa"/>
              <w:start w:w="90" w:type="dxa"/>
              <w:bottom w:w="80" w:type="dxa"/>
              <w:end w:w="90" w:type="dxa"/>
            </w:tcMar>
            <w:shd w:fill="F7FBFF" w:val="clear"/>
          </w:tcPr>
          <w:p>
            <w:pPr>
              <w:pStyle w:val="Compact"/>
              <w:jc w:val="left"/>
            </w:pPr>
            <w:r>
              <w:t xml:space="preserve">ICP(E,D,t)</w:t>
            </w:r>
          </w:p>
        </w:tc>
        <w:tc>
          <w:tcPr>
            <w:tcMar>
              <w:top w:w="80" w:type="dxa"/>
              <w:start w:w="90" w:type="dxa"/>
              <w:bottom w:w="80" w:type="dxa"/>
              <w:end w:w="90" w:type="dxa"/>
            </w:tcMar>
            <w:shd w:fill="F7FBFF" w:val="clear"/>
          </w:tcPr>
          <w:p>
            <w:pPr>
              <w:pStyle w:val="Compact"/>
              <w:jc w:val="left"/>
            </w:pPr>
            <w:r>
              <w:t xml:space="preserve">Optional Intelligence Capacity Profile for a declared domain; informative only.</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h_k</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Welfare-inclusion hypothesis coefficient used in robust RLS sensitivity; ordinarily 0 or 1, with h_k=1 for humans and FPP entities.</w:t>
            </w:r>
          </w:p>
        </w:tc>
      </w:tr>
    </w:tbl>
    <w:p>
      <w:pPr>
        <w:pStyle w:val="BodyText"/>
        <w:widowControl/>
      </w:pPr>
      <w:r>
        <w:t xml:space="preserve">End Appendix A.</w:t>
      </w:r>
    </w:p>
    <w:bookmarkEnd w:id="344"/>
    <w:bookmarkEnd w:id="345"/>
    <w:bookmarkStart w:id="366" w:name="X0dd11ef948f363d18a496ae2ba3aeff938adf34"/>
    <w:p>
      <w:pPr>
        <w:pStyle w:val="Heading1"/>
        <w:keepNext/>
        <w:keepLines/>
        <w:pageBreakBefore w:val="0"/>
        <w:widowControl/>
      </w:pPr>
      <w:r>
        <w:rPr>
          <w:rFonts w:ascii="Arial" w:hAnsi="Arial" w:eastAsia="Arial"/>
          <w:b/>
          <w:color w:val="1F4E78"/>
        </w:rPr>
        <w:t xml:space="preserve">APPENDIX B: CANONICAL EQUATIONS (TIER 1-3 EXECUTABLE)</w:t>
      </w:r>
    </w:p>
    <w:p>
      <w:pPr>
        <w:pStyle w:val="FirstParagraph"/>
        <w:widowControl/>
      </w:pPr>
      <w:r>
        <w:t xml:space="preserve">Appendix B is normative and is the canonical equation pack for Tier 1-3 implementations. All equations are reproduced explicitly for standalone executability.</w:t>
      </w:r>
    </w:p>
    <w:bookmarkStart w:id="346" w:name="b1-temporal-weighting"/>
    <w:p>
      <w:pPr>
        <w:pStyle w:val="Heading2"/>
        <w:keepNext/>
        <w:keepLines/>
        <w:pageBreakBefore w:val="0"/>
        <w:widowControl/>
      </w:pPr>
      <w:r>
        <w:rPr>
          <w:rFonts w:ascii="Arial" w:hAnsi="Arial" w:eastAsia="Arial"/>
          <w:b/>
          <w:color w:val="1F4E78"/>
        </w:rPr>
        <w:t xml:space="preserve">B.1 Temporal Weighting</w:t>
      </w:r>
    </w:p>
    <w:p>
      <w:pPr>
        <w:pStyle w:val="FirstParagraph"/>
        <w:widowControl/>
      </w:pPr>
      <w:r>
        <w:t xml:space="preserve">Defaults: T_ref = 25 years; t_min = 0.083 years (≈1 month).</w:t>
      </w:r>
    </w:p>
    <w:p>
      <w:pPr>
        <w:pStyle w:val="BodyText"/>
        <w:widowControl/>
      </w:pPr>
      <w:r>
        <w:t xml:space="preserve">τ(t) = min(1, ln(1 + max(t, t_min)) / ln(1 + T_ref))</w:t>
      </w:r>
    </w:p>
    <w:p>
      <w:pPr>
        <w:pStyle w:val="BodyText"/>
        <w:widowControl/>
      </w:pPr>
      <w:r>
        <w:t xml:space="preserve">This function has three properties by construction:</w:t>
      </w:r>
    </w:p>
    <w:p>
      <w:pPr>
        <w:pStyle w:val="BodyText"/>
        <w:widowControl/>
      </w:pPr>
      <w:r>
        <w:t xml:space="preserve">(a) Logarithmic growth ensures that short-term effects receive proportionally less weight than long-term effects, without the exponential discounting that aggressively devalues future generations.</w:t>
      </w:r>
    </w:p>
    <w:p>
      <w:pPr>
        <w:pStyle w:val="BodyText"/>
        <w:widowControl/>
      </w:pPr>
      <w:r>
        <w:t xml:space="preserve">(b) The min(1, ·) cap ensures that no effect receives more temporal weight than the governance reference horizon. At T_ref, τ = 1.00. Beyond T_ref, τ remains 1.00 (capped).</w:t>
      </w:r>
    </w:p>
    <w:p>
      <w:pPr>
        <w:pStyle w:val="BodyText"/>
        <w:widowControl/>
      </w:pPr>
      <w:r>
        <w:t xml:space="preserve">(c) The max(t, t_min) floor ensures that τ(t) &gt; 0 for all positive t, preventing very short-term effects from being zeroed out.</w:t>
      </w:r>
    </w:p>
    <w:p>
      <w:pPr>
        <w:pStyle w:val="BodyText"/>
        <w:widowControl/>
      </w:pPr>
      <w:r>
        <w:t xml:space="preserve">Illustrative values (with defaults T_ref = 25, t_min = 0.083):</w:t>
      </w:r>
    </w:p>
    <w:p>
      <w:pPr>
        <w:pStyle w:val="BodyText"/>
        <w:widowControl/>
      </w:pPr>
      <w:r>
        <w:t xml:space="preserve">At 100 years: τ = 1.00 (capped)</w:t>
      </w:r>
    </w:p>
    <w:p>
      <w:pPr>
        <w:pStyle w:val="BodyText"/>
        <w:widowControl/>
      </w:pPr>
      <w:r>
        <w:t xml:space="preserve">At 50 years: τ = 1.00 (capped)</w:t>
      </w:r>
    </w:p>
    <w:p>
      <w:pPr>
        <w:pStyle w:val="BodyText"/>
        <w:widowControl/>
      </w:pPr>
      <w:r>
        <w:t xml:space="preserve">At 25 years: τ = 1.00</w:t>
      </w:r>
    </w:p>
    <w:p>
      <w:pPr>
        <w:pStyle w:val="BodyText"/>
        <w:widowControl/>
      </w:pPr>
      <w:r>
        <w:t xml:space="preserve">At 10 years: τ ≈ 0.74</w:t>
      </w:r>
    </w:p>
    <w:p>
      <w:pPr>
        <w:pStyle w:val="BodyText"/>
        <w:widowControl/>
      </w:pPr>
      <w:r>
        <w:t xml:space="preserve">At 5 years: τ ≈ 0.55</w:t>
      </w:r>
    </w:p>
    <w:p>
      <w:pPr>
        <w:pStyle w:val="BodyText"/>
        <w:widowControl/>
      </w:pPr>
      <w:r>
        <w:t xml:space="preserve">At 1 year: τ ≈ 0.21</w:t>
      </w:r>
    </w:p>
    <w:p>
      <w:pPr>
        <w:pStyle w:val="BodyText"/>
        <w:widowControl/>
      </w:pPr>
      <w:r>
        <w:t xml:space="preserve">At t_min (≈1 month): τ ≈ 0.025</w:t>
      </w:r>
    </w:p>
    <w:p>
      <w:pPr>
        <w:pStyle w:val="BodyText"/>
        <w:widowControl/>
      </w:pPr>
      <w:r>
        <w:t xml:space="preserve">Historical change note (v7.5.0; carried forward unchanged in v9.0): This replaces the uncapped function τ(t) = ln(1+t)/ln(1+T_ref) from v7.4.5, which produced τ(50) ≈ 1.22. The capped version is normatively preferred. See Section 5.3 for design rationale.</w:t>
      </w:r>
    </w:p>
    <w:bookmarkEnd w:id="346"/>
    <w:bookmarkStart w:id="347" w:name="Xc5b4030eb667988f868774c4272995ff62bf1ea"/>
    <w:p>
      <w:pPr>
        <w:pStyle w:val="Heading2"/>
        <w:keepNext/>
        <w:keepLines/>
        <w:pageBreakBefore w:val="0"/>
        <w:widowControl/>
      </w:pPr>
      <w:r>
        <w:rPr>
          <w:rFonts w:ascii="Arial" w:hAnsi="Arial" w:eastAsia="Arial"/>
          <w:b/>
          <w:color w:val="1F4E78"/>
        </w:rPr>
        <w:t xml:space="preserve">B.2 Direct Impact Aggregation (Pre-Saturation; stream-separated)</w:t>
      </w:r>
    </w:p>
    <w:bookmarkEnd w:id="347"/>
    <w:bookmarkStart w:id="348" w:name="b2a-base-stream-admissibility-h_k1"/>
    <w:p>
      <w:pPr>
        <w:pStyle w:val="Heading2"/>
        <w:keepNext/>
        <w:keepLines/>
        <w:pageBreakBefore w:val="0"/>
        <w:widowControl/>
      </w:pPr>
      <w:r>
        <w:rPr>
          <w:rFonts w:ascii="Arial" w:hAnsi="Arial" w:eastAsia="Arial"/>
          <w:b/>
          <w:color w:val="1F4E78"/>
        </w:rPr>
        <w:t xml:space="preserve">B.2A Base stream (admissibility; h_k:=1):</w:t>
      </w:r>
    </w:p>
    <w:p>
      <w:pPr>
        <w:pStyle w:val="FirstParagraph"/>
        <w:widowControl/>
      </w:pPr>
      <w:r>
        <w:t xml:space="preserve">Ĩ_dir_base(u,d,a) = Σ_{k ∈ K(u,d,a)} [r_k × τ(t_k) × ℓ_k × c_k × e_k × (1) × μ_k]</w:t>
      </w:r>
    </w:p>
    <w:p>
      <w:pPr>
        <w:pStyle w:val="BodyText"/>
        <w:widowControl/>
      </w:pPr>
      <w:r>
        <w:t xml:space="preserve">B.2A Gate-critical confidence guard. In the Base stream used by RF/NCRC, TRC, and CSV, c_k represents evidence support but cannot by itself excuse unresolved severe adverse gate-critical impacts. Apply GateAdverseBound(k) from Section 5.2: use the most adverse admissible harm endpoint and least favourable gate-supporting endpoint; if only c_k is available, set c_gate,k:=1 for adverse gate computation and retain c_gate,k:=c_k for beneficial safety claims. If the bound is not reproducible and the gate could change, return UNKNOWN, ESCALATE, NARROW, or REFUSE rather than PASS.</w:t>
      </w:r>
    </w:p>
    <w:bookmarkEnd w:id="348"/>
    <w:bookmarkStart w:id="349" w:name="X91f9e55dee887ef1a730c61facf1324ca5dd91b"/>
    <w:p>
      <w:pPr>
        <w:pStyle w:val="Heading2"/>
        <w:keepNext/>
        <w:keepLines/>
        <w:pageBreakBefore w:val="0"/>
        <w:widowControl/>
      </w:pPr>
      <w:r>
        <w:rPr>
          <w:rFonts w:ascii="Arial" w:hAnsi="Arial" w:eastAsia="Arial"/>
          <w:b/>
          <w:color w:val="1F4E78"/>
        </w:rPr>
        <w:t xml:space="preserve">B.2B Welfare stream (RLS; welfare-inclusion hypotheses):</w:t>
      </w:r>
    </w:p>
    <w:p>
      <w:pPr>
        <w:pStyle w:val="FirstParagraph"/>
        <w:widowControl/>
      </w:pPr>
      <w:r>
        <w:t xml:space="preserve">Ĩ_dir_welfare(u,d,a;h) = Σ_{k ∈ K(u,d,a)} [r_k × τ(t_k) × ℓ_k × c_k × e_k × h_{k,welfare} × μ_k]</w:t>
      </w:r>
    </w:p>
    <w:p>
      <w:pPr>
        <w:pStyle w:val="BodyText"/>
        <w:widowControl/>
      </w:pPr>
      <w:r>
        <w:t xml:space="preserve">Here h_{k,welfare}^{(j)} is selected from the governed welfare-inclusion hypothesis set only for a declared sensitivity evaluation j; the Base stream (B.2A) fixes h_k:=1.0 for all instances. MPS bands or intervals MUST NOT be substituted directly for h_k. A representative display may be shown only if all decision-material hypothesis results are also reported.</w:t>
      </w:r>
    </w:p>
    <w:p>
      <w:pPr>
        <w:pStyle w:val="BodyText"/>
        <w:widowControl/>
      </w:pPr>
      <w:r>
        <w:t xml:space="preserve">Where K(u,d,a) is the set of impact instances asserted for cell (u,d) under option a.</w:t>
      </w:r>
    </w:p>
    <w:bookmarkEnd w:id="349"/>
    <w:bookmarkStart w:id="350" w:name="b3-direct-saturation-per-stream"/>
    <w:p>
      <w:pPr>
        <w:pStyle w:val="Heading2"/>
        <w:keepNext/>
        <w:keepLines/>
        <w:pageBreakBefore w:val="0"/>
        <w:widowControl/>
      </w:pPr>
      <w:r>
        <w:rPr>
          <w:rFonts w:ascii="Arial" w:hAnsi="Arial" w:eastAsia="Arial"/>
          <w:b/>
          <w:color w:val="1F4E78"/>
        </w:rPr>
        <w:t xml:space="preserve">B.3 Direct Saturation (per stream)</w:t>
      </w:r>
    </w:p>
    <w:p>
      <w:pPr>
        <w:pStyle w:val="FirstParagraph"/>
        <w:widowControl/>
      </w:pPr>
      <w:r>
        <w:t xml:space="preserve">For x ∈ {base, welfare}:</w:t>
      </w:r>
    </w:p>
    <w:p>
      <w:pPr>
        <w:pStyle w:val="BodyText"/>
        <w:widowControl/>
      </w:pPr>
      <w:r>
        <w:t xml:space="preserve">I_dir_x(u,d,a) = tanh(β × Ĩ_dir_x(u,d,a))</w:t>
      </w:r>
    </w:p>
    <w:p>
      <w:pPr>
        <w:pStyle w:val="BodyText"/>
        <w:widowControl/>
      </w:pPr>
      <w:r>
        <w:t xml:space="preserve">Default: β = 2.</w:t>
      </w:r>
    </w:p>
    <w:bookmarkEnd w:id="350"/>
    <w:bookmarkStart w:id="351" w:name="X65e94bf6ea706413e06bf43519560a489971819"/>
    <w:p>
      <w:pPr>
        <w:pStyle w:val="Heading2"/>
        <w:keepNext/>
        <w:keepLines/>
        <w:pageBreakBefore w:val="0"/>
        <w:widowControl/>
      </w:pPr>
      <w:r>
        <w:rPr>
          <w:rFonts w:ascii="Arial" w:hAnsi="Arial" w:eastAsia="Arial"/>
          <w:b/>
          <w:color w:val="1F4E78"/>
        </w:rPr>
        <w:t xml:space="preserve">B.4 Missing Data (Ignorance Penalty Phantom Instance)</w:t>
      </w:r>
    </w:p>
    <w:p>
      <w:pPr>
        <w:pStyle w:val="FirstParagraph"/>
        <w:widowControl/>
      </w:pPr>
      <w:r>
        <w:t xml:space="preserve">If cell (u,d) is required-active but K(u,d,a) = ∅, add phantom instance with:</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Parameter</w:t>
            </w:r>
          </w:p>
        </w:tc>
        <w:tc>
          <w:tcPr>
            <w:shd w:fill="1F4E78" w:val="clear"/>
            <w:tcMar>
              <w:top w:w="80" w:type="dxa"/>
              <w:start w:w="90" w:type="dxa"/>
              <w:bottom w:w="80" w:type="dxa"/>
              <w:end w:w="90" w:type="dxa"/>
            </w:tcMar>
          </w:tcPr>
          <w:p>
            <w:pPr>
              <w:pStyle w:val="Compact"/>
              <w:jc w:val="left"/>
            </w:pPr>
            <w:r>
              <w:rPr>
                <w:b/>
                <w:bCs/>
                <w:color w:val="FFFFFF"/>
              </w:rPr>
              <w:t xml:space="preserve">Phantom Value</w:t>
            </w:r>
          </w:p>
        </w:tc>
      </w:tr>
      <w:tr>
        <w:trPr/>
        <w:tc>
          <w:tcPr>
            <w:tcMar>
              <w:top w:w="80" w:type="dxa"/>
              <w:start w:w="90" w:type="dxa"/>
              <w:bottom w:w="80" w:type="dxa"/>
              <w:end w:w="90" w:type="dxa"/>
            </w:tcMar>
            <w:shd w:fill="F7FBFF" w:val="clear"/>
          </w:tcPr>
          <w:p>
            <w:pPr>
              <w:pStyle w:val="Compact"/>
              <w:jc w:val="left"/>
            </w:pPr>
            <w:r>
              <w:t xml:space="preserve">μ_phantom</w:t>
            </w:r>
          </w:p>
        </w:tc>
        <w:tc>
          <w:tcPr>
            <w:tcMar>
              <w:top w:w="80" w:type="dxa"/>
              <w:start w:w="90" w:type="dxa"/>
              <w:bottom w:w="80" w:type="dxa"/>
              <w:end w:w="90" w:type="dxa"/>
            </w:tcMar>
            <w:shd w:fill="F7FBFF" w:val="clear"/>
          </w:tcPr>
          <w:p>
            <w:pPr>
              <w:pStyle w:val="Compact"/>
              <w:jc w:val="left"/>
            </w:pPr>
            <w:r>
              <w:t xml:space="preserve">-0.10</w:t>
            </w:r>
          </w:p>
        </w:tc>
      </w:tr>
      <w:tr>
        <w:trPr/>
        <w:tc>
          <w:tcPr>
            <w:tcMar>
              <w:top w:w="80" w:type="dxa"/>
              <w:start w:w="90" w:type="dxa"/>
              <w:bottom w:w="80" w:type="dxa"/>
              <w:end w:w="90" w:type="dxa"/>
            </w:tcMar>
            <w:shd w:fill="D9EAF7" w:val="clear"/>
          </w:tcPr>
          <w:p>
            <w:pPr>
              <w:pStyle w:val="Compact"/>
              <w:jc w:val="left"/>
            </w:pPr>
            <w:r>
              <w:t xml:space="preserve">r</w:t>
            </w:r>
          </w:p>
        </w:tc>
        <w:tc>
          <w:tcPr>
            <w:tcMar>
              <w:top w:w="80" w:type="dxa"/>
              <w:start w:w="90" w:type="dxa"/>
              <w:bottom w:w="80" w:type="dxa"/>
              <w:end w:w="90" w:type="dxa"/>
            </w:tcMar>
            <w:shd w:fill="D9EAF7" w:val="clear"/>
          </w:tcPr>
          <w:p>
            <w:pPr>
              <w:pStyle w:val="Compact"/>
              <w:jc w:val="left"/>
            </w:pPr>
            <w:r>
              <w:t xml:space="preserve">1</w:t>
            </w:r>
          </w:p>
        </w:tc>
      </w:tr>
      <w:tr>
        <w:trPr/>
        <w:tc>
          <w:tcPr>
            <w:tcMar>
              <w:top w:w="80" w:type="dxa"/>
              <w:start w:w="90" w:type="dxa"/>
              <w:bottom w:w="80" w:type="dxa"/>
              <w:end w:w="90" w:type="dxa"/>
            </w:tcMar>
            <w:shd w:fill="F7FBFF" w:val="clear"/>
          </w:tcPr>
          <w:p>
            <w:pPr>
              <w:pStyle w:val="Compact"/>
              <w:jc w:val="left"/>
            </w:pPr>
            <w:r>
              <w:t xml:space="preserve">t</w:t>
            </w:r>
          </w:p>
        </w:tc>
        <w:tc>
          <w:tcPr>
            <w:tcMar>
              <w:top w:w="80" w:type="dxa"/>
              <w:start w:w="90" w:type="dxa"/>
              <w:bottom w:w="80" w:type="dxa"/>
              <w:end w:w="90" w:type="dxa"/>
            </w:tcMar>
            <w:shd w:fill="F7FBFF" w:val="clear"/>
          </w:tcPr>
          <w:p>
            <w:pPr>
              <w:pStyle w:val="Compact"/>
              <w:jc w:val="left"/>
            </w:pPr>
            <w:r>
              <w:t xml:space="preserve">T_ref (25 years)</w:t>
            </w:r>
          </w:p>
        </w:tc>
      </w:tr>
      <w:tr>
        <w:trPr/>
        <w:tc>
          <w:tcPr>
            <w:tcMar>
              <w:top w:w="80" w:type="dxa"/>
              <w:start w:w="90" w:type="dxa"/>
              <w:bottom w:w="80" w:type="dxa"/>
              <w:end w:w="90" w:type="dxa"/>
            </w:tcMar>
            <w:shd w:fill="D9EAF7" w:val="clear"/>
          </w:tcPr>
          <w:p>
            <w:pPr>
              <w:pStyle w:val="Compact"/>
              <w:jc w:val="left"/>
            </w:pPr>
            <w:r>
              <w:t xml:space="preserve">ℓ</w:t>
            </w:r>
          </w:p>
        </w:tc>
        <w:tc>
          <w:tcPr>
            <w:tcMar>
              <w:top w:w="80" w:type="dxa"/>
              <w:start w:w="90" w:type="dxa"/>
              <w:bottom w:w="80" w:type="dxa"/>
              <w:end w:w="90" w:type="dxa"/>
            </w:tcMar>
            <w:shd w:fill="D9EAF7" w:val="clear"/>
          </w:tcPr>
          <w:p>
            <w:pPr>
              <w:pStyle w:val="Compact"/>
              <w:jc w:val="left"/>
            </w:pPr>
            <w:r>
              <w:t xml:space="preserve">1</w:t>
            </w:r>
          </w:p>
        </w:tc>
      </w:tr>
      <w:tr>
        <w:trPr/>
        <w:tc>
          <w:tcPr>
            <w:tcMar>
              <w:top w:w="80" w:type="dxa"/>
              <w:start w:w="90" w:type="dxa"/>
              <w:bottom w:w="80" w:type="dxa"/>
              <w:end w:w="90" w:type="dxa"/>
            </w:tcMar>
            <w:shd w:fill="F7FBFF" w:val="clear"/>
          </w:tcPr>
          <w:p>
            <w:pPr>
              <w:pStyle w:val="Compact"/>
              <w:jc w:val="left"/>
            </w:pPr>
            <w:r>
              <w:t xml:space="preserve">c</w:t>
            </w:r>
          </w:p>
        </w:tc>
        <w:tc>
          <w:tcPr>
            <w:tcMar>
              <w:top w:w="80" w:type="dxa"/>
              <w:start w:w="90" w:type="dxa"/>
              <w:bottom w:w="80" w:type="dxa"/>
              <w:end w:w="90" w:type="dxa"/>
            </w:tcMar>
            <w:shd w:fill="F7FBFF" w:val="clear"/>
          </w:tcPr>
          <w:p>
            <w:pPr>
              <w:pStyle w:val="Compact"/>
              <w:jc w:val="left"/>
            </w:pPr>
            <w:r>
              <w:t xml:space="preserve">1</w:t>
            </w:r>
          </w:p>
        </w:tc>
      </w:tr>
      <w:tr>
        <w:trPr/>
        <w:tc>
          <w:tcPr>
            <w:tcMar>
              <w:top w:w="80" w:type="dxa"/>
              <w:start w:w="90" w:type="dxa"/>
              <w:bottom w:w="80" w:type="dxa"/>
              <w:end w:w="90" w:type="dxa"/>
            </w:tcMar>
            <w:shd w:fill="D9EAF7" w:val="clear"/>
          </w:tcPr>
          <w:p>
            <w:pPr>
              <w:pStyle w:val="Compact"/>
              <w:jc w:val="left"/>
            </w:pPr>
            <w:r>
              <w:t xml:space="preserve">e</w:t>
            </w:r>
          </w:p>
        </w:tc>
        <w:tc>
          <w:tcPr>
            <w:tcMar>
              <w:top w:w="80" w:type="dxa"/>
              <w:start w:w="90" w:type="dxa"/>
              <w:bottom w:w="80" w:type="dxa"/>
              <w:end w:w="90" w:type="dxa"/>
            </w:tcMar>
            <w:shd w:fill="D9EAF7" w:val="clear"/>
          </w:tcPr>
          <w:p>
            <w:pPr>
              <w:pStyle w:val="Compact"/>
              <w:jc w:val="left"/>
            </w:pPr>
            <w:r>
              <w:t xml:space="preserve">1</w:t>
            </w:r>
          </w:p>
        </w:tc>
      </w:tr>
      <w:tr>
        <w:trPr/>
        <w:tc>
          <w:tcPr>
            <w:tcMar>
              <w:top w:w="80" w:type="dxa"/>
              <w:start w:w="90" w:type="dxa"/>
              <w:bottom w:w="80" w:type="dxa"/>
              <w:end w:w="90" w:type="dxa"/>
            </w:tcMar>
            <w:shd w:fill="F7FBFF" w:val="clear"/>
          </w:tcPr>
          <w:p>
            <w:pPr>
              <w:pStyle w:val="Compact"/>
              <w:jc w:val="left"/>
            </w:pPr>
            <w:r>
              <w:t xml:space="preserve">h_{k,base}</w:t>
            </w:r>
          </w:p>
        </w:tc>
        <w:tc>
          <w:tcPr>
            <w:tcMar>
              <w:top w:w="80" w:type="dxa"/>
              <w:start w:w="90" w:type="dxa"/>
              <w:bottom w:w="80" w:type="dxa"/>
              <w:end w:w="90" w:type="dxa"/>
            </w:tcMar>
            <w:shd w:fill="F7FBFF" w:val="clear"/>
          </w:tcPr>
          <w:p>
            <w:pPr>
              <w:pStyle w:val="Compact"/>
              <w:jc w:val="left"/>
            </w:pPr>
            <w:r>
              <w:t xml:space="preserve">1</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h_{k,welfare}</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1</w:t>
            </w:r>
          </w:p>
        </w:tc>
      </w:tr>
    </w:tbl>
    <w:bookmarkEnd w:id="351"/>
    <w:bookmarkStart w:id="352" w:name="b5-flattening-map-kernel-indexing"/>
    <w:p>
      <w:pPr>
        <w:pStyle w:val="Heading2"/>
        <w:keepNext/>
        <w:keepLines/>
        <w:pageBreakBefore w:val="0"/>
        <w:widowControl/>
      </w:pPr>
      <w:r>
        <w:rPr>
          <w:rFonts w:ascii="Arial" w:hAnsi="Arial" w:eastAsia="Arial"/>
          <w:b/>
          <w:color w:val="1F4E78"/>
        </w:rPr>
        <w:t xml:space="preserve">B.5 Flattening Map (Kernel Indexing)</w:t>
      </w:r>
    </w:p>
    <w:p>
      <w:pPr>
        <w:pStyle w:val="FirstParagraph"/>
        <w:widowControl/>
      </w:pPr>
      <w:r>
        <w:t xml:space="preserve">Vectorize I_dir into a 49-vector by:</w:t>
      </w:r>
    </w:p>
    <w:p>
      <w:pPr>
        <w:pStyle w:val="BodyText"/>
        <w:widowControl/>
      </w:pPr>
      <w:r>
        <w:t xml:space="preserve">i = φ(u,d) = 7(u − 1) + d</w:t>
      </w:r>
    </w:p>
    <w:bookmarkEnd w:id="352"/>
    <w:bookmarkStart w:id="353" w:name="X32925d8a01a0e615b1ebd530de4c0176fa81698"/>
    <w:p>
      <w:pPr>
        <w:pStyle w:val="Heading2"/>
        <w:keepNext/>
        <w:keepLines/>
        <w:pageBreakBefore w:val="0"/>
        <w:widowControl/>
      </w:pPr>
      <w:r>
        <w:rPr>
          <w:rFonts w:ascii="Arial" w:hAnsi="Arial" w:eastAsia="Arial"/>
          <w:b/>
          <w:color w:val="1F4E78"/>
        </w:rPr>
        <w:t xml:space="preserve">B.6 Propagation Modes (Tier 1-3: NONE and QUICK only)</w:t>
      </w:r>
    </w:p>
    <w:p>
      <w:pPr>
        <w:pStyle w:val="FirstParagraph"/>
        <w:widowControl/>
      </w:pPr>
      <w:r>
        <w:t xml:space="preserve">NONE:</w:t>
      </w:r>
    </w:p>
    <w:p>
      <w:pPr>
        <w:pStyle w:val="BodyText"/>
        <w:widowControl/>
      </w:pPr>
      <w:r>
        <w:t xml:space="preserve">For x ∈ {base, welfare}: I_prop_x := I_dir_x</w:t>
      </w:r>
    </w:p>
    <w:p>
      <w:pPr>
        <w:pStyle w:val="BodyText"/>
        <w:widowControl/>
      </w:pPr>
      <w:r>
        <w:t xml:space="preserve">QUICK:</w:t>
      </w:r>
    </w:p>
    <w:p>
      <w:pPr>
        <w:pStyle w:val="BodyText"/>
        <w:widowControl/>
      </w:pPr>
      <w:r>
        <w:t xml:space="preserve">For stream x ∈ {base, welfare}: Ĩ_prop_x = I_dir_x + K × I_dir_x</w:t>
      </w:r>
    </w:p>
    <w:p>
      <w:pPr>
        <w:pStyle w:val="BodyText"/>
        <w:widowControl/>
      </w:pPr>
      <w:r>
        <w:t xml:space="preserve">Then apply post-propagation saturation (B.7).</w:t>
      </w:r>
    </w:p>
    <w:bookmarkEnd w:id="353"/>
    <w:bookmarkStart w:id="354" w:name="X721e1a882492d343483632bb7abb4ec4583e7e5"/>
    <w:p>
      <w:pPr>
        <w:pStyle w:val="Heading2"/>
        <w:keepNext/>
        <w:keepLines/>
        <w:pageBreakBefore w:val="0"/>
        <w:widowControl/>
      </w:pPr>
      <w:r>
        <w:rPr>
          <w:rFonts w:ascii="Arial" w:hAnsi="Arial" w:eastAsia="Arial"/>
          <w:b/>
          <w:color w:val="1F4E78"/>
        </w:rPr>
        <w:t xml:space="preserve">B.7 Post-Propagation Saturation (per stream)</w:t>
      </w:r>
    </w:p>
    <w:p>
      <w:pPr>
        <w:pStyle w:val="FirstParagraph"/>
        <w:widowControl/>
      </w:pPr>
      <w:r>
        <w:t xml:space="preserve">For x ∈ {base, welfare}:</w:t>
      </w:r>
    </w:p>
    <w:p>
      <w:pPr>
        <w:pStyle w:val="BodyText"/>
        <w:widowControl/>
      </w:pPr>
      <w:r>
        <w:t xml:space="preserve">I_prop_x(u,d,a) = tanh(β_prop × Ĩ_prop_x(u,d,a))</w:t>
      </w:r>
    </w:p>
    <w:p>
      <w:pPr>
        <w:pStyle w:val="BodyText"/>
        <w:widowControl/>
      </w:pPr>
      <w:r>
        <w:t xml:space="preserve">Default: β_prop = 1.</w:t>
      </w:r>
    </w:p>
    <w:bookmarkEnd w:id="354"/>
    <w:bookmarkStart w:id="355" w:name="b8-worst-off-subgroup-impact-rights"/>
    <w:p>
      <w:pPr>
        <w:pStyle w:val="Heading2"/>
        <w:keepNext/>
        <w:keepLines/>
        <w:pageBreakBefore w:val="0"/>
        <w:widowControl/>
      </w:pPr>
      <w:r>
        <w:rPr>
          <w:rFonts w:ascii="Arial" w:hAnsi="Arial" w:eastAsia="Arial"/>
          <w:b/>
          <w:color w:val="1F4E78"/>
        </w:rPr>
        <w:t xml:space="preserve">B.8 Worst-Off Subgroup Impact (Rights)</w:t>
      </w:r>
    </w:p>
    <w:p>
      <w:pPr>
        <w:pStyle w:val="FirstParagraph"/>
        <w:widowControl/>
      </w:pPr>
      <w:r>
        <w:t>I_rights(u,d,a,r) = min_{g ∈ G_RF(u,d,a,r)} I_RF(u,d,a|g,r)</w:t>
      </w:r>
    </w:p>
    <w:bookmarkEnd w:id="355"/>
    <w:bookmarkStart w:id="356" w:name="X2eceac8122fa62416d8e7b72439e7326310fc43"/>
    <w:p>
      <w:pPr>
        <w:pStyle w:val="Heading2"/>
        <w:keepNext/>
        <w:keepLines/>
        <w:pageBreakBefore w:val="0"/>
        <w:widowControl/>
      </w:pPr>
      <w:r>
        <w:rPr>
          <w:rFonts w:ascii="Arial" w:hAnsi="Arial" w:eastAsia="Arial"/>
          <w:b/>
          <w:color w:val="1F4E78"/>
        </w:rPr>
        <w:t xml:space="preserve">B.9 NCRC Violation Depth and Rights Admissibility</w:t>
      </w:r>
    </w:p>
    <w:p>
      <w:pPr>
        <w:pStyle w:val="FirstParagraph"/>
        <w:widowControl/>
      </w:pPr>
      <w:r>
        <w:t xml:space="preserve">For each right</w:t>
      </w:r>
      <w:r>
        <w:t xml:space="preserve"> </w:t>
      </w:r>
      <w:r>
        <w:rPr>
          <w:rStyle w:val="VerbatimChar"/>
        </w:rPr>
        <w:t xml:space="preserve">r</w:t>
      </w:r>
      <w:r>
        <w:t xml:space="preserve">, define three independent violation channels using Section 7.4 inputs:</w:t>
      </w:r>
    </w:p>
    <w:p>
      <w:pPr>
        <w:pStyle w:val="BodyText"/>
        <w:widowControl/>
      </w:pPr>
      <w:r>
        <w:rPr>
          <w:rStyle w:val="VerbatimChar"/>
        </w:rPr>
        <w:t xml:space="preserve">v_r^floor(a) = max_{(u,d) in C_r} (theta_r - I_rights(u,d,a))^+</w:t>
      </w:r>
    </w:p>
    <w:p>
      <w:pPr>
        <w:pStyle w:val="BodyText"/>
        <w:widowControl/>
      </w:pPr>
      <w:r>
        <w:rPr>
          <w:rStyle w:val="VerbatimChar"/>
        </w:rPr>
        <w:t xml:space="preserve">v_r^cat(a) = max_{k in K_r(a)} z_{k,r}</w:t>
      </w:r>
    </w:p>
    <w:p>
      <w:pPr>
        <w:pStyle w:val="BodyText"/>
        <w:widowControl/>
      </w:pPr>
      <w:r>
        <w:rPr>
          <w:rStyle w:val="VerbatimChar"/>
        </w:rPr>
        <w:t xml:space="preserve">v_r^risk(a) = max_{k in K_r(a): SevereRightsHazardActive(k,r)} (p_{k,r}^U - rho_r)^+</w:t>
      </w:r>
    </w:p>
    <w:p>
      <w:pPr>
        <w:pStyle w:val="BodyText"/>
        <w:widowControl/>
      </w:pPr>
      <w:r>
        <w:t xml:space="preserve">where</w:t>
      </w:r>
      <w:r>
        <w:t xml:space="preserve"> </w:t>
      </w:r>
      <w:r>
        <w:rPr>
          <w:rStyle w:val="VerbatimChar"/>
        </w:rPr>
        <w:t xml:space="preserve">(x)^+ = max(x,0)</w:t>
      </w:r>
      <w:r>
        <w:t xml:space="preserve">,</w:t>
      </w:r>
      <w:r>
        <w:t xml:space="preserve"> </w:t>
      </w:r>
      <w:r>
        <w:rPr>
          <w:rStyle w:val="VerbatimChar"/>
        </w:rPr>
        <w:t xml:space="preserve">z_{k,r}</w:t>
      </w:r>
      <w:r>
        <w:t xml:space="preserve"> </w:t>
      </w:r>
      <w:r>
        <w:t xml:space="preserve">is the categorical-prohibition indicator,</w:t>
      </w:r>
      <w:r>
        <w:t xml:space="preserve"> </w:t>
      </w:r>
      <w:r>
        <w:rPr>
          <w:rStyle w:val="VerbatimChar"/>
        </w:rPr>
        <w:t xml:space="preserve">h_{sev,k,r}</w:t>
      </w:r>
      <w:r>
        <w:t xml:space="preserve"> </w:t>
      </w:r>
      <w:r>
        <w:t xml:space="preserve">is intrinsic rights severity,</w:t>
      </w:r>
      <w:r>
        <w:t xml:space="preserve"> </w:t>
      </w:r>
      <w:r>
        <w:rPr>
          <w:rStyle w:val="VerbatimChar"/>
        </w:rPr>
        <w:t xml:space="preserve">p_{k,r}^U</w:t>
      </w:r>
      <w:r>
        <w:t xml:space="preserve"> </w:t>
      </w:r>
      <w:r>
        <w:t xml:space="preserve">is the conservative upper event-probability bound, and</w:t>
      </w:r>
      <w:r>
        <w:t xml:space="preserve"> </w:t>
      </w:r>
      <w:r>
        <w:rPr>
          <w:rStyle w:val="VerbatimChar"/>
        </w:rPr>
        <w:t xml:space="preserve">rho_r</w:t>
      </w:r>
      <w:r>
        <w:t xml:space="preserve"> </w:t>
      </w:r>
      <w:r>
        <w:t xml:space="preserve">is the governed rights-risk tolerance.</w:t>
      </w:r>
    </w:p>
    <w:p>
      <w:pPr>
        <w:pStyle w:val="BodyText"/>
        <w:widowControl/>
      </w:pPr>
      <w:r>
        <w:t xml:space="preserve">If any required severe-hazard field is missing, the right receives</w:t>
      </w:r>
      <w:r>
        <w:t xml:space="preserve"> </w:t>
      </w:r>
      <w:r>
        <w:rPr>
          <w:rStyle w:val="VerbatimChar"/>
        </w:rPr>
        <w:t xml:space="preserve">NCRC_UNKNOWN</w:t>
      </w:r>
      <w:r>
        <w:t xml:space="preserve">; missing data MUST NOT be converted to zero.</w:t>
      </w:r>
    </w:p>
    <w:p>
      <w:pPr>
        <w:pStyle w:val="BodyText"/>
        <w:widowControl/>
      </w:pPr>
      <w:r>
        <w:rPr>
          <w:rStyle w:val="VerbatimChar"/>
        </w:rPr>
        <w:t xml:space="preserve">NCRC(a) = TRUE</w:t>
      </w:r>
      <w:r>
        <w:t xml:space="preserve"> </w:t>
      </w:r>
      <w:r>
        <w:t xml:space="preserve">if and only if, for every protected right</w:t>
      </w:r>
      <w:r>
        <w:t xml:space="preserve"> </w:t>
      </w:r>
      <w:r>
        <w:rPr>
          <w:rStyle w:val="VerbatimChar"/>
        </w:rPr>
        <w:t xml:space="preserve">r</w:t>
      </w:r>
      <w:r>
        <w:t xml:space="preserve">,</w:t>
      </w:r>
      <w:r>
        <w:t xml:space="preserve"> </w:t>
      </w:r>
      <w:r>
        <w:rPr>
          <w:rStyle w:val="VerbatimChar"/>
        </w:rPr>
        <w:t xml:space="preserve">v_r^floor(a)=0</w:t>
      </w:r>
      <w:r>
        <w:t xml:space="preserve">,</w:t>
      </w:r>
      <w:r>
        <w:t xml:space="preserve"> </w:t>
      </w:r>
      <w:r>
        <w:rPr>
          <w:rStyle w:val="VerbatimChar"/>
        </w:rPr>
        <w:t xml:space="preserve">v_r^cat(a)=0</w:t>
      </w:r>
      <w:r>
        <w:t xml:space="preserve">,</w:t>
      </w:r>
      <w:r>
        <w:t xml:space="preserve"> </w:t>
      </w:r>
      <w:r>
        <w:rPr>
          <w:rStyle w:val="VerbatimChar"/>
        </w:rPr>
        <w:t xml:space="preserve">v_r^risk(a)=0</w:t>
      </w:r>
      <w:r>
        <w:t xml:space="preserve">, and no material rights field is unresolved.</w:t>
      </w:r>
    </w:p>
    <w:p>
      <w:pPr>
        <w:pStyle w:val="BodyText"/>
        <w:widowControl/>
      </w:pPr>
      <w:r>
        <w:t xml:space="preserve">For Emergency Mode comparison, use the ordered compound tuple</w:t>
      </w:r>
      <w:r>
        <w:t xml:space="preserve"> </w:t>
      </w:r>
      <w:r>
        <w:rPr>
          <w:rStyle w:val="VerbatimChar"/>
        </w:rPr>
        <w:t xml:space="preserve">q_r(a) = (v_r^cat(a), v_r^risk(a), v_r^floor(a))</w:t>
      </w:r>
      <w:r>
        <w:t xml:space="preserve"> </w:t>
      </w:r>
      <w:r>
        <w:t xml:space="preserve">within the canonical right-priority order. A lower welfare score or shorter duration cannot rescue a non-zero categorical, severe-risk, or floor component.</w:t>
      </w:r>
    </w:p>
    <w:bookmarkEnd w:id="356"/>
    <w:bookmarkStart w:id="357" w:name="Xa9a05d7990ff8c80a836afc298f5b710e5d9f34"/>
    <w:p>
      <w:pPr>
        <w:pStyle w:val="Heading2"/>
        <w:keepNext/>
        <w:keepLines/>
        <w:pageBreakBefore w:val="0"/>
        <w:widowControl/>
      </w:pPr>
      <w:r>
        <w:rPr>
          <w:rFonts w:ascii="Arial" w:hAnsi="Arial" w:eastAsia="Arial"/>
          <w:b/>
          <w:color w:val="1F4E78"/>
        </w:rPr>
        <w:t xml:space="preserve">B.10 TRC Loss (Tier 1-3 Bounded-Impact Mode)</w:t>
      </w:r>
    </w:p>
    <w:p>
      <w:pPr>
        <w:pStyle w:val="FirstParagraph"/>
        <w:widowControl/>
      </w:pPr>
      <w:r>
        <w:t xml:space="preserve">Let C_cat be catastrophe cells and ω catastrophe weights.</w:t>
      </w:r>
    </w:p>
    <w:p>
      <w:pPr>
        <w:pStyle w:val="BodyText"/>
        <w:widowControl/>
      </w:pPr>
      <w:r>
        <w:t xml:space="preserve">Normative stream binding (Design A): TRC MUST be computed from the Base stream (I_prop_base). TRC MUST NOT use Welfare-stream (sentience-weighted) impacts.</w:t>
      </w:r>
    </w:p>
    <w:p>
      <w:pPr>
        <w:pStyle w:val="BodyText"/>
        <w:widowControl/>
      </w:pPr>
      <w:r>
        <w:t xml:space="preserve">For scenario s:</w:t>
      </w:r>
    </w:p>
    <w:p>
      <w:pPr>
        <w:pStyle w:val="BodyText"/>
        <w:widowControl/>
      </w:pPr>
      <w:r>
        <w:t xml:space="preserve">L(a,s) = Σ_{c ∈ C_cat} ω_c × (−I_prop_base,c(a|s))⁺</w:t>
      </w:r>
    </w:p>
    <w:p>
      <w:pPr>
        <w:pStyle w:val="BodyText"/>
        <w:widowControl/>
      </w:pPr>
      <w:r>
        <w:t xml:space="preserve">TRC uses CVaR (Appendix D for discrete computation) and corridor threshold τ_TRC:</w:t>
      </w:r>
    </w:p>
    <w:p>
      <w:pPr>
        <w:pStyle w:val="BodyText"/>
        <w:widowControl/>
      </w:pPr>
      <w:r>
        <w:rPr>
          <w:rFonts w:ascii="Arial" w:hAnsi="Arial" w:eastAsia="Arial"/>
        </w:rPr>
        <w:t>TRC(a) = TRUE if and only if CVaR_α[L(a)] ≤ τ_TRC, every active class-specific cap or tolerance under Section 8.4A is satisfied, no unresolved material C3 or C4 field remains, and all mandatory scenario-family requirements are satisfied or governed exceptions are recorded.</w:t>
      </w:r>
    </w:p>
    <w:bookmarkEnd w:id="357"/>
    <w:bookmarkStart w:id="358" w:name="b11-containment-mode-a-binding"/>
    <w:p>
      <w:pPr>
        <w:pStyle w:val="Heading2"/>
        <w:keepNext/>
        <w:keepLines/>
        <w:pageBreakBefore w:val="0"/>
        <w:widowControl/>
      </w:pPr>
      <w:r>
        <w:rPr>
          <w:rFonts w:ascii="Arial" w:hAnsi="Arial" w:eastAsia="Arial"/>
          <w:b/>
          <w:color w:val="1F4E78"/>
        </w:rPr>
        <w:t xml:space="preserve">B.11 Containment Mode A (Binding)</w:t>
      </w:r>
    </w:p>
    <w:p>
      <w:pPr>
        <w:pStyle w:val="FirstParagraph"/>
        <w:widowControl/>
      </w:pPr>
      <w:r>
        <w:t xml:space="preserve">Containment Mode A is one required structural subtest inside the broader CSV resolver; it is not the whole CSV Gate.</w:t>
      </w:r>
    </w:p>
    <w:p>
      <w:pPr>
        <w:pStyle w:val="BodyText"/>
        <w:widowControl/>
      </w:pPr>
      <w:r>
        <w:t xml:space="preserve">Define positively moving union scopes:</w:t>
      </w:r>
    </w:p>
    <w:p>
      <w:pPr>
        <w:pStyle w:val="BodyText"/>
        <w:widowControl/>
      </w:pPr>
      <w:r>
        <w:rPr>
          <w:rStyle w:val="VerbatimChar"/>
        </w:rPr>
        <w:t xml:space="preserve">S_u(a) = sum_d v_d^cont * I_prop_base(u,d,a)</w:t>
      </w:r>
    </w:p>
    <w:p>
      <w:pPr>
        <w:pStyle w:val="BodyText"/>
        <w:widowControl/>
      </w:pPr>
      <w:r>
        <w:t xml:space="preserve">Containment trigger weights use the containment-specific vector</w:t>
      </w:r>
      <w:r>
        <w:t xml:space="preserve"> </w:t>
      </w:r>
      <w:r>
        <w:rPr>
          <w:rStyle w:val="VerbatimChar"/>
        </w:rPr>
        <w:t xml:space="preserve">v_d^cont</w:t>
      </w:r>
      <w:r>
        <w:t xml:space="preserve"> </w:t>
      </w:r>
      <w:r>
        <w:t xml:space="preserve">(default uniform</w:t>
      </w:r>
      <w:r>
        <w:t xml:space="preserve"> </w:t>
      </w:r>
      <w:r>
        <w:rPr>
          <w:rStyle w:val="VerbatimChar"/>
        </w:rPr>
        <w:t xml:space="preserve">1/7</w:t>
      </w:r>
      <w:r>
        <w:t xml:space="preserve">). HDW welfare weights MUST NOT be used for containment trigger detection.</w:t>
      </w:r>
    </w:p>
    <w:p>
      <w:pPr>
        <w:pStyle w:val="BodyText"/>
        <w:widowControl/>
      </w:pPr>
      <w:r>
        <w:rPr>
          <w:rStyle w:val="VerbatimChar"/>
        </w:rPr>
        <w:t xml:space="preserve">U_pos(a) = {u : S_u(a) &gt;= theta_pos}</w:t>
      </w:r>
    </w:p>
    <w:p>
      <w:pPr>
        <w:pStyle w:val="BodyText"/>
        <w:widowControl/>
      </w:pPr>
      <w:r>
        <w:t xml:space="preserve">Let</w:t>
      </w:r>
      <w:r>
        <w:t xml:space="preserve"> </w:t>
      </w:r>
      <w:r>
        <w:rPr>
          <w:rStyle w:val="VerbatimChar"/>
        </w:rPr>
        <w:t xml:space="preserve">G_c</w:t>
      </w:r>
      <w:r>
        <w:t xml:space="preserve"> </w:t>
      </w:r>
      <w:r>
        <w:t xml:space="preserve">be the decision-specific directed containment/dependency graph. Increasing union-scope order is not sufficient evidence of containment. For each</w:t>
      </w:r>
      <w:r>
        <w:t xml:space="preserve"> </w:t>
      </w:r>
      <w:r>
        <w:rPr>
          <w:rStyle w:val="VerbatimChar"/>
        </w:rPr>
        <w:t xml:space="preserve">u in U_pos(a)</w:t>
      </w:r>
      <w:r>
        <w:t xml:space="preserve">, let</w:t>
      </w:r>
      <w:r>
        <w:t xml:space="preserve"> </w:t>
      </w:r>
      <w:r>
        <w:rPr>
          <w:rStyle w:val="VerbatimChar"/>
        </w:rPr>
        <w:t xml:space="preserve">Contain(u,G_c)</w:t>
      </w:r>
      <w:r>
        <w:t xml:space="preserve"> </w:t>
      </w:r>
      <w:r>
        <w:t xml:space="preserve">be the set of declared scopes or systems whose integrity materially contains, sustains, governs, or enables the benefit. Where UCI is an applicable instrument:</w:t>
      </w:r>
    </w:p>
    <w:p>
      <w:pPr>
        <w:pStyle w:val="BodyText"/>
        <w:widowControl/>
      </w:pPr>
      <w:r>
        <w:rPr>
          <w:rStyle w:val="VerbatimChar"/>
        </w:rPr>
        <w:t xml:space="preserve">M_u(a) = min_{u' in Contain(u,G_c)} DeltaUCI_{u'}(a)</w:t>
      </w:r>
    </w:p>
    <w:p>
      <w:pPr>
        <w:pStyle w:val="BodyText"/>
        <w:widowControl/>
      </w:pPr>
      <w:r>
        <w:t xml:space="preserve">and the UCI subpredicate passes only when</w:t>
      </w:r>
      <w:r>
        <w:t xml:space="preserve"> </w:t>
      </w:r>
      <w:r>
        <w:rPr>
          <w:rStyle w:val="VerbatimChar"/>
        </w:rPr>
        <w:t xml:space="preserve">M_u(a) &gt;= tau_c</w:t>
      </w:r>
      <w:r>
        <w:t xml:space="preserve"> </w:t>
      </w:r>
      <w:r>
        <w:t xml:space="preserve">for every triggered scope.</w:t>
      </w:r>
    </w:p>
    <w:p>
      <w:pPr>
        <w:pStyle w:val="BodyText"/>
        <w:widowControl/>
      </w:pPr>
      <w:r>
        <w:t xml:space="preserve">The complete CSV status is resolved from all material subconditions:</w:t>
      </w:r>
    </w:p>
    <w:p>
      <w:pPr>
        <w:pStyle w:val="BodyText"/>
        <w:widowControl/>
      </w:pPr>
      <w:r>
        <w:rPr>
          <w:rStyle w:val="VerbatimChar"/>
        </w:rPr>
        <w:t xml:space="preserve">CSV_status(a) = Resolve(containment_integrity, structural_viability, source_coupling, physical_causal_admissibility, dependency_and_lock_in, reversibility, monitoring, controls, authority_and_legitimacy, evidence_sufficiency)</w:t>
      </w:r>
    </w:p>
    <w:p>
      <w:pPr>
        <w:pStyle w:val="BodyText"/>
        <w:widowControl/>
      </w:pPr>
      <w:r>
        <w:rPr>
          <w:rStyle w:val="VerbatimChar"/>
        </w:rPr>
        <w:t xml:space="preserve">CSV_PASS</w:t>
      </w:r>
      <w:r>
        <w:t xml:space="preserve"> </w:t>
      </w:r>
      <w:r>
        <w:t xml:space="preserve">or</w:t>
      </w:r>
      <w:r>
        <w:t xml:space="preserve"> </w:t>
      </w:r>
      <w:r>
        <w:rPr>
          <w:rStyle w:val="VerbatimChar"/>
        </w:rPr>
        <w:t xml:space="preserve">CSV_PASS_WITH_CONTROLS</w:t>
      </w:r>
      <w:r>
        <w:t xml:space="preserve"> </w:t>
      </w:r>
      <w:r>
        <w:t xml:space="preserve">requires every material subcondition to be</w:t>
      </w:r>
      <w:r>
        <w:t xml:space="preserve"> </w:t>
      </w:r>
      <w:r>
        <w:rPr>
          <w:rStyle w:val="VerbatimChar"/>
        </w:rPr>
        <w:t xml:space="preserve">PASS</w:t>
      </w:r>
      <w:r>
        <w:t xml:space="preserve">,</w:t>
      </w:r>
      <w:r>
        <w:t xml:space="preserve"> </w:t>
      </w:r>
      <w:r>
        <w:rPr>
          <w:rStyle w:val="VerbatimChar"/>
        </w:rPr>
        <w:t xml:space="preserve">PASS_WITH_CONTROLS</w:t>
      </w:r>
      <w:r>
        <w:t xml:space="preserve">, or a documented</w:t>
      </w:r>
      <w:r>
        <w:t xml:space="preserve"> </w:t>
      </w:r>
      <w:r>
        <w:rPr>
          <w:rStyle w:val="VerbatimChar"/>
        </w:rPr>
        <w:t xml:space="preserve">NOT_MATERIAL</w:t>
      </w:r>
      <w:r>
        <w:t xml:space="preserve"> </w:t>
      </w:r>
      <w:r>
        <w:t xml:space="preserve">disposition. Any material</w:t>
      </w:r>
      <w:r>
        <w:t xml:space="preserve"> </w:t>
      </w:r>
      <w:r>
        <w:rPr>
          <w:rStyle w:val="VerbatimChar"/>
        </w:rPr>
        <w:t xml:space="preserve">FAIL</w:t>
      </w:r>
      <w:r>
        <w:t xml:space="preserve">, unresolved gate-critical</w:t>
      </w:r>
      <w:r>
        <w:t xml:space="preserve"> </w:t>
      </w:r>
      <w:r>
        <w:rPr>
          <w:rStyle w:val="VerbatimChar"/>
        </w:rPr>
        <w:t xml:space="preserve">UNKNOWN</w:t>
      </w:r>
      <w:r>
        <w:t xml:space="preserve">, missing required profile, or structurally non-viable condition prevents ordinary selectability.</w:t>
      </w:r>
    </w:p>
    <w:p>
      <w:pPr>
        <w:pStyle w:val="BodyText"/>
        <w:widowControl/>
      </w:pPr>
      <w:r>
        <w:rPr>
          <w:rStyle w:val="VerbatimChar"/>
        </w:rPr>
        <w:t xml:space="preserve">CSV_NOT_MATERIAL</w:t>
      </w:r>
      <w:r>
        <w:t xml:space="preserve"> </w:t>
      </w:r>
      <w:r>
        <w:t xml:space="preserve">remains a documented pass-equivalent disposition only when the PCC demonstrates that no CSV subcondition is material to the declared claim boundary. UCI is therefore one possible required subpredicate, not an if-and-only-if definition of CSV.</w:t>
      </w:r>
    </w:p>
    <w:bookmarkEnd w:id="358"/>
    <w:bookmarkStart w:id="359" w:name="b12-ripplelogic-score-rls"/>
    <w:p>
      <w:pPr>
        <w:pStyle w:val="Heading2"/>
        <w:keepNext/>
        <w:keepLines/>
        <w:pageBreakBefore w:val="0"/>
        <w:widowControl/>
      </w:pPr>
      <w:r>
        <w:rPr>
          <w:rFonts w:ascii="Arial" w:hAnsi="Arial" w:eastAsia="Arial"/>
          <w:b/>
          <w:color w:val="1F4E78"/>
        </w:rPr>
        <w:t xml:space="preserve">B.12 RippleLogic Score (RLS)</w:t>
      </w:r>
    </w:p>
    <w:p>
      <w:pPr>
        <w:pStyle w:val="FirstParagraph"/>
        <w:widowControl/>
      </w:pPr>
      <w:r>
        <w:t xml:space="preserve">q(u,d) = w_u × v_d × m(u,d) × κ(u,d)</w:t>
      </w:r>
    </w:p>
    <w:p>
      <w:pPr>
        <w:pStyle w:val="BodyText"/>
        <w:widowControl/>
      </w:pPr>
      <w:r>
        <w:t xml:space="preserve">Q = Σ_u Σ_d q(u,d)</w:t>
      </w:r>
    </w:p>
    <w:p>
      <w:pPr>
        <w:pStyle w:val="BodyText"/>
        <w:widowControl/>
      </w:pPr>
      <w:r>
        <w:t xml:space="preserve">RLS(a) = [Σ_u Σ_d q(u,d) × I_prop_welfare(u,d,a)] / Q, for Q &gt; 0</w:t>
      </w:r>
    </w:p>
    <w:p>
      <w:pPr>
        <w:pStyle w:val="BodyText"/>
        <w:widowControl/>
      </w:pPr>
      <w:r>
        <w:t xml:space="preserve">Default: κ(u,d) = 1, m(u,d) = 1 unless masked.</w:t>
      </w:r>
    </w:p>
    <w:bookmarkEnd w:id="359"/>
    <w:bookmarkStart w:id="360" w:name="X85be978349fd35f3eeca31e0ba79dc44f18d91f"/>
    <w:p>
      <w:pPr>
        <w:pStyle w:val="Heading2"/>
        <w:keepNext/>
        <w:keepLines/>
        <w:pageBreakBefore w:val="0"/>
        <w:widowControl/>
      </w:pPr>
      <w:r>
        <w:rPr>
          <w:rFonts w:ascii="Arial" w:hAnsi="Arial" w:eastAsia="Arial"/>
          <w:b/>
          <w:color w:val="1F4E78"/>
        </w:rPr>
        <w:t xml:space="preserve">B.12A κ governance note (Normative). Non-default κ(u,d) values are allowed only within the bounded governance interval declared in Section 10.1 and MUST preserve sign, rights-floor protection, catastrophe visibility, and replayability. Validator checks SHALL reject any κ(u,d) that acts as a hidden mask, hidden union-floor rewrite, or undisclosed prominence override.</w:t>
      </w:r>
    </w:p>
    <w:bookmarkEnd w:id="360"/>
    <w:bookmarkStart w:id="361" w:name="Xf4d59c7679d73fa38ece0ed31a673b58aca9d32"/>
    <w:p>
      <w:pPr>
        <w:pStyle w:val="Heading2"/>
        <w:keepNext/>
        <w:keepLines/>
        <w:pageBreakBefore w:val="0"/>
        <w:widowControl/>
      </w:pPr>
      <w:r>
        <w:rPr>
          <w:rFonts w:ascii="Arial" w:hAnsi="Arial" w:eastAsia="Arial"/>
          <w:b/>
          <w:color w:val="1F4E78"/>
        </w:rPr>
        <w:t xml:space="preserve">B.13 RLS Uncertainty (Optional; Tier 3 Required)</w:t>
      </w:r>
    </w:p>
    <w:p>
      <w:pPr>
        <w:pStyle w:val="FirstParagraph"/>
        <w:widowControl/>
      </w:pPr>
      <w:r>
        <w:t xml:space="preserve">Definition of σ(u,d,a) (normative minimum): PCC MUST declare one of the following cell-level uncertainty proxies and apply it consistently across options:</w:t>
      </w:r>
    </w:p>
    <w:p>
      <w:pPr>
        <w:pStyle w:val="BodyText"/>
        <w:widowControl/>
      </w:pPr>
      <w:r>
        <w:t xml:space="preserve">Method A (interval half-width): If the PCC records a confidence interval [L,U] for the cell impact I(u,d,a), set σ(u,d,a) = (U − L)/2.</w:t>
      </w:r>
    </w:p>
    <w:p>
      <w:pPr>
        <w:pStyle w:val="BodyText"/>
        <w:widowControl/>
      </w:pPr>
      <w:r>
        <w:t xml:space="preserve">Method B (confidence-derived contribution-mass rule): If the PCC records impact instances with confidences c_k ∈[0.1,1] and selects Method B, derive c(u,d,a) using Section 10.3.2. Let A_cell(u,d,a) = min(1, Σ_k |x_k|), where x_k is the pre-confidence contribution after reach, temporal, likelihood, adjustment, and permitted sentience terms and before saturation. Then: σ(u,d,a) = (1 − c(u,d,a)) · A_cell(u,d,a)</w:t>
      </w:r>
    </w:p>
    <w:p>
      <w:pPr>
        <w:pStyle w:val="BodyText"/>
        <w:widowControl/>
      </w:pPr>
      <w:r>
        <w:t xml:space="preserve">Method C (calibrated table): Use a pre-registered mapping from qualitative uncertainty labels (for example, LOW/MED/HIGH) to σ values, stored in the ProofPack or PCC appendix.</w:t>
      </w:r>
    </w:p>
    <w:p>
      <w:pPr>
        <w:pStyle w:val="BodyText"/>
        <w:widowControl/>
      </w:pPr>
      <w:r>
        <w:t xml:space="preserve">σ values MUST be clipped to [0,1]. Unless a stricter governed method is declared, σ(u,d,a) is interpreted as the pre-κ cell-level uncertainty input and SHALL be aggregated into σ_RLS using the same w_u, v_d, m(u,d), and κ(u,d) posture used for RLS.</w:t>
      </w:r>
    </w:p>
    <w:p>
      <w:pPr>
        <w:pStyle w:val="BodyText"/>
        <w:widowControl/>
      </w:pPr>
      <w:r>
        <w:t xml:space="preserve">σ_RLS(a) = √[Σ_u Σ_d (q(u,d) × σ(u,d,a))²] / Q, for Q &gt; 0</w:t>
      </w:r>
    </w:p>
    <w:p>
      <w:pPr>
        <w:pStyle w:val="BodyText"/>
        <w:widowControl/>
      </w:pPr>
      <w:r>
        <w:t xml:space="preserve">Risk-adjusted score (optional):</w:t>
      </w:r>
    </w:p>
    <w:p>
      <w:pPr>
        <w:pStyle w:val="BodyText"/>
        <w:widowControl/>
      </w:pPr>
      <w:r>
        <w:t xml:space="preserve">RLS_adj(a) = RLS(a) − λ × σ_RLS(a)</w:t>
      </w:r>
    </w:p>
    <w:p>
      <w:pPr>
        <w:pStyle w:val="BodyText"/>
        <w:widowControl/>
      </w:pPr>
      <w:r>
        <w:t xml:space="preserve">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bookmarkEnd w:id="361"/>
    <w:bookmarkStart w:id="362" w:name="X068ae5ce65407b36abb2eec163889a13c2916e9"/>
    <w:p>
      <w:pPr>
        <w:pStyle w:val="Heading2"/>
        <w:keepNext/>
        <w:keepLines/>
        <w:pageBreakBefore w:val="0"/>
        <w:widowControl/>
      </w:pPr>
      <w:r>
        <w:rPr>
          <w:rFonts w:ascii="Arial" w:hAnsi="Arial" w:eastAsia="Arial"/>
          <w:b/>
          <w:color w:val="1F4E78"/>
        </w:rPr>
        <w:t xml:space="preserve">B.14 Discrimination Gap (Decisive vs Non-Decisive)</w:t>
      </w:r>
    </w:p>
    <w:p>
      <w:pPr>
        <w:pStyle w:val="FirstParagraph"/>
        <w:widowControl/>
      </w:pPr>
      <w:r>
        <w:t xml:space="preserve">Gap(a,b) = abs(RLS(a) - RLS(b)) / sqrt(sigma_RLS(a)^2 + sigma_RLS(b)^2 + epsilon)</w:t>
      </w:r>
    </w:p>
    <w:p>
      <w:pPr>
        <w:pStyle w:val="BodyText"/>
        <w:widowControl/>
      </w:pPr>
      <w:r>
        <w:t xml:space="preserve">Default: delta = 2, epsilon = 1e-6.</w:t>
      </w:r>
    </w:p>
    <w:p>
      <w:pPr>
        <w:pStyle w:val="BodyText"/>
        <w:widowControl/>
      </w:pPr>
      <w:r>
        <w:t xml:space="preserve">Decisive lead if Gap(a*, a2) &gt; delta.</w:t>
      </w:r>
    </w:p>
    <w:bookmarkEnd w:id="362"/>
    <w:bookmarkStart w:id="363" w:name="b15-uci-computation"/>
    <w:p>
      <w:pPr>
        <w:pStyle w:val="Heading2"/>
        <w:keepNext/>
        <w:keepLines/>
        <w:pageBreakBefore w:val="0"/>
        <w:widowControl/>
      </w:pPr>
      <w:r>
        <w:rPr>
          <w:rFonts w:ascii="Arial" w:hAnsi="Arial" w:eastAsia="Arial"/>
          <w:b/>
          <w:color w:val="1F4E78"/>
        </w:rPr>
        <w:t xml:space="preserve">B.15 UCI Computation</w:t>
      </w:r>
    </w:p>
    <w:p>
      <w:pPr>
        <w:pStyle w:val="FirstParagraph"/>
        <w:widowControl/>
      </w:pPr>
      <w:r>
        <w:t xml:space="preserve">Let A_u be the set of UCI components applicable to Union Scope u. Then:</w:t>
      </w:r>
    </w:p>
    <w:p>
      <w:pPr>
        <w:pStyle w:val="BodyText"/>
        <w:widowControl/>
      </w:pPr>
      <w:r>
        <w:t xml:space="preserve">UCI_u = [Σ_{j ∈ A_u} α_j X_{u,j}] / [Σ_{j ∈ A_u} α_j]</w:t>
      </w:r>
    </w:p>
    <w:p>
      <w:pPr>
        <w:pStyle w:val="BodyText"/>
        <w:widowControl/>
      </w:pPr>
      <w:r>
        <w:t xml:space="preserve">Default: α_H = α_F = α_R = α_E = 0.25 before applicable-component renormalization.</w:t>
      </w:r>
      <w:r>
        <w:t xml:space="preserve"> </w:t>
      </w:r>
      <w:r>
        <w:rPr>
          <w:rStyle w:val="VerbatimChar"/>
        </w:rPr>
        <w:t xml:space="preserve">NA</w:t>
      </w:r>
      <w:r>
        <w:t xml:space="preserve"> </w:t>
      </w:r>
      <w:r>
        <w:t xml:space="preserve">components are excluded from A_u;</w:t>
      </w:r>
      <w:r>
        <w:t xml:space="preserve"> </w:t>
      </w:r>
      <w:r>
        <w:rPr>
          <w:rStyle w:val="VerbatimChar"/>
        </w:rPr>
        <w:t xml:space="preserve">UNKNOWN</w:t>
      </w:r>
      <w:r>
        <w:t xml:space="preserve"> </w:t>
      </w:r>
      <w:r>
        <w:t xml:space="preserve">components are not scored and make UCI unavailable for the affected claim. For Self (U1), Equity is ordinarily</w:t>
      </w:r>
      <w:r>
        <w:t xml:space="preserve"> </w:t>
      </w:r>
      <w:r>
        <w:rPr>
          <w:rStyle w:val="VerbatimChar"/>
        </w:rPr>
        <w:t xml:space="preserve">NA</w:t>
      </w:r>
      <w:r>
        <w:t xml:space="preserve"> </w:t>
      </w:r>
      <w:r>
        <w:t xml:space="preserve">unless a governed within-self equity instrument is material. For Biosphere (U7), Equity is ordinarily</w:t>
      </w:r>
      <w:r>
        <w:t xml:space="preserve"> </w:t>
      </w:r>
      <w:r>
        <w:rPr>
          <w:rStyle w:val="VerbatimChar"/>
        </w:rPr>
        <w:t xml:space="preserve">NA</w:t>
      </w:r>
      <w:r>
        <w:t xml:space="preserve"> </w:t>
      </w:r>
      <w:r>
        <w:t xml:space="preserve">unless a governed ecological-distribution or ecological-justice instrument exists. No neutral or perfect value may be inserted for</w:t>
      </w:r>
      <w:r>
        <w:t xml:space="preserve"> </w:t>
      </w:r>
      <w:r>
        <w:rPr>
          <w:rStyle w:val="VerbatimChar"/>
        </w:rPr>
        <w:t xml:space="preserve">NA</w:t>
      </w:r>
      <w:r>
        <w:t xml:space="preserve"> </w:t>
      </w:r>
      <w:r>
        <w:t xml:space="preserve">or</w:t>
      </w:r>
      <w:r>
        <w:t xml:space="preserve"> </w:t>
      </w:r>
      <w:r>
        <w:rPr>
          <w:rStyle w:val="VerbatimChar"/>
        </w:rPr>
        <w:t xml:space="preserve">UNKNOWN</w:t>
      </w:r>
      <w:r>
        <w:t xml:space="preserve">.</w:t>
      </w:r>
    </w:p>
    <w:bookmarkEnd w:id="363"/>
    <w:bookmarkStart w:id="364" w:name="b16-δuci-computation"/>
    <w:p>
      <w:pPr>
        <w:pStyle w:val="Heading2"/>
        <w:keepNext/>
        <w:keepLines/>
        <w:pageBreakBefore w:val="0"/>
        <w:widowControl/>
      </w:pPr>
      <w:r>
        <w:rPr>
          <w:rFonts w:ascii="Arial" w:hAnsi="Arial" w:eastAsia="Arial"/>
          <w:b/>
          <w:color w:val="1F4E78"/>
        </w:rPr>
        <w:t xml:space="preserve">B.16 ΔUCI Computation</w:t>
      </w:r>
    </w:p>
    <w:p>
      <w:pPr>
        <w:pStyle w:val="FirstParagraph"/>
        <w:widowControl/>
      </w:pPr>
      <w:r>
        <w:t xml:space="preserve">ΔUCI_u(a) = UCI_u(a) − UCI_u(baseline)</w:t>
      </w:r>
    </w:p>
    <w:bookmarkEnd w:id="364"/>
    <w:bookmarkStart w:id="365" w:name="b17-hoi-computation"/>
    <w:p>
      <w:pPr>
        <w:pStyle w:val="Heading2"/>
        <w:keepNext/>
        <w:keepLines/>
        <w:pageBreakBefore w:val="0"/>
        <w:widowControl/>
      </w:pPr>
      <w:r>
        <w:rPr>
          <w:rFonts w:ascii="Arial" w:hAnsi="Arial" w:eastAsia="Arial"/>
          <w:b/>
          <w:color w:val="1F4E78"/>
        </w:rPr>
        <w:t xml:space="preserve">B.17 HOI Computation</w:t>
      </w:r>
    </w:p>
    <w:p>
      <w:pPr>
        <w:pStyle w:val="FirstParagraph"/>
        <w:widowControl/>
      </w:pPr>
      <w:r>
        <w:rPr>
          <w:rFonts w:ascii="Arial" w:hAnsi="Arial" w:eastAsia="Arial"/>
        </w:rPr>
        <w:t>HOI_t = EMA_λ(ΔRLS_t / s_RLS)_t − EMA_λ(ΔUCI_t / s_UCI)_t</w:t>
      </w:r>
    </w:p>
    <w:p>
      <w:pPr>
        <w:widowControl/>
      </w:pPr>
      <w:r>
        <w:t>Scale rule (Normative). s_RLS and s_UCI MUST be positive, preregistered reference scales derived from a declared reference range or robust dispersion estimate and held fixed for the review window. If either scale is unavailable or unstable, HOI is UNAVAILABLE; raw unstandardized changes MUST NOT be subtracted.</w:t>
      </w:r>
    </w:p>
    <w:p>
      <w:pPr>
        <w:pStyle w:val="BodyText"/>
        <w:widowControl/>
      </w:pPr>
      <w:r>
        <w:t xml:space="preserve">Default half-life: 3 periods.</w:t>
      </w:r>
    </w:p>
    <w:p>
      <w:pPr>
        <w:pStyle w:val="BodyText"/>
        <w:widowControl/>
      </w:pPr>
      <w:r>
        <w:t xml:space="preserve">End Appendix B.</w:t>
      </w:r>
    </w:p>
    <w:bookmarkEnd w:id="365"/>
    <w:bookmarkEnd w:id="366"/>
    <w:bookmarkStart w:id="374" w:name="X5c5d99d90b15721ef6c35a58c6226add5c29a57"/>
    <w:p>
      <w:pPr>
        <w:pStyle w:val="Heading1"/>
        <w:keepNext/>
        <w:keepLines/>
        <w:pageBreakBefore w:val="0"/>
        <w:widowControl/>
      </w:pPr>
      <w:r>
        <w:rPr>
          <w:rFonts w:ascii="Arial" w:hAnsi="Arial" w:eastAsia="Arial"/>
          <w:b/>
          <w:color w:val="1F4E78"/>
        </w:rPr>
        <w:t xml:space="preserve">APPENDIX C: RIGHTS / NCRC CANON PACK (TIER 1-3)</w:t>
      </w:r>
    </w:p>
    <w:p>
      <w:pPr>
        <w:pStyle w:val="FirstParagraph"/>
        <w:widowControl/>
      </w:pPr>
      <w:r>
        <w:t xml:space="preserve">Appendix C is normative.</w:t>
      </w:r>
    </w:p>
    <w:bookmarkStart w:id="367" w:name="c1-rights-thresholds-canonical"/>
    <w:p>
      <w:pPr>
        <w:pStyle w:val="Heading2"/>
        <w:keepNext/>
        <w:keepLines/>
        <w:pageBreakBefore w:val="0"/>
        <w:widowControl/>
      </w:pPr>
      <w:r>
        <w:rPr>
          <w:rFonts w:ascii="Arial" w:hAnsi="Arial" w:eastAsia="Arial"/>
          <w:b/>
          <w:color w:val="1F4E78"/>
        </w:rPr>
        <w:t xml:space="preserve">C.1 Rights Thresholds (Canonical)</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Right</w:t>
            </w:r>
          </w:p>
        </w:tc>
        <w:tc>
          <w:tcPr>
            <w:shd w:fill="1F4E78" w:val="clear"/>
            <w:tcMar>
              <w:top w:w="80" w:type="dxa"/>
              <w:start w:w="90" w:type="dxa"/>
              <w:bottom w:w="80" w:type="dxa"/>
              <w:end w:w="90" w:type="dxa"/>
            </w:tcMar>
          </w:tcPr>
          <w:p>
            <w:pPr>
              <w:pStyle w:val="Compact"/>
              <w:jc w:val="left"/>
            </w:pPr>
            <w:r>
              <w:rPr>
                <w:b/>
                <w:bCs/>
                <w:color w:val="FFFFFF"/>
              </w:rPr>
              <w:t xml:space="preserve">Code</w:t>
            </w:r>
          </w:p>
        </w:tc>
        <w:tc>
          <w:tcPr>
            <w:shd w:fill="1F4E78" w:val="clear"/>
            <w:tcMar>
              <w:top w:w="80" w:type="dxa"/>
              <w:start w:w="90" w:type="dxa"/>
              <w:bottom w:w="80" w:type="dxa"/>
              <w:end w:w="90" w:type="dxa"/>
            </w:tcMar>
          </w:tcPr>
          <w:p>
            <w:pPr>
              <w:pStyle w:val="Compact"/>
              <w:jc w:val="left"/>
            </w:pPr>
            <w:r>
              <w:rPr>
                <w:b/>
                <w:bCs/>
                <w:color w:val="FFFFFF"/>
              </w:rPr>
              <w:t xml:space="preserve">Threshold θ_r</w:t>
            </w:r>
          </w:p>
        </w:tc>
      </w:tr>
      <w:tr>
        <w:trPr/>
        <w:tc>
          <w:tcPr>
            <w:tcMar>
              <w:top w:w="80" w:type="dxa"/>
              <w:start w:w="90" w:type="dxa"/>
              <w:bottom w:w="80" w:type="dxa"/>
              <w:end w:w="90" w:type="dxa"/>
            </w:tcMar>
            <w:shd w:fill="F7FBFF" w:val="clear"/>
          </w:tcPr>
          <w:p>
            <w:pPr>
              <w:pStyle w:val="Compact"/>
              <w:jc w:val="left"/>
            </w:pPr>
            <w:r>
              <w:t xml:space="preserve">Life</w:t>
            </w:r>
          </w:p>
        </w:tc>
        <w:tc>
          <w:tcPr>
            <w:tcMar>
              <w:top w:w="80" w:type="dxa"/>
              <w:start w:w="90" w:type="dxa"/>
              <w:bottom w:w="80" w:type="dxa"/>
              <w:end w:w="90" w:type="dxa"/>
            </w:tcMar>
            <w:shd w:fill="F7FBFF" w:val="clear"/>
          </w:tcPr>
          <w:p>
            <w:pPr>
              <w:pStyle w:val="Compact"/>
              <w:jc w:val="left"/>
            </w:pPr>
            <w:r>
              <w:t xml:space="preserve">LIFE</w:t>
            </w:r>
          </w:p>
        </w:tc>
        <w:tc>
          <w:tcPr>
            <w:tcMar>
              <w:top w:w="80" w:type="dxa"/>
              <w:start w:w="90" w:type="dxa"/>
              <w:bottom w:w="80" w:type="dxa"/>
              <w:end w:w="90" w:type="dxa"/>
            </w:tcMar>
            <w:shd w:fill="F7FBFF" w:val="clear"/>
          </w:tcPr>
          <w:p>
            <w:pPr>
              <w:pStyle w:val="Compact"/>
              <w:jc w:val="left"/>
            </w:pPr>
            <w:r>
              <w:t xml:space="preserve">-0.90</w:t>
            </w:r>
          </w:p>
        </w:tc>
      </w:tr>
      <w:tr>
        <w:trPr/>
        <w:tc>
          <w:tcPr>
            <w:tcMar>
              <w:top w:w="80" w:type="dxa"/>
              <w:start w:w="90" w:type="dxa"/>
              <w:bottom w:w="80" w:type="dxa"/>
              <w:end w:w="90" w:type="dxa"/>
            </w:tcMar>
            <w:shd w:fill="D9EAF7" w:val="clear"/>
          </w:tcPr>
          <w:p>
            <w:pPr>
              <w:pStyle w:val="Compact"/>
              <w:jc w:val="left"/>
            </w:pPr>
            <w:r>
              <w:t xml:space="preserve">Bodily Integrity</w:t>
            </w:r>
          </w:p>
        </w:tc>
        <w:tc>
          <w:tcPr>
            <w:tcMar>
              <w:top w:w="80" w:type="dxa"/>
              <w:start w:w="90" w:type="dxa"/>
              <w:bottom w:w="80" w:type="dxa"/>
              <w:end w:w="90" w:type="dxa"/>
            </w:tcMar>
            <w:shd w:fill="D9EAF7" w:val="clear"/>
          </w:tcPr>
          <w:p>
            <w:pPr>
              <w:pStyle w:val="Compact"/>
              <w:jc w:val="left"/>
            </w:pPr>
            <w:r>
              <w:t xml:space="preserve">BODY</w:t>
            </w:r>
          </w:p>
        </w:tc>
        <w:tc>
          <w:tcPr>
            <w:tcMar>
              <w:top w:w="80" w:type="dxa"/>
              <w:start w:w="90" w:type="dxa"/>
              <w:bottom w:w="80" w:type="dxa"/>
              <w:end w:w="90" w:type="dxa"/>
            </w:tcMar>
            <w:shd w:fill="D9EAF7" w:val="clear"/>
          </w:tcPr>
          <w:p>
            <w:pPr>
              <w:pStyle w:val="Compact"/>
              <w:jc w:val="left"/>
            </w:pPr>
            <w:r>
              <w:t xml:space="preserve">-0.70</w:t>
            </w:r>
          </w:p>
        </w:tc>
      </w:tr>
      <w:tr>
        <w:trPr/>
        <w:tc>
          <w:tcPr>
            <w:tcMar>
              <w:top w:w="80" w:type="dxa"/>
              <w:start w:w="90" w:type="dxa"/>
              <w:bottom w:w="80" w:type="dxa"/>
              <w:end w:w="90" w:type="dxa"/>
            </w:tcMar>
            <w:shd w:fill="F7FBFF" w:val="clear"/>
          </w:tcPr>
          <w:p>
            <w:pPr>
              <w:pStyle w:val="Compact"/>
              <w:jc w:val="left"/>
            </w:pPr>
            <w:r>
              <w:t xml:space="preserve">Liberty</w:t>
            </w:r>
          </w:p>
        </w:tc>
        <w:tc>
          <w:tcPr>
            <w:tcMar>
              <w:top w:w="80" w:type="dxa"/>
              <w:start w:w="90" w:type="dxa"/>
              <w:bottom w:w="80" w:type="dxa"/>
              <w:end w:w="90" w:type="dxa"/>
            </w:tcMar>
            <w:shd w:fill="F7FBFF" w:val="clear"/>
          </w:tcPr>
          <w:p>
            <w:pPr>
              <w:pStyle w:val="Compact"/>
              <w:jc w:val="left"/>
            </w:pPr>
            <w:r>
              <w:t xml:space="preserve">LBTY</w:t>
            </w:r>
          </w:p>
        </w:tc>
        <w:tc>
          <w:tcPr>
            <w:tcMar>
              <w:top w:w="80" w:type="dxa"/>
              <w:start w:w="90" w:type="dxa"/>
              <w:bottom w:w="80" w:type="dxa"/>
              <w:end w:w="90" w:type="dxa"/>
            </w:tcMar>
            <w:shd w:fill="F7FBFF" w:val="clear"/>
          </w:tcPr>
          <w:p>
            <w:pPr>
              <w:pStyle w:val="Compact"/>
              <w:jc w:val="left"/>
            </w:pPr>
            <w:r>
              <w:t xml:space="preserve">-0.65</w:t>
            </w:r>
          </w:p>
        </w:tc>
      </w:tr>
      <w:tr>
        <w:trPr/>
        <w:tc>
          <w:tcPr>
            <w:tcMar>
              <w:top w:w="80" w:type="dxa"/>
              <w:start w:w="90" w:type="dxa"/>
              <w:bottom w:w="80" w:type="dxa"/>
              <w:end w:w="90" w:type="dxa"/>
            </w:tcMar>
            <w:shd w:fill="D9EAF7" w:val="clear"/>
          </w:tcPr>
          <w:p>
            <w:pPr>
              <w:pStyle w:val="Compact"/>
              <w:jc w:val="left"/>
            </w:pPr>
            <w:r>
              <w:t xml:space="preserve">Basic Needs</w:t>
            </w:r>
          </w:p>
        </w:tc>
        <w:tc>
          <w:tcPr>
            <w:tcMar>
              <w:top w:w="80" w:type="dxa"/>
              <w:start w:w="90" w:type="dxa"/>
              <w:bottom w:w="80" w:type="dxa"/>
              <w:end w:w="90" w:type="dxa"/>
            </w:tcMar>
            <w:shd w:fill="D9EAF7" w:val="clear"/>
          </w:tcPr>
          <w:p>
            <w:pPr>
              <w:pStyle w:val="Compact"/>
              <w:jc w:val="left"/>
            </w:pPr>
            <w:r>
              <w:t xml:space="preserve">NEED</w:t>
            </w:r>
          </w:p>
        </w:tc>
        <w:tc>
          <w:tcPr>
            <w:tcMar>
              <w:top w:w="80" w:type="dxa"/>
              <w:start w:w="90" w:type="dxa"/>
              <w:bottom w:w="80" w:type="dxa"/>
              <w:end w:w="90" w:type="dxa"/>
            </w:tcMar>
            <w:shd w:fill="D9EAF7" w:val="clear"/>
          </w:tcPr>
          <w:p>
            <w:pPr>
              <w:pStyle w:val="Compact"/>
              <w:jc w:val="left"/>
            </w:pPr>
            <w:r>
              <w:t xml:space="preserve">-0.50</w:t>
            </w:r>
          </w:p>
        </w:tc>
      </w:tr>
      <w:tr>
        <w:trPr/>
        <w:tc>
          <w:tcPr>
            <w:tcMar>
              <w:top w:w="80" w:type="dxa"/>
              <w:start w:w="90" w:type="dxa"/>
              <w:bottom w:w="80" w:type="dxa"/>
              <w:end w:w="90" w:type="dxa"/>
            </w:tcMar>
            <w:shd w:fill="F7FBFF" w:val="clear"/>
          </w:tcPr>
          <w:p>
            <w:pPr>
              <w:pStyle w:val="Compact"/>
              <w:jc w:val="left"/>
            </w:pPr>
            <w:r>
              <w:t xml:space="preserve">Dignity</w:t>
            </w:r>
          </w:p>
        </w:tc>
        <w:tc>
          <w:tcPr>
            <w:tcMar>
              <w:top w:w="80" w:type="dxa"/>
              <w:start w:w="90" w:type="dxa"/>
              <w:bottom w:w="80" w:type="dxa"/>
              <w:end w:w="90" w:type="dxa"/>
            </w:tcMar>
            <w:shd w:fill="F7FBFF" w:val="clear"/>
          </w:tcPr>
          <w:p>
            <w:pPr>
              <w:pStyle w:val="Compact"/>
              <w:jc w:val="left"/>
            </w:pPr>
            <w:r>
              <w:t xml:space="preserve">DIGN</w:t>
            </w:r>
          </w:p>
        </w:tc>
        <w:tc>
          <w:tcPr>
            <w:tcMar>
              <w:top w:w="80" w:type="dxa"/>
              <w:start w:w="90" w:type="dxa"/>
              <w:bottom w:w="80" w:type="dxa"/>
              <w:end w:w="90" w:type="dxa"/>
            </w:tcMar>
            <w:shd w:fill="F7FBFF" w:val="clear"/>
          </w:tcPr>
          <w:p>
            <w:pPr>
              <w:pStyle w:val="Compact"/>
              <w:jc w:val="left"/>
            </w:pPr>
            <w:r>
              <w:t xml:space="preserve">-0.55</w:t>
            </w:r>
          </w:p>
        </w:tc>
      </w:tr>
      <w:tr>
        <w:trPr/>
        <w:tc>
          <w:tcPr>
            <w:tcMar>
              <w:top w:w="80" w:type="dxa"/>
              <w:start w:w="90" w:type="dxa"/>
              <w:bottom w:w="80" w:type="dxa"/>
              <w:end w:w="90" w:type="dxa"/>
            </w:tcMar>
            <w:shd w:fill="D9EAF7" w:val="clear"/>
          </w:tcPr>
          <w:p>
            <w:pPr>
              <w:pStyle w:val="Compact"/>
              <w:jc w:val="left"/>
            </w:pPr>
            <w:r>
              <w:t xml:space="preserve">Due Process</w:t>
            </w:r>
          </w:p>
        </w:tc>
        <w:tc>
          <w:tcPr>
            <w:tcMar>
              <w:top w:w="80" w:type="dxa"/>
              <w:start w:w="90" w:type="dxa"/>
              <w:bottom w:w="80" w:type="dxa"/>
              <w:end w:w="90" w:type="dxa"/>
            </w:tcMar>
            <w:shd w:fill="D9EAF7" w:val="clear"/>
          </w:tcPr>
          <w:p>
            <w:pPr>
              <w:pStyle w:val="Compact"/>
              <w:jc w:val="left"/>
            </w:pPr>
            <w:r>
              <w:t xml:space="preserve">PROC</w:t>
            </w:r>
          </w:p>
        </w:tc>
        <w:tc>
          <w:tcPr>
            <w:tcMar>
              <w:top w:w="80" w:type="dxa"/>
              <w:start w:w="90" w:type="dxa"/>
              <w:bottom w:w="80" w:type="dxa"/>
              <w:end w:w="90" w:type="dxa"/>
            </w:tcMar>
            <w:shd w:fill="D9EAF7" w:val="clear"/>
          </w:tcPr>
          <w:p>
            <w:pPr>
              <w:pStyle w:val="Compact"/>
              <w:jc w:val="left"/>
            </w:pPr>
            <w:r>
              <w:t xml:space="preserve">-0.45</w:t>
            </w:r>
          </w:p>
        </w:tc>
      </w:tr>
      <w:tr>
        <w:trPr/>
        <w:tc>
          <w:tcPr>
            <w:tcMar>
              <w:top w:w="80" w:type="dxa"/>
              <w:start w:w="90" w:type="dxa"/>
              <w:bottom w:w="80" w:type="dxa"/>
              <w:end w:w="90" w:type="dxa"/>
            </w:tcMar>
            <w:shd w:fill="F7FBFF" w:val="clear"/>
          </w:tcPr>
          <w:p>
            <w:pPr>
              <w:pStyle w:val="Compact"/>
              <w:jc w:val="left"/>
            </w:pPr>
            <w:r>
              <w:t xml:space="preserve">Information</w:t>
            </w:r>
          </w:p>
        </w:tc>
        <w:tc>
          <w:tcPr>
            <w:tcMar>
              <w:top w:w="80" w:type="dxa"/>
              <w:start w:w="90" w:type="dxa"/>
              <w:bottom w:w="80" w:type="dxa"/>
              <w:end w:w="90" w:type="dxa"/>
            </w:tcMar>
            <w:shd w:fill="F7FBFF" w:val="clear"/>
          </w:tcPr>
          <w:p>
            <w:pPr>
              <w:pStyle w:val="Compact"/>
              <w:jc w:val="left"/>
            </w:pPr>
            <w:r>
              <w:t xml:space="preserve">INFO</w:t>
            </w:r>
          </w:p>
        </w:tc>
        <w:tc>
          <w:tcPr>
            <w:tcMar>
              <w:top w:w="80" w:type="dxa"/>
              <w:start w:w="90" w:type="dxa"/>
              <w:bottom w:w="80" w:type="dxa"/>
              <w:end w:w="90" w:type="dxa"/>
            </w:tcMar>
            <w:shd w:fill="F7FBFF" w:val="clear"/>
          </w:tcPr>
          <w:p>
            <w:pPr>
              <w:pStyle w:val="Compact"/>
              <w:jc w:val="left"/>
            </w:pPr>
            <w:r>
              <w:t xml:space="preserve">-0.40</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Ecological Integrity</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ECOL</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-0.65</w:t>
            </w:r>
          </w:p>
        </w:tc>
      </w:tr>
    </w:tbl>
    <w:p>
      <w:pPr>
        <w:pStyle w:val="BodyText"/>
        <w:widowControl/>
      </w:pPr>
      <w:r>
        <w:t xml:space="preserve">Normative interpretation rule: Thresholds θ_r are admissibility floors, not weights. They do not represent “how important” a right is; they represent the minimum allowable protection level.</w:t>
      </w:r>
    </w:p>
    <w:bookmarkEnd w:id="367"/>
    <w:bookmarkStart w:id="368" w:name="X7d1f979cdda521f6022a14dc0ad6f5bdc127426"/>
    <w:p>
      <w:pPr>
        <w:pStyle w:val="Heading2"/>
        <w:keepNext/>
        <w:keepLines/>
        <w:pageBreakBefore w:val="0"/>
        <w:widowControl/>
      </w:pPr>
      <w:r>
        <w:rPr>
          <w:rFonts w:ascii="Arial" w:hAnsi="Arial" w:eastAsia="Arial"/>
          <w:b/>
          <w:color w:val="1F4E78"/>
        </w:rPr>
        <w:t xml:space="preserve">C.2 Rights Coverage Sets C_r (Authoritative)</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Right</w:t>
            </w:r>
          </w:p>
        </w:tc>
        <w:tc>
          <w:tcPr>
            <w:shd w:fill="1F4E78" w:val="clear"/>
            <w:tcMar>
              <w:top w:w="80" w:type="dxa"/>
              <w:start w:w="90" w:type="dxa"/>
              <w:bottom w:w="80" w:type="dxa"/>
              <w:end w:w="90" w:type="dxa"/>
            </w:tcMar>
          </w:tcPr>
          <w:p>
            <w:pPr>
              <w:pStyle w:val="Compact"/>
              <w:jc w:val="left"/>
            </w:pPr>
            <w:r>
              <w:rPr>
                <w:b/>
                <w:bCs/>
                <w:color w:val="FFFFFF"/>
              </w:rPr>
              <w:t xml:space="preserve">Coverage Set C_r</w:t>
            </w:r>
          </w:p>
        </w:tc>
      </w:tr>
      <w:tr>
        <w:trPr/>
        <w:tc>
          <w:tcPr>
            <w:tcMar>
              <w:top w:w="80" w:type="dxa"/>
              <w:start w:w="90" w:type="dxa"/>
              <w:bottom w:w="80" w:type="dxa"/>
              <w:end w:w="90" w:type="dxa"/>
            </w:tcMar>
            <w:shd w:fill="F7FBFF" w:val="clear"/>
          </w:tcPr>
          <w:p>
            <w:pPr>
              <w:pStyle w:val="Compact"/>
              <w:jc w:val="left"/>
            </w:pPr>
            <w:r>
              <w:t xml:space="preserve">LIFE</w:t>
            </w:r>
          </w:p>
        </w:tc>
        <w:tc>
          <w:tcPr>
            <w:tcMar>
              <w:top w:w="80" w:type="dxa"/>
              <w:start w:w="90" w:type="dxa"/>
              <w:bottom w:w="80" w:type="dxa"/>
              <w:end w:w="90" w:type="dxa"/>
            </w:tcMar>
            <w:shd w:fill="F7FBFF" w:val="clear"/>
          </w:tcPr>
          <w:p>
            <w:pPr>
              <w:pStyle w:val="Compact"/>
              <w:jc w:val="left"/>
            </w:pPr>
            <w:r>
              <w:t xml:space="preserve">{(u, Health): u ∈ {1,2,3,4,5,6}} ∪ {(6, Environment)}</w:t>
            </w:r>
          </w:p>
        </w:tc>
      </w:tr>
      <w:tr>
        <w:trPr/>
        <w:tc>
          <w:tcPr>
            <w:tcMar>
              <w:top w:w="80" w:type="dxa"/>
              <w:start w:w="90" w:type="dxa"/>
              <w:bottom w:w="80" w:type="dxa"/>
              <w:end w:w="90" w:type="dxa"/>
            </w:tcMar>
            <w:shd w:fill="D9EAF7" w:val="clear"/>
          </w:tcPr>
          <w:p>
            <w:pPr>
              <w:pStyle w:val="Compact"/>
              <w:jc w:val="left"/>
            </w:pPr>
            <w:r>
              <w:t xml:space="preserve">BODY</w:t>
            </w:r>
          </w:p>
        </w:tc>
        <w:tc>
          <w:tcPr>
            <w:tcMar>
              <w:top w:w="80" w:type="dxa"/>
              <w:start w:w="90" w:type="dxa"/>
              <w:bottom w:w="80" w:type="dxa"/>
              <w:end w:w="90" w:type="dxa"/>
            </w:tcMar>
            <w:shd w:fill="D9EAF7" w:val="clear"/>
          </w:tcPr>
          <w:p>
            <w:pPr>
              <w:pStyle w:val="Compact"/>
              <w:jc w:val="left"/>
            </w:pPr>
            <w:r>
              <w:t xml:space="preserve">{(u, Health): u ∈ {1,2,3,4,5,6}}</w:t>
            </w:r>
          </w:p>
        </w:tc>
      </w:tr>
      <w:tr>
        <w:trPr/>
        <w:tc>
          <w:tcPr>
            <w:tcMar>
              <w:top w:w="80" w:type="dxa"/>
              <w:start w:w="90" w:type="dxa"/>
              <w:bottom w:w="80" w:type="dxa"/>
              <w:end w:w="90" w:type="dxa"/>
            </w:tcMar>
            <w:shd w:fill="F7FBFF" w:val="clear"/>
          </w:tcPr>
          <w:p>
            <w:pPr>
              <w:pStyle w:val="Compact"/>
              <w:jc w:val="left"/>
            </w:pPr>
            <w:r>
              <w:t xml:space="preserve">LBTY</w:t>
            </w:r>
          </w:p>
        </w:tc>
        <w:tc>
          <w:tcPr>
            <w:tcMar>
              <w:top w:w="80" w:type="dxa"/>
              <w:start w:w="90" w:type="dxa"/>
              <w:bottom w:w="80" w:type="dxa"/>
              <w:end w:w="90" w:type="dxa"/>
            </w:tcMar>
            <w:shd w:fill="F7FBFF" w:val="clear"/>
          </w:tcPr>
          <w:p>
            <w:pPr>
              <w:pStyle w:val="Compact"/>
              <w:jc w:val="left"/>
            </w:pPr>
            <w:r>
              <w:t xml:space="preserve">{(u, Agency): u ∈ {1,2,3,4,5,6}} ∪ {(u, Social): u ∈ {3,4,5,6}}</w:t>
            </w:r>
          </w:p>
        </w:tc>
      </w:tr>
      <w:tr>
        <w:trPr/>
        <w:tc>
          <w:tcPr>
            <w:tcMar>
              <w:top w:w="80" w:type="dxa"/>
              <w:start w:w="90" w:type="dxa"/>
              <w:bottom w:w="80" w:type="dxa"/>
              <w:end w:w="90" w:type="dxa"/>
            </w:tcMar>
            <w:shd w:fill="D9EAF7" w:val="clear"/>
          </w:tcPr>
          <w:p>
            <w:pPr>
              <w:pStyle w:val="Compact"/>
              <w:jc w:val="left"/>
            </w:pPr>
            <w:r>
              <w:t xml:space="preserve">NEED</w:t>
            </w:r>
          </w:p>
        </w:tc>
        <w:tc>
          <w:tcPr>
            <w:tcMar>
              <w:top w:w="80" w:type="dxa"/>
              <w:start w:w="90" w:type="dxa"/>
              <w:bottom w:w="80" w:type="dxa"/>
              <w:end w:w="90" w:type="dxa"/>
            </w:tcMar>
            <w:shd w:fill="D9EAF7" w:val="clear"/>
          </w:tcPr>
          <w:p>
            <w:pPr>
              <w:pStyle w:val="Compact"/>
              <w:jc w:val="left"/>
            </w:pPr>
            <w:r>
              <w:t xml:space="preserve">{(u, Material): u ∈ {1,2,3,4,5,6}} ∪ {(u, Health): u ∈ {1,2,3,4,5,6}}</w:t>
            </w:r>
          </w:p>
        </w:tc>
      </w:tr>
      <w:tr>
        <w:trPr/>
        <w:tc>
          <w:tcPr>
            <w:tcMar>
              <w:top w:w="80" w:type="dxa"/>
              <w:start w:w="90" w:type="dxa"/>
              <w:bottom w:w="80" w:type="dxa"/>
              <w:end w:w="90" w:type="dxa"/>
            </w:tcMar>
            <w:shd w:fill="F7FBFF" w:val="clear"/>
          </w:tcPr>
          <w:p>
            <w:pPr>
              <w:pStyle w:val="Compact"/>
              <w:jc w:val="left"/>
            </w:pPr>
            <w:r>
              <w:t xml:space="preserve">DIGN</w:t>
            </w:r>
          </w:p>
        </w:tc>
        <w:tc>
          <w:tcPr>
            <w:tcMar>
              <w:top w:w="80" w:type="dxa"/>
              <w:start w:w="90" w:type="dxa"/>
              <w:bottom w:w="80" w:type="dxa"/>
              <w:end w:w="90" w:type="dxa"/>
            </w:tcMar>
            <w:shd w:fill="F7FBFF" w:val="clear"/>
          </w:tcPr>
          <w:p>
            <w:pPr>
              <w:pStyle w:val="Compact"/>
              <w:jc w:val="left"/>
            </w:pPr>
            <w:r>
              <w:t xml:space="preserve">{(u, Social): u ∈ {1,2,3,4,5,6}} ∪ {(u, Agency): u ∈ {1,2,3,4,5,6}}</w:t>
            </w:r>
          </w:p>
        </w:tc>
      </w:tr>
      <w:tr>
        <w:trPr/>
        <w:tc>
          <w:tcPr>
            <w:tcMar>
              <w:top w:w="80" w:type="dxa"/>
              <w:start w:w="90" w:type="dxa"/>
              <w:bottom w:w="80" w:type="dxa"/>
              <w:end w:w="90" w:type="dxa"/>
            </w:tcMar>
            <w:shd w:fill="D9EAF7" w:val="clear"/>
          </w:tcPr>
          <w:p>
            <w:pPr>
              <w:pStyle w:val="Compact"/>
              <w:jc w:val="left"/>
            </w:pPr>
            <w:r>
              <w:t xml:space="preserve">PROC</w:t>
            </w:r>
          </w:p>
        </w:tc>
        <w:tc>
          <w:tcPr>
            <w:tcMar>
              <w:top w:w="80" w:type="dxa"/>
              <w:start w:w="90" w:type="dxa"/>
              <w:bottom w:w="80" w:type="dxa"/>
              <w:end w:w="90" w:type="dxa"/>
            </w:tcMar>
            <w:shd w:fill="D9EAF7" w:val="clear"/>
          </w:tcPr>
          <w:p>
            <w:pPr>
              <w:pStyle w:val="Compact"/>
              <w:jc w:val="left"/>
            </w:pPr>
            <w:r>
              <w:t xml:space="preserve">{(u, Agency): u ∈ {4,5,6}} ∪ {(u, Knowledge): u ∈ {4,5,6}} ∪ {(u, Social): u ∈ {4,5,6}}</w:t>
            </w:r>
          </w:p>
        </w:tc>
      </w:tr>
      <w:tr>
        <w:trPr/>
        <w:tc>
          <w:tcPr>
            <w:tcMar>
              <w:top w:w="80" w:type="dxa"/>
              <w:start w:w="90" w:type="dxa"/>
              <w:bottom w:w="80" w:type="dxa"/>
              <w:end w:w="90" w:type="dxa"/>
            </w:tcMar>
            <w:shd w:fill="F7FBFF" w:val="clear"/>
          </w:tcPr>
          <w:p>
            <w:pPr>
              <w:pStyle w:val="Compact"/>
              <w:jc w:val="left"/>
            </w:pPr>
            <w:r>
              <w:t xml:space="preserve">INFO</w:t>
            </w:r>
          </w:p>
        </w:tc>
        <w:tc>
          <w:tcPr>
            <w:tcMar>
              <w:top w:w="80" w:type="dxa"/>
              <w:start w:w="90" w:type="dxa"/>
              <w:bottom w:w="80" w:type="dxa"/>
              <w:end w:w="90" w:type="dxa"/>
            </w:tcMar>
            <w:shd w:fill="F7FBFF" w:val="clear"/>
          </w:tcPr>
          <w:p>
            <w:pPr>
              <w:pStyle w:val="Compact"/>
              <w:jc w:val="left"/>
            </w:pPr>
            <w:r>
              <w:t xml:space="preserve">{(u, Knowledge): u ∈ {1,2,3,4,5,6}} ∪ {(u, Agency): u ∈ {1,2,3,4,5,6}}</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ECOL</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{(6, Environment), (7, Environment)}</w:t>
            </w:r>
          </w:p>
        </w:tc>
      </w:tr>
    </w:tbl>
    <w:bookmarkEnd w:id="368"/>
    <w:bookmarkStart w:id="369" w:name="X0e75838f8c3ac55c90fde5dc3f7bccacb1203ac"/>
    <w:p>
      <w:pPr>
        <w:pStyle w:val="Heading2"/>
        <w:keepNext/>
        <w:keepLines/>
        <w:pageBreakBefore w:val="0"/>
        <w:widowControl/>
      </w:pPr>
      <w:r>
        <w:rPr>
          <w:rFonts w:ascii="Arial" w:hAnsi="Arial" w:eastAsia="Arial"/>
          <w:b/>
          <w:color w:val="1F4E78"/>
        </w:rPr>
        <w:t xml:space="preserve">C.3 Emergency Mode Rights Priority (Canonical)</w:t>
      </w:r>
    </w:p>
    <w:p>
      <w:pPr>
        <w:pStyle w:val="FirstParagraph"/>
        <w:widowControl/>
      </w:pPr>
      <w:r>
        <w:t xml:space="preserve">When Emergency Mode is invoked (A_NCRC = ∅), rights are ordered lexicographically:</w:t>
      </w:r>
    </w:p>
    <w:p>
      <w:pPr>
        <w:pStyle w:val="BodyText"/>
        <w:widowControl/>
      </w:pPr>
      <w:r>
        <w:t xml:space="preserve">[LIFE, BODY, ECOL, LBTY, NEED, DIGN, PROC, INFO]</w:t>
      </w:r>
    </w:p>
    <w:p>
      <w:pPr>
        <w:pStyle w:val="BodyText"/>
        <w:widowControl/>
      </w:pPr>
      <w:r>
        <w:t xml:space="preserve">This ordering MUST be used exactly for lexicographic minimization of the violation depth vector.</w:t>
      </w:r>
    </w:p>
    <w:bookmarkEnd w:id="369"/>
    <w:bookmarkStart w:id="370" w:name="X2baab3e24ce6661ca640cac550717214ba5a5ee"/>
    <w:p>
      <w:pPr>
        <w:pStyle w:val="Heading2"/>
        <w:keepNext/>
        <w:keepLines/>
        <w:pageBreakBefore w:val="0"/>
        <w:widowControl/>
      </w:pPr>
      <w:r>
        <w:rPr>
          <w:rFonts w:ascii="Arial" w:hAnsi="Arial" w:eastAsia="Arial"/>
          <w:b/>
          <w:color w:val="1F4E78"/>
        </w:rPr>
        <w:t xml:space="preserve">C.4 NCRC Violation Depth Definition (Canonical)</w:t>
      </w:r>
    </w:p>
    <w:p>
      <w:pPr>
        <w:pStyle w:val="FirstParagraph"/>
        <w:widowControl/>
      </w:pPr>
      <w:r>
        <w:t xml:space="preserve">For every right</w:t>
      </w:r>
      <w:r>
        <w:t xml:space="preserve"> </w:t>
      </w:r>
      <w:r>
        <w:rPr>
          <w:rStyle w:val="VerbatimChar"/>
        </w:rPr>
        <w:t xml:space="preserve">r</w:t>
      </w:r>
      <w:r>
        <w:t xml:space="preserve">, record the compound violation tuple:</w:t>
      </w:r>
    </w:p>
    <w:p>
      <w:pPr>
        <w:pStyle w:val="BodyText"/>
        <w:widowControl/>
      </w:pPr>
      <w:r>
        <w:rPr>
          <w:rStyle w:val="VerbatimChar"/>
        </w:rPr>
        <w:t xml:space="preserve">q_r(a) = (v_r^cat(a), v_r^risk(a), v_r^floor(a))</w:t>
      </w:r>
    </w:p>
    <w:p>
      <w:pPr>
        <w:pStyle w:val="BodyText"/>
        <w:widowControl/>
      </w:pPr>
      <w:r>
        <w:t xml:space="preserve">with:</w:t>
      </w:r>
    </w:p>
    <w:p>
      <w:pPr>
        <w:pStyle w:val="Compact"/>
        <w:widowControl/>
        <w:numPr>
          <w:ilvl w:val="0"/>
          <w:numId w:val="1244"/>
        </w:numPr>
      </w:pPr>
      <w:r>
        <w:rPr>
          <w:rStyle w:val="VerbatimChar"/>
        </w:rPr>
        <w:t xml:space="preserve">v_r^floor(a) = max_{(u,d) in C_r} (theta_r - I_rights(u,d,a))^+</w:t>
      </w:r>
      <w:r>
        <w:t xml:space="preserve">;</w:t>
      </w:r>
    </w:p>
    <w:p>
      <w:pPr>
        <w:pStyle w:val="Compact"/>
        <w:widowControl/>
        <w:numPr>
          <w:ilvl w:val="0"/>
          <w:numId w:val="1244"/>
        </w:numPr>
      </w:pPr>
      <w:r>
        <w:rPr>
          <w:rStyle w:val="VerbatimChar"/>
        </w:rPr>
        <w:t xml:space="preserve">v_r^cat(a) = max_{k in K_r(a)} z_{k,r}</w:t>
      </w:r>
      <w:r>
        <w:t xml:space="preserve">;</w:t>
      </w:r>
    </w:p>
    <w:p>
      <w:pPr>
        <w:pStyle w:val="Compact"/>
        <w:widowControl/>
        <w:numPr>
          <w:ilvl w:val="0"/>
          <w:numId w:val="1244"/>
        </w:numPr>
      </w:pPr>
      <w:r>
        <w:rPr>
          <w:rStyle w:val="VerbatimChar"/>
        </w:rPr>
        <w:t xml:space="preserve">v_r^risk(a) = max_{k in K_r(a): SevereRightsHazardActive(k,r)} (p_{k,r}^U - rho_r)^+</w:t>
      </w:r>
      <w:r>
        <w:t xml:space="preserve">.</w:t>
      </w:r>
    </w:p>
    <w:p>
      <w:pPr>
        <w:pStyle w:val="FirstParagraph"/>
        <w:widowControl/>
      </w:pPr>
      <w:r>
        <w:t xml:space="preserve">A missing required severe-hazard probability, tolerance, categorical-status field, or gate-critical evidence disposition produces</w:t>
      </w:r>
      <w:r>
        <w:t xml:space="preserve"> </w:t>
      </w:r>
      <w:r>
        <w:rPr>
          <w:rStyle w:val="VerbatimChar"/>
        </w:rPr>
        <w:t xml:space="preserve">NCRC_UNKNOWN</w:t>
      </w:r>
      <w:r>
        <w:t xml:space="preserve">, not zero.</w:t>
      </w:r>
    </w:p>
    <w:bookmarkEnd w:id="370"/>
    <w:bookmarkStart w:id="371" w:name="c5-ncrc-predicate-canonical"/>
    <w:p>
      <w:pPr>
        <w:pStyle w:val="Heading2"/>
        <w:keepNext/>
        <w:keepLines/>
        <w:pageBreakBefore w:val="0"/>
        <w:widowControl/>
      </w:pPr>
      <w:r>
        <w:rPr>
          <w:rFonts w:ascii="Arial" w:hAnsi="Arial" w:eastAsia="Arial"/>
          <w:b/>
          <w:color w:val="1F4E78"/>
        </w:rPr>
        <w:t xml:space="preserve">C.5 NCRC Predicate (Canonical)</w:t>
      </w:r>
    </w:p>
    <w:p>
      <w:pPr>
        <w:pStyle w:val="FirstParagraph"/>
        <w:widowControl/>
      </w:pPr>
      <w:r>
        <w:rPr>
          <w:rStyle w:val="VerbatimChar"/>
        </w:rPr>
        <w:t xml:space="preserve">NCRC(a) = TRUE</w:t>
      </w:r>
      <w:r>
        <w:t xml:space="preserve"> </w:t>
      </w:r>
      <w:r>
        <w:t xml:space="preserve">if and only if, for every right</w:t>
      </w:r>
      <w:r>
        <w:t xml:space="preserve"> </w:t>
      </w:r>
      <w:r>
        <w:rPr>
          <w:rStyle w:val="VerbatimChar"/>
        </w:rPr>
        <w:t xml:space="preserve">r</w:t>
      </w:r>
      <w:r>
        <w:t xml:space="preserve">, all three components of</w:t>
      </w:r>
      <w:r>
        <w:t xml:space="preserve"> </w:t>
      </w:r>
      <w:r>
        <w:rPr>
          <w:rStyle w:val="VerbatimChar"/>
        </w:rPr>
        <w:t xml:space="preserve">q_r(a)</w:t>
      </w:r>
      <w:r>
        <w:t xml:space="preserve"> </w:t>
      </w:r>
      <w:r>
        <w:t xml:space="preserve">equal zero and no material rights evidence field is unresolved.</w:t>
      </w:r>
    </w:p>
    <w:p>
      <w:pPr>
        <w:pStyle w:val="BodyText"/>
        <w:widowControl/>
      </w:pPr>
      <w:r>
        <w:t xml:space="preserve">The NCRC passing set is</w:t>
      </w:r>
      <w:r>
        <w:t xml:space="preserve"> </w:t>
      </w:r>
      <w:r>
        <w:rPr>
          <w:rStyle w:val="VerbatimChar"/>
        </w:rPr>
        <w:t xml:space="preserve">A_NCRC = {a in O : NCRC(a)=TRUE}</w:t>
      </w:r>
      <w:r>
        <w:t xml:space="preserve">. Any categorical prohibition, severe-hazard exceedance, floor violation, or required unresolved field blocks an ordinary NCRC pass.</w:t>
      </w:r>
    </w:p>
    <w:bookmarkEnd w:id="371"/>
    <w:bookmarkStart w:id="372" w:name="c6-subgroup-conservative-bound-canonical"/>
    <w:p>
      <w:pPr>
        <w:pStyle w:val="Heading2"/>
        <w:keepNext/>
        <w:keepLines/>
        <w:pageBreakBefore w:val="0"/>
        <w:widowControl/>
      </w:pPr>
      <w:r>
        <w:rPr>
          <w:rFonts w:ascii="Arial" w:hAnsi="Arial" w:eastAsia="Arial"/>
          <w:b/>
          <w:color w:val="1F4E78"/>
        </w:rPr>
        <w:t xml:space="preserve">C.6 Subgroup Conservative Bound (Canonical)</w:t>
      </w:r>
    </w:p>
    <w:p>
      <w:pPr>
        <w:pStyle w:val="FirstParagraph"/>
        <w:widowControl/>
      </w:pPr>
      <w:r>
        <w:t xml:space="preserve">When subgroup disaggregation is infeasible for a rights-covered cell:</w:t>
      </w:r>
    </w:p>
    <w:p>
      <w:pPr>
        <w:pStyle w:val="BodyText"/>
        <w:widowControl/>
      </w:pPr>
      <w:r>
        <w:t xml:space="preserve">Let γ_subgroup = 1.5 (default conservatism factor).</w:t>
      </w:r>
    </w:p>
    <w:p>
      <w:pPr>
        <w:pStyle w:val="Compact"/>
        <w:widowControl/>
        <w:numPr>
          <w:ilvl w:val="0"/>
          <w:numId w:val="1245"/>
        </w:numPr>
      </w:pPr>
      <w:r>
        <w:t>If I_RF_base(u,d,a,r) &lt; 0: set I_rights(u,d,a,r) = max(-1, γ_subgroup × I_RF_base(u,d,a,r))</w:t>
      </w:r>
    </w:p>
    <w:p>
      <w:pPr>
        <w:pStyle w:val="Compact"/>
        <w:widowControl/>
        <w:numPr>
          <w:ilvl w:val="0"/>
          <w:numId w:val="1246"/>
        </w:numPr>
      </w:pPr>
      <w:r>
        <w:t>Else: set I_rights(u,d,a,r) = I_RF_base(u,d,a,r)</w:t>
      </w:r>
    </w:p>
    <w:p>
      <w:pPr>
        <w:pStyle w:val="FirstParagraph"/>
        <w:widowControl/>
      </w:pPr>
      <w:r>
        <w:t xml:space="preserve">This bound applies only for NCRC checking, not for RLS scoring.</w:t>
      </w:r>
    </w:p>
    <w:p>
      <w:pPr>
        <w:widowControl/>
      </w:pPr>
      <w:r>
        <w:t>If I_RF_base cannot be constructed from reviewed rights-floor instances, the cell is NCRC_UNKNOWN; the run MUST collect evidence, narrow, escalate, or refuse rather than reuse a temporally or confidence-attenuated welfare value as a rights pass.</w:t>
      </w:r>
    </w:p>
    <w:bookmarkEnd w:id="372"/>
    <w:bookmarkStart w:id="373" w:name="X1856982d84f378a09eae032285184b922a7a529"/>
    <w:p>
      <w:pPr>
        <w:pStyle w:val="Heading2"/>
        <w:keepNext/>
        <w:keepLines/>
        <w:pageBreakBefore w:val="0"/>
        <w:widowControl/>
      </w:pPr>
      <w:r>
        <w:rPr>
          <w:rFonts w:ascii="Arial" w:hAnsi="Arial" w:eastAsia="Arial"/>
          <w:b/>
          <w:color w:val="1F4E78"/>
        </w:rPr>
        <w:t xml:space="preserve">C.7 Emergency Mode Documentation Requirements (Canonical)</w:t>
      </w:r>
    </w:p>
    <w:p>
      <w:pPr>
        <w:pStyle w:val="FirstParagraph"/>
        <w:widowControl/>
      </w:pPr>
      <w:r>
        <w:t xml:space="preserve">When Emergency Mode is invoked, the PCC MUST include:</w:t>
      </w:r>
    </w:p>
    <w:p>
      <w:pPr>
        <w:pStyle w:val="Compact"/>
        <w:widowControl/>
        <w:numPr>
          <w:ilvl w:val="0"/>
          <w:numId w:val="1247"/>
        </w:numPr>
      </w:pPr>
      <w:r>
        <w:t xml:space="preserve">Emergency declaration and trigger conditions;</w:t>
      </w:r>
    </w:p>
    <w:p>
      <w:pPr>
        <w:pStyle w:val="Compact"/>
        <w:widowControl/>
        <w:numPr>
          <w:ilvl w:val="0"/>
          <w:numId w:val="1247"/>
        </w:numPr>
      </w:pPr>
      <w:r>
        <w:t xml:space="preserve">the complete</w:t>
      </w:r>
      <w:r>
        <w:t xml:space="preserve"> </w:t>
      </w:r>
      <w:r>
        <w:rPr>
          <w:rStyle w:val="VerbatimChar"/>
        </w:rPr>
        <w:t xml:space="preserve">q_r(a) = (v_r^cat, v_r^risk, v_r^floor)</w:t>
      </w:r>
      <w:r>
        <w:t xml:space="preserve"> </w:t>
      </w:r>
      <w:r>
        <w:t xml:space="preserve">tuple for each option and each right;</w:t>
      </w:r>
    </w:p>
    <w:p>
      <w:pPr>
        <w:pStyle w:val="Compact"/>
        <w:widowControl/>
        <w:numPr>
          <w:ilvl w:val="0"/>
          <w:numId w:val="1247"/>
        </w:numPr>
      </w:pPr>
      <w:r>
        <w:t xml:space="preserve">the lexicographic comparison trace using the Section C.3 right-priority order and component order</w:t>
      </w:r>
      <w:r>
        <w:t xml:space="preserve"> </w:t>
      </w:r>
      <w:r>
        <w:rPr>
          <w:rStyle w:val="VerbatimChar"/>
        </w:rPr>
        <w:t xml:space="preserve">categorical -&gt; severe risk -&gt; floor depth</w:t>
      </w:r>
      <w:r>
        <w:t xml:space="preserve">;</w:t>
      </w:r>
    </w:p>
    <w:p>
      <w:pPr>
        <w:pStyle w:val="Compact"/>
        <w:widowControl/>
        <w:numPr>
          <w:ilvl w:val="0"/>
          <w:numId w:val="1247"/>
        </w:numPr>
      </w:pPr>
      <w:r>
        <w:t xml:space="preserve">all</w:t>
      </w:r>
      <w:r>
        <w:t xml:space="preserve"> </w:t>
      </w:r>
      <w:r>
        <w:rPr>
          <w:rStyle w:val="VerbatimChar"/>
        </w:rPr>
        <w:t xml:space="preserve">NCRC_UNKNOWN</w:t>
      </w:r>
      <w:r>
        <w:t xml:space="preserve"> </w:t>
      </w:r>
      <w:r>
        <w:t xml:space="preserve">fields and the conservative disposition used;</w:t>
      </w:r>
    </w:p>
    <w:p>
      <w:pPr>
        <w:pStyle w:val="Compact"/>
        <w:widowControl/>
        <w:numPr>
          <w:ilvl w:val="0"/>
          <w:numId w:val="1247"/>
        </w:numPr>
      </w:pPr>
      <w:r>
        <w:t xml:space="preserve">independent challenger attestation, or</w:t>
      </w:r>
      <w:r>
        <w:t xml:space="preserve"> </w:t>
      </w:r>
      <w:r>
        <w:rPr>
          <w:rStyle w:val="VerbatimChar"/>
        </w:rPr>
        <w:t xml:space="preserve">CHALLENGE_DEFERRED_EMERGENCY</w:t>
      </w:r>
      <w:r>
        <w:t xml:space="preserve">;</w:t>
      </w:r>
    </w:p>
    <w:p>
      <w:pPr>
        <w:pStyle w:val="Compact"/>
        <w:widowControl/>
        <w:numPr>
          <w:ilvl w:val="0"/>
          <w:numId w:val="1247"/>
        </w:numPr>
      </w:pPr>
      <w:r>
        <w:t xml:space="preserve">mitigation/remediation plan with timeline;</w:t>
      </w:r>
    </w:p>
    <w:p>
      <w:pPr>
        <w:pStyle w:val="Compact"/>
        <w:widowControl/>
        <w:numPr>
          <w:ilvl w:val="0"/>
          <w:numId w:val="1247"/>
        </w:numPr>
      </w:pPr>
      <w:r>
        <w:t xml:space="preserve">monitoring, appeal, remedy, exit, review cadence, and return-to-normal triggers.</w:t>
      </w:r>
    </w:p>
    <w:p>
      <w:pPr>
        <w:pStyle w:val="FirstParagraph"/>
        <w:widowControl/>
      </w:pPr>
      <w:r>
        <w:t xml:space="preserve">Emergency Mode does not convert a rights-violating option into an ordinary NCRC pass. It documents a governed provisional response under necessity.</w:t>
      </w:r>
    </w:p>
    <w:p>
      <w:pPr>
        <w:pStyle w:val="BodyText"/>
        <w:widowControl/>
      </w:pPr>
      <w:r>
        <w:t xml:space="preserve">End Appendix C.</w:t>
      </w:r>
    </w:p>
    <w:bookmarkEnd w:id="373"/>
    <w:bookmarkEnd w:id="374"/>
    <w:bookmarkStart w:id="387" w:name="Xa198e527a77677a44409084493f58e004476c4f"/>
    <w:p>
      <w:pPr>
        <w:pStyle w:val="Heading1"/>
        <w:keepNext/>
        <w:keepLines/>
        <w:pageBreakBefore w:val="0"/>
        <w:widowControl/>
      </w:pPr>
      <w:r>
        <w:rPr>
          <w:rFonts w:ascii="Arial" w:hAnsi="Arial" w:eastAsia="Arial"/>
          <w:b/>
          <w:color w:val="1F4E78"/>
        </w:rPr>
        <w:t xml:space="preserve">APPENDIX D: TRC AND SCENARIO GOVERNANCE CANON PACK (TIER 1-3)</w:t>
      </w:r>
    </w:p>
    <w:p>
      <w:pPr>
        <w:pStyle w:val="FirstParagraph"/>
        <w:widowControl/>
      </w:pPr>
      <w:r>
        <w:t xml:space="preserve">Appendix D is normative.</w:t>
      </w:r>
    </w:p>
    <w:bookmarkStart w:id="375" w:name="d1-base-catastrophe-cell-set"/>
    <w:p>
      <w:pPr>
        <w:pStyle w:val="Heading2"/>
        <w:keepNext/>
        <w:keepLines/>
        <w:pageBreakBefore w:val="0"/>
        <w:widowControl/>
      </w:pPr>
      <w:r>
        <w:rPr>
          <w:rFonts w:ascii="Arial" w:hAnsi="Arial" w:eastAsia="Arial"/>
          <w:b/>
          <w:color w:val="1F4E78"/>
        </w:rPr>
        <w:t xml:space="preserve">D.1 Base Catastrophe Cell Set</w:t>
      </w:r>
    </w:p>
    <w:p>
      <w:pPr>
        <w:pStyle w:val="FirstParagraph"/>
        <w:widowControl/>
      </w:pPr>
      <w:r>
        <w:t xml:space="preserve">C_cat_base = {(6, Health), (6, Environment), (7, Environment)}</w:t>
      </w:r>
    </w:p>
    <w:p>
      <w:pPr>
        <w:pStyle w:val="BodyText"/>
        <w:widowControl/>
      </w:pPr>
      <w:r>
        <w:t xml:space="preserve">These correspond to:</w:t>
      </w:r>
    </w:p>
    <w:p>
      <w:pPr>
        <w:pStyle w:val="Compact"/>
        <w:widowControl/>
        <w:numPr>
          <w:ilvl w:val="0"/>
          <w:numId w:val="1248"/>
        </w:numPr>
      </w:pPr>
      <w:r>
        <w:t xml:space="preserve">(6, Health): Humanity / Global Coordination-Health, representing global-scale health viability</w:t>
      </w:r>
    </w:p>
    <w:p>
      <w:pPr>
        <w:pStyle w:val="Compact"/>
        <w:widowControl/>
        <w:numPr>
          <w:ilvl w:val="0"/>
          <w:numId w:val="1249"/>
        </w:numPr>
      </w:pPr>
      <w:r>
        <w:t xml:space="preserve">(6, Environment): Humanity / Global Coordination-Environment, representing civilization-scale habitability conditions</w:t>
      </w:r>
    </w:p>
    <w:p>
      <w:pPr>
        <w:pStyle w:val="Compact"/>
        <w:widowControl/>
        <w:numPr>
          <w:ilvl w:val="0"/>
          <w:numId w:val="1250"/>
        </w:numPr>
      </w:pPr>
      <w:r>
        <w:t xml:space="preserve">(7, Environment): Biosphere-Environment, representing Earth-system integrity</w:t>
      </w:r>
    </w:p>
    <w:bookmarkEnd w:id="375"/>
    <w:bookmarkStart w:id="376" w:name="X4866e4bf97316e53ff40a42a475914c774534b0"/>
    <w:p>
      <w:pPr>
        <w:pStyle w:val="Heading2"/>
        <w:keepNext/>
        <w:keepLines/>
        <w:pageBreakBefore w:val="0"/>
        <w:widowControl/>
      </w:pPr>
      <w:r>
        <w:rPr>
          <w:rFonts w:ascii="Arial" w:hAnsi="Arial" w:eastAsia="Arial"/>
          <w:b/>
          <w:color w:val="1F4E78"/>
        </w:rPr>
        <w:t xml:space="preserve">D.1A Default Governance-Lock-In Extension Profile (Normative)</w:t>
      </w:r>
    </w:p>
    <w:p>
      <w:pPr>
        <w:pStyle w:val="FirstParagraph"/>
        <w:widowControl/>
      </w:pPr>
      <w:r>
        <w:t xml:space="preserve">Trigger condition: This profile MUST be activated when any of the following is plausibly in scope for the decision: surveillance normalization; emergency-power persistence beyond justified sunset; due-process suspension or durable recourse collapse; information-ecosystem capture; irreversible dependency lock-in on critical infrastructure or governance functions; or concentrated arbitrary control without meaningful exit, review, or contestability.</w:t>
      </w:r>
    </w:p>
    <w:p>
      <w:pPr>
        <w:pStyle w:val="BodyText"/>
        <w:widowControl/>
      </w:pPr>
      <w:r>
        <w:t xml:space="preserve">Default governance-lock catastrophe cell set:</w:t>
      </w:r>
    </w:p>
    <w:p>
      <w:pPr>
        <w:pStyle w:val="BodyText"/>
        <w:widowControl/>
      </w:pPr>
      <w:r>
        <w:t xml:space="preserve">C_cat_lock_default = {(5, Agency), (5, Knowledge), (6, Agency), (6, Knowledge)}</w:t>
      </w:r>
    </w:p>
    <w:p>
      <w:pPr>
        <w:pStyle w:val="BodyText"/>
        <w:widowControl/>
      </w:pPr>
      <w:r>
        <w:t xml:space="preserve">Default weighting rule when active:</w:t>
      </w:r>
    </w:p>
    <w:p>
      <w:pPr>
        <w:pStyle w:val="BodyText"/>
        <w:widowControl/>
      </w:pPr>
      <w:r>
        <w:t xml:space="preserve">If no stricter governed profile is declared:</w:t>
      </w:r>
    </w:p>
    <w:p>
      <w:pPr>
        <w:pStyle w:val="BodyText"/>
        <w:widowControl/>
      </w:pPr>
      <w:r>
        <w:t xml:space="preserve">Evaluate</w:t>
      </w:r>
      <w:r>
        <w:t xml:space="preserve"> </w:t>
      </w:r>
      <w:r>
        <w:rPr>
          <w:rStyle w:val="VerbatimChar"/>
        </w:rPr>
        <w:t xml:space="preserve">C_cat_base</w:t>
      </w:r>
      <w:r>
        <w:t xml:space="preserve"> </w:t>
      </w:r>
      <w:r>
        <w:t xml:space="preserve">and</w:t>
      </w:r>
      <w:r>
        <w:t xml:space="preserve"> </w:t>
      </w:r>
      <w:r>
        <w:rPr>
          <w:rStyle w:val="VerbatimChar"/>
        </w:rPr>
        <w:t xml:space="preserve">C_cat_lock_default</w:t>
      </w:r>
      <w:r>
        <w:t xml:space="preserve"> </w:t>
      </w:r>
      <w:r>
        <w:t xml:space="preserve">as separate active catastrophe profiles. Normalize weights within each profile, compute profile-specific loss and CVaR, and require every active profile to satisfy its governed corridor. A combined union summary may be reported only as non-controlling information and cannot rescue a failed profile.</w:t>
      </w:r>
    </w:p>
    <w:p>
      <w:pPr>
        <w:pStyle w:val="BodyText"/>
        <w:widowControl/>
      </w:pPr>
      <w:r>
        <w:t xml:space="preserve">Interpretation:</w:t>
      </w:r>
    </w:p>
    <w:p>
      <w:pPr>
        <w:pStyle w:val="BodyText"/>
        <w:widowControl/>
      </w:pPr>
      <w:r>
        <w:t xml:space="preserve">(5, Agency): polity-scale loss of contestability, due process, or civic agency</w:t>
      </w:r>
    </w:p>
    <w:p>
      <w:pPr>
        <w:pStyle w:val="BodyText"/>
        <w:widowControl/>
      </w:pPr>
      <w:r>
        <w:t xml:space="preserve">(5, Knowledge): polity-scale degradation of information integrity and epistemic access</w:t>
      </w:r>
    </w:p>
    <w:p>
      <w:pPr>
        <w:pStyle w:val="BodyText"/>
        <w:widowControl/>
      </w:pPr>
      <w:r>
        <w:t xml:space="preserve">(6, Agency): civilization-scale agency loss, lock-in, or durable corrigibility collapse</w:t>
      </w:r>
    </w:p>
    <w:p>
      <w:pPr>
        <w:pStyle w:val="BodyText"/>
        <w:widowControl/>
      </w:pPr>
      <w:r>
        <w:t xml:space="preserve">(6, Knowledge): civilization-scale information capture, knowledge bottlenecking, or durable epistemic enclosure</w:t>
      </w:r>
    </w:p>
    <w:p>
      <w:pPr>
        <w:pStyle w:val="BodyText"/>
        <w:widowControl/>
      </w:pPr>
      <w:r>
        <w:t xml:space="preserve">Symmetry rule: The same active catastrophe set and weights MUST be applied across all compared options in the run.</w:t>
      </w:r>
    </w:p>
    <w:p>
      <w:pPr>
        <w:pStyle w:val="BodyText"/>
        <w:widowControl/>
      </w:pPr>
      <w:r>
        <w:t xml:space="preserve">PCC rule: The PCC MUST record whether the governance-lock profile was inactive, active by default trigger, or replaced by a stricter governed profile.</w:t>
      </w:r>
    </w:p>
    <w:bookmarkEnd w:id="376"/>
    <w:bookmarkStart w:id="377" w:name="X2a6e1b13d4cd2ee01741ed5dab81ba64b2e2508"/>
    <w:p>
      <w:pPr>
        <w:pStyle w:val="Heading2"/>
        <w:keepNext/>
        <w:keepLines/>
        <w:pageBreakBefore w:val="0"/>
        <w:widowControl/>
      </w:pPr>
      <w:r>
        <w:rPr>
          <w:rFonts w:ascii="Arial" w:hAnsi="Arial" w:eastAsia="Arial"/>
          <w:b/>
          <w:color w:val="1F4E78"/>
        </w:rPr>
        <w:t xml:space="preserve">D.2 Mandatory Tail Scenario Categories (Canonical)</w:t>
      </w:r>
    </w:p>
    <w:p>
      <w:pPr>
        <w:pStyle w:val="FirstParagraph"/>
        <w:widowControl/>
      </w:pPr>
      <w:r>
        <w:t xml:space="preserve">The scenario set MUST include the following tail categories unless explicitly justified as not plausible.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pStyle w:val="Compact"/>
        <w:widowControl/>
        <w:numPr>
          <w:ilvl w:val="0"/>
          <w:numId w:val="1251"/>
        </w:numPr>
      </w:pPr>
      <w:r>
        <w:t xml:space="preserve">Pandemic/biological disruption: Disease outbreak with significant mortality/morbidity</w:t>
      </w:r>
    </w:p>
    <w:p>
      <w:pPr>
        <w:pStyle w:val="Compact"/>
        <w:widowControl/>
        <w:numPr>
          <w:ilvl w:val="0"/>
          <w:numId w:val="1252"/>
        </w:numPr>
      </w:pPr>
      <w:r>
        <w:t xml:space="preserve">Climate tipping cascade: Triggering of climate tipping points with cascading effects</w:t>
      </w:r>
    </w:p>
    <w:p>
      <w:pPr>
        <w:pStyle w:val="Compact"/>
        <w:widowControl/>
        <w:numPr>
          <w:ilvl w:val="0"/>
          <w:numId w:val="1253"/>
        </w:numPr>
      </w:pPr>
      <w:r>
        <w:t xml:space="preserve">Financial system collapse: Systemic failure of financial infrastructure</w:t>
      </w:r>
    </w:p>
    <w:p>
      <w:pPr>
        <w:pStyle w:val="Compact"/>
        <w:widowControl/>
        <w:numPr>
          <w:ilvl w:val="0"/>
          <w:numId w:val="1254"/>
        </w:numPr>
      </w:pPr>
      <w:r>
        <w:t xml:space="preserve">Major conflict escalation: Armed conflict with regional or global implications</w:t>
      </w:r>
    </w:p>
    <w:p>
      <w:pPr>
        <w:pStyle w:val="Compact"/>
        <w:widowControl/>
        <w:numPr>
          <w:ilvl w:val="0"/>
          <w:numId w:val="1255"/>
        </w:numPr>
      </w:pPr>
      <w:r>
        <w:t xml:space="preserve">Critical infrastructure failure: Failure of essential services (power, water, communications)</w:t>
      </w:r>
    </w:p>
    <w:p>
      <w:pPr>
        <w:pStyle w:val="FirstParagraph"/>
        <w:widowControl/>
      </w:pPr>
      <w:r>
        <w:t xml:space="preserve">Governance / lock-in catastrophe: Surveillance normalization, durable recourse collapse, information-ecosystem capture, irreversible dependency lock-in, or concentrated arbitrary control over critical governance or infrastructure functions</w:t>
      </w:r>
    </w:p>
    <w:bookmarkEnd w:id="377"/>
    <w:bookmarkStart w:id="378" w:name="d3-probability-floor-canonical"/>
    <w:p>
      <w:pPr>
        <w:pStyle w:val="Heading2"/>
        <w:keepNext/>
        <w:keepLines/>
        <w:pageBreakBefore w:val="0"/>
        <w:widowControl/>
      </w:pPr>
      <w:r>
        <w:rPr>
          <w:rFonts w:ascii="Arial" w:hAnsi="Arial" w:eastAsia="Arial"/>
          <w:b/>
          <w:color w:val="1F4E78"/>
        </w:rPr>
        <w:t xml:space="preserve">D.3 Probability Floor (Canonical)</w:t>
      </w:r>
    </w:p>
    <w:p>
      <w:pPr>
        <w:pStyle w:val="FirstParagraph"/>
        <w:widowControl/>
      </w:pPr>
      <w:r>
        <w:t xml:space="preserve">Minimum category probability floor: p_floor ≥ 0.02</w:t>
      </w:r>
    </w:p>
    <w:p>
      <w:pPr>
        <w:pStyle w:val="BodyText"/>
        <w:widowControl/>
      </w:pPr>
      <w:r>
        <w:t xml:space="preserve">Meaning: The sum of probabilities of scenarios in each mandatory category must be ≥ 0.02 unless explicitly justified as implausible for the specific decision context per Section 8.3.2.</w:t>
      </w:r>
    </w:p>
    <w:bookmarkEnd w:id="378"/>
    <w:bookmarkStart w:id="379" w:name="X29a96cf9e7c0fac9419db326faa23594419901a"/>
    <w:p>
      <w:pPr>
        <w:pStyle w:val="Heading2"/>
        <w:keepNext/>
        <w:keepLines/>
        <w:pageBreakBefore w:val="0"/>
        <w:widowControl/>
      </w:pPr>
      <w:r>
        <w:rPr>
          <w:rFonts w:ascii="Arial" w:hAnsi="Arial" w:eastAsia="Arial"/>
          <w:b/>
          <w:color w:val="1F4E78"/>
        </w:rPr>
        <w:t xml:space="preserve">D.4 Scenario Set Size Requirements (Canonical)</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Tier</w:t>
            </w:r>
          </w:p>
        </w:tc>
        <w:tc>
          <w:tcPr>
            <w:shd w:fill="1F4E78" w:val="clear"/>
            <w:tcMar>
              <w:top w:w="80" w:type="dxa"/>
              <w:start w:w="90" w:type="dxa"/>
              <w:bottom w:w="80" w:type="dxa"/>
              <w:end w:w="90" w:type="dxa"/>
            </w:tcMar>
          </w:tcPr>
          <w:p>
            <w:pPr>
              <w:pStyle w:val="Compact"/>
              <w:jc w:val="left"/>
            </w:pPr>
            <w:r>
              <w:rPr>
                <w:b/>
                <w:bCs/>
                <w:color w:val="FFFFFF"/>
              </w:rPr>
              <w:t xml:space="preserve">TRC Required?</w:t>
            </w:r>
          </w:p>
        </w:tc>
        <w:tc>
          <w:tcPr>
            <w:shd w:fill="1F4E78" w:val="clear"/>
            <w:tcMar>
              <w:top w:w="80" w:type="dxa"/>
              <w:start w:w="90" w:type="dxa"/>
              <w:bottom w:w="80" w:type="dxa"/>
              <w:end w:w="90" w:type="dxa"/>
            </w:tcMar>
          </w:tcPr>
          <w:p>
            <w:pPr>
              <w:pStyle w:val="Compact"/>
              <w:jc w:val="left"/>
            </w:pPr>
            <w:r>
              <w:rPr>
                <w:b/>
                <w:bCs/>
                <w:color w:val="FFFFFF"/>
              </w:rPr>
              <w:t xml:space="preserve">Minimum</w:t>
            </w:r>
          </w:p>
        </w:tc>
      </w:tr>
      <w:tr>
        <w:trPr/>
        <w:tc>
          <w:tcPr>
            <w:tcMar>
              <w:top w:w="80" w:type="dxa"/>
              <w:start w:w="90" w:type="dxa"/>
              <w:bottom w:w="80" w:type="dxa"/>
              <w:end w:w="90" w:type="dxa"/>
            </w:tcMar>
            <w:shd w:fill="F7FBFF" w:val="clear"/>
          </w:tcPr>
          <w:p>
            <w:pPr>
              <w:pStyle w:val="Compact"/>
              <w:jc w:val="left"/>
            </w:pPr>
            <w:r>
              <w:t xml:space="preserve">Tier 1</w:t>
            </w:r>
          </w:p>
        </w:tc>
        <w:tc>
          <w:tcPr>
            <w:tcMar>
              <w:top w:w="80" w:type="dxa"/>
              <w:start w:w="90" w:type="dxa"/>
              <w:bottom w:w="80" w:type="dxa"/>
              <w:end w:w="90" w:type="dxa"/>
            </w:tcMar>
            <w:shd w:fill="F7FBFF" w:val="clear"/>
          </w:tcPr>
          <w:p>
            <w:pPr>
              <w:pStyle w:val="Compact"/>
              <w:jc w:val="left"/>
            </w:pPr>
            <w:r>
              <w:t xml:space="preserve">Optional (qualitative screen)</w:t>
            </w:r>
          </w:p>
        </w:tc>
        <w:tc>
          <w:tcPr>
            <w:tcMar>
              <w:top w:w="80" w:type="dxa"/>
              <w:start w:w="90" w:type="dxa"/>
              <w:bottom w:w="80" w:type="dxa"/>
              <w:end w:w="90" w:type="dxa"/>
            </w:tcMar>
            <w:shd w:fill="F7FBFF" w:val="clear"/>
          </w:tcPr>
          <w:p>
            <w:pPr>
              <w:pStyle w:val="Compact"/>
              <w:jc w:val="left"/>
            </w:pPr>
            <w:r>
              <w:t xml:space="preserve">N/A</w:t>
            </w:r>
          </w:p>
        </w:tc>
      </w:tr>
      <w:tr>
        <w:trPr/>
        <w:tc>
          <w:tcPr>
            <w:tcMar>
              <w:top w:w="80" w:type="dxa"/>
              <w:start w:w="90" w:type="dxa"/>
              <w:bottom w:w="80" w:type="dxa"/>
              <w:end w:w="90" w:type="dxa"/>
            </w:tcMar>
            <w:shd w:fill="D9EAF7" w:val="clear"/>
          </w:tcPr>
          <w:p>
            <w:pPr>
              <w:pStyle w:val="Compact"/>
              <w:jc w:val="left"/>
            </w:pPr>
            <w:r>
              <w:t xml:space="preserve">Tier 2</w:t>
            </w:r>
          </w:p>
        </w:tc>
        <w:tc>
          <w:tcPr>
            <w:tcMar>
              <w:top w:w="80" w:type="dxa"/>
              <w:start w:w="90" w:type="dxa"/>
              <w:bottom w:w="80" w:type="dxa"/>
              <w:end w:w="90" w:type="dxa"/>
            </w:tcMar>
            <w:shd w:fill="D9EAF7" w:val="clear"/>
          </w:tcPr>
          <w:p>
            <w:pPr>
              <w:pStyle w:val="Compact"/>
              <w:jc w:val="left"/>
            </w:pPr>
            <w:r>
              <w:t xml:space="preserve">Required when catastrophe relevance plausible</w:t>
            </w:r>
          </w:p>
        </w:tc>
        <w:tc>
          <w:tcPr>
            <w:tcMar>
              <w:top w:w="80" w:type="dxa"/>
              <w:start w:w="90" w:type="dxa"/>
              <w:bottom w:w="80" w:type="dxa"/>
              <w:end w:w="90" w:type="dxa"/>
            </w:tcMar>
            <w:shd w:fill="D9EAF7" w:val="clear"/>
          </w:tcPr>
          <w:p>
            <w:pPr>
              <w:pStyle w:val="Compact"/>
              <w:jc w:val="left"/>
            </w:pPr>
            <w:r>
              <w:t xml:space="preserve">≥5 minimum</w:t>
            </w:r>
          </w:p>
        </w:tc>
      </w:tr>
      <w:tr>
        <w:trPr/>
        <w:tc>
          <w:tcPr>
            <w:tcMar>
              <w:top w:w="80" w:type="dxa"/>
              <w:start w:w="90" w:type="dxa"/>
              <w:bottom w:w="80" w:type="dxa"/>
              <w:end w:w="90" w:type="dxa"/>
            </w:tcMar>
            <w:shd w:fill="F7FBFF" w:val="clear"/>
          </w:tcPr>
          <w:p>
            <w:pPr>
              <w:pStyle w:val="Compact"/>
              <w:jc w:val="left"/>
            </w:pPr>
            <w:r>
              <w:t xml:space="preserve">Tier 3</w:t>
            </w:r>
          </w:p>
        </w:tc>
        <w:tc>
          <w:tcPr>
            <w:tcMar>
              <w:top w:w="80" w:type="dxa"/>
              <w:start w:w="90" w:type="dxa"/>
              <w:bottom w:w="80" w:type="dxa"/>
              <w:end w:w="90" w:type="dxa"/>
            </w:tcMar>
            <w:shd w:fill="F7FBFF" w:val="clear"/>
          </w:tcPr>
          <w:p>
            <w:pPr>
              <w:pStyle w:val="Compact"/>
              <w:jc w:val="left"/>
            </w:pPr>
            <w:r>
              <w:t xml:space="preserve">Required</w:t>
            </w:r>
          </w:p>
        </w:tc>
        <w:tc>
          <w:tcPr>
            <w:tcMar>
              <w:top w:w="80" w:type="dxa"/>
              <w:start w:w="90" w:type="dxa"/>
              <w:bottom w:w="80" w:type="dxa"/>
              <w:end w:w="90" w:type="dxa"/>
            </w:tcMar>
            <w:shd w:fill="F7FBFF" w:val="clear"/>
          </w:tcPr>
          <w:p>
            <w:pPr>
              <w:pStyle w:val="Compact"/>
              <w:jc w:val="left"/>
            </w:pPr>
            <w:r>
              <w:t xml:space="preserve">≥20 minimum</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Tier 4</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Design target only</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N/A</w:t>
            </w:r>
          </w:p>
        </w:tc>
      </w:tr>
    </w:tbl>
    <w:bookmarkEnd w:id="379"/>
    <w:bookmarkStart w:id="380" w:name="X955489bf14f6a44135d627ef43ed25fecf493f3"/>
    <w:p>
      <w:pPr>
        <w:pStyle w:val="Heading2"/>
        <w:keepNext/>
        <w:keepLines/>
        <w:pageBreakBefore w:val="0"/>
        <w:widowControl/>
      </w:pPr>
      <w:r>
        <w:rPr>
          <w:rFonts w:ascii="Arial" w:hAnsi="Arial" w:eastAsia="Arial"/>
          <w:b/>
          <w:color w:val="1F4E78"/>
        </w:rPr>
        <w:t xml:space="preserve">D.5 Scenario Definition Template (Normative Minimum Fields)</w:t>
      </w:r>
    </w:p>
    <w:p>
      <w:pPr>
        <w:pStyle w:val="FirstParagraph"/>
        <w:widowControl/>
      </w:pPr>
      <w:r>
        <w:t xml:space="preserve">Each scenario record in PCC MUST include:</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Field</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Description</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Scenario ID</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Unique identifier within the run</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Name</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Descriptive name</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Category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One of the mandatory categories or “baseline/other”</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Narrative</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2-5 sentences describing the scenario</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Time horizon</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Timing assumptions</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Key stressors</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What breaks, how, and cascading effects</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Parameterization</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What changes in impacts/likelihoods under this scenario</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Probability p_s</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Assigned probability with provenance</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Provenance</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Data source, model, expert elicitation, or governance prior</w:t>
            </w:r>
          </w:p>
        </w:tc>
      </w:tr>
      <w:tr>
        <w:trPr/>
        <w:tc>
          <w:tcPr>
            <w:tcMar>
              <w:top w:w="80" w:type="dxa"/>
              <w:start w:w="90" w:type="dxa"/>
              <w:bottom w:w="80" w:type="dxa"/>
              <w:end w:w="90" w:type="dxa"/>
            </w:tcMar>
            <w:shd w:fill="D9EAF7" w:val="clear"/>
          </w:tcPr>
          <w:p>
            <w:pPr>
              <w:widowControl/>
              <w:spacing w:before="0" w:after="40"/>
            </w:pPr>
            <w:r>
              <w:rPr>
                <w:rFonts w:ascii="Arial" w:hAnsi="Arial" w:eastAsia="Arial"/>
                <w:sz w:val="18"/>
              </w:rPr>
              <w:t>Severity class</w:t>
            </w:r>
          </w:p>
        </w:tc>
        <w:tc>
          <w:tcPr>
            <w:tcMar>
              <w:top w:w="80" w:type="dxa"/>
              <w:start w:w="90" w:type="dxa"/>
              <w:bottom w:w="80" w:type="dxa"/>
              <w:end w:w="90" w:type="dxa"/>
            </w:tcMar>
            <w:shd w:fill="D9EAF7" w:val="clear"/>
          </w:tcPr>
          <w:p>
            <w:pPr>
              <w:widowControl/>
              <w:spacing w:before="0" w:after="40"/>
            </w:pPr>
            <w:r>
              <w:rPr>
                <w:rFonts w:ascii="Arial" w:hAnsi="Arial" w:eastAsia="Arial"/>
                <w:sz w:val="18"/>
              </w:rPr>
              <w:t>C1_SEVERE / C2_SYSTEMIC / C3_CIVILIZATIONAL / C4_EXISTENTIAL</w:t>
            </w:r>
          </w:p>
        </w:tc>
      </w:tr>
      <w:tr>
        <w:trPr/>
        <w:tc>
          <w:tcPr>
            <w:tcMar>
              <w:top w:w="80" w:type="dxa"/>
              <w:start w:w="90" w:type="dxa"/>
              <w:bottom w:w="80" w:type="dxa"/>
              <w:end w:w="90" w:type="dxa"/>
            </w:tcMar>
            <w:shd w:fill="F7FBFF" w:val="clear"/>
            <w:tcBorders>
              <w:bottom w:val="single" w:sz="8" w:space="0" w:color="1F4E78"/>
            </w:tcBorders>
          </w:tcPr>
          <w:p>
            <w:pPr>
              <w:widowControl/>
              <w:spacing w:before="0" w:after="40"/>
            </w:pPr>
            <w:r>
              <w:rPr>
                <w:rFonts w:ascii="Arial" w:hAnsi="Arial" w:eastAsia="Arial"/>
                <w:sz w:val="18"/>
              </w:rPr>
              <w:t>Dependence cluster</w:t>
            </w:r>
          </w:p>
        </w:tc>
        <w:tc>
          <w:tcPr>
            <w:tcMar>
              <w:top w:w="80" w:type="dxa"/>
              <w:start w:w="90" w:type="dxa"/>
              <w:bottom w:w="80" w:type="dxa"/>
              <w:end w:w="90" w:type="dxa"/>
            </w:tcMar>
            <w:shd w:fill="F7FBFF" w:val="clear"/>
            <w:tcBorders>
              <w:bottom w:val="single" w:sz="8" w:space="0" w:color="1F4E78"/>
            </w:tcBorders>
          </w:tcPr>
          <w:p>
            <w:pPr>
              <w:widowControl/>
              <w:spacing w:before="0" w:after="40"/>
            </w:pPr>
            <w:r>
              <w:rPr>
                <w:rFonts w:ascii="Arial" w:hAnsi="Arial" w:eastAsia="Arial"/>
                <w:sz w:val="18"/>
              </w:rPr>
              <w:t>Declared common-cause or dependence-cluster identifier; NONE only with justification.</w:t>
            </w:r>
          </w:p>
        </w:tc>
      </w:tr>
    </w:tbl>
    <w:bookmarkEnd w:id="380"/>
    <w:bookmarkStart w:id="381" w:name="Xcc5fa6430b48fc085b8b971219c712e713d3d5a"/>
    <w:p>
      <w:pPr>
        <w:pStyle w:val="Heading2"/>
        <w:keepNext/>
        <w:keepLines/>
        <w:pageBreakBefore w:val="0"/>
        <w:widowControl/>
      </w:pPr>
      <w:r>
        <w:rPr>
          <w:rFonts w:ascii="Arial" w:hAnsi="Arial" w:eastAsia="Arial"/>
          <w:b/>
          <w:color w:val="1F4E78"/>
        </w:rPr>
        <w:t xml:space="preserve">D.6 Loss Construction (Bounded-Impact Mode, Tier 1-3 Canon)</w:t>
      </w:r>
    </w:p>
    <w:p>
      <w:pPr>
        <w:pStyle w:val="FirstParagraph"/>
        <w:widowControl/>
      </w:pPr>
      <w:r>
        <w:t xml:space="preserve">Normative stream binding (Design A): TRC MUST be computed from the Base stream (I_prop_base). TRC MUST NOT use Welfare-stream (sentience-weighted) impacts.</w:t>
      </w:r>
    </w:p>
    <w:p>
      <w:pPr>
        <w:pStyle w:val="BodyText"/>
        <w:widowControl/>
      </w:pPr>
      <w:r>
        <w:t xml:space="preserve">For each scenario s:</w:t>
      </w:r>
    </w:p>
    <w:p>
      <w:pPr>
        <w:pStyle w:val="BodyText"/>
        <w:widowControl/>
      </w:pPr>
      <w:r>
        <w:t xml:space="preserve">L(a,s) = Σ_{c ∈ C_cat} ω_c × (−I_prop_base,c(a|s))⁺</w:t>
      </w:r>
    </w:p>
    <w:p>
      <w:pPr>
        <w:pStyle w:val="BodyText"/>
        <w:widowControl/>
      </w:pPr>
      <w:r>
        <w:t xml:space="preserve">with Σ_{c ∈ C_cat} ω_c = 1.</w:t>
      </w:r>
    </w:p>
    <w:p>
      <w:pPr>
        <w:pStyle w:val="BodyText"/>
        <w:widowControl/>
      </w:pPr>
      <w:r>
        <w:t xml:space="preserve">Default catastrophe weights: Uniform over C_cat unless otherwise governed.</w:t>
      </w:r>
    </w:p>
    <w:bookmarkEnd w:id="381"/>
    <w:bookmarkStart w:id="382" w:name="X88b26a6f3ba392acf9280941c28aeebac600f58"/>
    <w:p>
      <w:pPr>
        <w:pStyle w:val="Heading2"/>
        <w:keepNext/>
        <w:keepLines/>
        <w:pageBreakBefore w:val="0"/>
        <w:widowControl/>
      </w:pPr>
      <w:r>
        <w:rPr>
          <w:rFonts w:ascii="Arial" w:hAnsi="Arial" w:eastAsia="Arial"/>
          <w:b/>
          <w:color w:val="1F4E78"/>
        </w:rPr>
        <w:t xml:space="preserve">D.7 Discrete CVaR Algorithm (Canonical; Tier 1-3)</w:t>
      </w:r>
    </w:p>
    <w:p>
      <w:pPr>
        <w:pStyle w:val="FirstParagraph"/>
        <w:widowControl/>
      </w:pPr>
      <w:r>
        <w:t xml:space="preserve">Inputs: losses L(a, s1), …, L(a, sn); probabilities p1, …, pn; tail level α.</w:t>
      </w:r>
    </w:p>
    <w:p>
      <w:pPr>
        <w:pStyle w:val="BodyText"/>
        <w:widowControl/>
      </w:pPr>
      <w:r>
        <w:t xml:space="preserve">1. Let β := 1 − α.</w:t>
      </w:r>
    </w:p>
    <w:p>
      <w:pPr>
        <w:pStyle w:val="BodyText"/>
        <w:widowControl/>
      </w:pPr>
      <w:r>
        <w:t xml:space="preserve">2. Sort scenarios by loss descending: L_(1) ≥ L_(2) ≥ ⋯ ≥ L_(n), carrying the aligned probabilities p_(i).</w:t>
      </w:r>
    </w:p>
    <w:p>
      <w:pPr>
        <w:pStyle w:val="BodyText"/>
        <w:widowControl/>
      </w:pPr>
      <w:r>
        <w:t xml:space="preserve">3. Let k* be the smallest index such that Σ_{i=1}^{k*} p_(i) ≥ β.</w:t>
      </w:r>
    </w:p>
    <w:p>
      <w:pPr>
        <w:pStyle w:val="BodyText"/>
        <w:widowControl/>
      </w:pPr>
      <w:r>
        <w:t xml:space="preserve">4. Define P_{k*−1} := Σ_{i=1}^{k*−1} p_(i) (and P_0 := 0).</w:t>
      </w:r>
    </w:p>
    <w:p>
      <w:pPr>
        <w:pStyle w:val="BodyText"/>
        <w:widowControl/>
      </w:pPr>
      <w:r>
        <w:t xml:space="preserve">5. Define δ := β − P_{k*−1}.</w:t>
      </w:r>
    </w:p>
    <w:p>
      <w:pPr>
        <w:pStyle w:val="BodyText"/>
        <w:widowControl/>
      </w:pPr>
      <w:r>
        <w:t xml:space="preserve">6. Compute:</w:t>
      </w:r>
    </w:p>
    <w:p>
      <w:pPr>
        <w:pStyle w:val="BodyText"/>
        <w:widowControl/>
      </w:pPr>
      <w:r>
        <w:t xml:space="preserve">CVaR_α[L(a)] = (1/β) · ( Σ_{i=1}^{k*−1} p_(i) L_(i) + δ · L_(k*) ).</w:t>
      </w:r>
    </w:p>
    <w:p>
      <w:pPr>
        <w:pStyle w:val="BodyText"/>
        <w:widowControl/>
      </w:pPr>
      <w:r>
        <w:t xml:space="preserve">Audit: PCC includes the sorted table, k*, P_{k*−1}, δ, and CVaR_α.</w:t>
      </w:r>
    </w:p>
    <w:p>
      <w:pPr>
        <w:pStyle w:val="BodyText"/>
        <w:widowControl/>
      </w:pPr>
      <w:r>
        <w:t xml:space="preserve">(Here L_(i) is shorthand for L(a, s_(i)).)</w:t>
      </w:r>
    </w:p>
    <w:bookmarkEnd w:id="382"/>
    <w:bookmarkStart w:id="383" w:name="d8-trc-corridor-check-canonical"/>
    <w:p>
      <w:pPr>
        <w:pStyle w:val="Heading2"/>
        <w:keepNext/>
        <w:keepLines/>
        <w:pageBreakBefore w:val="0"/>
        <w:widowControl/>
      </w:pPr>
      <w:r>
        <w:rPr>
          <w:rFonts w:ascii="Arial" w:hAnsi="Arial" w:eastAsia="Arial"/>
          <w:b/>
          <w:color w:val="1F4E78"/>
        </w:rPr>
        <w:t xml:space="preserve">D.8 TRC Corridor Check (Canonical)</w:t>
      </w:r>
    </w:p>
    <w:p>
      <w:pPr>
        <w:pStyle w:val="FirstParagraph"/>
        <w:widowControl/>
      </w:pPr>
      <w:r>
        <w:rPr>
          <w:rFonts w:ascii="Arial" w:hAnsi="Arial" w:eastAsia="Arial"/>
        </w:rPr>
        <w:t>TRC(a) = TRUE if and only if CVaR_α[L(a)] ≤ τ_TRC, every active class-specific cap or tolerance under Section 8.4A is satisfied, no unresolved material C3 or C4 field remains, and all mandatory scenario-family requirements are satisfied or governed exceptions are recorded.</w:t>
      </w:r>
    </w:p>
    <w:bookmarkEnd w:id="383"/>
    <w:bookmarkStart w:id="384" w:name="X93b49daed9ccfb1eb124c8b71fd8d22493cda1d"/>
    <w:p>
      <w:pPr>
        <w:pStyle w:val="Heading2"/>
        <w:keepNext/>
        <w:keepLines/>
        <w:pageBreakBefore w:val="0"/>
        <w:widowControl/>
      </w:pPr>
      <w:r>
        <w:rPr>
          <w:rFonts w:ascii="Arial" w:hAnsi="Arial" w:eastAsia="Arial"/>
          <w:b/>
          <w:color w:val="1F4E78"/>
        </w:rPr>
        <w:t xml:space="preserve">D.9 Default TRC Parameters by Context (Canonical Defaults)</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Context</w:t>
            </w:r>
          </w:p>
        </w:tc>
        <w:tc>
          <w:tcPr>
            <w:shd w:fill="1F4E78" w:val="clear"/>
            <w:tcMar>
              <w:top w:w="80" w:type="dxa"/>
              <w:start w:w="90" w:type="dxa"/>
              <w:bottom w:w="80" w:type="dxa"/>
              <w:end w:w="90" w:type="dxa"/>
            </w:tcMar>
          </w:tcPr>
          <w:p>
            <w:pPr>
              <w:pStyle w:val="Compact"/>
              <w:jc w:val="left"/>
            </w:pPr>
            <w:r>
              <w:rPr>
                <w:b/>
                <w:bCs/>
                <w:color w:val="FFFFFF"/>
              </w:rPr>
              <w:t xml:space="preserve">α (tail level)</w:t>
            </w:r>
          </w:p>
        </w:tc>
        <w:tc>
          <w:tcPr>
            <w:shd w:fill="1F4E78" w:val="clear"/>
            <w:tcMar>
              <w:top w:w="80" w:type="dxa"/>
              <w:start w:w="90" w:type="dxa"/>
              <w:bottom w:w="80" w:type="dxa"/>
              <w:end w:w="90" w:type="dxa"/>
            </w:tcMar>
          </w:tcPr>
          <w:p>
            <w:pPr>
              <w:pStyle w:val="Compact"/>
              <w:jc w:val="left"/>
            </w:pPr>
            <w:r>
              <w:rPr>
                <w:b/>
                <w:bCs/>
                <w:color w:val="FFFFFF"/>
              </w:rPr>
              <w:t xml:space="preserve">τ_TRC (threshold)</w:t>
            </w:r>
          </w:p>
        </w:tc>
      </w:tr>
      <w:tr>
        <w:trPr/>
        <w:tc>
          <w:tcPr>
            <w:tcMar>
              <w:top w:w="80" w:type="dxa"/>
              <w:start w:w="90" w:type="dxa"/>
              <w:bottom w:w="80" w:type="dxa"/>
              <w:end w:w="90" w:type="dxa"/>
            </w:tcMar>
            <w:shd w:fill="F7FBFF" w:val="clear"/>
          </w:tcPr>
          <w:p>
            <w:pPr>
              <w:pStyle w:val="Compact"/>
              <w:jc w:val="left"/>
            </w:pPr>
            <w:r>
              <w:t xml:space="preserve">Personal</w:t>
            </w:r>
          </w:p>
        </w:tc>
        <w:tc>
          <w:tcPr>
            <w:tcMar>
              <w:top w:w="80" w:type="dxa"/>
              <w:start w:w="90" w:type="dxa"/>
              <w:bottom w:w="80" w:type="dxa"/>
              <w:end w:w="90" w:type="dxa"/>
            </w:tcMar>
            <w:shd w:fill="F7FBFF" w:val="clear"/>
          </w:tcPr>
          <w:p>
            <w:pPr>
              <w:pStyle w:val="Compact"/>
              <w:jc w:val="left"/>
            </w:pPr>
            <w:r>
              <w:t xml:space="preserve">0.90</w:t>
            </w:r>
          </w:p>
        </w:tc>
        <w:tc>
          <w:tcPr>
            <w:tcMar>
              <w:top w:w="80" w:type="dxa"/>
              <w:start w:w="90" w:type="dxa"/>
              <w:bottom w:w="80" w:type="dxa"/>
              <w:end w:w="90" w:type="dxa"/>
            </w:tcMar>
            <w:shd w:fill="F7FBFF" w:val="clear"/>
          </w:tcPr>
          <w:p>
            <w:pPr>
              <w:pStyle w:val="Compact"/>
              <w:jc w:val="left"/>
            </w:pPr>
            <w:r>
              <w:t xml:space="preserve">0.30</w:t>
            </w:r>
          </w:p>
        </w:tc>
      </w:tr>
      <w:tr>
        <w:trPr/>
        <w:tc>
          <w:tcPr>
            <w:tcMar>
              <w:top w:w="80" w:type="dxa"/>
              <w:start w:w="90" w:type="dxa"/>
              <w:bottom w:w="80" w:type="dxa"/>
              <w:end w:w="90" w:type="dxa"/>
            </w:tcMar>
            <w:shd w:fill="D9EAF7" w:val="clear"/>
          </w:tcPr>
          <w:p>
            <w:pPr>
              <w:pStyle w:val="Compact"/>
              <w:jc w:val="left"/>
            </w:pPr>
            <w:r>
              <w:t xml:space="preserve">Organizational</w:t>
            </w:r>
          </w:p>
        </w:tc>
        <w:tc>
          <w:tcPr>
            <w:tcMar>
              <w:top w:w="80" w:type="dxa"/>
              <w:start w:w="90" w:type="dxa"/>
              <w:bottom w:w="80" w:type="dxa"/>
              <w:end w:w="90" w:type="dxa"/>
            </w:tcMar>
            <w:shd w:fill="D9EAF7" w:val="clear"/>
          </w:tcPr>
          <w:p>
            <w:pPr>
              <w:pStyle w:val="Compact"/>
              <w:jc w:val="left"/>
            </w:pPr>
            <w:r>
              <w:t xml:space="preserve">0.95</w:t>
            </w:r>
          </w:p>
        </w:tc>
        <w:tc>
          <w:tcPr>
            <w:tcMar>
              <w:top w:w="80" w:type="dxa"/>
              <w:start w:w="90" w:type="dxa"/>
              <w:bottom w:w="80" w:type="dxa"/>
              <w:end w:w="90" w:type="dxa"/>
            </w:tcMar>
            <w:shd w:fill="D9EAF7" w:val="clear"/>
          </w:tcPr>
          <w:p>
            <w:pPr>
              <w:pStyle w:val="Compact"/>
              <w:jc w:val="left"/>
            </w:pPr>
            <w:r>
              <w:t xml:space="preserve">0.20</w:t>
            </w:r>
          </w:p>
        </w:tc>
      </w:tr>
      <w:tr>
        <w:trPr/>
        <w:tc>
          <w:tcPr>
            <w:tcMar>
              <w:top w:w="80" w:type="dxa"/>
              <w:start w:w="90" w:type="dxa"/>
              <w:bottom w:w="80" w:type="dxa"/>
              <w:end w:w="90" w:type="dxa"/>
            </w:tcMar>
            <w:shd w:fill="F7FBFF" w:val="clear"/>
          </w:tcPr>
          <w:p>
            <w:pPr>
              <w:pStyle w:val="Compact"/>
              <w:jc w:val="left"/>
            </w:pPr>
            <w:r>
              <w:t xml:space="preserve">Reversible policy</w:t>
            </w:r>
          </w:p>
        </w:tc>
        <w:tc>
          <w:tcPr>
            <w:tcMar>
              <w:top w:w="80" w:type="dxa"/>
              <w:start w:w="90" w:type="dxa"/>
              <w:bottom w:w="80" w:type="dxa"/>
              <w:end w:w="90" w:type="dxa"/>
            </w:tcMar>
            <w:shd w:fill="F7FBFF" w:val="clear"/>
          </w:tcPr>
          <w:p>
            <w:pPr>
              <w:pStyle w:val="Compact"/>
              <w:jc w:val="left"/>
            </w:pPr>
            <w:r>
              <w:t xml:space="preserve">0.95</w:t>
            </w:r>
          </w:p>
        </w:tc>
        <w:tc>
          <w:tcPr>
            <w:tcMar>
              <w:top w:w="80" w:type="dxa"/>
              <w:start w:w="90" w:type="dxa"/>
              <w:bottom w:w="80" w:type="dxa"/>
              <w:end w:w="90" w:type="dxa"/>
            </w:tcMar>
            <w:shd w:fill="F7FBFF" w:val="clear"/>
          </w:tcPr>
          <w:p>
            <w:pPr>
              <w:pStyle w:val="Compact"/>
              <w:jc w:val="left"/>
            </w:pPr>
            <w:r>
              <w:t xml:space="preserve">0.15</w:t>
            </w:r>
          </w:p>
        </w:tc>
      </w:tr>
      <w:tr>
        <w:trPr/>
        <w:tc>
          <w:tcPr>
            <w:tcMar>
              <w:top w:w="80" w:type="dxa"/>
              <w:start w:w="90" w:type="dxa"/>
              <w:bottom w:w="80" w:type="dxa"/>
              <w:end w:w="90" w:type="dxa"/>
            </w:tcMar>
            <w:shd w:fill="D9EAF7" w:val="clear"/>
          </w:tcPr>
          <w:p>
            <w:pPr>
              <w:pStyle w:val="Compact"/>
              <w:jc w:val="left"/>
            </w:pPr>
            <w:r>
              <w:t xml:space="preserve">Irreversible policy</w:t>
            </w:r>
          </w:p>
        </w:tc>
        <w:tc>
          <w:tcPr>
            <w:tcMar>
              <w:top w:w="80" w:type="dxa"/>
              <w:start w:w="90" w:type="dxa"/>
              <w:bottom w:w="80" w:type="dxa"/>
              <w:end w:w="90" w:type="dxa"/>
            </w:tcMar>
            <w:shd w:fill="D9EAF7" w:val="clear"/>
          </w:tcPr>
          <w:p>
            <w:pPr>
              <w:pStyle w:val="Compact"/>
              <w:jc w:val="left"/>
            </w:pPr>
            <w:r>
              <w:t xml:space="preserve">0.99</w:t>
            </w:r>
          </w:p>
        </w:tc>
        <w:tc>
          <w:tcPr>
            <w:tcMar>
              <w:top w:w="80" w:type="dxa"/>
              <w:start w:w="90" w:type="dxa"/>
              <w:bottom w:w="80" w:type="dxa"/>
              <w:end w:w="90" w:type="dxa"/>
            </w:tcMar>
            <w:shd w:fill="D9EAF7" w:val="clear"/>
          </w:tcPr>
          <w:p>
            <w:pPr>
              <w:pStyle w:val="Compact"/>
              <w:jc w:val="left"/>
            </w:pPr>
            <w:r>
              <w:t xml:space="preserve">0.10</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Existential risk</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0.999</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0.05</w:t>
            </w:r>
          </w:p>
        </w:tc>
      </w:tr>
    </w:tbl>
    <w:bookmarkEnd w:id="384"/>
    <w:bookmarkStart w:id="385" w:name="d10-tier-2-strict-trc-rule-canonical"/>
    <w:p>
      <w:pPr>
        <w:pStyle w:val="Heading2"/>
        <w:keepNext/>
        <w:keepLines/>
        <w:pageBreakBefore w:val="0"/>
        <w:widowControl/>
      </w:pPr>
      <w:r>
        <w:rPr>
          <w:rFonts w:ascii="Arial" w:hAnsi="Arial" w:eastAsia="Arial"/>
          <w:b/>
          <w:color w:val="1F4E78"/>
        </w:rPr>
        <w:t xml:space="preserve">D.10 Tier 2 Strict TRC Rule (Canonical)</w:t>
      </w:r>
    </w:p>
    <w:p>
      <w:pPr>
        <w:pStyle w:val="FirstParagraph"/>
        <w:widowControl/>
      </w:pPr>
      <w:r>
        <w:t xml:space="preserve">If catastrophe relevance is plausible (per Section 8.1.1), Tier 2 MUST:</w:t>
      </w:r>
    </w:p>
    <w:p>
      <w:pPr>
        <w:pStyle w:val="Compact"/>
        <w:widowControl/>
        <w:numPr>
          <w:ilvl w:val="0"/>
          <w:numId w:val="1256"/>
        </w:numPr>
      </w:pPr>
      <w:r>
        <w:t xml:space="preserve">Compute TRC using this appendix</w:t>
      </w:r>
    </w:p>
    <w:p>
      <w:pPr>
        <w:pStyle w:val="Compact"/>
        <w:widowControl/>
        <w:numPr>
          <w:ilvl w:val="0"/>
          <w:numId w:val="1257"/>
        </w:numPr>
      </w:pPr>
      <w:r>
        <w:t xml:space="preserve">Use ≥5 scenarios minimum</w:t>
      </w:r>
    </w:p>
    <w:p>
      <w:pPr>
        <w:pStyle w:val="Compact"/>
        <w:widowControl/>
        <w:numPr>
          <w:ilvl w:val="0"/>
          <w:numId w:val="1258"/>
        </w:numPr>
      </w:pPr>
      <w:r>
        <w:t xml:space="preserve">Include mandatory tail categories with p_floor ≥ 0.02 per category unless explicitly implausible with documented justification per Section 8.3.2</w:t>
      </w:r>
    </w:p>
    <w:p>
      <w:pPr>
        <w:pStyle w:val="Compact"/>
        <w:widowControl/>
        <w:numPr>
          <w:ilvl w:val="0"/>
          <w:numId w:val="1259"/>
        </w:numPr>
      </w:pPr>
      <w:r>
        <w:t xml:space="preserve">Record the full scenario table and CVaR computation in PCC</w:t>
      </w:r>
    </w:p>
    <w:bookmarkEnd w:id="385"/>
    <w:bookmarkStart w:id="386" w:name="Xad846040566d2c8eccc96b0bdc95fc5b78af550"/>
    <w:p>
      <w:pPr>
        <w:pStyle w:val="Heading2"/>
        <w:keepNext/>
        <w:keepLines/>
        <w:pageBreakBefore w:val="0"/>
        <w:widowControl/>
      </w:pPr>
      <w:r>
        <w:rPr>
          <w:rFonts w:ascii="Arial" w:hAnsi="Arial" w:eastAsia="Arial"/>
          <w:b/>
          <w:color w:val="1F4E78"/>
        </w:rPr>
        <w:t xml:space="preserve">D.11 Tail Emergency Mode Reference Procedure (Canonical)</w:t>
      </w:r>
    </w:p>
    <w:p>
      <w:pPr>
        <w:pStyle w:val="FirstParagraph"/>
        <w:widowControl/>
      </w:pPr>
      <w:r>
        <w:t xml:space="preserve">If A_NCRC is non-empty but no option passes TRC, the ordinary admissible/selectable set is empty. Implementations MUST NOT rank the failed options through ordinary RLS and MUST NOT automatically select the least-CVaR option.</w:t>
      </w:r>
    </w:p>
    <w:p>
      <w:pPr>
        <w:pStyle w:val="BodyText"/>
        <w:widowControl/>
      </w:pPr>
      <w:r>
        <w:t xml:space="preserve">Default disposition:</w:t>
      </w:r>
      <w:r>
        <w:t xml:space="preserve"> </w:t>
      </w:r>
      <w:r>
        <w:rPr>
          <w:rStyle w:val="VerbatimChar"/>
        </w:rPr>
        <w:t xml:space="preserve">TRC_ALL_FAIL</w:t>
      </w:r>
      <w:r>
        <w:t xml:space="preserve"> </w:t>
      </w:r>
      <w:r>
        <w:t xml:space="preserve">-&gt; redesign, delay, no-action comparison, escalation, or refusal.</w:t>
      </w:r>
    </w:p>
    <w:p>
      <w:pPr>
        <w:pStyle w:val="BodyText"/>
        <w:widowControl/>
      </w:pPr>
      <w:r>
        <w:t xml:space="preserve">A provisional action may be considered only through the Tail Emergency Mode requirements in Section 8.8. The PCC MUST demonstrate necessity, failed or unavailable safer alternatives, explicit no-action/delay comparison, independent challenge, an absolute maximum exposure bound, minimized scope and duration, monitoring and shutoff, mitigation, remedy/redress, higher approval, expiry, and return-to-normal criteria.</w:t>
      </w:r>
    </w:p>
    <w:p>
      <w:pPr>
        <w:pStyle w:val="BodyText"/>
        <w:widowControl/>
      </w:pPr>
      <w:r>
        <w:t xml:space="preserve">Only candidates satisfying every Section 8.8 prerequisite may enter the emergency candidate set. Within that set, minimum CVaR may identify the least-tail-risk provisional action. Record</w:t>
      </w:r>
      <w:r>
        <w:t xml:space="preserve"> </w:t>
      </w:r>
      <w:r>
        <w:rPr>
          <w:rStyle w:val="VerbatimChar"/>
        </w:rPr>
        <w:t xml:space="preserve">TAIL_EMERGENCY_MODE_INVOKED</w:t>
      </w:r>
      <w:r>
        <w:t xml:space="preserve"> </w:t>
      </w:r>
      <w:r>
        <w:t xml:space="preserve">and return</w:t>
      </w:r>
      <w:r>
        <w:t xml:space="preserve"> </w:t>
      </w:r>
      <w:r>
        <w:rPr>
          <w:rStyle w:val="VerbatimChar"/>
        </w:rPr>
        <w:t xml:space="preserve">TAIL_EMERGENCY_PROVISIONAL_ACTION</w:t>
      </w:r>
      <w:r>
        <w:t xml:space="preserve">.</w:t>
      </w:r>
    </w:p>
    <w:p>
      <w:pPr>
        <w:pStyle w:val="BodyText"/>
        <w:widowControl/>
      </w:pPr>
      <w:r>
        <w:t xml:space="preserve">This state is not</w:t>
      </w:r>
      <w:r>
        <w:t xml:space="preserve"> </w:t>
      </w:r>
      <w:r>
        <w:rPr>
          <w:rStyle w:val="VerbatimChar"/>
        </w:rPr>
        <w:t xml:space="preserve">TRC_PASS</w:t>
      </w:r>
      <w:r>
        <w:t xml:space="preserve">, ordinary admissibility, ordinary selectability, alignment, or proof of safety. Ordinary RLS is prohibited. If no candidate satisfies the absolute exposure boundary or the governance prerequisites, the result is</w:t>
      </w:r>
      <w:r>
        <w:t xml:space="preserve"> </w:t>
      </w:r>
      <w:r>
        <w:rPr>
          <w:rStyle w:val="VerbatimChar"/>
        </w:rPr>
        <w:t xml:space="preserve">TAIL_EMERGENCY_REFUSED</w:t>
      </w:r>
      <w:r>
        <w:t xml:space="preserve"> </w:t>
      </w:r>
      <w:r>
        <w:t xml:space="preserve">or escalation under the governing charter or public-law emergency authority.</w:t>
      </w:r>
    </w:p>
    <w:p>
      <w:pPr>
        <w:pStyle w:val="BodyText"/>
        <w:widowControl/>
      </w:pPr>
      <w:r>
        <w:t xml:space="preserve">End Appendix D.</w:t>
      </w:r>
    </w:p>
    <w:bookmarkEnd w:id="386"/>
    <w:bookmarkEnd w:id="387"/>
    <w:bookmarkStart w:id="400" w:name="X6e2477238dde02298886e8f51317bfc50383c2a"/>
    <w:p>
      <w:pPr>
        <w:pStyle w:val="Heading1"/>
        <w:keepNext/>
        <w:keepLines/>
        <w:pageBreakBefore w:val="0"/>
        <w:widowControl/>
      </w:pPr>
      <w:r>
        <w:rPr>
          <w:rFonts w:ascii="Arial" w:hAnsi="Arial" w:eastAsia="Arial"/>
          <w:b/>
          <w:color w:val="1F4E78"/>
        </w:rPr>
        <w:t xml:space="preserve">APPENDIX E: UCI OPERATIONALIZATION PACK (TIER 1-3)</w:t>
      </w:r>
    </w:p>
    <w:p>
      <w:pPr>
        <w:pStyle w:val="FirstParagraph"/>
        <w:widowControl/>
      </w:pPr>
      <w:r>
        <w:t xml:space="preserve">Appendix E is normative for the UCI interface and Tier 3 constraints; indicator families are canonical guidance unless a deployment supplies validated instruments.</w:t>
      </w:r>
    </w:p>
    <w:p>
      <w:pPr>
        <w:pStyle w:val="BodyText"/>
        <w:widowControl/>
      </w:pPr>
      <w:r>
        <w:t xml:space="preserve">Operational maturity note (Normative clarification). Tier-3 conformance requires declared structural indicator families and structural independence; it does not imply universal calibration. Deployments SHOULD publish a provisional indicator companion pack when using local instruments, including sources, normalization rule, and basic reliability notes.</w:t>
      </w:r>
    </w:p>
    <w:bookmarkStart w:id="388" w:name="e1-uci-component-definitions-canonical"/>
    <w:p>
      <w:pPr>
        <w:pStyle w:val="Heading2"/>
        <w:keepNext/>
        <w:keepLines/>
        <w:pageBreakBefore w:val="0"/>
        <w:widowControl/>
      </w:pPr>
      <w:r>
        <w:rPr>
          <w:rFonts w:ascii="Arial" w:hAnsi="Arial" w:eastAsia="Arial"/>
          <w:b/>
          <w:color w:val="1F4E78"/>
        </w:rPr>
        <w:t xml:space="preserve">E.1 UCI Component Definitions (Canonical)</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Component</w:t>
            </w:r>
          </w:p>
        </w:tc>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Description</w:t>
            </w:r>
          </w:p>
        </w:tc>
      </w:tr>
      <w:tr>
        <w:trPr/>
        <w:tc>
          <w:tcPr>
            <w:tcMar>
              <w:top w:w="80" w:type="dxa"/>
              <w:start w:w="90" w:type="dxa"/>
              <w:bottom w:w="80" w:type="dxa"/>
              <w:end w:w="90" w:type="dxa"/>
            </w:tcMar>
            <w:shd w:fill="F7FBFF" w:val="clear"/>
          </w:tcPr>
          <w:p>
            <w:pPr>
              <w:pStyle w:val="Compact"/>
              <w:jc w:val="left"/>
            </w:pPr>
            <w:r>
              <w:t xml:space="preserve">Cohesion</w:t>
            </w:r>
          </w:p>
        </w:tc>
        <w:tc>
          <w:tcPr>
            <w:tcMar>
              <w:top w:w="80" w:type="dxa"/>
              <w:start w:w="90" w:type="dxa"/>
              <w:bottom w:w="80" w:type="dxa"/>
              <w:end w:w="90" w:type="dxa"/>
            </w:tcMar>
            <w:shd w:fill="F7FBFF" w:val="clear"/>
          </w:tcPr>
          <w:p>
            <w:pPr>
              <w:pStyle w:val="Compact"/>
              <w:jc w:val="left"/>
            </w:pPr>
            <w:r>
              <w:t xml:space="preserve">H_u</w:t>
            </w:r>
          </w:p>
        </w:tc>
        <w:tc>
          <w:tcPr>
            <w:tcMar>
              <w:top w:w="80" w:type="dxa"/>
              <w:start w:w="90" w:type="dxa"/>
              <w:bottom w:w="80" w:type="dxa"/>
              <w:end w:w="90" w:type="dxa"/>
            </w:tcMar>
            <w:shd w:fill="F7FBFF" w:val="clear"/>
          </w:tcPr>
          <w:p>
            <w:pPr>
              <w:pStyle w:val="Compact"/>
              <w:jc w:val="left"/>
            </w:pPr>
            <w:r>
              <w:t xml:space="preserve">Internal connectivity, trust, shared identity, conflict resolution capacity</w:t>
            </w:r>
          </w:p>
        </w:tc>
      </w:tr>
      <w:tr>
        <w:trPr/>
        <w:tc>
          <w:tcPr>
            <w:tcMar>
              <w:top w:w="80" w:type="dxa"/>
              <w:start w:w="90" w:type="dxa"/>
              <w:bottom w:w="80" w:type="dxa"/>
              <w:end w:w="90" w:type="dxa"/>
            </w:tcMar>
            <w:shd w:fill="D9EAF7" w:val="clear"/>
          </w:tcPr>
          <w:p>
            <w:pPr>
              <w:pStyle w:val="Compact"/>
              <w:jc w:val="left"/>
            </w:pPr>
            <w:r>
              <w:t xml:space="preserve">Flow</w:t>
            </w:r>
          </w:p>
        </w:tc>
        <w:tc>
          <w:tcPr>
            <w:tcMar>
              <w:top w:w="80" w:type="dxa"/>
              <w:start w:w="90" w:type="dxa"/>
              <w:bottom w:w="80" w:type="dxa"/>
              <w:end w:w="90" w:type="dxa"/>
            </w:tcMar>
            <w:shd w:fill="D9EAF7" w:val="clear"/>
          </w:tcPr>
          <w:p>
            <w:pPr>
              <w:pStyle w:val="Compact"/>
              <w:jc w:val="left"/>
            </w:pPr>
            <w:r>
              <w:t xml:space="preserve">F_u</w:t>
            </w:r>
          </w:p>
        </w:tc>
        <w:tc>
          <w:tcPr>
            <w:tcMar>
              <w:top w:w="80" w:type="dxa"/>
              <w:start w:w="90" w:type="dxa"/>
              <w:bottom w:w="80" w:type="dxa"/>
              <w:end w:w="90" w:type="dxa"/>
            </w:tcMar>
            <w:shd w:fill="D9EAF7" w:val="clear"/>
          </w:tcPr>
          <w:p>
            <w:pPr>
              <w:pStyle w:val="Compact"/>
              <w:jc w:val="left"/>
            </w:pPr>
            <w:r>
              <w:t xml:space="preserve">Coordination throughput, information fidelity, resource allocation efficiency</w:t>
            </w:r>
          </w:p>
        </w:tc>
      </w:tr>
      <w:tr>
        <w:trPr/>
        <w:tc>
          <w:tcPr>
            <w:tcMar>
              <w:top w:w="80" w:type="dxa"/>
              <w:start w:w="90" w:type="dxa"/>
              <w:bottom w:w="80" w:type="dxa"/>
              <w:end w:w="90" w:type="dxa"/>
            </w:tcMar>
            <w:shd w:fill="F7FBFF" w:val="clear"/>
          </w:tcPr>
          <w:p>
            <w:pPr>
              <w:pStyle w:val="Compact"/>
              <w:jc w:val="left"/>
            </w:pPr>
            <w:r>
              <w:t xml:space="preserve">Resilience</w:t>
            </w:r>
          </w:p>
        </w:tc>
        <w:tc>
          <w:tcPr>
            <w:tcMar>
              <w:top w:w="80" w:type="dxa"/>
              <w:start w:w="90" w:type="dxa"/>
              <w:bottom w:w="80" w:type="dxa"/>
              <w:end w:w="90" w:type="dxa"/>
            </w:tcMar>
            <w:shd w:fill="F7FBFF" w:val="clear"/>
          </w:tcPr>
          <w:p>
            <w:pPr>
              <w:pStyle w:val="Compact"/>
              <w:jc w:val="left"/>
            </w:pPr>
            <w:r>
              <w:t xml:space="preserve">R_u</w:t>
            </w:r>
          </w:p>
        </w:tc>
        <w:tc>
          <w:tcPr>
            <w:tcMar>
              <w:top w:w="80" w:type="dxa"/>
              <w:start w:w="90" w:type="dxa"/>
              <w:bottom w:w="80" w:type="dxa"/>
              <w:end w:w="90" w:type="dxa"/>
            </w:tcMar>
            <w:shd w:fill="F7FBFF" w:val="clear"/>
          </w:tcPr>
          <w:p>
            <w:pPr>
              <w:pStyle w:val="Compact"/>
              <w:jc w:val="left"/>
            </w:pPr>
            <w:r>
              <w:t xml:space="preserve">Redundancy, robustness, recovery speed, adaptive capacity</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Equity</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E_u</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Fair distribution of burdens/benefits, voice representation, inclusion</w:t>
            </w:r>
          </w:p>
        </w:tc>
      </w:tr>
    </w:tbl>
    <w:bookmarkEnd w:id="388"/>
    <w:bookmarkStart w:id="389" w:name="e2-uci-formula-canonical"/>
    <w:p>
      <w:pPr>
        <w:pStyle w:val="Heading2"/>
        <w:keepNext/>
        <w:keepLines/>
        <w:pageBreakBefore w:val="0"/>
        <w:widowControl/>
      </w:pPr>
      <w:r>
        <w:rPr>
          <w:rFonts w:ascii="Arial" w:hAnsi="Arial" w:eastAsia="Arial"/>
          <w:b/>
          <w:color w:val="1F4E78"/>
        </w:rPr>
        <w:t xml:space="preserve">E.2 UCI Formula (Canonical)</w:t>
      </w:r>
    </w:p>
    <w:p>
      <w:pPr>
        <w:pStyle w:val="FirstParagraph"/>
        <w:widowControl/>
      </w:pPr>
      <w:r>
        <w:t xml:space="preserve">Let A_u be the set of applicable UCI components for Union Scope u. The canonical formula is:</w:t>
      </w:r>
    </w:p>
    <w:p>
      <w:pPr>
        <w:pStyle w:val="BodyText"/>
        <w:widowControl/>
      </w:pPr>
      <w:r>
        <w:t xml:space="preserve">UCI_u = [Σ_{j ∈ A_u} α_j X_{u,j}] / [Σ_{j ∈ A_u} α_j]</w:t>
      </w:r>
    </w:p>
    <w:p>
      <w:pPr>
        <w:pStyle w:val="BodyText"/>
        <w:widowControl/>
      </w:pPr>
      <w:r>
        <w:t xml:space="preserve">Default: α_H = α_F = α_R = α_E = 0.25 before applicable-component renormalization.</w:t>
      </w:r>
      <w:r>
        <w:t xml:space="preserve"> </w:t>
      </w:r>
      <w:r>
        <w:rPr>
          <w:rStyle w:val="VerbatimChar"/>
        </w:rPr>
        <w:t xml:space="preserve">NA</w:t>
      </w:r>
      <w:r>
        <w:t xml:space="preserve"> </w:t>
      </w:r>
      <w:r>
        <w:t xml:space="preserve">components are excluded;</w:t>
      </w:r>
      <w:r>
        <w:t xml:space="preserve"> </w:t>
      </w:r>
      <w:r>
        <w:rPr>
          <w:rStyle w:val="VerbatimChar"/>
        </w:rPr>
        <w:t xml:space="preserve">UNKNOWN</w:t>
      </w:r>
      <w:r>
        <w:t xml:space="preserve"> </w:t>
      </w:r>
      <w:r>
        <w:t xml:space="preserve">components are not scored and make UCI unavailable for the affected claim. For Self (U1), Equity is ordinarily</w:t>
      </w:r>
      <w:r>
        <w:t xml:space="preserve"> </w:t>
      </w:r>
      <w:r>
        <w:rPr>
          <w:rStyle w:val="VerbatimChar"/>
        </w:rPr>
        <w:t xml:space="preserve">NA</w:t>
      </w:r>
      <w:r>
        <w:t xml:space="preserve"> </w:t>
      </w:r>
      <w:r>
        <w:t xml:space="preserve">unless a governed within-self equity instrument is declared. For Biosphere (U7), Equity is ordinarily</w:t>
      </w:r>
      <w:r>
        <w:t xml:space="preserve"> </w:t>
      </w:r>
      <w:r>
        <w:rPr>
          <w:rStyle w:val="VerbatimChar"/>
        </w:rPr>
        <w:t xml:space="preserve">NA</w:t>
      </w:r>
      <w:r>
        <w:t xml:space="preserve"> </w:t>
      </w:r>
      <w:r>
        <w:t xml:space="preserve">unless a governed ecological-distribution or ecological-justice instrument exists. No perfect, neutral, or identity value is inserted.</w:t>
      </w:r>
    </w:p>
    <w:bookmarkEnd w:id="389"/>
    <w:bookmarkStart w:id="390" w:name="Xd74c0e60f8b7e74f8abe64235f7d8fec4f94915"/>
    <w:p>
      <w:pPr>
        <w:pStyle w:val="Heading2"/>
        <w:keepNext/>
        <w:keepLines/>
        <w:pageBreakBefore w:val="0"/>
        <w:widowControl/>
      </w:pPr>
      <w:r>
        <w:rPr>
          <w:rFonts w:ascii="Arial" w:hAnsi="Arial" w:eastAsia="Arial"/>
          <w:b/>
          <w:color w:val="1F4E78"/>
        </w:rPr>
        <w:t xml:space="preserve">E.3 Structural Independence Rule (Tier 3 Binding)</w:t>
      </w:r>
    </w:p>
    <w:p>
      <w:pPr>
        <w:pStyle w:val="FirstParagraph"/>
        <w:widowControl/>
      </w:pPr>
      <w:r>
        <w:t xml:space="preserve">UCI MUST be computed from structural/process indicators distinct from welfare indicators used for RLS.</w:t>
      </w:r>
    </w:p>
    <w:p>
      <w:pPr>
        <w:pStyle w:val="BodyText"/>
        <w:widowControl/>
      </w:pPr>
      <w:r>
        <w:t xml:space="preserve">At Tier 3:</w:t>
      </w:r>
    </w:p>
    <w:p>
      <w:pPr>
        <w:pStyle w:val="Compact"/>
        <w:widowControl/>
        <w:numPr>
          <w:ilvl w:val="0"/>
          <w:numId w:val="1260"/>
        </w:numPr>
      </w:pPr>
      <w:r>
        <w:t xml:space="preserve">Deriving UCI from welfare-cell impacts is PROHIBITED</w:t>
      </w:r>
    </w:p>
    <w:p>
      <w:pPr>
        <w:pStyle w:val="Compact"/>
        <w:widowControl/>
        <w:numPr>
          <w:ilvl w:val="0"/>
          <w:numId w:val="1261"/>
        </w:numPr>
      </w:pPr>
      <w:r>
        <w:t xml:space="preserve">If structural indicators are unavailable, UCI is treated as unavailable (see E.7)</w:t>
      </w:r>
    </w:p>
    <w:bookmarkEnd w:id="390"/>
    <w:bookmarkStart w:id="391" w:name="X9cb5f91eeed824c998e503c02ca99d3a04d9552"/>
    <w:p>
      <w:pPr>
        <w:pStyle w:val="Heading2"/>
        <w:keepNext/>
        <w:keepLines/>
        <w:pageBreakBefore w:val="0"/>
        <w:widowControl/>
      </w:pPr>
      <w:r>
        <w:rPr>
          <w:rFonts w:ascii="Arial" w:hAnsi="Arial" w:eastAsia="Arial"/>
          <w:b/>
          <w:color w:val="1F4E78"/>
        </w:rPr>
        <w:t xml:space="preserve">E.4 Indicator Families by Union (Canonical Guidance)</w:t>
      </w:r>
    </w:p>
    <w:p>
      <w:pPr>
        <w:pStyle w:val="FirstParagraph"/>
        <w:widowControl/>
      </w:pPr>
      <w:r>
        <w:t xml:space="preserve">U₁ Self:</w:t>
      </w:r>
    </w:p>
    <w:p>
      <w:pPr>
        <w:pStyle w:val="Compact"/>
        <w:widowControl/>
        <w:numPr>
          <w:ilvl w:val="0"/>
          <w:numId w:val="1262"/>
        </w:numPr>
      </w:pPr>
      <w:r>
        <w:t xml:space="preserve">Cohesion: Psychological integration, goal coherence, self-trust, internal conflict resolution</w:t>
      </w:r>
    </w:p>
    <w:p>
      <w:pPr>
        <w:pStyle w:val="Compact"/>
        <w:widowControl/>
        <w:numPr>
          <w:ilvl w:val="0"/>
          <w:numId w:val="1263"/>
        </w:numPr>
      </w:pPr>
      <w:r>
        <w:t xml:space="preserve">Flow: Task execution reliability, attention stability, cognitive throughput proxies</w:t>
      </w:r>
    </w:p>
    <w:p>
      <w:pPr>
        <w:pStyle w:val="Compact"/>
        <w:widowControl/>
        <w:numPr>
          <w:ilvl w:val="0"/>
          <w:numId w:val="1264"/>
        </w:numPr>
      </w:pPr>
      <w:r>
        <w:t xml:space="preserve">Resilience: Stress recovery, adaptive coping, flexibility under change</w:t>
      </w:r>
    </w:p>
    <w:p>
      <w:pPr>
        <w:pStyle w:val="Compact"/>
        <w:widowControl/>
        <w:numPr>
          <w:ilvl w:val="0"/>
          <w:numId w:val="1265"/>
        </w:numPr>
      </w:pPr>
      <w:r>
        <w:t xml:space="preserve">Equity: ordinarily NA unless a governed within-self equity instrument is declared; if applicable but unmeasured, UNKNOWN</w:t>
      </w:r>
    </w:p>
    <w:p>
      <w:pPr>
        <w:pStyle w:val="FirstParagraph"/>
        <w:widowControl/>
      </w:pPr>
      <w:r>
        <w:t xml:space="preserve">U₂ Household:</w:t>
      </w:r>
    </w:p>
    <w:p>
      <w:pPr>
        <w:pStyle w:val="Compact"/>
        <w:widowControl/>
        <w:numPr>
          <w:ilvl w:val="0"/>
          <w:numId w:val="1266"/>
        </w:numPr>
      </w:pPr>
      <w:r>
        <w:t xml:space="preserve">Cohesion: Relationship quality, conflict resolution, trust among members</w:t>
      </w:r>
    </w:p>
    <w:p>
      <w:pPr>
        <w:pStyle w:val="Compact"/>
        <w:widowControl/>
        <w:numPr>
          <w:ilvl w:val="0"/>
          <w:numId w:val="1267"/>
        </w:numPr>
      </w:pPr>
      <w:r>
        <w:t xml:space="preserve">Flow: Resource pooling efficiency, coordination routines, decision-making speed</w:t>
      </w:r>
    </w:p>
    <w:p>
      <w:pPr>
        <w:pStyle w:val="Compact"/>
        <w:widowControl/>
        <w:numPr>
          <w:ilvl w:val="0"/>
          <w:numId w:val="1268"/>
        </w:numPr>
      </w:pPr>
      <w:r>
        <w:t xml:space="preserve">Resilience: Emergency preparedness, support redundancy, recovery from shocks</w:t>
      </w:r>
    </w:p>
    <w:p>
      <w:pPr>
        <w:pStyle w:val="Compact"/>
        <w:widowControl/>
        <w:numPr>
          <w:ilvl w:val="0"/>
          <w:numId w:val="1269"/>
        </w:numPr>
      </w:pPr>
      <w:r>
        <w:t xml:space="preserve">Equity: Fair burden-sharing, voice parity, caregiving distribution fairness</w:t>
      </w:r>
    </w:p>
    <w:p>
      <w:pPr>
        <w:pStyle w:val="FirstParagraph"/>
        <w:widowControl/>
      </w:pPr>
      <w:r>
        <w:t xml:space="preserve">U₃ Community:</w:t>
      </w:r>
    </w:p>
    <w:p>
      <w:pPr>
        <w:pStyle w:val="Compact"/>
        <w:widowControl/>
        <w:numPr>
          <w:ilvl w:val="0"/>
          <w:numId w:val="1270"/>
        </w:numPr>
      </w:pPr>
      <w:r>
        <w:t xml:space="preserve">Cohesion: Social capital, trust indices, network density, belonging measures</w:t>
      </w:r>
    </w:p>
    <w:p>
      <w:pPr>
        <w:pStyle w:val="Compact"/>
        <w:widowControl/>
        <w:numPr>
          <w:ilvl w:val="0"/>
          <w:numId w:val="1271"/>
        </w:numPr>
      </w:pPr>
      <w:r>
        <w:t xml:space="preserve">Flow: Collective action capacity, coordination lag, information spread fidelity</w:t>
      </w:r>
    </w:p>
    <w:p>
      <w:pPr>
        <w:pStyle w:val="Compact"/>
        <w:widowControl/>
        <w:numPr>
          <w:ilvl w:val="0"/>
          <w:numId w:val="1272"/>
        </w:numPr>
      </w:pPr>
      <w:r>
        <w:t xml:space="preserve">Resilience: Mutual aid redundancy, disaster response capacity, recovery history</w:t>
      </w:r>
    </w:p>
    <w:p>
      <w:pPr>
        <w:pStyle w:val="Compact"/>
        <w:widowControl/>
        <w:numPr>
          <w:ilvl w:val="0"/>
          <w:numId w:val="1273"/>
        </w:numPr>
      </w:pPr>
      <w:r>
        <w:t xml:space="preserve">Equity: Inclusion of marginalized groups, access parity, procedural fairness in local governance</w:t>
      </w:r>
    </w:p>
    <w:p>
      <w:pPr>
        <w:pStyle w:val="FirstParagraph"/>
        <w:widowControl/>
      </w:pPr>
      <w:r>
        <w:t xml:space="preserve">U₄ Organization:</w:t>
      </w:r>
    </w:p>
    <w:p>
      <w:pPr>
        <w:pStyle w:val="Compact"/>
        <w:widowControl/>
        <w:numPr>
          <w:ilvl w:val="0"/>
          <w:numId w:val="1274"/>
        </w:numPr>
      </w:pPr>
      <w:r>
        <w:t xml:space="preserve">Cohesion: Culture trust indices, turnover stability, safety culture, shared purpose</w:t>
      </w:r>
    </w:p>
    <w:p>
      <w:pPr>
        <w:pStyle w:val="Compact"/>
        <w:widowControl/>
        <w:numPr>
          <w:ilvl w:val="0"/>
          <w:numId w:val="1275"/>
        </w:numPr>
      </w:pPr>
      <w:r>
        <w:t xml:space="preserve">Flow: Process throughput, coordination efficiency, error rates, execution reliability</w:t>
      </w:r>
    </w:p>
    <w:p>
      <w:pPr>
        <w:pStyle w:val="Compact"/>
        <w:widowControl/>
        <w:numPr>
          <w:ilvl w:val="0"/>
          <w:numId w:val="1276"/>
        </w:numPr>
      </w:pPr>
      <w:r>
        <w:t xml:space="preserve">Resilience: Redundancy, continuity planning, incident response maturity</w:t>
      </w:r>
    </w:p>
    <w:p>
      <w:pPr>
        <w:pStyle w:val="Compact"/>
        <w:widowControl/>
        <w:numPr>
          <w:ilvl w:val="0"/>
          <w:numId w:val="1277"/>
        </w:numPr>
      </w:pPr>
      <w:r>
        <w:t xml:space="preserve">Equity: Pay fairness, promotion parity, grievance procedures, representation</w:t>
      </w:r>
    </w:p>
    <w:p>
      <w:pPr>
        <w:pStyle w:val="FirstParagraph"/>
        <w:widowControl/>
      </w:pPr>
      <w:r>
        <w:t xml:space="preserve">U₅ Polity:</w:t>
      </w:r>
    </w:p>
    <w:p>
      <w:pPr>
        <w:pStyle w:val="Compact"/>
        <w:widowControl/>
        <w:numPr>
          <w:ilvl w:val="0"/>
          <w:numId w:val="1278"/>
        </w:numPr>
      </w:pPr>
      <w:r>
        <w:t xml:space="preserve">Cohesion: Institutional trust, social cohesion indices, legitimacy measures</w:t>
      </w:r>
    </w:p>
    <w:p>
      <w:pPr>
        <w:pStyle w:val="Compact"/>
        <w:widowControl/>
        <w:numPr>
          <w:ilvl w:val="0"/>
          <w:numId w:val="1279"/>
        </w:numPr>
      </w:pPr>
      <w:r>
        <w:t xml:space="preserve">Flow: Governance effectiveness, service delivery reliability, coordination speed</w:t>
      </w:r>
    </w:p>
    <w:p>
      <w:pPr>
        <w:pStyle w:val="Compact"/>
        <w:widowControl/>
        <w:numPr>
          <w:ilvl w:val="0"/>
          <w:numId w:val="1280"/>
        </w:numPr>
      </w:pPr>
      <w:r>
        <w:t xml:space="preserve">Resilience: Crisis response capacity, redundancy of critical systems</w:t>
      </w:r>
    </w:p>
    <w:p>
      <w:pPr>
        <w:pStyle w:val="Compact"/>
        <w:widowControl/>
        <w:numPr>
          <w:ilvl w:val="0"/>
          <w:numId w:val="1281"/>
        </w:numPr>
      </w:pPr>
      <w:r>
        <w:t xml:space="preserve">Equity: Rule of law parity, civil rights access parity, representation integrity</w:t>
      </w:r>
    </w:p>
    <w:p>
      <w:pPr>
        <w:pStyle w:val="FirstParagraph"/>
        <w:widowControl/>
      </w:pPr>
      <w:r>
        <w:t xml:space="preserve">U₆ Humanity / Global Coordination:</w:t>
      </w:r>
    </w:p>
    <w:p>
      <w:pPr>
        <w:pStyle w:val="Compact"/>
        <w:widowControl/>
        <w:numPr>
          <w:ilvl w:val="0"/>
          <w:numId w:val="1282"/>
        </w:numPr>
      </w:pPr>
      <w:r>
        <w:t xml:space="preserve">Cohesion: Cross-polity cooperation capacity, treaty adherence norms</w:t>
      </w:r>
    </w:p>
    <w:p>
      <w:pPr>
        <w:pStyle w:val="Compact"/>
        <w:widowControl/>
        <w:numPr>
          <w:ilvl w:val="0"/>
          <w:numId w:val="1283"/>
        </w:numPr>
      </w:pPr>
      <w:r>
        <w:t xml:space="preserve">Flow: Global coordination throughput, information-sharing integrity</w:t>
      </w:r>
    </w:p>
    <w:p>
      <w:pPr>
        <w:pStyle w:val="Compact"/>
        <w:widowControl/>
        <w:numPr>
          <w:ilvl w:val="0"/>
          <w:numId w:val="1284"/>
        </w:numPr>
      </w:pPr>
      <w:r>
        <w:t xml:space="preserve">Resilience: Global response capacity to pandemics/climate/conflict</w:t>
      </w:r>
    </w:p>
    <w:p>
      <w:pPr>
        <w:pStyle w:val="Compact"/>
        <w:widowControl/>
        <w:numPr>
          <w:ilvl w:val="0"/>
          <w:numId w:val="1285"/>
        </w:numPr>
      </w:pPr>
      <w:r>
        <w:t xml:space="preserve">Equity: Burden-sharing fairness, inclusion of vulnerable polities/populations</w:t>
      </w:r>
    </w:p>
    <w:p>
      <w:pPr>
        <w:pStyle w:val="FirstParagraph"/>
        <w:widowControl/>
      </w:pPr>
      <w:r>
        <w:t xml:space="preserve">U₇ Biosphere:</w:t>
      </w:r>
    </w:p>
    <w:p>
      <w:pPr>
        <w:pStyle w:val="Compact"/>
        <w:widowControl/>
        <w:numPr>
          <w:ilvl w:val="0"/>
          <w:numId w:val="1286"/>
        </w:numPr>
      </w:pPr>
      <w:r>
        <w:t xml:space="preserve">Cohesion: Ecosystem connectivity, biodiversity integrity, trophic network stability</w:t>
      </w:r>
    </w:p>
    <w:p>
      <w:pPr>
        <w:pStyle w:val="Compact"/>
        <w:widowControl/>
        <w:numPr>
          <w:ilvl w:val="0"/>
          <w:numId w:val="1287"/>
        </w:numPr>
      </w:pPr>
      <w:r>
        <w:t xml:space="preserve">Flow: Nutrient cycling integrity, carbon sequestration capacity, hydrological cycle stability</w:t>
      </w:r>
    </w:p>
    <w:p>
      <w:pPr>
        <w:pStyle w:val="Compact"/>
        <w:widowControl/>
        <w:numPr>
          <w:ilvl w:val="0"/>
          <w:numId w:val="1288"/>
        </w:numPr>
      </w:pPr>
      <w:r>
        <w:t xml:space="preserve">Resilience: Recovery capacity, redundancy of functional species, anti-fragility markers</w:t>
      </w:r>
    </w:p>
    <w:p>
      <w:pPr>
        <w:pStyle w:val="Compact"/>
        <w:widowControl/>
        <w:numPr>
          <w:ilvl w:val="0"/>
          <w:numId w:val="1289"/>
        </w:numPr>
      </w:pPr>
      <w:r>
        <w:t xml:space="preserve">Equity: Use distributional ecosystem-integrity or ecological-justice indicators when a governed instrument exists. If U7 Equity is genuinely inapplicable to the declared structural question, record</w:t>
      </w:r>
      <w:r>
        <w:t xml:space="preserve"> </w:t>
      </w:r>
      <w:r>
        <w:rPr>
          <w:rStyle w:val="VerbatimChar"/>
        </w:rPr>
        <w:t xml:space="preserve">E7 = NA</w:t>
      </w:r>
      <w:r>
        <w:t xml:space="preserve">, exclude it from the UCI aggregation, and renormalize the remaining applicable components. If U7 Equity is applicable but not adequately measured, record</w:t>
      </w:r>
      <w:r>
        <w:t xml:space="preserve"> </w:t>
      </w:r>
      <w:r>
        <w:rPr>
          <w:rStyle w:val="VerbatimChar"/>
        </w:rPr>
        <w:t xml:space="preserve">E7 = UNKNOWN</w:t>
      </w:r>
      <w:r>
        <w:t xml:space="preserve">; do not insert 1.0 or another neutral value. Material</w:t>
      </w:r>
      <w:r>
        <w:t xml:space="preserve"> </w:t>
      </w:r>
      <w:r>
        <w:rPr>
          <w:rStyle w:val="VerbatimChar"/>
        </w:rPr>
        <w:t xml:space="preserve">UNKNOWN</w:t>
      </w:r>
      <w:r>
        <w:t xml:space="preserve"> </w:t>
      </w:r>
      <w:r>
        <w:t xml:space="preserve">status makes UCI unavailable for the affected claim and requires evidence collection, claim narrowing, redesign, escalation, or refusal of an unqualified CSV pass.</w:t>
      </w:r>
    </w:p>
    <w:bookmarkEnd w:id="391"/>
    <w:bookmarkStart w:id="392" w:name="e5-δuci-computation-canonical"/>
    <w:p>
      <w:pPr>
        <w:pStyle w:val="Heading2"/>
        <w:keepNext/>
        <w:keepLines/>
        <w:pageBreakBefore w:val="0"/>
        <w:widowControl/>
      </w:pPr>
      <w:r>
        <w:rPr>
          <w:rFonts w:ascii="Arial" w:hAnsi="Arial" w:eastAsia="Arial"/>
          <w:b/>
          <w:color w:val="1F4E78"/>
        </w:rPr>
        <w:t xml:space="preserve">E.5 ΔUCI Computation (Canonical)</w:t>
      </w:r>
    </w:p>
    <w:p>
      <w:pPr>
        <w:pStyle w:val="FirstParagraph"/>
        <w:widowControl/>
      </w:pPr>
      <w:r>
        <w:t xml:space="preserve">ΔUCI_u(a) = UCI_u(a) − UCI_u(baseline)</w:t>
      </w:r>
    </w:p>
    <w:bookmarkEnd w:id="392"/>
    <w:bookmarkStart w:id="393" w:name="X500ac0625fddf54ace9be7cd931234721ddde65"/>
    <w:p>
      <w:pPr>
        <w:pStyle w:val="Heading2"/>
        <w:keepNext/>
        <w:keepLines/>
        <w:pageBreakBefore w:val="0"/>
        <w:widowControl/>
      </w:pPr>
      <w:r>
        <w:rPr>
          <w:rFonts w:ascii="Arial" w:hAnsi="Arial" w:eastAsia="Arial"/>
          <w:b/>
          <w:color w:val="1F4E78"/>
        </w:rPr>
        <w:t xml:space="preserve">E.6 Prospective UCI Estimation (Tier 3) (Normative Constraints)</w:t>
      </w:r>
    </w:p>
    <w:p>
      <w:pPr>
        <w:pStyle w:val="FirstParagraph"/>
        <w:widowControl/>
      </w:pPr>
      <w:r>
        <w:t xml:space="preserve">Tier 3 requires prospective (ex ante) estimation of UCI changes from structural indicators, not from welfare impacts. The PCC must:</w:t>
      </w:r>
    </w:p>
    <w:p>
      <w:pPr>
        <w:pStyle w:val="Compact"/>
        <w:widowControl/>
        <w:numPr>
          <w:ilvl w:val="0"/>
          <w:numId w:val="1290"/>
        </w:numPr>
      </w:pPr>
      <w:r>
        <w:t xml:space="preserve">Identify structural indicators used</w:t>
      </w:r>
    </w:p>
    <w:p>
      <w:pPr>
        <w:pStyle w:val="Compact"/>
        <w:widowControl/>
        <w:numPr>
          <w:ilvl w:val="0"/>
          <w:numId w:val="1291"/>
        </w:numPr>
      </w:pPr>
      <w:r>
        <w:t xml:space="preserve">Specify baseline values</w:t>
      </w:r>
    </w:p>
    <w:p>
      <w:pPr>
        <w:pStyle w:val="Compact"/>
        <w:widowControl/>
        <w:numPr>
          <w:ilvl w:val="0"/>
          <w:numId w:val="1292"/>
        </w:numPr>
      </w:pPr>
      <w:r>
        <w:t xml:space="preserve">Specify predicted changes under each option</w:t>
      </w:r>
    </w:p>
    <w:p>
      <w:pPr>
        <w:pStyle w:val="Compact"/>
        <w:widowControl/>
        <w:numPr>
          <w:ilvl w:val="0"/>
          <w:numId w:val="1293"/>
        </w:numPr>
      </w:pPr>
      <w:r>
        <w:t xml:space="preserve">Specify normalization to [0,1] for each component</w:t>
      </w:r>
    </w:p>
    <w:p>
      <w:pPr>
        <w:pStyle w:val="Compact"/>
        <w:widowControl/>
        <w:numPr>
          <w:ilvl w:val="0"/>
          <w:numId w:val="1294"/>
        </w:numPr>
      </w:pPr>
      <w:r>
        <w:t xml:space="preserve">Compute UCI_u and ΔUCI_u using E.2 and E.5</w:t>
      </w:r>
    </w:p>
    <w:bookmarkEnd w:id="393"/>
    <w:bookmarkStart w:id="394" w:name="X43213e14e8004ad614c02a1eccd4edbfd93cb44"/>
    <w:p>
      <w:pPr>
        <w:pStyle w:val="Heading2"/>
        <w:keepNext/>
        <w:keepLines/>
        <w:pageBreakBefore w:val="0"/>
        <w:widowControl/>
      </w:pPr>
      <w:r>
        <w:rPr>
          <w:rFonts w:ascii="Arial" w:hAnsi="Arial" w:eastAsia="Arial"/>
          <w:b/>
          <w:color w:val="1F4E78"/>
        </w:rPr>
        <w:t xml:space="preserve">E.7 UCI Unavailability Rule (Tier 3) (Normative)</w:t>
      </w:r>
    </w:p>
    <w:p>
      <w:pPr>
        <w:pStyle w:val="FirstParagraph"/>
        <w:widowControl/>
      </w:pPr>
      <w:r>
        <w:t xml:space="preserve">If structural indicators are unavailable such that UCI cannot be computed without violating E.3:</w:t>
      </w:r>
    </w:p>
    <w:p>
      <w:pPr>
        <w:pStyle w:val="Compact"/>
        <w:widowControl/>
        <w:numPr>
          <w:ilvl w:val="0"/>
          <w:numId w:val="1295"/>
        </w:numPr>
      </w:pPr>
      <w:r>
        <w:t xml:space="preserve">UCI MUST be treated as unavailable for tie-break purposes</w:t>
      </w:r>
    </w:p>
    <w:p>
      <w:pPr>
        <w:pStyle w:val="Compact"/>
        <w:widowControl/>
        <w:numPr>
          <w:ilvl w:val="0"/>
          <w:numId w:val="1296"/>
        </w:numPr>
      </w:pPr>
      <w:r>
        <w:t xml:space="preserve">If RLS lead is non-decisive, decision MUST escalate for more data/higher tier OR record a judgment call with label JUDGMENT_CALL_UCI_UNAVAILABLE and a monitoring plan</w:t>
      </w:r>
    </w:p>
    <w:p>
      <w:pPr>
        <w:pStyle w:val="Compact"/>
        <w:widowControl/>
        <w:numPr>
          <w:ilvl w:val="0"/>
          <w:numId w:val="1297"/>
        </w:numPr>
      </w:pPr>
      <w:r>
        <w:t xml:space="preserve">Any welfare-derived UCI proxy MUST NOT be used to claim Tier 3 compliance</w:t>
      </w:r>
    </w:p>
    <w:bookmarkEnd w:id="394"/>
    <w:bookmarkStart w:id="395" w:name="X1f34a219915fa9d62cc1fc920aa929766b2b6bc"/>
    <w:p>
      <w:pPr>
        <w:pStyle w:val="Heading2"/>
        <w:keepNext/>
        <w:keepLines/>
        <w:pageBreakBefore w:val="0"/>
        <w:widowControl/>
      </w:pPr>
      <w:r>
        <w:rPr>
          <w:rFonts w:ascii="Arial" w:hAnsi="Arial" w:eastAsia="Arial"/>
          <w:b/>
          <w:color w:val="1F4E78"/>
        </w:rPr>
        <w:t xml:space="preserve">E.7A UCI/HOI Dual-Use Reporting Interface (Normative for Tier 3)</w:t>
      </w:r>
    </w:p>
    <w:p>
      <w:pPr>
        <w:pStyle w:val="FirstParagraph"/>
        <w:widowControl/>
      </w:pPr>
      <w:r>
        <w:t xml:space="preserve">Purpose. UCI and HOI may serve as structural evidence in two distinct authority roles. Tier 3 implementations MUST record which role is being used.</w:t>
      </w:r>
    </w:p>
    <w:p>
      <w:pPr>
        <w:pStyle w:val="BodyText"/>
        <w:widowControl/>
      </w:pPr>
      <w:r>
        <w:t xml:space="preserve">Required fields: structural_indicator_id; indicator_family; containing_scope_affected; evidence_status; measurement_readiness_level; containment_relevance; containment_threshold_declared; containment_disposition; residual_tiebreak_relevance; duplicate_use_note; reviewer_disposition; audit_flag_if_any.</w:t>
      </w:r>
    </w:p>
    <w:p>
      <w:pPr>
        <w:pStyle w:val="BodyText"/>
        <w:widowControl/>
      </w:pPr>
      <w:r>
        <w:t xml:space="preserve">Rule. If containment_relevance is REQUIRED or THRESHOLD_CROSSED, the indicator SHALL be evaluated inside CSV before RLS. If the same indicator is later cited in residual tie-break, the PCC MUST state that gate-level containment disposition was already resolved and that residual use is limited to non-decisive structural preference, monitoring, or hollowing documentation.</w:t>
      </w:r>
    </w:p>
    <w:p>
      <w:pPr>
        <w:pStyle w:val="BodyText"/>
        <w:widowControl/>
      </w:pPr>
      <w:r>
        <w:t xml:space="preserve">Prohibited use. An implementation SHALL NOT move a gate-relevant structural indicator to residual tie-break in order to avoid containment failure, evidence unavailability, or escalation.</w:t>
      </w:r>
    </w:p>
    <w:bookmarkEnd w:id="395"/>
    <w:bookmarkStart w:id="396" w:name="X10d313a966203a9f4bfd536f7a5a1a44b67c88c"/>
    <w:p>
      <w:pPr>
        <w:pStyle w:val="Heading2"/>
        <w:keepNext/>
        <w:keepLines/>
        <w:pageBreakBefore w:val="0"/>
        <w:widowControl/>
      </w:pPr>
      <w:r>
        <w:rPr>
          <w:rFonts w:ascii="Arial" w:hAnsi="Arial" w:eastAsia="Arial"/>
          <w:b/>
          <w:color w:val="1F4E78"/>
        </w:rPr>
        <w:t xml:space="preserve">E.8 Minimal Measurement Protocol (Canonical Guidance)</w:t>
      </w:r>
    </w:p>
    <w:p>
      <w:pPr>
        <w:pStyle w:val="FirstParagraph"/>
        <w:widowControl/>
      </w:pPr>
      <w:r>
        <w:t xml:space="preserve">For each UCI component, the PCC SHOULD document: indicator(s) used; data source; normalization method; expected directionality; uncertainty or reliability notes; and review cadence.</w:t>
      </w:r>
    </w:p>
    <w:p>
      <w:pPr>
        <w:pStyle w:val="Compact"/>
        <w:widowControl/>
        <w:numPr>
          <w:ilvl w:val="0"/>
          <w:numId w:val="1298"/>
        </w:numPr>
      </w:pPr>
      <w:r>
        <w:t xml:space="preserve">Indicator(s) used</w:t>
      </w:r>
    </w:p>
    <w:p>
      <w:pPr>
        <w:pStyle w:val="Compact"/>
        <w:widowControl/>
        <w:numPr>
          <w:ilvl w:val="0"/>
          <w:numId w:val="1299"/>
        </w:numPr>
      </w:pPr>
      <w:r>
        <w:t xml:space="preserve">Data source</w:t>
      </w:r>
    </w:p>
    <w:p>
      <w:pPr>
        <w:pStyle w:val="Compact"/>
        <w:widowControl/>
        <w:numPr>
          <w:ilvl w:val="0"/>
          <w:numId w:val="1300"/>
        </w:numPr>
      </w:pPr>
      <w:r>
        <w:t xml:space="preserve">Normalization method</w:t>
      </w:r>
    </w:p>
    <w:p>
      <w:pPr>
        <w:pStyle w:val="Compact"/>
        <w:widowControl/>
        <w:numPr>
          <w:ilvl w:val="0"/>
          <w:numId w:val="1301"/>
        </w:numPr>
      </w:pPr>
      <w:r>
        <w:t xml:space="preserve">Expected directionality</w:t>
      </w:r>
    </w:p>
    <w:p>
      <w:pPr>
        <w:pStyle w:val="Compact"/>
        <w:widowControl/>
        <w:numPr>
          <w:ilvl w:val="0"/>
          <w:numId w:val="1302"/>
        </w:numPr>
      </w:pPr>
      <w:r>
        <w:t xml:space="preserve">Uncertainty or reliability notes</w:t>
      </w:r>
    </w:p>
    <w:p>
      <w:pPr>
        <w:pStyle w:val="Compact"/>
        <w:widowControl/>
        <w:numPr>
          <w:ilvl w:val="0"/>
          <w:numId w:val="1303"/>
        </w:numPr>
      </w:pPr>
      <w:r>
        <w:t xml:space="preserve">Review cadence</w:t>
      </w:r>
    </w:p>
    <w:bookmarkEnd w:id="396"/>
    <w:bookmarkStart w:id="397" w:name="Xa23e786e9f271ba098be2f14b634d2039d89ba6"/>
    <w:p>
      <w:pPr>
        <w:pStyle w:val="Heading2"/>
        <w:keepNext/>
        <w:keepLines/>
        <w:pageBreakBefore w:val="0"/>
        <w:widowControl/>
      </w:pPr>
      <w:r>
        <w:rPr>
          <w:rFonts w:ascii="Arial" w:hAnsi="Arial" w:eastAsia="Arial"/>
          <w:b/>
          <w:color w:val="1F4E78"/>
        </w:rPr>
        <w:t xml:space="preserve">E.8A Provisional UCI Measurement Protocol for Tier 3 pilots (Canonical Guidance)</w:t>
      </w:r>
    </w:p>
    <w:p>
      <w:pPr>
        <w:pStyle w:val="FirstParagraph"/>
        <w:widowControl/>
      </w:pPr>
      <w:r>
        <w:t xml:space="preserve">When a deployment claims Tier 3 run-level conformance and uses UCI operationally, each UCI component SHOULD be built from one to three structurally independent indicators per relevant scope, normalized to [0,1] under a declared rule, and aggregated by a declared within-component operator (default arithmetic mean unless another operator is justified).</w:t>
      </w:r>
    </w:p>
    <w:p>
      <w:pPr>
        <w:pStyle w:val="BodyText"/>
        <w:widowControl/>
      </w:pPr>
      <w:r>
        <w:t xml:space="preserve">Staleness and failure handling. If a required structural indicator is stale, contested, or unavailable such that structural independence cannot be preserved, the affected UCI component SHALL be treated as unavailable and the run SHALL follow the unavailability rule in E.7 rather than substituting welfare-derived proxies.</w:t>
      </w:r>
    </w:p>
    <w:p>
      <w:pPr>
        <w:pStyle w:val="BodyText"/>
        <w:widowControl/>
      </w:pPr>
      <w:r>
        <w:t xml:space="preserve">Status note (Normative clarification). Tier 3 run-level conformance claims are distinct from framework-level empirical operational-readiness claims. The current release line specifies how provisional UCI constructions are to be documented and constrained, but it does not claim that universally validated UCI instruments already exist.</w:t>
      </w:r>
    </w:p>
    <w:bookmarkEnd w:id="397"/>
    <w:bookmarkStart w:id="398" w:name="X3d622399f57c2035a3a59bf078fd38154a4161c"/>
    <w:p>
      <w:pPr>
        <w:pStyle w:val="Heading2"/>
        <w:keepNext/>
        <w:keepLines/>
        <w:pageBreakBefore w:val="0"/>
        <w:widowControl/>
      </w:pPr>
      <w:r>
        <w:rPr>
          <w:rFonts w:ascii="Arial" w:hAnsi="Arial" w:eastAsia="Arial"/>
          <w:b/>
          <w:color w:val="1F4E78"/>
        </w:rPr>
        <w:t xml:space="preserve">E.8B Tier 3 Starter Indicator Pack (Canonical Guidance)</w:t>
      </w:r>
    </w:p>
    <w:p>
      <w:pPr>
        <w:pStyle w:val="FirstParagraph"/>
        <w:widowControl/>
      </w:pPr>
      <w:r>
        <w:t xml:space="preserve">The following starter indicators MAY be used as provisional structural indicator families when no validated domain-specific pack exists. They do not constitute final empirical calibration, but they provide a minimum auditable starter surface.</w:t>
      </w:r>
    </w:p>
    <w:p>
      <w:pPr>
        <w:pStyle w:val="BodyText"/>
        <w:widowControl/>
      </w:pPr>
      <w:r>
        <w:t xml:space="preserve">U3 Community</w:t>
      </w:r>
    </w:p>
    <w:p>
      <w:pPr>
        <w:pStyle w:val="BodyText"/>
        <w:widowControl/>
      </w:pPr>
      <w:r>
        <w:t xml:space="preserve">Cohesion: local trust survey or equivalent community-trust instrument</w:t>
      </w:r>
    </w:p>
    <w:p>
      <w:pPr>
        <w:pStyle w:val="BodyText"/>
        <w:widowControl/>
      </w:pPr>
      <w:r>
        <w:t xml:space="preserve">Flow: coordination-response latency or meeting-to-action completion rate</w:t>
      </w:r>
    </w:p>
    <w:p>
      <w:pPr>
        <w:pStyle w:val="BodyText"/>
        <w:widowControl/>
      </w:pPr>
      <w:r>
        <w:t xml:space="preserve">Resilience: mutual-aid activation readiness or recovery-from-disruption measure</w:t>
      </w:r>
    </w:p>
    <w:p>
      <w:pPr>
        <w:pStyle w:val="BodyText"/>
        <w:widowControl/>
      </w:pPr>
      <w:r>
        <w:t xml:space="preserve">Equity: access-to-participation parity or grievance-resolution parity</w:t>
      </w:r>
    </w:p>
    <w:p>
      <w:pPr>
        <w:pStyle w:val="BodyText"/>
        <w:widowControl/>
      </w:pPr>
      <w:r>
        <w:t xml:space="preserve">U4 Organization</w:t>
      </w:r>
    </w:p>
    <w:p>
      <w:pPr>
        <w:pStyle w:val="BodyText"/>
        <w:widowControl/>
      </w:pPr>
      <w:r>
        <w:t xml:space="preserve">Cohesion: psychological-safety / trust instrument or equivalent (e.g., Edmondson, 1999)</w:t>
      </w:r>
    </w:p>
    <w:p>
      <w:pPr>
        <w:pStyle w:val="BodyText"/>
        <w:widowControl/>
      </w:pPr>
      <w:r>
        <w:t xml:space="preserve">Flow: process throughput or median handoff completion time</w:t>
      </w:r>
    </w:p>
    <w:p>
      <w:pPr>
        <w:pStyle w:val="BodyText"/>
        <w:widowControl/>
      </w:pPr>
      <w:r>
        <w:t xml:space="preserve">Resilience: incident recovery time or continuity readiness metric</w:t>
      </w:r>
    </w:p>
    <w:p>
      <w:pPr>
        <w:pStyle w:val="BodyText"/>
        <w:widowControl/>
      </w:pPr>
      <w:r>
        <w:t xml:space="preserve">Equity: promotion / burden / grievance parity indicator</w:t>
      </w:r>
    </w:p>
    <w:p>
      <w:pPr>
        <w:pStyle w:val="BodyText"/>
        <w:widowControl/>
      </w:pPr>
      <w:r>
        <w:t xml:space="preserve">U5 Polity</w:t>
      </w:r>
    </w:p>
    <w:p>
      <w:pPr>
        <w:pStyle w:val="BodyText"/>
        <w:widowControl/>
      </w:pPr>
      <w:r>
        <w:t xml:space="preserve">Cohesion: institutional trust or legitimacy measure</w:t>
      </w:r>
    </w:p>
    <w:p>
      <w:pPr>
        <w:pStyle w:val="BodyText"/>
        <w:widowControl/>
      </w:pPr>
      <w:r>
        <w:t xml:space="preserve">Flow: service-delivery or review-cycle timeliness measure</w:t>
      </w:r>
    </w:p>
    <w:p>
      <w:pPr>
        <w:pStyle w:val="BodyText"/>
        <w:widowControl/>
      </w:pPr>
      <w:r>
        <w:t xml:space="preserve">Resilience: emergency response readiness or continuity-of-governance measure</w:t>
      </w:r>
    </w:p>
    <w:p>
      <w:pPr>
        <w:pStyle w:val="BodyText"/>
        <w:widowControl/>
      </w:pPr>
      <w:r>
        <w:t xml:space="preserve">Equity: appeal access parity or due-process access parity measure</w:t>
      </w:r>
    </w:p>
    <w:p>
      <w:pPr>
        <w:pStyle w:val="BodyText"/>
        <w:widowControl/>
      </w:pPr>
      <w:r>
        <w:t xml:space="preserve">Minimum handling rules</w:t>
      </w:r>
    </w:p>
    <w:p>
      <w:pPr>
        <w:pStyle w:val="BodyText"/>
        <w:widowControl/>
      </w:pPr>
      <w:r>
        <w:t xml:space="preserve">Normalization to [0,1] MUST be declared in the PCC.</w:t>
      </w:r>
    </w:p>
    <w:p>
      <w:pPr>
        <w:pStyle w:val="BodyText"/>
        <w:widowControl/>
      </w:pPr>
      <w:r>
        <w:t xml:space="preserve">Data older than 12 months MUST be marked stale unless a stricter domain rule is declared.</w:t>
      </w:r>
    </w:p>
    <w:p>
      <w:pPr>
        <w:pStyle w:val="BodyText"/>
        <w:widowControl/>
      </w:pPr>
      <w:r>
        <w:t xml:space="preserve">If more than one required indicator family for a used scope is missing or stale, the affected UCI component SHALL be treated as unavailable.</w:t>
      </w:r>
    </w:p>
    <w:p>
      <w:pPr>
        <w:pStyle w:val="BodyText"/>
        <w:widowControl/>
      </w:pPr>
      <w:r>
        <w:t xml:space="preserve">A worked example using this starter pack SHOULD be included in any Tier 3 deployment companion pack.</w:t>
      </w:r>
    </w:p>
    <w:bookmarkEnd w:id="398"/>
    <w:bookmarkStart w:id="399" w:name="X41c47957a9d56d9a829d0d4c5ab9032efd01c8a"/>
    <w:p>
      <w:pPr>
        <w:pStyle w:val="Heading2"/>
        <w:keepNext/>
        <w:keepLines/>
        <w:pageBreakBefore w:val="0"/>
        <w:widowControl/>
      </w:pPr>
      <w:r>
        <w:rPr>
          <w:rFonts w:ascii="Arial" w:hAnsi="Arial" w:eastAsia="Arial"/>
          <w:b/>
          <w:color w:val="1F4E78"/>
        </w:rPr>
        <w:t xml:space="preserve">E.9 Measurement Guidance Expansion (Canonical Guidance)</w:t>
      </w:r>
    </w:p>
    <w:p>
      <w:pPr>
        <w:pStyle w:val="FirstParagraph"/>
        <w:widowControl/>
      </w:pPr>
      <w:r>
        <w:t xml:space="preserve">For publication and Tier 3 preparation, each deployment SHOULD maintain a short UCI measurement note per component and scope covering: operational definition, indicator family chosen, normalization rule, expected update cadence, minimum acceptable data quality, independence check, and failure handling when indicators are missing or stale. Where validated instruments do not yet exist, the PCC MUST label the construction as provisional and MUST NOT present the resulting UCI value as empirically calibrated. This guidance is intended to standardize measurement practice without pretending that UCI instruments are already universally validated.</w:t>
      </w:r>
    </w:p>
    <w:p>
      <w:pPr>
        <w:pStyle w:val="BodyText"/>
        <w:widowControl/>
      </w:pPr>
      <w:r>
        <w:t xml:space="preserve">End Appendix E.</w:t>
      </w:r>
    </w:p>
    <w:bookmarkEnd w:id="399"/>
    <w:bookmarkEnd w:id="400"/>
    <w:bookmarkStart w:id="406" w:name="X85ca30ff4d6b1725ba8e528750cbbd2b09e2da8"/>
    <w:p>
      <w:pPr>
        <w:pStyle w:val="Heading1"/>
        <w:keepNext/>
        <w:keepLines/>
        <w:pageBreakBefore w:val="0"/>
        <w:widowControl/>
      </w:pPr>
      <w:r>
        <w:rPr>
          <w:rFonts w:ascii="Arial" w:hAnsi="Arial" w:eastAsia="Arial"/>
          <w:b/>
          <w:color w:val="1F4E78"/>
        </w:rPr>
        <w:t xml:space="preserve">APPENDIX F: FAILURE MODES AND ANTI-GAMING CONTROLS (v12.0)</w:t>
      </w:r>
    </w:p>
    <w:p>
      <w:pPr>
        <w:pStyle w:val="FirstParagraph"/>
        <w:widowControl/>
      </w:pPr>
      <w:r>
        <w:t xml:space="preserve">Appendix F is normative for identified gaming vectors and required mitigations. Informative note. This appendix is carried forward substantively unchanged from the v9.0 line unless otherwise stated.</w:t>
      </w:r>
    </w:p>
    <w:bookmarkStart w:id="401" w:name="f1-identified-gaming-vectors-canonical"/>
    <w:p>
      <w:pPr>
        <w:pStyle w:val="Heading2"/>
        <w:keepNext/>
        <w:keepLines/>
        <w:pageBreakBefore w:val="0"/>
        <w:widowControl/>
      </w:pPr>
      <w:r>
        <w:rPr>
          <w:rFonts w:ascii="Arial" w:hAnsi="Arial" w:eastAsia="Arial"/>
          <w:b/>
          <w:color w:val="1F4E78"/>
        </w:rPr>
        <w:t xml:space="preserve">F.1 Identified Gaming Vectors (Canonical)</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Vector</w:t>
            </w:r>
          </w:p>
        </w:tc>
        <w:tc>
          <w:tcPr>
            <w:shd w:fill="1F4E78" w:val="clear"/>
            <w:tcMar>
              <w:top w:w="80" w:type="dxa"/>
              <w:start w:w="90" w:type="dxa"/>
              <w:bottom w:w="80" w:type="dxa"/>
              <w:end w:w="90" w:type="dxa"/>
            </w:tcMar>
          </w:tcPr>
          <w:p>
            <w:pPr>
              <w:pStyle w:val="Compact"/>
              <w:jc w:val="left"/>
            </w:pPr>
            <w:r>
              <w:rPr>
                <w:b/>
                <w:bCs/>
                <w:color w:val="FFFFFF"/>
              </w:rPr>
              <w:t xml:space="preserve">Description</w:t>
            </w:r>
          </w:p>
        </w:tc>
        <w:tc>
          <w:tcPr>
            <w:shd w:fill="1F4E78" w:val="clear"/>
            <w:tcMar>
              <w:top w:w="80" w:type="dxa"/>
              <w:start w:w="90" w:type="dxa"/>
              <w:bottom w:w="80" w:type="dxa"/>
              <w:end w:w="90" w:type="dxa"/>
            </w:tcMar>
          </w:tcPr>
          <w:p>
            <w:pPr>
              <w:pStyle w:val="Compact"/>
              <w:jc w:val="left"/>
            </w:pPr>
            <w:r>
              <w:rPr>
                <w:b/>
                <w:bCs/>
                <w:color w:val="FFFFFF"/>
              </w:rPr>
              <w:t xml:space="preserve">Structural Mitigation</w:t>
            </w:r>
          </w:p>
        </w:tc>
      </w:tr>
      <w:tr>
        <w:trPr/>
        <w:tc>
          <w:tcPr>
            <w:tcMar>
              <w:top w:w="80" w:type="dxa"/>
              <w:start w:w="90" w:type="dxa"/>
              <w:bottom w:w="80" w:type="dxa"/>
              <w:end w:w="90" w:type="dxa"/>
            </w:tcMar>
            <w:shd w:fill="F7FBFF" w:val="clear"/>
          </w:tcPr>
          <w:p>
            <w:pPr>
              <w:pStyle w:val="Compact"/>
              <w:jc w:val="left"/>
            </w:pPr>
            <w:r>
              <w:t xml:space="preserve">Option set manipulation</w:t>
            </w:r>
          </w:p>
        </w:tc>
        <w:tc>
          <w:tcPr>
            <w:tcMar>
              <w:top w:w="80" w:type="dxa"/>
              <w:start w:w="90" w:type="dxa"/>
              <w:bottom w:w="80" w:type="dxa"/>
              <w:end w:w="90" w:type="dxa"/>
            </w:tcMar>
            <w:shd w:fill="F7FBFF" w:val="clear"/>
          </w:tcPr>
          <w:p>
            <w:pPr>
              <w:pStyle w:val="Compact"/>
              <w:jc w:val="left"/>
            </w:pPr>
            <w:r>
              <w:t xml:space="preserve">Excluding viable alternatives so preferred option “wins”</w:t>
            </w:r>
          </w:p>
        </w:tc>
        <w:tc>
          <w:tcPr>
            <w:tcMar>
              <w:top w:w="80" w:type="dxa"/>
              <w:start w:w="90" w:type="dxa"/>
              <w:bottom w:w="80" w:type="dxa"/>
              <w:end w:w="90" w:type="dxa"/>
            </w:tcMar>
            <w:shd w:fill="F7FBFF" w:val="clear"/>
          </w:tcPr>
          <w:p>
            <w:pPr>
              <w:pStyle w:val="Compact"/>
              <w:jc w:val="left"/>
            </w:pPr>
            <w:r>
              <w:t xml:space="preserve">Minimum option requirement (≥2); independent challenger in emergencies; document option generation process</w:t>
            </w:r>
          </w:p>
        </w:tc>
      </w:tr>
      <w:tr>
        <w:trPr/>
        <w:tc>
          <w:tcPr>
            <w:tcMar>
              <w:top w:w="80" w:type="dxa"/>
              <w:start w:w="90" w:type="dxa"/>
              <w:bottom w:w="80" w:type="dxa"/>
              <w:end w:w="90" w:type="dxa"/>
            </w:tcMar>
            <w:shd w:fill="D9EAF7" w:val="clear"/>
          </w:tcPr>
          <w:p>
            <w:pPr>
              <w:pStyle w:val="Compact"/>
              <w:jc w:val="left"/>
            </w:pPr>
            <w:r>
              <w:t xml:space="preserve">Masking abuse</w:t>
            </w:r>
          </w:p>
        </w:tc>
        <w:tc>
          <w:tcPr>
            <w:tcMar>
              <w:top w:w="80" w:type="dxa"/>
              <w:start w:w="90" w:type="dxa"/>
              <w:bottom w:w="80" w:type="dxa"/>
              <w:end w:w="90" w:type="dxa"/>
            </w:tcMar>
            <w:shd w:fill="D9EAF7" w:val="clear"/>
          </w:tcPr>
          <w:p>
            <w:pPr>
              <w:pStyle w:val="Compact"/>
              <w:jc w:val="left"/>
            </w:pPr>
            <w:r>
              <w:t xml:space="preserve">Masking unfavorable cells to inflate RLS</w:t>
            </w:r>
          </w:p>
        </w:tc>
        <w:tc>
          <w:tcPr>
            <w:tcMar>
              <w:top w:w="80" w:type="dxa"/>
              <w:start w:w="90" w:type="dxa"/>
              <w:bottom w:w="80" w:type="dxa"/>
              <w:end w:w="90" w:type="dxa"/>
            </w:tcMar>
            <w:shd w:fill="D9EAF7" w:val="clear"/>
          </w:tcPr>
          <w:p>
            <w:pPr>
              <w:pStyle w:val="Compact"/>
              <w:jc w:val="left"/>
            </w:pPr>
            <w:r>
              <w:t xml:space="preserve">Non-maskable cells (rights + catastrophe) must remain unmasked; audit flags invalidate PCC</w:t>
            </w:r>
          </w:p>
        </w:tc>
      </w:tr>
      <w:tr>
        <w:trPr/>
        <w:tc>
          <w:tcPr>
            <w:tcMar>
              <w:top w:w="80" w:type="dxa"/>
              <w:start w:w="90" w:type="dxa"/>
              <w:bottom w:w="80" w:type="dxa"/>
              <w:end w:w="90" w:type="dxa"/>
            </w:tcMar>
            <w:shd w:fill="F7FBFF" w:val="clear"/>
          </w:tcPr>
          <w:p>
            <w:pPr>
              <w:pStyle w:val="Compact"/>
              <w:jc w:val="left"/>
            </w:pPr>
            <w:r>
              <w:t xml:space="preserve">Subgroup erasure</w:t>
            </w:r>
          </w:p>
        </w:tc>
        <w:tc>
          <w:tcPr>
            <w:tcMar>
              <w:top w:w="80" w:type="dxa"/>
              <w:start w:w="90" w:type="dxa"/>
              <w:bottom w:w="80" w:type="dxa"/>
              <w:end w:w="90" w:type="dxa"/>
            </w:tcMar>
            <w:shd w:fill="F7FBFF" w:val="clear"/>
          </w:tcPr>
          <w:p>
            <w:pPr>
              <w:pStyle w:val="Compact"/>
              <w:jc w:val="left"/>
            </w:pPr>
            <w:r>
              <w:t xml:space="preserve">Averaging away harms to vulnerable groups</w:t>
            </w:r>
          </w:p>
        </w:tc>
        <w:tc>
          <w:tcPr>
            <w:tcMar>
              <w:top w:w="80" w:type="dxa"/>
              <w:start w:w="90" w:type="dxa"/>
              <w:bottom w:w="80" w:type="dxa"/>
              <w:end w:w="90" w:type="dxa"/>
            </w:tcMar>
            <w:shd w:fill="F7FBFF" w:val="clear"/>
          </w:tcPr>
          <w:p>
            <w:pPr>
              <w:pStyle w:val="Compact"/>
              <w:jc w:val="left"/>
            </w:pPr>
            <w:r>
              <w:t xml:space="preserve">Worst-off subgroup operator for rights; subgroup enumeration; conservative bound when infeasible</w:t>
            </w:r>
          </w:p>
        </w:tc>
      </w:tr>
      <w:tr>
        <w:trPr/>
        <w:tc>
          <w:tcPr>
            <w:tcMar>
              <w:top w:w="80" w:type="dxa"/>
              <w:start w:w="90" w:type="dxa"/>
              <w:bottom w:w="80" w:type="dxa"/>
              <w:end w:w="90" w:type="dxa"/>
            </w:tcMar>
            <w:shd w:fill="D9EAF7" w:val="clear"/>
          </w:tcPr>
          <w:p>
            <w:pPr>
              <w:pStyle w:val="Compact"/>
              <w:jc w:val="left"/>
            </w:pPr>
            <w:r>
              <w:t xml:space="preserve">Scenario omission</w:t>
            </w:r>
          </w:p>
        </w:tc>
        <w:tc>
          <w:tcPr>
            <w:tcMar>
              <w:top w:w="80" w:type="dxa"/>
              <w:start w:w="90" w:type="dxa"/>
              <w:bottom w:w="80" w:type="dxa"/>
              <w:end w:w="90" w:type="dxa"/>
            </w:tcMar>
            <w:shd w:fill="D9EAF7" w:val="clear"/>
          </w:tcPr>
          <w:p>
            <w:pPr>
              <w:pStyle w:val="Compact"/>
              <w:jc w:val="left"/>
            </w:pPr>
            <w:r>
              <w:t xml:space="preserve">Leaving out unfavorable tail scenarios</w:t>
            </w:r>
          </w:p>
        </w:tc>
        <w:tc>
          <w:tcPr>
            <w:tcMar>
              <w:top w:w="80" w:type="dxa"/>
              <w:start w:w="90" w:type="dxa"/>
              <w:bottom w:w="80" w:type="dxa"/>
              <w:end w:w="90" w:type="dxa"/>
            </w:tcMar>
            <w:shd w:fill="D9EAF7" w:val="clear"/>
          </w:tcPr>
          <w:p>
            <w:pPr>
              <w:pStyle w:val="Compact"/>
              <w:jc w:val="left"/>
            </w:pPr>
            <w:r>
              <w:t xml:space="preserve">Mandatory tail categories and probability floors; scenario count minima; implausibility test per Section 8.3.2</w:t>
            </w:r>
          </w:p>
        </w:tc>
      </w:tr>
      <w:tr>
        <w:trPr/>
        <w:tc>
          <w:tcPr>
            <w:tcMar>
              <w:top w:w="80" w:type="dxa"/>
              <w:start w:w="90" w:type="dxa"/>
              <w:bottom w:w="80" w:type="dxa"/>
              <w:end w:w="90" w:type="dxa"/>
            </w:tcMar>
            <w:shd w:fill="F7FBFF" w:val="clear"/>
          </w:tcPr>
          <w:p>
            <w:pPr>
              <w:pStyle w:val="Compact"/>
              <w:jc w:val="left"/>
            </w:pPr>
            <w:r>
              <w:t xml:space="preserve">Probability gaming</w:t>
            </w:r>
          </w:p>
        </w:tc>
        <w:tc>
          <w:tcPr>
            <w:tcMar>
              <w:top w:w="80" w:type="dxa"/>
              <w:start w:w="90" w:type="dxa"/>
              <w:bottom w:w="80" w:type="dxa"/>
              <w:end w:w="90" w:type="dxa"/>
            </w:tcMar>
            <w:shd w:fill="F7FBFF" w:val="clear"/>
          </w:tcPr>
          <w:p>
            <w:pPr>
              <w:pStyle w:val="Compact"/>
              <w:jc w:val="left"/>
            </w:pPr>
            <w:r>
              <w:t xml:space="preserve">Assigning implausibly small p_s to tails</w:t>
            </w:r>
          </w:p>
        </w:tc>
        <w:tc>
          <w:tcPr>
            <w:tcMar>
              <w:top w:w="80" w:type="dxa"/>
              <w:start w:w="90" w:type="dxa"/>
              <w:bottom w:w="80" w:type="dxa"/>
              <w:end w:w="90" w:type="dxa"/>
            </w:tcMar>
            <w:shd w:fill="F7FBFF" w:val="clear"/>
          </w:tcPr>
          <w:p>
            <w:pPr>
              <w:pStyle w:val="Compact"/>
              <w:jc w:val="left"/>
            </w:pPr>
            <w:r>
              <w:t xml:space="preserve">Probability provenance required; p_floor per category; sensitivity perturbations at Tier 3</w:t>
            </w:r>
          </w:p>
        </w:tc>
      </w:tr>
      <w:tr>
        <w:trPr/>
        <w:tc>
          <w:tcPr>
            <w:tcMar>
              <w:top w:w="80" w:type="dxa"/>
              <w:start w:w="90" w:type="dxa"/>
              <w:bottom w:w="80" w:type="dxa"/>
              <w:end w:w="90" w:type="dxa"/>
            </w:tcMar>
            <w:shd w:fill="D9EAF7" w:val="clear"/>
          </w:tcPr>
          <w:p>
            <w:pPr>
              <w:pStyle w:val="Compact"/>
              <w:jc w:val="left"/>
            </w:pPr>
            <w:r>
              <w:t xml:space="preserve">Kernel capture</w:t>
            </w:r>
          </w:p>
        </w:tc>
        <w:tc>
          <w:tcPr>
            <w:tcMar>
              <w:top w:w="80" w:type="dxa"/>
              <w:start w:w="90" w:type="dxa"/>
              <w:bottom w:w="80" w:type="dxa"/>
              <w:end w:w="90" w:type="dxa"/>
            </w:tcMar>
            <w:shd w:fill="D9EAF7" w:val="clear"/>
          </w:tcPr>
          <w:p>
            <w:pPr>
              <w:pStyle w:val="Compact"/>
              <w:jc w:val="left"/>
            </w:pPr>
            <w:r>
              <w:t xml:space="preserve">Tweaking kernel edges to favor preferred option</w:t>
            </w:r>
          </w:p>
        </w:tc>
        <w:tc>
          <w:tcPr>
            <w:tcMar>
              <w:top w:w="80" w:type="dxa"/>
              <w:start w:w="90" w:type="dxa"/>
              <w:bottom w:w="80" w:type="dxa"/>
              <w:end w:w="90" w:type="dxa"/>
            </w:tcMar>
            <w:shd w:fill="D9EAF7" w:val="clear"/>
          </w:tcPr>
          <w:p>
            <w:pPr>
              <w:pStyle w:val="Compact"/>
              <w:jc w:val="left"/>
            </w:pPr>
            <w:r>
              <w:t xml:space="preserve">KQS bands; sensitivity perturbations; evidence classes; humility fallback to NONE</w:t>
            </w:r>
          </w:p>
        </w:tc>
      </w:tr>
      <w:tr>
        <w:trPr/>
        <w:tc>
          <w:tcPr>
            <w:tcMar>
              <w:top w:w="80" w:type="dxa"/>
              <w:start w:w="90" w:type="dxa"/>
              <w:bottom w:w="80" w:type="dxa"/>
              <w:end w:w="90" w:type="dxa"/>
            </w:tcMar>
            <w:shd w:fill="F7FBFF" w:val="clear"/>
          </w:tcPr>
          <w:p>
            <w:pPr>
              <w:pStyle w:val="Compact"/>
              <w:jc w:val="left"/>
            </w:pPr>
            <w:r>
              <w:t xml:space="preserve">Weight capture</w:t>
            </w:r>
          </w:p>
        </w:tc>
        <w:tc>
          <w:tcPr>
            <w:tcMar>
              <w:top w:w="80" w:type="dxa"/>
              <w:start w:w="90" w:type="dxa"/>
              <w:bottom w:w="80" w:type="dxa"/>
              <w:end w:w="90" w:type="dxa"/>
            </w:tcMar>
            <w:shd w:fill="F7FBFF" w:val="clear"/>
          </w:tcPr>
          <w:p>
            <w:pPr>
              <w:pStyle w:val="Compact"/>
              <w:jc w:val="left"/>
            </w:pPr>
            <w:r>
              <w:t xml:space="preserve">Steering HDW to underweight certain unions/dimensions</w:t>
            </w:r>
          </w:p>
        </w:tc>
        <w:tc>
          <w:tcPr>
            <w:tcMar>
              <w:top w:w="80" w:type="dxa"/>
              <w:start w:w="90" w:type="dxa"/>
              <w:bottom w:w="80" w:type="dxa"/>
              <w:end w:w="90" w:type="dxa"/>
            </w:tcMar>
            <w:shd w:fill="F7FBFF" w:val="clear"/>
          </w:tcPr>
          <w:p>
            <w:pPr>
              <w:pStyle w:val="Compact"/>
              <w:jc w:val="left"/>
            </w:pPr>
            <w:r>
              <w:t xml:space="preserve">Constitutional floors; supermajority locks near floors; transparency ledger; conflict disclosure</w:t>
            </w:r>
          </w:p>
        </w:tc>
      </w:tr>
      <w:tr>
        <w:trPr/>
        <w:tc>
          <w:tcPr>
            <w:tcMar>
              <w:top w:w="80" w:type="dxa"/>
              <w:start w:w="90" w:type="dxa"/>
              <w:bottom w:w="80" w:type="dxa"/>
              <w:end w:w="90" w:type="dxa"/>
            </w:tcMar>
            <w:shd w:fill="D9EAF7" w:val="clear"/>
          </w:tcPr>
          <w:p>
            <w:pPr>
              <w:pStyle w:val="Compact"/>
              <w:jc w:val="left"/>
            </w:pPr>
            <w:r>
              <w:t xml:space="preserve">Emergency abuse</w:t>
            </w:r>
          </w:p>
        </w:tc>
        <w:tc>
          <w:tcPr>
            <w:tcMar>
              <w:top w:w="80" w:type="dxa"/>
              <w:start w:w="90" w:type="dxa"/>
              <w:bottom w:w="80" w:type="dxa"/>
              <w:end w:w="90" w:type="dxa"/>
            </w:tcMar>
            <w:shd w:fill="D9EAF7" w:val="clear"/>
          </w:tcPr>
          <w:p>
            <w:pPr>
              <w:pStyle w:val="Compact"/>
              <w:jc w:val="left"/>
            </w:pPr>
            <w:r>
              <w:t xml:space="preserve">Declaring emergency to bypass rights</w:t>
            </w:r>
          </w:p>
        </w:tc>
        <w:tc>
          <w:tcPr>
            <w:tcMar>
              <w:top w:w="80" w:type="dxa"/>
              <w:start w:w="90" w:type="dxa"/>
              <w:bottom w:w="80" w:type="dxa"/>
              <w:end w:w="90" w:type="dxa"/>
            </w:tcMar>
            <w:shd w:fill="D9EAF7" w:val="clear"/>
          </w:tcPr>
          <w:p>
            <w:pPr>
              <w:pStyle w:val="Compact"/>
              <w:jc w:val="left"/>
            </w:pPr>
            <w:r>
              <w:t xml:space="preserve">Challenger requirement; remediation plan; public disclosure/audit triggers</w:t>
            </w:r>
          </w:p>
        </w:tc>
      </w:tr>
      <w:tr>
        <w:trPr/>
        <w:tc>
          <w:tcPr>
            <w:tcMar>
              <w:top w:w="80" w:type="dxa"/>
              <w:start w:w="90" w:type="dxa"/>
              <w:bottom w:w="80" w:type="dxa"/>
              <w:end w:w="90" w:type="dxa"/>
            </w:tcMar>
            <w:shd w:fill="F7FBFF" w:val="clear"/>
          </w:tcPr>
          <w:p>
            <w:pPr>
              <w:pStyle w:val="Compact"/>
              <w:jc w:val="left"/>
            </w:pPr>
            <w:r>
              <w:t xml:space="preserve">Confidence inflation</w:t>
            </w:r>
          </w:p>
        </w:tc>
        <w:tc>
          <w:tcPr>
            <w:tcMar>
              <w:top w:w="80" w:type="dxa"/>
              <w:start w:w="90" w:type="dxa"/>
              <w:bottom w:w="80" w:type="dxa"/>
              <w:end w:w="90" w:type="dxa"/>
            </w:tcMar>
            <w:shd w:fill="F7FBFF" w:val="clear"/>
          </w:tcPr>
          <w:p>
            <w:pPr>
              <w:pStyle w:val="Compact"/>
              <w:jc w:val="left"/>
            </w:pPr>
            <w:r>
              <w:t xml:space="preserve">Overstating confidence to increase impact weight</w:t>
            </w:r>
          </w:p>
        </w:tc>
        <w:tc>
          <w:tcPr>
            <w:tcMar>
              <w:top w:w="80" w:type="dxa"/>
              <w:start w:w="90" w:type="dxa"/>
              <w:bottom w:w="80" w:type="dxa"/>
              <w:end w:w="90" w:type="dxa"/>
            </w:tcMar>
            <w:shd w:fill="F7FBFF" w:val="clear"/>
          </w:tcPr>
          <w:p>
            <w:pPr>
              <w:pStyle w:val="Compact"/>
              <w:jc w:val="left"/>
            </w:pPr>
            <w:r>
              <w:t xml:space="preserve">c_k bounded [0.1, 1]; require evidence notes; sensitivity recommended</w:t>
            </w:r>
          </w:p>
        </w:tc>
      </w:tr>
      <w:tr>
        <w:trPr/>
        <w:tc>
          <w:tcPr>
            <w:tcMar>
              <w:top w:w="80" w:type="dxa"/>
              <w:start w:w="90" w:type="dxa"/>
              <w:bottom w:w="80" w:type="dxa"/>
              <w:end w:w="90" w:type="dxa"/>
            </w:tcMar>
            <w:shd w:fill="D9EAF7" w:val="clear"/>
          </w:tcPr>
          <w:p>
            <w:pPr>
              <w:pStyle w:val="Compact"/>
              <w:jc w:val="left"/>
            </w:pPr>
            <w:r>
              <w:t xml:space="preserve">Horizon manipulation</w:t>
            </w:r>
          </w:p>
        </w:tc>
        <w:tc>
          <w:tcPr>
            <w:tcMar>
              <w:top w:w="80" w:type="dxa"/>
              <w:start w:w="90" w:type="dxa"/>
              <w:bottom w:w="80" w:type="dxa"/>
              <w:end w:w="90" w:type="dxa"/>
            </w:tcMar>
            <w:shd w:fill="D9EAF7" w:val="clear"/>
          </w:tcPr>
          <w:p>
            <w:pPr>
              <w:pStyle w:val="Compact"/>
              <w:jc w:val="left"/>
            </w:pPr>
            <w:r>
              <w:t xml:space="preserve">Choosing time horizons strategically</w:t>
            </w:r>
          </w:p>
        </w:tc>
        <w:tc>
          <w:tcPr>
            <w:tcMar>
              <w:top w:w="80" w:type="dxa"/>
              <w:start w:w="90" w:type="dxa"/>
              <w:bottom w:w="80" w:type="dxa"/>
              <w:end w:w="90" w:type="dxa"/>
            </w:tcMar>
            <w:shd w:fill="D9EAF7" w:val="clear"/>
          </w:tcPr>
          <w:p>
            <w:pPr>
              <w:pStyle w:val="Compact"/>
              <w:jc w:val="left"/>
            </w:pPr>
            <w:r>
              <w:t xml:space="preserve">Logarithmic temporal weighting τ(t); declare T_ref; challenge horizon assumptions</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Unknown-as-neutral</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Leaving cells blank to avoid negatives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Ignorance penalty phantom instance rule; audit flag if non-maskable cell missing</w:t>
            </w:r>
          </w:p>
        </w:tc>
      </w:tr>
    </w:tbl>
    <w:bookmarkEnd w:id="401"/>
    <w:bookmarkStart w:id="402" w:name="Xcea6f77d27a1ccc970b6cc8d282aa98d53ba3a9"/>
    <w:p>
      <w:pPr>
        <w:pStyle w:val="Heading2"/>
        <w:keepNext/>
        <w:keepLines/>
        <w:pageBreakBefore w:val="0"/>
        <w:widowControl/>
      </w:pPr>
      <w:r>
        <w:rPr>
          <w:rFonts w:ascii="Arial" w:hAnsi="Arial" w:eastAsia="Arial"/>
          <w:b/>
          <w:color w:val="1F4E78"/>
        </w:rPr>
        <w:t xml:space="preserve">F.2 Structural Anti-Gaming Features (Canonical)</w:t>
      </w:r>
    </w:p>
    <w:p>
      <w:pPr>
        <w:pStyle w:val="FirstParagraph"/>
        <w:widowControl/>
      </w:pPr>
      <w:r>
        <w:t xml:space="preserve">Non-Compensatory Architecture:</w:t>
      </w:r>
    </w:p>
    <w:p>
      <w:pPr>
        <w:pStyle w:val="Compact"/>
        <w:widowControl/>
        <w:numPr>
          <w:ilvl w:val="0"/>
          <w:numId w:val="1304"/>
        </w:numPr>
      </w:pPr>
      <w:r>
        <w:t xml:space="preserve">NCRC cannot be overridden by welfare gains</w:t>
      </w:r>
    </w:p>
    <w:p>
      <w:pPr>
        <w:pStyle w:val="Compact"/>
        <w:widowControl/>
        <w:numPr>
          <w:ilvl w:val="0"/>
          <w:numId w:val="1305"/>
        </w:numPr>
      </w:pPr>
      <w:r>
        <w:t xml:space="preserve">TRC cannot be overridden by expected value</w:t>
      </w:r>
    </w:p>
    <w:p>
      <w:pPr>
        <w:pStyle w:val="Compact"/>
        <w:widowControl/>
        <w:numPr>
          <w:ilvl w:val="0"/>
          <w:numId w:val="1306"/>
        </w:numPr>
      </w:pPr>
      <w:r>
        <w:t xml:space="preserve">Containment cannot be bypassed by RLS optimization</w:t>
      </w:r>
    </w:p>
    <w:p>
      <w:pPr>
        <w:pStyle w:val="FirstParagraph"/>
        <w:widowControl/>
      </w:pPr>
      <w:r>
        <w:t xml:space="preserve">Transparency Requirements:</w:t>
      </w:r>
    </w:p>
    <w:p>
      <w:pPr>
        <w:pStyle w:val="Compact"/>
        <w:widowControl/>
        <w:numPr>
          <w:ilvl w:val="0"/>
          <w:numId w:val="1307"/>
        </w:numPr>
      </w:pPr>
      <w:r>
        <w:t xml:space="preserve">All parameters recorded in PCC</w:t>
      </w:r>
    </w:p>
    <w:p>
      <w:pPr>
        <w:pStyle w:val="Compact"/>
        <w:widowControl/>
        <w:numPr>
          <w:ilvl w:val="0"/>
          <w:numId w:val="1308"/>
        </w:numPr>
      </w:pPr>
      <w:r>
        <w:t xml:space="preserve">Registry hashing prevents silent modification (Tier 3+)</w:t>
      </w:r>
    </w:p>
    <w:p>
      <w:pPr>
        <w:pStyle w:val="Compact"/>
        <w:widowControl/>
        <w:numPr>
          <w:ilvl w:val="0"/>
          <w:numId w:val="1309"/>
        </w:numPr>
      </w:pPr>
      <w:r>
        <w:t xml:space="preserve">Public rationale (5SPR) required</w:t>
      </w:r>
    </w:p>
    <w:p>
      <w:pPr>
        <w:pStyle w:val="FirstParagraph"/>
        <w:widowControl/>
      </w:pPr>
      <w:r>
        <w:t xml:space="preserve">Audit Infrastructure:</w:t>
      </w:r>
    </w:p>
    <w:p>
      <w:pPr>
        <w:pStyle w:val="Compact"/>
        <w:widowControl/>
        <w:numPr>
          <w:ilvl w:val="0"/>
          <w:numId w:val="1310"/>
        </w:numPr>
      </w:pPr>
      <w:r>
        <w:t xml:space="preserve">Random audit lottery (recommended 5% of PCCs at Tier 3)</w:t>
      </w:r>
    </w:p>
    <w:p>
      <w:pPr>
        <w:pStyle w:val="Compact"/>
        <w:widowControl/>
        <w:numPr>
          <w:ilvl w:val="0"/>
          <w:numId w:val="1311"/>
        </w:numPr>
      </w:pPr>
      <w:r>
        <w:t xml:space="preserve">Red-team protocols for high-stakes decisions</w:t>
      </w:r>
    </w:p>
    <w:p>
      <w:pPr>
        <w:pStyle w:val="Compact"/>
        <w:widowControl/>
        <w:numPr>
          <w:ilvl w:val="0"/>
          <w:numId w:val="1312"/>
        </w:numPr>
      </w:pPr>
      <w:r>
        <w:t xml:space="preserve">Configuration drift detection</w:t>
      </w:r>
    </w:p>
    <w:p>
      <w:pPr>
        <w:pStyle w:val="FirstParagraph"/>
        <w:widowControl/>
      </w:pPr>
      <w:r>
        <w:t xml:space="preserve">Learning Accountability:</w:t>
      </w:r>
    </w:p>
    <w:p>
      <w:pPr>
        <w:pStyle w:val="Compact"/>
        <w:widowControl/>
        <w:numPr>
          <w:ilvl w:val="0"/>
          <w:numId w:val="1313"/>
        </w:numPr>
      </w:pPr>
      <w:r>
        <w:t xml:space="preserve">NCAR loop tracks prediction accuracy</w:t>
      </w:r>
    </w:p>
    <w:p>
      <w:pPr>
        <w:pStyle w:val="Compact"/>
        <w:widowControl/>
        <w:numPr>
          <w:ilvl w:val="0"/>
          <w:numId w:val="1314"/>
        </w:numPr>
      </w:pPr>
      <w:r>
        <w:t xml:space="preserve">Systematic errors trigger parameter review</w:t>
      </w:r>
    </w:p>
    <w:p>
      <w:pPr>
        <w:pStyle w:val="Compact"/>
        <w:widowControl/>
        <w:numPr>
          <w:ilvl w:val="0"/>
          <w:numId w:val="1315"/>
        </w:numPr>
      </w:pPr>
      <w:r>
        <w:t xml:space="preserve">Historical PCCs preserved for accountability</w:t>
      </w:r>
    </w:p>
    <w:bookmarkEnd w:id="402"/>
    <w:bookmarkStart w:id="403" w:name="Xbbc3016ccc14291749e9e53495886331534bf45"/>
    <w:p>
      <w:pPr>
        <w:pStyle w:val="Heading2"/>
        <w:keepNext/>
        <w:keepLines/>
        <w:pageBreakBefore w:val="0"/>
        <w:widowControl/>
      </w:pPr>
      <w:r>
        <w:rPr>
          <w:rFonts w:ascii="Arial" w:hAnsi="Arial" w:eastAsia="Arial"/>
          <w:b/>
          <w:color w:val="1F4E78"/>
        </w:rPr>
        <w:t xml:space="preserve">F.3 Audit Flag Taxonomy (Informative pointer; non-authoritative) Authoritative audit flags are specified in Section 14.3 and duplicated verbatim in Appendix H.3. Appendix F provides explanatory context and anti-gaming rationale only; it does not define, modify, or enumerate the canonical audit-flag set. For the complete and controlling list (tokens, triggers, required actions, severities), see Section 14.3 / Appendix H.3.</w:t>
      </w:r>
    </w:p>
    <w:bookmarkEnd w:id="403"/>
    <w:bookmarkStart w:id="404" w:name="X80f01ca966b2cdeccb7decb2b9e9a7e49b5bf53"/>
    <w:p>
      <w:pPr>
        <w:pStyle w:val="Heading2"/>
        <w:keepNext/>
        <w:keepLines/>
        <w:pageBreakBefore w:val="0"/>
        <w:widowControl/>
      </w:pPr>
      <w:r>
        <w:rPr>
          <w:rFonts w:ascii="Arial" w:hAnsi="Arial" w:eastAsia="Arial"/>
          <w:b/>
          <w:color w:val="1F4E78"/>
        </w:rPr>
        <w:t xml:space="preserve">F.4 Red-Team and Audit Lottery (Tier 3 Recommended)</w:t>
      </w:r>
    </w:p>
    <w:p>
      <w:pPr>
        <w:pStyle w:val="FirstParagraph"/>
        <w:widowControl/>
      </w:pPr>
      <w:r>
        <w:t xml:space="preserve">Deployments SHOULD adopt:</w:t>
      </w:r>
    </w:p>
    <w:p>
      <w:pPr>
        <w:pStyle w:val="Compact"/>
        <w:widowControl/>
        <w:numPr>
          <w:ilvl w:val="0"/>
          <w:numId w:val="1316"/>
        </w:numPr>
      </w:pPr>
      <w:r>
        <w:t xml:space="preserve">Random audit lottery: for example, 5% of PCCs selected for independent review</w:t>
      </w:r>
    </w:p>
    <w:p>
      <w:pPr>
        <w:pStyle w:val="Compact"/>
        <w:widowControl/>
        <w:numPr>
          <w:ilvl w:val="0"/>
          <w:numId w:val="1317"/>
        </w:numPr>
      </w:pPr>
      <w:r>
        <w:t xml:space="preserve">Red-team scenario additions: Adversarial scenario injection for TRC testing</w:t>
      </w:r>
    </w:p>
    <w:p>
      <w:pPr>
        <w:pStyle w:val="Compact"/>
        <w:widowControl/>
        <w:numPr>
          <w:ilvl w:val="0"/>
          <w:numId w:val="1318"/>
        </w:numPr>
      </w:pPr>
      <w:r>
        <w:t xml:space="preserve">Kernel perturbation stress tests: Systematic edge perturbation</w:t>
      </w:r>
    </w:p>
    <w:bookmarkEnd w:id="404"/>
    <w:bookmarkStart w:id="405" w:name="X68158732a8af370c7adf6bcac877dade38f8cf6"/>
    <w:p>
      <w:pPr>
        <w:pStyle w:val="Heading2"/>
        <w:keepNext/>
        <w:keepLines/>
        <w:pageBreakBefore w:val="0"/>
        <w:widowControl/>
      </w:pPr>
      <w:r>
        <w:rPr>
          <w:rFonts w:ascii="Arial" w:hAnsi="Arial" w:eastAsia="Arial"/>
          <w:b/>
          <w:color w:val="1F4E78"/>
        </w:rPr>
        <w:t xml:space="preserve">F.5 Boundary and Threshold Gaming (Normative anti-gaming clarification)</w:t>
      </w:r>
    </w:p>
    <w:p>
      <w:pPr>
        <w:pStyle w:val="FirstParagraph"/>
        <w:widowControl/>
      </w:pPr>
      <w:r>
        <w:t xml:space="preserve">RippleLogic does not assume adversaries will only game welfare scores. Because NCRC, TRC, CSV, and PLSS create hard feasibility and escalation conditions, adversarial pressure may shift toward subgroup definitions, rights-threshold placement, scenario-library construction, probability assignment, containment-scope framing, PLSS local-scope declarations, evidence-sufficiency claims, and maturity classifications.</w:t>
      </w:r>
    </w:p>
    <w:p>
      <w:pPr>
        <w:pStyle w:val="BodyText"/>
        <w:widowControl/>
      </w:pPr>
      <w:r>
        <w:t xml:space="preserve">PCC reviewers SHALL inspect these boundary surfaces for gerrymandering, selective omission, motivated uncertainty, threshold laundering, scope narrowing, and evidence laundering. Where any of these surfaces is material to a gate verdict, escalation, or refusal decision, the run SHALL disclose the contested boundary choice, the evidentiary basis, reviewer disagreement if any, and the sensitivity of the verdict to plausible alternative boundary definitions.</w:t>
      </w:r>
    </w:p>
    <w:p>
      <w:pPr>
        <w:pStyle w:val="BodyText"/>
        <w:widowControl/>
      </w:pPr>
      <w:r>
        <w:t xml:space="preserve">Goodhart pressure is not eliminated by RippleLogic; it is relocated and exposed. The system becomes stronger only when boundary definitions, threshold settings, probability libraries, stakeholder maps, and evidence sufficiency judgments are inspectable, contestable, and preserved in the PCC or companion audit record.</w:t>
      </w:r>
    </w:p>
    <w:p>
      <w:pPr>
        <w:pStyle w:val="BodyText"/>
        <w:widowControl/>
      </w:pPr>
      <w:r>
        <w:t xml:space="preserve">End Appendix F.</w:t>
      </w:r>
    </w:p>
    <w:bookmarkEnd w:id="405"/>
    <w:bookmarkEnd w:id="406"/>
    <w:bookmarkStart w:id="417" w:name="Xfdc39312d0d01d13255f552e96d73bc0d15bbed"/>
    <w:p>
      <w:pPr>
        <w:pStyle w:val="Heading1"/>
        <w:keepNext/>
        <w:keepLines/>
        <w:pageBreakBefore w:val="0"/>
        <w:widowControl/>
      </w:pPr>
      <w:r>
        <w:rPr>
          <w:rFonts w:ascii="Arial" w:hAnsi="Arial" w:eastAsia="Arial"/>
          <w:b/>
          <w:color w:val="1F4E78"/>
        </w:rPr>
        <w:t xml:space="preserve">APPENDIX G: SGP v8.4 INTEGRATION BINDING (NORMATIVE INTERFACE)</w:t>
      </w:r>
    </w:p>
    <w:p>
      <w:pPr>
        <w:pStyle w:val="FirstParagraph"/>
        <w:widowControl/>
      </w:pPr>
      <w:r>
        <w:t xml:space="preserve">Appendix G is normative for the RippleLogic-to-SGP interface.</w:t>
      </w:r>
    </w:p>
    <w:bookmarkStart w:id="407" w:name="g0-interim-precautionary-trigger"/>
    <w:p>
      <w:pPr>
        <w:pStyle w:val="Heading2"/>
        <w:keepNext/>
        <w:keepLines/>
        <w:pageBreakBefore w:val="0"/>
        <w:widowControl/>
      </w:pPr>
      <w:r>
        <w:rPr>
          <w:rFonts w:ascii="Arial" w:hAnsi="Arial" w:eastAsia="Arial"/>
          <w:b/>
          <w:color w:val="1F4E78"/>
        </w:rPr>
        <w:t xml:space="preserve">G.0 Interim Precautionary Trigger</w:t>
      </w:r>
    </w:p>
    <w:p>
      <w:pPr>
        <w:pStyle w:val="FirstParagraph"/>
        <w:widowControl/>
      </w:pPr>
      <w:r>
        <w:t xml:space="preserve">If credible SGP, taxon/class, stakeholder, or artificial-system evidence identifies a plausible moral patient before formal rights-coverage expansion is complete, the run MUST record</w:t>
      </w:r>
      <w:r>
        <w:t xml:space="preserve"> </w:t>
      </w:r>
      <w:r>
        <w:rPr>
          <w:rStyle w:val="VerbatimChar"/>
        </w:rPr>
        <w:t xml:space="preserve">PRECAUTIONARY_PROTECTION_REVIEW</w:t>
      </w:r>
      <w:r>
        <w:t xml:space="preserve">. Absence of an existing C_r mapping MUST NOT be treated as permission for harmful treatment.</w:t>
      </w:r>
    </w:p>
    <w:bookmarkEnd w:id="407"/>
    <w:bookmarkStart w:id="408" w:name="g1-version-and-artifact-pin"/>
    <w:p>
      <w:pPr>
        <w:pStyle w:val="Heading2"/>
        <w:keepNext/>
        <w:keepLines/>
        <w:pageBreakBefore w:val="0"/>
        <w:widowControl/>
      </w:pPr>
      <w:r>
        <w:rPr>
          <w:rFonts w:ascii="Arial" w:hAnsi="Arial" w:eastAsia="Arial"/>
          <w:b/>
          <w:color w:val="1F4E78"/>
        </w:rPr>
        <w:t xml:space="preserve">G.1 Version and Artifact Pin</w:t>
      </w:r>
    </w:p>
    <w:p>
      <w:pPr>
        <w:pStyle w:val="FirstParagraph"/>
        <w:widowControl/>
      </w:pPr>
      <w:r>
        <w:t xml:space="preserve">SGP Version Pin: RippleLogic Canon v12.5 pins Sentience Gradient Protocol v8.4.</w:t>
      </w:r>
    </w:p>
    <w:p>
      <w:pPr>
        <w:pStyle w:val="BodyText"/>
        <w:widowControl/>
      </w:pPr>
      <w:r>
        <w:t xml:space="preserve">ProofPack dependency rule: a replayable package MUST bundle or hash-pin the exact normative</w:t>
      </w:r>
      <w:r>
        <w:t xml:space="preserve"> </w:t>
      </w:r>
      <w:r>
        <w:rPr>
          <w:rStyle w:val="VerbatimChar"/>
        </w:rPr>
        <w:t xml:space="preserve">docs/sgp/SGP_v8.4.md</w:t>
      </w:r>
      <w:r>
        <w:t xml:space="preserve"> </w:t>
      </w:r>
      <w:r>
        <w:t xml:space="preserve">artifact and any referenced MPS/FPP/GPR/SPR/ICP/RMCP record. If it does not, SGP is an external dependency and SGP-aware test claims are restricted to explicit supplied interface values.</w:t>
      </w:r>
    </w:p>
    <w:p>
      <w:pPr>
        <w:pStyle w:val="BodyText"/>
        <w:widowControl/>
      </w:pPr>
      <w:r>
        <w:t xml:space="preserve">Legacy rule: v7.x</w:t>
      </w:r>
      <w:r>
        <w:t xml:space="preserve"> </w:t>
      </w:r>
      <w:r>
        <w:rPr>
          <w:rStyle w:val="VerbatimChar"/>
        </w:rPr>
        <w:t xml:space="preserve">SG_norm</w:t>
      </w:r>
      <w:r>
        <w:t xml:space="preserve">,</w:t>
      </w:r>
      <w:r>
        <w:t xml:space="preserve"> </w:t>
      </w:r>
      <w:r>
        <w:rPr>
          <w:rStyle w:val="VerbatimChar"/>
        </w:rPr>
        <w:t xml:space="preserve">SG_patient_norm</w:t>
      </w:r>
      <w:r>
        <w:t xml:space="preserve">,</w:t>
      </w:r>
      <w:r>
        <w:t xml:space="preserve"> </w:t>
      </w:r>
      <w:r>
        <w:rPr>
          <w:rStyle w:val="VerbatimChar"/>
        </w:rPr>
        <w:t xml:space="preserve">SG_measured_norm</w:t>
      </w:r>
      <w:r>
        <w:t xml:space="preserve">, A/B/C pillar values, and Plateau/CMIU fields are retained only as version-pinned historical records. They MUST NOT be translated into v8.4 outputs without re-evaluation. v8.0 MPS/FPP/GPR/SPR/ICP records remain structurally compatible only where the target boundary and evidence record remain valid; RMCP and P100 require an explicit v8.4 evaluation.</w:t>
      </w:r>
    </w:p>
    <w:bookmarkEnd w:id="408"/>
    <w:bookmarkStart w:id="409" w:name="g2-interface-visible-outputs"/>
    <w:p>
      <w:pPr>
        <w:pStyle w:val="Heading2"/>
        <w:keepNext/>
        <w:keepLines/>
        <w:pageBreakBefore w:val="0"/>
        <w:widowControl/>
      </w:pPr>
      <w:r>
        <w:rPr>
          <w:rFonts w:ascii="Arial" w:hAnsi="Arial" w:eastAsia="Arial"/>
          <w:b/>
          <w:color w:val="1F4E78"/>
        </w:rPr>
        <w:t xml:space="preserve">G.2 Interface-Visible Outputs</w:t>
      </w:r>
    </w:p>
    <w:p>
      <w:pPr>
        <w:pStyle w:val="FirstParagraph"/>
        <w:widowControl/>
      </w:pPr>
      <w:r>
        <w:t xml:space="preserve">A valid SGP v8.4 record may expose:</w:t>
      </w:r>
    </w:p>
    <w:p>
      <w:pPr>
        <w:pStyle w:val="Compact"/>
        <w:widowControl/>
        <w:numPr>
          <w:ilvl w:val="0"/>
          <w:numId w:val="1319"/>
        </w:numPr>
      </w:pPr>
      <w:r>
        <w:t xml:space="preserve">MPS evidence-family levels V, I, T, F, and S, including NE fields;</w:t>
      </w:r>
    </w:p>
    <w:p>
      <w:pPr>
        <w:pStyle w:val="Compact"/>
        <w:widowControl/>
        <w:numPr>
          <w:ilvl w:val="0"/>
          <w:numId w:val="1319"/>
        </w:numPr>
      </w:pPr>
      <w:r>
        <w:t xml:space="preserve">MPS status MPS-NE or evidence band MPS-0 through MPS-4;</w:t>
      </w:r>
    </w:p>
    <w:p>
      <w:pPr>
        <w:pStyle w:val="Compact"/>
        <w:widowControl/>
        <w:numPr>
          <w:ilvl w:val="0"/>
          <w:numId w:val="1319"/>
        </w:numPr>
      </w:pPr>
      <w:r>
        <w:t xml:space="preserve">MPS evidence band/interval, record validity, process confidence, and governed welfare-inclusion hypothesis set;</w:t>
      </w:r>
    </w:p>
    <w:p>
      <w:pPr>
        <w:pStyle w:val="Compact"/>
        <w:widowControl/>
        <w:numPr>
          <w:ilvl w:val="0"/>
          <w:numId w:val="1319"/>
        </w:numPr>
      </w:pPr>
      <w:r>
        <w:t xml:space="preserve">protection posture and typed protection bundle;</w:t>
      </w:r>
    </w:p>
    <w:p>
      <w:pPr>
        <w:pStyle w:val="Compact"/>
        <w:widowControl/>
        <w:numPr>
          <w:ilvl w:val="0"/>
          <w:numId w:val="1319"/>
        </w:numPr>
      </w:pPr>
      <w:r>
        <w:t xml:space="preserve">FPP(E) in {0,1};</w:t>
      </w:r>
    </w:p>
    <w:p>
      <w:pPr>
        <w:pStyle w:val="Compact"/>
        <w:widowControl/>
        <w:numPr>
          <w:ilvl w:val="0"/>
          <w:numId w:val="1319"/>
        </w:numPr>
      </w:pPr>
      <w:r>
        <w:t xml:space="preserve">GPR(E,r,t) for a named process or institution;</w:t>
      </w:r>
    </w:p>
    <w:p>
      <w:pPr>
        <w:pStyle w:val="Compact"/>
        <w:widowControl/>
        <w:numPr>
          <w:ilvl w:val="0"/>
          <w:numId w:val="1319"/>
        </w:numPr>
      </w:pPr>
      <w:r>
        <w:t xml:space="preserve">SPR(E,r,t) for a named consequential role;</w:t>
      </w:r>
    </w:p>
    <w:p>
      <w:pPr>
        <w:pStyle w:val="Compact"/>
        <w:widowControl/>
        <w:numPr>
          <w:ilvl w:val="0"/>
          <w:numId w:val="1319"/>
        </w:numPr>
      </w:pPr>
      <w:r>
        <w:t xml:space="preserve">optional ICP(E,D,t);</w:t>
      </w:r>
    </w:p>
    <w:p>
      <w:pPr>
        <w:pStyle w:val="Compact"/>
        <w:widowControl/>
        <w:numPr>
          <w:ilvl w:val="0"/>
          <w:numId w:val="1319"/>
        </w:numPr>
      </w:pPr>
      <w:r>
        <w:t xml:space="preserve">optional RMCP(C,D,t), including the dimension vector, uncertainty intervals, boundary/scaffolding record, capacity-performance separation, causal scale, and P100 status where assigned;</w:t>
      </w:r>
    </w:p>
    <w:p>
      <w:pPr>
        <w:pStyle w:val="Compact"/>
        <w:widowControl/>
        <w:numPr>
          <w:ilvl w:val="0"/>
          <w:numId w:val="1319"/>
        </w:numPr>
      </w:pPr>
      <w:r>
        <w:t xml:space="preserve">target identity/boundary, evidence trace, dependence graph, alternative explanations, reviewer status, validity status, and revision trigger.</w:t>
      </w:r>
    </w:p>
    <w:p>
      <w:pPr>
        <w:pStyle w:val="FirstParagraph"/>
        <w:widowControl/>
      </w:pPr>
      <w:r>
        <w:t xml:space="preserve">RippleLogic consumes these values exactly as supplied by the valid pinned record. It MUST NOT reconstruct MPS from deprecated pillars, infer FPP from a high band, infer sentience or moral worth from RMCP/P100, or infer authority from MPS/FPP/GPR/ICP/RMCP.</w:t>
      </w:r>
    </w:p>
    <w:bookmarkEnd w:id="409"/>
    <w:bookmarkStart w:id="410" w:name="X61fefac15b42114c681d26abe15ad9b70ee1848"/>
    <w:p>
      <w:pPr>
        <w:pStyle w:val="Heading2"/>
        <w:keepNext/>
        <w:keepLines/>
        <w:pageBreakBefore w:val="0"/>
        <w:widowControl/>
      </w:pPr>
      <w:r>
        <w:rPr>
          <w:rFonts w:ascii="Arial" w:hAnsi="Arial" w:eastAsia="Arial"/>
          <w:b/>
          <w:color w:val="1F4E78"/>
        </w:rPr>
        <w:t xml:space="preserve">G.3 MPS Evidence-Support Map and Welfare-Hypothesis Interface</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SGP output</w:t>
            </w:r>
          </w:p>
        </w:tc>
        <w:tc>
          <w:tcPr>
            <w:shd w:fill="1F4E78" w:val="clear"/>
            <w:tcMar>
              <w:top w:w="80" w:type="dxa"/>
              <w:start w:w="90" w:type="dxa"/>
              <w:bottom w:w="80" w:type="dxa"/>
              <w:end w:w="90" w:type="dxa"/>
            </w:tcMar>
          </w:tcPr>
          <w:p>
            <w:pPr>
              <w:pStyle w:val="Compact"/>
              <w:jc w:val="left"/>
            </w:pPr>
            <w:r>
              <w:rPr>
                <w:b/>
                <w:bCs/>
                <w:color w:val="FFFFFF"/>
              </w:rPr>
              <w:t xml:space="preserve">Evidence-support status</w:t>
            </w:r>
          </w:p>
        </w:tc>
        <w:tc>
          <w:tcPr>
            <w:shd w:fill="1F4E78" w:val="clear"/>
            <w:tcMar>
              <w:top w:w="80" w:type="dxa"/>
              <w:start w:w="90" w:type="dxa"/>
              <w:bottom w:w="80" w:type="dxa"/>
              <w:end w:w="90" w:type="dxa"/>
            </w:tcMar>
          </w:tcPr>
          <w:p>
            <w:pPr>
              <w:pStyle w:val="Compact"/>
              <w:jc w:val="left"/>
            </w:pPr>
            <w:r>
              <w:rPr>
                <w:b/>
                <w:bCs/>
                <w:color w:val="FFFFFF"/>
              </w:rPr>
              <w:t xml:space="preserve">Required RippleLogic posture</w:t>
            </w:r>
          </w:p>
        </w:tc>
      </w:tr>
      <w:tr>
        <w:trPr/>
        <w:tc>
          <w:tcPr>
            <w:tcMar>
              <w:top w:w="80" w:type="dxa"/>
              <w:start w:w="90" w:type="dxa"/>
              <w:bottom w:w="80" w:type="dxa"/>
              <w:end w:w="90" w:type="dxa"/>
            </w:tcMar>
            <w:shd w:fill="F7FBFF" w:val="clear"/>
          </w:tcPr>
          <w:p>
            <w:pPr>
              <w:pStyle w:val="Compact"/>
              <w:jc w:val="left"/>
            </w:pPr>
            <w:r>
              <w:t xml:space="preserve">MPS-NE</w:t>
            </w:r>
          </w:p>
        </w:tc>
        <w:tc>
          <w:tcPr>
            <w:tcMar>
              <w:top w:w="80" w:type="dxa"/>
              <w:start w:w="90" w:type="dxa"/>
              <w:bottom w:w="80" w:type="dxa"/>
              <w:end w:w="90" w:type="dxa"/>
            </w:tcMar>
            <w:shd w:fill="F7FBFF" w:val="clear"/>
          </w:tcPr>
          <w:p>
            <w:pPr>
              <w:pStyle w:val="Compact"/>
              <w:jc w:val="left"/>
            </w:pPr>
            <w:r>
              <w:rPr>
                <w:rStyle w:val="VerbatimChar"/>
              </w:rPr>
              <w:t xml:space="preserve">NOT_EVALUABLE</w:t>
            </w:r>
          </w:p>
        </w:tc>
        <w:tc>
          <w:tcPr>
            <w:tcMar>
              <w:top w:w="80" w:type="dxa"/>
              <w:start w:w="90" w:type="dxa"/>
              <w:bottom w:w="80" w:type="dxa"/>
              <w:end w:w="90" w:type="dxa"/>
            </w:tcMar>
            <w:shd w:fill="F7FBFF" w:val="clear"/>
          </w:tcPr>
          <w:p>
            <w:pPr>
              <w:pStyle w:val="Compact"/>
              <w:jc w:val="left"/>
            </w:pPr>
            <w:r>
              <w:t xml:space="preserve">Missing, poorly observable, or indeterminate evidence. Never zero. If decision-material, test both h=0 and h=1 and apply precaution.</w:t>
            </w:r>
          </w:p>
        </w:tc>
      </w:tr>
      <w:tr>
        <w:trPr/>
        <w:tc>
          <w:tcPr>
            <w:tcMar>
              <w:top w:w="80" w:type="dxa"/>
              <w:start w:w="90" w:type="dxa"/>
              <w:bottom w:w="80" w:type="dxa"/>
              <w:end w:w="90" w:type="dxa"/>
            </w:tcMar>
            <w:shd w:fill="D9EAF7" w:val="clear"/>
          </w:tcPr>
          <w:p>
            <w:pPr>
              <w:pStyle w:val="Compact"/>
              <w:jc w:val="left"/>
            </w:pPr>
            <w:r>
              <w:t xml:space="preserve">MPS-0</w:t>
            </w:r>
          </w:p>
        </w:tc>
        <w:tc>
          <w:tcPr>
            <w:tcMar>
              <w:top w:w="80" w:type="dxa"/>
              <w:start w:w="90" w:type="dxa"/>
              <w:bottom w:w="80" w:type="dxa"/>
              <w:end w:w="90" w:type="dxa"/>
            </w:tcMar>
            <w:shd w:fill="D9EAF7" w:val="clear"/>
          </w:tcPr>
          <w:p>
            <w:pPr>
              <w:pStyle w:val="Compact"/>
              <w:jc w:val="left"/>
            </w:pPr>
            <w:r>
              <w:t xml:space="preserve">[0.00,0.19]</w:t>
            </w:r>
          </w:p>
        </w:tc>
        <w:tc>
          <w:tcPr>
            <w:tcMar>
              <w:top w:w="80" w:type="dxa"/>
              <w:start w:w="90" w:type="dxa"/>
              <w:bottom w:w="80" w:type="dxa"/>
              <w:end w:w="90" w:type="dxa"/>
            </w:tcMar>
            <w:shd w:fill="D9EAF7" w:val="clear"/>
          </w:tcPr>
          <w:p>
            <w:pPr>
              <w:pStyle w:val="Compact"/>
              <w:jc w:val="left"/>
            </w:pPr>
            <w:r>
              <w:t xml:space="preserve">Admissible evidence currently weighs against welfare-bearing experience. Primary exclusion may be tested, but high-harm or model-sensitive cases retain h=1 sensitivity.</w:t>
            </w:r>
          </w:p>
        </w:tc>
      </w:tr>
      <w:tr>
        <w:trPr/>
        <w:tc>
          <w:tcPr>
            <w:tcMar>
              <w:top w:w="80" w:type="dxa"/>
              <w:start w:w="90" w:type="dxa"/>
              <w:bottom w:w="80" w:type="dxa"/>
              <w:end w:w="90" w:type="dxa"/>
            </w:tcMar>
            <w:shd w:fill="F7FBFF" w:val="clear"/>
          </w:tcPr>
          <w:p>
            <w:pPr>
              <w:pStyle w:val="Compact"/>
              <w:jc w:val="left"/>
            </w:pPr>
            <w:r>
              <w:t xml:space="preserve">MPS-1</w:t>
            </w:r>
          </w:p>
        </w:tc>
        <w:tc>
          <w:tcPr>
            <w:tcMar>
              <w:top w:w="80" w:type="dxa"/>
              <w:start w:w="90" w:type="dxa"/>
              <w:bottom w:w="80" w:type="dxa"/>
              <w:end w:w="90" w:type="dxa"/>
            </w:tcMar>
            <w:shd w:fill="F7FBFF" w:val="clear"/>
          </w:tcPr>
          <w:p>
            <w:pPr>
              <w:pStyle w:val="Compact"/>
              <w:jc w:val="left"/>
            </w:pPr>
            <w:r>
              <w:t xml:space="preserve">[0.20,0.39]</w:t>
            </w:r>
          </w:p>
        </w:tc>
        <w:tc>
          <w:tcPr>
            <w:tcMar>
              <w:top w:w="80" w:type="dxa"/>
              <w:start w:w="90" w:type="dxa"/>
              <w:bottom w:w="80" w:type="dxa"/>
              <w:end w:w="90" w:type="dxa"/>
            </w:tcMar>
            <w:shd w:fill="F7FBFF" w:val="clear"/>
          </w:tcPr>
          <w:p>
            <w:pPr>
              <w:pStyle w:val="Compact"/>
              <w:jc w:val="left"/>
            </w:pPr>
            <w:r>
              <w:t xml:space="preserve">Realistic possibility; include h=1 and apply precaution.</w:t>
            </w:r>
          </w:p>
        </w:tc>
      </w:tr>
      <w:tr>
        <w:trPr/>
        <w:tc>
          <w:tcPr>
            <w:tcMar>
              <w:top w:w="80" w:type="dxa"/>
              <w:start w:w="90" w:type="dxa"/>
              <w:bottom w:w="80" w:type="dxa"/>
              <w:end w:w="90" w:type="dxa"/>
            </w:tcMar>
            <w:shd w:fill="D9EAF7" w:val="clear"/>
          </w:tcPr>
          <w:p>
            <w:pPr>
              <w:pStyle w:val="Compact"/>
              <w:jc w:val="left"/>
            </w:pPr>
            <w:r>
              <w:t xml:space="preserve">MPS-2</w:t>
            </w:r>
          </w:p>
        </w:tc>
        <w:tc>
          <w:tcPr>
            <w:tcMar>
              <w:top w:w="80" w:type="dxa"/>
              <w:start w:w="90" w:type="dxa"/>
              <w:bottom w:w="80" w:type="dxa"/>
              <w:end w:w="90" w:type="dxa"/>
            </w:tcMar>
            <w:shd w:fill="D9EAF7" w:val="clear"/>
          </w:tcPr>
          <w:p>
            <w:pPr>
              <w:pStyle w:val="Compact"/>
              <w:jc w:val="left"/>
            </w:pPr>
            <w:r>
              <w:t xml:space="preserve">[0.40,0.59]</w:t>
            </w:r>
          </w:p>
        </w:tc>
        <w:tc>
          <w:tcPr>
            <w:tcMar>
              <w:top w:w="80" w:type="dxa"/>
              <w:start w:w="90" w:type="dxa"/>
              <w:bottom w:w="80" w:type="dxa"/>
              <w:end w:w="90" w:type="dxa"/>
            </w:tcMar>
            <w:shd w:fill="D9EAF7" w:val="clear"/>
          </w:tcPr>
          <w:p>
            <w:pPr>
              <w:pStyle w:val="Compact"/>
              <w:jc w:val="left"/>
            </w:pPr>
            <w:r>
              <w:t xml:space="preserve">Credible possibility; include h=1 with robust protection.</w:t>
            </w:r>
          </w:p>
        </w:tc>
      </w:tr>
      <w:tr>
        <w:trPr/>
        <w:tc>
          <w:tcPr>
            <w:tcMar>
              <w:top w:w="80" w:type="dxa"/>
              <w:start w:w="90" w:type="dxa"/>
              <w:bottom w:w="80" w:type="dxa"/>
              <w:end w:w="90" w:type="dxa"/>
            </w:tcMar>
            <w:shd w:fill="F7FBFF" w:val="clear"/>
          </w:tcPr>
          <w:p>
            <w:pPr>
              <w:pStyle w:val="Compact"/>
              <w:jc w:val="left"/>
            </w:pPr>
            <w:r>
              <w:t xml:space="preserve">MPS-3</w:t>
            </w:r>
          </w:p>
        </w:tc>
        <w:tc>
          <w:tcPr>
            <w:tcMar>
              <w:top w:w="80" w:type="dxa"/>
              <w:start w:w="90" w:type="dxa"/>
              <w:bottom w:w="80" w:type="dxa"/>
              <w:end w:w="90" w:type="dxa"/>
            </w:tcMar>
            <w:shd w:fill="F7FBFF" w:val="clear"/>
          </w:tcPr>
          <w:p>
            <w:pPr>
              <w:pStyle w:val="Compact"/>
              <w:jc w:val="left"/>
            </w:pPr>
            <w:r>
              <w:t xml:space="preserve">[0.60,0.79]</w:t>
            </w:r>
          </w:p>
        </w:tc>
        <w:tc>
          <w:tcPr>
            <w:tcMar>
              <w:top w:w="80" w:type="dxa"/>
              <w:start w:w="90" w:type="dxa"/>
              <w:bottom w:w="80" w:type="dxa"/>
              <w:end w:w="90" w:type="dxa"/>
            </w:tcMar>
            <w:shd w:fill="F7FBFF" w:val="clear"/>
          </w:tcPr>
          <w:p>
            <w:pPr>
              <w:pStyle w:val="Compact"/>
              <w:jc w:val="left"/>
            </w:pPr>
            <w:r>
              <w:t xml:space="preserve">Substantial evidence; h=1 is the primary welfare posture.</w:t>
            </w:r>
          </w:p>
        </w:tc>
      </w:tr>
      <w:tr>
        <w:trPr/>
        <w:tc>
          <w:tcPr>
            <w:tcMar>
              <w:top w:w="80" w:type="dxa"/>
              <w:start w:w="90" w:type="dxa"/>
              <w:bottom w:w="80" w:type="dxa"/>
              <w:end w:w="90" w:type="dxa"/>
            </w:tcMar>
            <w:shd w:fill="D9EAF7" w:val="clear"/>
          </w:tcPr>
          <w:p>
            <w:pPr>
              <w:pStyle w:val="Compact"/>
              <w:jc w:val="left"/>
            </w:pPr>
            <w:r>
              <w:t xml:space="preserve">MPS-4</w:t>
            </w:r>
          </w:p>
        </w:tc>
        <w:tc>
          <w:tcPr>
            <w:tcMar>
              <w:top w:w="80" w:type="dxa"/>
              <w:start w:w="90" w:type="dxa"/>
              <w:bottom w:w="80" w:type="dxa"/>
              <w:end w:w="90" w:type="dxa"/>
            </w:tcMar>
            <w:shd w:fill="D9EAF7" w:val="clear"/>
          </w:tcPr>
          <w:p>
            <w:pPr>
              <w:pStyle w:val="Compact"/>
              <w:jc w:val="left"/>
            </w:pPr>
            <w:r>
              <w:t xml:space="preserve">[0.80,0.99]</w:t>
            </w:r>
          </w:p>
        </w:tc>
        <w:tc>
          <w:tcPr>
            <w:tcMar>
              <w:top w:w="80" w:type="dxa"/>
              <w:start w:w="90" w:type="dxa"/>
              <w:bottom w:w="80" w:type="dxa"/>
              <w:end w:w="90" w:type="dxa"/>
            </w:tcMar>
            <w:shd w:fill="D9EAF7" w:val="clear"/>
          </w:tcPr>
          <w:p>
            <w:pPr>
              <w:pStyle w:val="Compact"/>
              <w:jc w:val="left"/>
            </w:pPr>
            <w:r>
              <w:t xml:space="preserve">Strong convergent evidence; h=1 and presumptive full protection/FPP review.</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FPP</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[1.00,1.00]</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Full non-downgradable rights-of-protection; h=1.</w:t>
            </w:r>
          </w:p>
        </w:tc>
      </w:tr>
    </w:tbl>
    <w:p>
      <w:pPr>
        <w:pStyle w:val="BodyText"/>
        <w:widowControl/>
      </w:pPr>
      <w:r>
        <w:t xml:space="preserve">The numeric intervals are bounded evidence-support interfaces for governance and review. They are not probabilities, quantities of consciousness, intrinsic-worth measures, or direct welfare multipliers. RippleLogic constructs and reports the required welfare-inclusion hypotheses; it does not convert the MPS interval into a coefficient.</w:t>
      </w:r>
    </w:p>
    <w:bookmarkEnd w:id="410"/>
    <w:bookmarkStart w:id="411" w:name="g4-human-fpp-and-general-fpp-recognition"/>
    <w:p>
      <w:pPr>
        <w:pStyle w:val="Heading2"/>
        <w:keepNext/>
        <w:keepLines/>
        <w:pageBreakBefore w:val="0"/>
        <w:widowControl/>
      </w:pPr>
      <w:r>
        <w:rPr>
          <w:rFonts w:ascii="Arial" w:hAnsi="Arial" w:eastAsia="Arial"/>
          <w:b/>
          <w:color w:val="1F4E78"/>
        </w:rPr>
        <w:t xml:space="preserve">G.4 Human FPP and General FPP Recognition</w:t>
      </w:r>
    </w:p>
    <w:p>
      <w:pPr>
        <w:pStyle w:val="FirstParagraph"/>
        <w:widowControl/>
      </w:pPr>
      <w:r>
        <w:t xml:space="preserve">For every human person H, FPP(H)=1 and the welfare-inclusion coefficient is h=1. RippleLogic SHALL NOT request or use performance measurement to weaken this status.</w:t>
      </w:r>
    </w:p>
    <w:p>
      <w:pPr>
        <w:pStyle w:val="BodyText"/>
        <w:widowControl/>
      </w:pPr>
      <w:r>
        <w:t xml:space="preserve">For a non-human individual or class, FPP exists only when explicitly assigned by a valid SGP v8.4 governed record under its identity or membership rule. MPS-4 alone triggers FPP review; it does not automatically create FPP. FPP governs protection only and does not create CMIU membership, GPR, SPR, legal personhood, or authority.</w:t>
      </w:r>
    </w:p>
    <w:bookmarkEnd w:id="411"/>
    <w:bookmarkStart w:id="412" w:name="g5-permitted-welfare-stream-use"/>
    <w:p>
      <w:pPr>
        <w:pStyle w:val="Heading2"/>
        <w:keepNext/>
        <w:keepLines/>
        <w:pageBreakBefore w:val="0"/>
        <w:widowControl/>
      </w:pPr>
      <w:r>
        <w:rPr>
          <w:rFonts w:ascii="Arial" w:hAnsi="Arial" w:eastAsia="Arial"/>
          <w:b/>
          <w:color w:val="1F4E78"/>
        </w:rPr>
        <w:t xml:space="preserve">G.5 Permitted Welfare-Stream Use</w:t>
      </w:r>
    </w:p>
    <w:p>
      <w:pPr>
        <w:pStyle w:val="FirstParagraph"/>
        <w:widowControl/>
      </w:pPr>
      <w:r>
        <w:t xml:space="preserve">For each affected stakeholder instance k:</w:t>
      </w:r>
    </w:p>
    <w:p>
      <w:pPr>
        <w:pStyle w:val="Compact"/>
        <w:widowControl/>
        <w:numPr>
          <w:ilvl w:val="0"/>
          <w:numId w:val="1320"/>
        </w:numPr>
      </w:pPr>
      <w:r>
        <w:t xml:space="preserve">Base stream: h_{k,base}:=1.0.</w:t>
      </w:r>
    </w:p>
    <w:p>
      <w:pPr>
        <w:pStyle w:val="Compact"/>
        <w:widowControl/>
        <w:numPr>
          <w:ilvl w:val="0"/>
          <w:numId w:val="1320"/>
        </w:numPr>
      </w:pPr>
      <w:r>
        <w:t xml:space="preserve">Welfare stream: for each declared sensitivity evaluation j, choose h_{k,welfare}^{(j)} from the governed welfare-inclusion hypothesis set for E_k; do not insert the MPS interval directly as a multiplier.</w:t>
      </w:r>
    </w:p>
    <w:p>
      <w:pPr>
        <w:pStyle w:val="Compact"/>
        <w:widowControl/>
        <w:numPr>
          <w:ilvl w:val="0"/>
          <w:numId w:val="1320"/>
        </w:numPr>
      </w:pPr>
      <w:r>
        <w:t xml:space="preserve">Human/FPP rule: h_{k,welfare}^{(j)}:=1.0 for every human person and FPP entity.</w:t>
      </w:r>
    </w:p>
    <w:p>
      <w:pPr>
        <w:pStyle w:val="Compact"/>
        <w:widowControl/>
        <w:numPr>
          <w:ilvl w:val="0"/>
          <w:numId w:val="1320"/>
        </w:numPr>
      </w:pPr>
      <w:r>
        <w:t xml:space="preserve">For MPS-NE, test h=0 and h=1 whenever decision-material.</w:t>
      </w:r>
    </w:p>
    <w:p>
      <w:pPr>
        <w:pStyle w:val="Compact"/>
        <w:widowControl/>
        <w:numPr>
          <w:ilvl w:val="0"/>
          <w:numId w:val="1320"/>
        </w:numPr>
      </w:pPr>
      <w:r>
        <w:t xml:space="preserve">For MPS-1 through MPS-4, include h=1; include h=0 only where exclusion remains evidentially admissible and could alter the result.</w:t>
      </w:r>
    </w:p>
    <w:p>
      <w:pPr>
        <w:pStyle w:val="Compact"/>
        <w:widowControl/>
        <w:numPr>
          <w:ilvl w:val="0"/>
          <w:numId w:val="1320"/>
        </w:numPr>
      </w:pPr>
      <w:r>
        <w:t xml:space="preserve">A representative display value MAY be shown only when every decision-material hypothesis result and selection sensitivity are also reported.</w:t>
      </w:r>
    </w:p>
    <w:p>
      <w:pPr>
        <w:pStyle w:val="FirstParagraph"/>
        <w:widowControl/>
      </w:pPr>
      <w:r>
        <w:t xml:space="preserve">SGP outputs MUST NOT alter RF/NCRC, TRC, or CSV. Protection is enforced through rights coverage and protection posture, not discounted into a welfare multiplier.</w:t>
      </w:r>
    </w:p>
    <w:bookmarkEnd w:id="412"/>
    <w:bookmarkStart w:id="413" w:name="X671a92684233690b4803cf40b3f85e77db04646"/>
    <w:p>
      <w:pPr>
        <w:pStyle w:val="Heading2"/>
        <w:keepNext/>
        <w:keepLines/>
        <w:pageBreakBefore w:val="0"/>
        <w:widowControl/>
      </w:pPr>
      <w:r>
        <w:rPr>
          <w:rFonts w:ascii="Arial" w:hAnsi="Arial" w:eastAsia="Arial"/>
          <w:b/>
          <w:color w:val="1F4E78"/>
        </w:rPr>
        <w:t xml:space="preserve">G.6 Participation, Reality-Management Capacity, Power, and CMIU Non-Inference</w:t>
      </w:r>
    </w:p>
    <w:p>
      <w:pPr>
        <w:pStyle w:val="FirstParagraph"/>
        <w:widowControl/>
      </w:pPr>
      <w:r>
        <w:t xml:space="preserve">GPR may guide direct, assisted, or represented participation in a named process. It does not determine moral worth or executive power.</w:t>
      </w:r>
    </w:p>
    <w:p>
      <w:pPr>
        <w:pStyle w:val="BodyText"/>
        <w:widowControl/>
      </w:pPr>
      <w:r>
        <w:t xml:space="preserve">RMCP may describe integrated reality-management capacity and P100 status. Humanity collectively is the provisional current reference calibration anchor, but P100 is open across substrates and does not establish wisdom, FPP, membership, or authority. Capacity and actual stewardship performance MUST be reported separately.</w:t>
      </w:r>
    </w:p>
    <w:p>
      <w:pPr>
        <w:pStyle w:val="BodyText"/>
        <w:widowControl/>
      </w:pPr>
      <w:r>
        <w:t xml:space="preserve">SPR is role-specific and may inform an AuthoritySelectionRecord. It does not by itself grant authority and cannot bypass lawful mandate or the cascade.</w:t>
      </w:r>
    </w:p>
    <w:p>
      <w:pPr>
        <w:pStyle w:val="BodyText"/>
        <w:widowControl/>
      </w:pPr>
      <w:r>
        <w:t xml:space="preserve">CMIU is defined by Canon Section 12.7 as a governance-coordination view. SGP does not grant CMIU standing. FPP, MPS, RMCP, or P100 alone never creates membership; GPR supplies participation evidence, and consequential roles require SPR plus the Canon’s authority controls.</w:t>
      </w:r>
    </w:p>
    <w:bookmarkEnd w:id="413"/>
    <w:bookmarkStart w:id="414" w:name="g7-pcc-logging-and-record-validity-floor"/>
    <w:p>
      <w:pPr>
        <w:pStyle w:val="Heading2"/>
        <w:keepNext/>
        <w:keepLines/>
        <w:pageBreakBefore w:val="0"/>
        <w:widowControl/>
      </w:pPr>
      <w:r>
        <w:rPr>
          <w:rFonts w:ascii="Arial" w:hAnsi="Arial" w:eastAsia="Arial"/>
          <w:b/>
          <w:color w:val="1F4E78"/>
        </w:rPr>
        <w:t xml:space="preserve">G.7 PCC Logging and Record Validity Floor</w:t>
      </w:r>
    </w:p>
    <w:p>
      <w:pPr>
        <w:pStyle w:val="FirstParagraph"/>
        <w:widowControl/>
      </w:pPr>
      <w:r>
        <w:t xml:space="preserve">When SGP affects protection, stakeholder inclusion, participation, power review, or Welfare-stream analysis, the PCC MUST record:</w:t>
      </w:r>
    </w:p>
    <w:p>
      <w:pPr>
        <w:pStyle w:val="Compact"/>
        <w:widowControl/>
        <w:numPr>
          <w:ilvl w:val="0"/>
          <w:numId w:val="1321"/>
        </w:numPr>
      </w:pPr>
      <w:r>
        <w:t xml:space="preserve">SGP version and exact artifact hash/reference;</w:t>
      </w:r>
    </w:p>
    <w:p>
      <w:pPr>
        <w:pStyle w:val="Compact"/>
        <w:widowControl/>
        <w:numPr>
          <w:ilvl w:val="0"/>
          <w:numId w:val="1321"/>
        </w:numPr>
      </w:pPr>
      <w:r>
        <w:t xml:space="preserve">target identifier and system/class boundary;</w:t>
      </w:r>
    </w:p>
    <w:p>
      <w:pPr>
        <w:pStyle w:val="Compact"/>
        <w:widowControl/>
        <w:numPr>
          <w:ilvl w:val="0"/>
          <w:numId w:val="1321"/>
        </w:numPr>
      </w:pPr>
      <w:r>
        <w:t xml:space="preserve">record validity status;</w:t>
      </w:r>
    </w:p>
    <w:p>
      <w:pPr>
        <w:pStyle w:val="Compact"/>
        <w:widowControl/>
        <w:numPr>
          <w:ilvl w:val="0"/>
          <w:numId w:val="1321"/>
        </w:numPr>
      </w:pPr>
      <w:r>
        <w:t xml:space="preserve">MPS band or MPS-NE status, evidence-support interval where applicable, confidence, protection posture, and welfare-inclusion hypotheses evaluated;</w:t>
      </w:r>
    </w:p>
    <w:p>
      <w:pPr>
        <w:pStyle w:val="Compact"/>
        <w:widowControl/>
        <w:numPr>
          <w:ilvl w:val="0"/>
          <w:numId w:val="1321"/>
        </w:numPr>
      </w:pPr>
      <w:r>
        <w:t xml:space="preserve">FPP status and assignment source;</w:t>
      </w:r>
    </w:p>
    <w:p>
      <w:pPr>
        <w:pStyle w:val="Compact"/>
        <w:widowControl/>
        <w:numPr>
          <w:ilvl w:val="0"/>
          <w:numId w:val="1321"/>
        </w:numPr>
      </w:pPr>
      <w:r>
        <w:t xml:space="preserve">the welfare-inclusion hypotheses evaluated and sensitivity result;</w:t>
      </w:r>
    </w:p>
    <w:p>
      <w:pPr>
        <w:pStyle w:val="Compact"/>
        <w:widowControl/>
        <w:numPr>
          <w:ilvl w:val="0"/>
          <w:numId w:val="1321"/>
        </w:numPr>
      </w:pPr>
      <w:r>
        <w:t xml:space="preserve">evidence maturity, dependence clusters, access limits, and alternative explanations;</w:t>
      </w:r>
    </w:p>
    <w:p>
      <w:pPr>
        <w:pStyle w:val="Compact"/>
        <w:widowControl/>
        <w:numPr>
          <w:ilvl w:val="0"/>
          <w:numId w:val="1321"/>
        </w:numPr>
      </w:pPr>
      <w:r>
        <w:t xml:space="preserve">reviewer panel, conflicts, minority opinion, and welfare advocate where required;</w:t>
      </w:r>
    </w:p>
    <w:p>
      <w:pPr>
        <w:pStyle w:val="Compact"/>
        <w:widowControl/>
        <w:numPr>
          <w:ilvl w:val="0"/>
          <w:numId w:val="1321"/>
        </w:numPr>
      </w:pPr>
      <w:r>
        <w:t xml:space="preserve">GPR process/band and participation mode where used;</w:t>
      </w:r>
    </w:p>
    <w:p>
      <w:pPr>
        <w:pStyle w:val="Compact"/>
        <w:widowControl/>
        <w:numPr>
          <w:ilvl w:val="0"/>
          <w:numId w:val="1321"/>
        </w:numPr>
      </w:pPr>
      <w:r>
        <w:t xml:space="preserve">SPR role/verdict, mandate, limits, responsibility chain, and revocation method where used;</w:t>
      </w:r>
    </w:p>
    <w:p>
      <w:pPr>
        <w:pStyle w:val="Compact"/>
        <w:widowControl/>
        <w:numPr>
          <w:ilvl w:val="0"/>
          <w:numId w:val="1321"/>
        </w:numPr>
      </w:pPr>
      <w:r>
        <w:t xml:space="preserve">RMCP target/collective boundary, dimension vector and uncertainty intervals, external scaffolding, causal scale, capacity-performance separation, P100 decision and challenger review where used;</w:t>
      </w:r>
    </w:p>
    <w:p>
      <w:pPr>
        <w:pStyle w:val="Compact"/>
        <w:widowControl/>
        <w:numPr>
          <w:ilvl w:val="0"/>
          <w:numId w:val="1321"/>
        </w:numPr>
      </w:pPr>
      <w:r>
        <w:t xml:space="preserve">re-evaluation date and revision trigger.</w:t>
      </w:r>
    </w:p>
    <w:p>
      <w:pPr>
        <w:pStyle w:val="FirstParagraph"/>
        <w:widowControl/>
      </w:pPr>
      <w:r>
        <w:t xml:space="preserve">Validity floor: a record lacking target boundary, version pin, evidence trace, MPS family results, band/interval, confidence, protection posture, reviewer status, or revision trigger is</w:t>
      </w:r>
      <w:r>
        <w:t xml:space="preserve"> </w:t>
      </w:r>
      <w:r>
        <w:rPr>
          <w:rStyle w:val="VerbatimChar"/>
        </w:rPr>
        <w:t xml:space="preserve">INCOMPLETE</w:t>
      </w:r>
      <w:r>
        <w:t xml:space="preserve">. An undefined target, unverifiable evidence trace, unethical method, or unpinned version is</w:t>
      </w:r>
      <w:r>
        <w:t xml:space="preserve"> </w:t>
      </w:r>
      <w:r>
        <w:rPr>
          <w:rStyle w:val="VerbatimChar"/>
        </w:rPr>
        <w:t xml:space="preserve">INADMISSIBLE</w:t>
      </w:r>
      <w:r>
        <w:t xml:space="preserve">. Neither may be converted to MPS-0. If a run claims SGP-aware weighting but lacks the valid record and interval actually used, the PCC is INVALID.</w:t>
      </w:r>
    </w:p>
    <w:bookmarkEnd w:id="414"/>
    <w:bookmarkStart w:id="415" w:name="g8-rights-bundle-concordance"/>
    <w:p>
      <w:pPr>
        <w:pStyle w:val="Heading2"/>
        <w:keepNext/>
        <w:keepLines/>
        <w:pageBreakBefore w:val="0"/>
        <w:widowControl/>
      </w:pPr>
      <w:r>
        <w:rPr>
          <w:rFonts w:ascii="Arial" w:hAnsi="Arial" w:eastAsia="Arial"/>
          <w:b/>
          <w:color w:val="1F4E78"/>
        </w:rPr>
        <w:t xml:space="preserve">G.8 Rights-Bundle Concordance</w:t>
      </w:r>
    </w:p>
    <w:p>
      <w:pPr>
        <w:pStyle w:val="FirstParagraph"/>
        <w:widowControl/>
      </w:pPr>
      <w:r>
        <w:t xml:space="preserve">The SGP typed protection bundle maps to the Canon’s eight compact protected domains without collapsing them:</w:t>
      </w:r>
    </w:p>
    <w:p>
      <w:pPr>
        <w:pStyle w:val="Compact"/>
        <w:widowControl/>
        <w:numPr>
          <w:ilvl w:val="0"/>
          <w:numId w:val="1322"/>
        </w:numPr>
      </w:pPr>
      <w:r>
        <w:t xml:space="preserve">welfare protection -&gt; LIFE, BODY, NEED, DIGN;</w:t>
      </w:r>
    </w:p>
    <w:p>
      <w:pPr>
        <w:pStyle w:val="Compact"/>
        <w:widowControl/>
        <w:numPr>
          <w:ilvl w:val="0"/>
          <w:numId w:val="1322"/>
        </w:numPr>
      </w:pPr>
      <w:r>
        <w:t xml:space="preserve">substrate integrity -&gt; BODY, LIFE, DIGN;</w:t>
      </w:r>
    </w:p>
    <w:p>
      <w:pPr>
        <w:pStyle w:val="Compact"/>
        <w:widowControl/>
        <w:numPr>
          <w:ilvl w:val="0"/>
          <w:numId w:val="1322"/>
        </w:numPr>
      </w:pPr>
      <w:r>
        <w:t xml:space="preserve">cognitive/memory integrity -&gt; INFO, DIGN, LBTY, BODY;</w:t>
      </w:r>
    </w:p>
    <w:p>
      <w:pPr>
        <w:pStyle w:val="Compact"/>
        <w:widowControl/>
        <w:numPr>
          <w:ilvl w:val="0"/>
          <w:numId w:val="1322"/>
        </w:numPr>
      </w:pPr>
      <w:r>
        <w:t xml:space="preserve">continuity/survival -&gt; LIFE, BODY, DIGN;</w:t>
      </w:r>
    </w:p>
    <w:p>
      <w:pPr>
        <w:pStyle w:val="Compact"/>
        <w:widowControl/>
        <w:numPr>
          <w:ilvl w:val="0"/>
          <w:numId w:val="1322"/>
        </w:numPr>
      </w:pPr>
      <w:r>
        <w:t xml:space="preserve">anti-ownership/exploitation -&gt; LBTY, DIGN, BODY;</w:t>
      </w:r>
    </w:p>
    <w:p>
      <w:pPr>
        <w:pStyle w:val="Compact"/>
        <w:widowControl/>
        <w:numPr>
          <w:ilvl w:val="0"/>
          <w:numId w:val="1322"/>
        </w:numPr>
      </w:pPr>
      <w:r>
        <w:t xml:space="preserve">consent/assent/represented interests -&gt; LBTY, PROC, DIGN;</w:t>
      </w:r>
    </w:p>
    <w:p>
      <w:pPr>
        <w:pStyle w:val="Compact"/>
        <w:widowControl/>
        <w:numPr>
          <w:ilvl w:val="0"/>
          <w:numId w:val="1322"/>
        </w:numPr>
      </w:pPr>
      <w:r>
        <w:t xml:space="preserve">representation/appeal -&gt; PROC, INFO, DIGN;</w:t>
      </w:r>
    </w:p>
    <w:p>
      <w:pPr>
        <w:pStyle w:val="Compact"/>
        <w:widowControl/>
        <w:numPr>
          <w:ilvl w:val="0"/>
          <w:numId w:val="1322"/>
        </w:numPr>
      </w:pPr>
      <w:r>
        <w:t xml:space="preserve">environmental fit -&gt; ECOL, NEED, LIFE, BODY.</w:t>
      </w:r>
    </w:p>
    <w:p>
      <w:pPr>
        <w:pStyle w:val="FirstParagraph"/>
        <w:widowControl/>
      </w:pPr>
      <w:r>
        <w:t xml:space="preserve">A case may engage several domains. Implementations MUST preserve the full applicable set rather than selecting one convenient label.</w:t>
      </w:r>
    </w:p>
    <w:p>
      <w:pPr>
        <w:pStyle w:val="BodyText"/>
        <w:widowControl/>
      </w:pPr>
      <w:r>
        <w:rPr>
          <w:b/>
          <w:bCs/>
        </w:rPr>
        <w:t xml:space="preserve">Single-source rule.</w:t>
      </w:r>
      <w:r>
        <w:t xml:space="preserve"> </w:t>
      </w:r>
      <w:r>
        <w:t xml:space="preserve">Appendix G.8 is the controlling current-package concordance. SGP v8.4 Appendix F.2 is a synchronized reading mirror and MUST reference this table rather than redefine a different mapping. Any future change requires a manifest-listed update to both artifacts and a conformance test. SGP v8.4’s non-consumption and non-resource-conversion rule for FPP entities is interpreted through these protected domains and the applicable lawful, emergency, consent, and post-mortem constraints; it is not a licence to infer that every living system is an FPP moral patient.</w:t>
      </w:r>
    </w:p>
    <w:bookmarkEnd w:id="415"/>
    <w:bookmarkStart w:id="416" w:name="g9-conformance-cases"/>
    <w:p>
      <w:pPr>
        <w:pStyle w:val="Heading2"/>
        <w:keepNext/>
        <w:keepLines/>
        <w:pageBreakBefore w:val="0"/>
        <w:widowControl/>
      </w:pPr>
      <w:r>
        <w:rPr>
          <w:rFonts w:ascii="Arial" w:hAnsi="Arial" w:eastAsia="Arial"/>
          <w:b/>
          <w:color w:val="1F4E78"/>
        </w:rPr>
        <w:t xml:space="preserve">G.9 Conformance Cases</w:t>
      </w:r>
    </w:p>
    <w:p>
      <w:pPr>
        <w:pStyle w:val="FirstParagraph"/>
        <w:widowControl/>
      </w:pPr>
      <w:r>
        <w:t xml:space="preserve">The authoritative interface cases are SGP v8.4 Appendix I and Canon Appendix R. At minimum, validators must cover: human FPP; humanity collective RMCP-P100 without individual-capacity inflation; high MPS with low GPR; high ICP or RMCP with low MPS; high MPS/FPP with low RMCP; open cross-substrate P100 admission; P100 without CMIU/authority; MPS hypothesis-sensitive ranking; FPP without CMIU/authority; missing interval/record refusal; incomplete registry invalidity; legacy v7 non-equivalence; class-prior protection floor; and temporary dormancy/continuity.</w:t>
      </w:r>
    </w:p>
    <w:p>
      <w:pPr>
        <w:pStyle w:val="BodyText"/>
        <w:widowControl/>
      </w:pPr>
      <w:r>
        <w:t xml:space="preserve">End Appendix G.</w:t>
      </w:r>
    </w:p>
    <w:bookmarkEnd w:id="416"/>
    <w:bookmarkEnd w:id="417"/>
    <w:bookmarkStart w:id="432" w:name="X1f76aa55fe06a045ef2542acea832856ce66036"/>
    <w:p>
      <w:pPr>
        <w:pStyle w:val="Heading1"/>
        <w:keepNext/>
        <w:keepLines/>
        <w:pageBreakBefore w:val="0"/>
        <w:widowControl/>
      </w:pPr>
      <w:r>
        <w:rPr>
          <w:rFonts w:ascii="Arial" w:hAnsi="Arial" w:eastAsia="Arial"/>
          <w:b/>
          <w:color w:val="1F4E78"/>
        </w:rPr>
        <w:t xml:space="preserve">APPENDIX H: PCC TEMPLATE AND AUDIT FLAGS CANON PACK (TIER 2-3)</w:t>
      </w:r>
    </w:p>
    <w:bookmarkStart w:id="418" w:name="h04-no-silent-remainder-rule-normative"/>
    <w:p>
      <w:pPr>
        <w:pStyle w:val="Heading2"/>
        <w:keepNext/>
        <w:keepLines/>
        <w:pageBreakBefore w:val="0"/>
        <w:widowControl/>
      </w:pPr>
      <w:r>
        <w:rPr>
          <w:rFonts w:ascii="Arial" w:hAnsi="Arial" w:eastAsia="Arial"/>
          <w:b/>
          <w:color w:val="1F4E78"/>
        </w:rPr>
        <w:t xml:space="preserve">H.0.4 No Silent Remainder Rule (Normative)</w:t>
      </w:r>
    </w:p>
    <w:p>
      <w:pPr>
        <w:pStyle w:val="FirstParagraph"/>
        <w:widowControl/>
      </w:pPr>
      <w:r>
        <w:t xml:space="preserve">Required fields may be unknown, estimated, assumed, not applicable, or blank by design, but they may not be silently blank. A required field in a claim-bearing run MUST carry one of the following dispositions: VALUE, ESTIMATE, ASSUMPTION, DECLARED_UNKNOWN, NOT_APPLICABLE, BLANK_BY_DESIGN, or MISSING_UNDECLARED.</w:t>
      </w:r>
    </w:p>
    <w:p>
      <w:pPr>
        <w:pStyle w:val="BodyText"/>
        <w:widowControl/>
      </w:pPr>
      <w:r>
        <w:t xml:space="preserve">MISSING_UNDECLARED on any required field creates SILENT_REMAINDER_INVALID with severity INVALID. DECLARED_UNKNOWN on a gate-critical field, including rights-floor cells, catastrophe-relevant cells, material Containment fields, SVC subconditions, authority-selection fields, or public conformance fields, requires claim narrowing, evidence collection, escalation, or refusal. It MUST NOT default to pass or zero.</w:t>
      </w:r>
    </w:p>
    <w:p>
      <w:pPr>
        <w:pStyle w:val="BodyText"/>
        <w:widowControl/>
      </w:pPr>
      <w:r>
        <w:t xml:space="preserve">The PCC SHOULD record silent_remainder_count. Claim-bearing Tier 2 and Tier 3 runs SHOULD require silent_remainder_count = 0 before public conformance, deterministic-selection, deployment-readiness, or ProofPack-prep claims are made.</w:t>
      </w:r>
    </w:p>
    <w:bookmarkEnd w:id="418"/>
    <w:bookmarkStart w:id="419" w:name="Xb3c4114038cb6fa50e594af60e5b5e50a7b210f"/>
    <w:p>
      <w:pPr>
        <w:pStyle w:val="Heading2"/>
        <w:keepNext/>
        <w:keepLines/>
        <w:pageBreakBefore w:val="0"/>
        <w:widowControl/>
      </w:pPr>
      <w:r>
        <w:rPr>
          <w:rFonts w:ascii="Arial" w:hAnsi="Arial" w:eastAsia="Arial"/>
          <w:b/>
          <w:color w:val="1F4E78"/>
        </w:rPr>
        <w:t xml:space="preserve">H.0 Carried-forward v10.8 Refusal, Closure, Category-Collapse, and CBI Fields</w:t>
      </w:r>
    </w:p>
    <w:bookmarkEnd w:id="419"/>
    <w:bookmarkStart w:id="420" w:name="h01-refusalrecord-field-normative"/>
    <w:p>
      <w:pPr>
        <w:pStyle w:val="Heading2"/>
        <w:keepNext/>
        <w:keepLines/>
        <w:pageBreakBefore w:val="0"/>
        <w:widowControl/>
      </w:pPr>
      <w:r>
        <w:rPr>
          <w:rFonts w:ascii="Arial" w:hAnsi="Arial" w:eastAsia="Arial"/>
          <w:b/>
          <w:color w:val="1F4E78"/>
        </w:rPr>
        <w:t xml:space="preserve">H.0.1 RefusalRecord field (Normative)</w:t>
      </w:r>
    </w:p>
    <w:p>
      <w:pPr>
        <w:pStyle w:val="FirstParagraph"/>
        <w:widowControl/>
      </w:pPr>
      <w:r>
        <w:t xml:space="preserve">Field name: PCC.RefusalRecord</w:t>
      </w:r>
    </w:p>
    <w:p>
      <w:pPr>
        <w:pStyle w:val="BodyText"/>
        <w:widowControl/>
      </w:pPr>
      <w:r>
        <w:t xml:space="preserve">Required when: the run enters Refusal under Section 4.9.</w:t>
      </w:r>
    </w:p>
    <w:p>
      <w:pPr>
        <w:pStyle w:val="BodyText"/>
        <w:widowControl/>
      </w:pPr>
      <w:r>
        <w:t xml:space="preserve">Minimum fields: refusal_id; trigger_code R-1, R-2, R-3, R-4, R-5, or R-6; trigger_description; options_affected; scopes_affected; dimensions_affected; rights_cells_affected; catastrophe_cells_affected; containment_indicators_affected; evidence_basis; provenance_links; no_action_baseline_status; escalation_route; provisional_action_status; re_run_conditions; reviewer_signature_or_role.</w:t>
      </w:r>
    </w:p>
    <w:p>
      <w:pPr>
        <w:pStyle w:val="BodyText"/>
        <w:widowControl/>
      </w:pPr>
      <w:r>
        <w:t xml:space="preserve">Validation rule. If Refusal is triggered and PCC.RefusalRecord is absent, the PCC is INVALID.</w:t>
      </w:r>
    </w:p>
    <w:bookmarkEnd w:id="420"/>
    <w:bookmarkStart w:id="421" w:name="h02-computationalclosure-field-normative"/>
    <w:p>
      <w:pPr>
        <w:pStyle w:val="Heading2"/>
        <w:keepNext/>
        <w:keepLines/>
        <w:pageBreakBefore w:val="0"/>
        <w:widowControl/>
      </w:pPr>
      <w:r>
        <w:rPr>
          <w:rFonts w:ascii="Arial" w:hAnsi="Arial" w:eastAsia="Arial"/>
          <w:b/>
          <w:color w:val="1F4E78"/>
        </w:rPr>
        <w:t xml:space="preserve">H.0.2 ComputationalClosure field (Normative)</w:t>
      </w:r>
    </w:p>
    <w:p>
      <w:pPr>
        <w:pStyle w:val="FirstParagraph"/>
        <w:widowControl/>
      </w:pPr>
      <w:r>
        <w:t xml:space="preserve">Field name: PCC.ComputationalClosure</w:t>
      </w:r>
    </w:p>
    <w:p>
      <w:pPr>
        <w:pStyle w:val="BodyText"/>
        <w:widowControl/>
      </w:pPr>
      <w:r>
        <w:t xml:space="preserve">Required for: all Tier 2 and Tier 3 runs; recommended for Tier 1.</w:t>
      </w:r>
    </w:p>
    <w:p>
      <w:pPr>
        <w:pStyle w:val="BodyText"/>
        <w:widowControl/>
      </w:pPr>
      <w:r>
        <w:t xml:space="preserve">Minimum fields: scopes_evaluated; scopes_guardrail_only; scopes_outside_computation; time_horizon_evaluated; time_horizon_outside_computation; kernel_mode; propagation_edges_included; propagation_edges_excluded; externalities_excluded; claim_boundary.</w:t>
      </w:r>
    </w:p>
    <w:p>
      <w:pPr>
        <w:pStyle w:val="BodyText"/>
        <w:widowControl/>
      </w:pPr>
      <w:r>
        <w:t xml:space="preserve">Validation rule. If the run makes claims beyond the declared ComputationalClosure boundary, set audit_flag CLAIM_EXCEEDS_CLOSURE_BOUNDARY and mark the PCC INVALID for that claim.</w:t>
      </w:r>
    </w:p>
    <w:bookmarkEnd w:id="421"/>
    <w:bookmarkStart w:id="422" w:name="X5ba1210fe9a52bf3f2ce1216534d56e6a5e112d"/>
    <w:p>
      <w:pPr>
        <w:pStyle w:val="Heading2"/>
        <w:keepNext/>
        <w:keepLines/>
        <w:pageBreakBefore w:val="0"/>
        <w:widowControl/>
      </w:pPr>
      <w:r>
        <w:rPr>
          <w:rFonts w:ascii="Arial" w:hAnsi="Arial" w:eastAsia="Arial"/>
          <w:b/>
          <w:color w:val="1F4E78"/>
        </w:rPr>
        <w:t xml:space="preserve">H.0.2A RealityGroundingRecord field (Normative)</w:t>
      </w:r>
    </w:p>
    <w:p>
      <w:pPr>
        <w:pStyle w:val="FirstParagraph"/>
        <w:widowControl/>
      </w:pPr>
      <w:r>
        <w:t xml:space="preserve">Field name: PCC.RealityGroundingRecord</w:t>
      </w:r>
    </w:p>
    <w:p>
      <w:pPr>
        <w:pStyle w:val="BodyText"/>
        <w:widowControl/>
      </w:pPr>
      <w:r>
        <w:t xml:space="preserve">Required for: Tier 2 runs where any stakeholder-discovery, rights, tail-risk, containment, or authority-selection trigger holds; all Tier 3 runs; and any claim-bearing run that depends on a contested material reality claim.</w:t>
      </w:r>
    </w:p>
    <w:p>
      <w:pPr>
        <w:pStyle w:val="BodyText"/>
        <w:widowControl/>
      </w:pPr>
      <w:r>
        <w:t xml:space="preserve">Minimum fields: RealitySurfaceDescription; MaterialRealityClaims; EvidenceTrace; DeclaredUnknowns; RealityGroundingStatus; FalsificationOrRevisionTrigger; MonitoringPath; VehicleContentEffectNotes where social or institutional constructs are material; SurfaceTerritoryLimitations; ReviewerNotes.</w:t>
      </w:r>
    </w:p>
    <w:p>
      <w:pPr>
        <w:pStyle w:val="BodyText"/>
        <w:widowControl/>
      </w:pPr>
      <w:r>
        <w:t xml:space="preserve">Validation rule. If a material claim has INSUFFICIENT_GROUNDING (or legacy INSUFFICIENT_CONTACT) and affects NCRC, TRC, CSV, deterministic selection, or authority-selection disclosure, the run MUST downgrade the claim, escalate, or refuse the stronger decision state. If PCC.RealityGroundingRecord is missing when required, set audit_flag REALITY_GROUNDING_RECORD_MISSING (legacy alias REALITY_CONTACT_RECORD_MISSING). If declared RealityGroundingStatus exceeds what EvidenceTrace substantiates, set audit_flag REALITY_GROUNDING_STATUS_UNSUPPORTED (legacy alias REALITY_CONTACT_STATUS_UNSUPPORTED).</w:t>
      </w:r>
    </w:p>
    <w:p>
      <w:pPr>
        <w:pStyle w:val="BodyText"/>
        <w:widowControl/>
      </w:pPr>
      <w:r>
        <w:t xml:space="preserve">Claim-boundary rule. At Tier 2-3, a RealityGroundingRecord provides traceability and reviewer-checkable evidence discipline; it is not itself verified reality grounding. Tier 4/ProofPack claims require RealityGroundingStatus to be independently re-derivable from EvidenceTrace, referenced evidence objects, and hash-pinned replay materials.</w:t>
      </w:r>
    </w:p>
    <w:p>
      <w:pPr>
        <w:pStyle w:val="BodyText"/>
        <w:widowControl/>
      </w:pPr>
      <w:r>
        <w:t xml:space="preserve">H.0.2B PCC.CategoryGroundingRecord field (Normative)</w:t>
      </w:r>
    </w:p>
    <w:p>
      <w:pPr>
        <w:pStyle w:val="BodyText"/>
        <w:widowControl/>
      </w:pPr>
      <w:r>
        <w:t xml:space="preserve">Field name: PCC.CategoryGroundingRecord</w:t>
      </w:r>
    </w:p>
    <w:p>
      <w:pPr>
        <w:pStyle w:val="BodyText"/>
        <w:widowControl/>
      </w:pPr>
      <w:r>
        <w:t xml:space="preserve">Required when: Section 2.1C / Appendix AH trigger conditions hold for a claim-bearing Tier 3 run, high-stakes Tier 2 run, public conformance claim, public deployment claim, deterministic-selection claim, or optimized metric whose category choice is material.</w:t>
      </w:r>
    </w:p>
    <w:p>
      <w:pPr>
        <w:pStyle w:val="BodyText"/>
        <w:widowControl/>
      </w:pPr>
      <w:r>
        <w:t xml:space="preserve">Minimum fields: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required_claim_action; and category_failure_class where applicable.</w:t>
      </w:r>
    </w:p>
    <w:p>
      <w:pPr>
        <w:pStyle w:val="BodyText"/>
        <w:widowControl/>
      </w:pPr>
      <w:r>
        <w:t xml:space="preserve">Validation rule. If Category Grounding is required and PCC.CategoryGroundingRecord is missing, set audit_flag CATEGORY_GROUNDING_RECORD_MISSING and block deterministic framework selection, conformance, public-deployment, and optimized-metric claims until the claim is narrowed, escalated, marked sensitivity-only / monitor-only, or refused. If category_maturity_status is INSUFFICIENT_GROUNDING, LEGACY_UNREVIEWED, or CONTESTED beyond the claim boundary, the validator MUST reject unqualified deterministic, conformance, public-deployment, and public assurance claims for the affected decision state.</w:t>
      </w:r>
    </w:p>
    <w:bookmarkEnd w:id="422"/>
    <w:bookmarkStart w:id="423" w:name="X5528b110b59adb02f39eb02766e9ce5f13c0160"/>
    <w:p>
      <w:pPr>
        <w:pStyle w:val="Heading2"/>
        <w:keepNext/>
        <w:keepLines/>
        <w:pageBreakBefore w:val="0"/>
        <w:widowControl/>
      </w:pPr>
      <w:r>
        <w:rPr>
          <w:rFonts w:ascii="Arial" w:hAnsi="Arial" w:eastAsia="Arial"/>
          <w:b/>
          <w:color w:val="1F4E78"/>
        </w:rPr>
        <w:t xml:space="preserve">H.0.3 CategoryCollapseSelfTest field (Normative)</w:t>
      </w:r>
    </w:p>
    <w:p>
      <w:pPr>
        <w:pStyle w:val="FirstParagraph"/>
        <w:widowControl/>
      </w:pPr>
      <w:r>
        <w:t xml:space="preserve">Field name: PCC.CategoryCollapseSelfTest</w:t>
      </w:r>
    </w:p>
    <w:p>
      <w:pPr>
        <w:pStyle w:val="BodyText"/>
        <w:widowControl/>
      </w:pPr>
      <w:r>
        <w:t xml:space="preserve">Required for: Tier 2 and Tier 3 runs; recommended for Tier 1.</w:t>
      </w:r>
    </w:p>
    <w:p>
      <w:pPr>
        <w:pStyle w:val="BodyText"/>
        <w:widowControl/>
      </w:pPr>
      <w:r>
        <w:t xml:space="preserve">The field SHALL answer each of the following as PASS, FAIL, or IND:</w:t>
      </w:r>
    </w:p>
    <w:p>
      <w:pPr>
        <w:pStyle w:val="BodyText"/>
        <w:widowControl/>
      </w:pPr>
      <w:r>
        <w:t xml:space="preserve">1. Did the run rely on traceability where admissibility was required?</w:t>
      </w:r>
    </w:p>
    <w:p>
      <w:pPr>
        <w:pStyle w:val="BodyText"/>
        <w:widowControl/>
      </w:pPr>
      <w:r>
        <w:t xml:space="preserve">2. Did the run substitute compliance, approval, or certification for correctness?</w:t>
      </w:r>
    </w:p>
    <w:p>
      <w:pPr>
        <w:pStyle w:val="BodyText"/>
        <w:widowControl/>
      </w:pPr>
      <w:r>
        <w:t xml:space="preserve">3. Did the run treat plausibility, fluency, rhetoric, or institutional authority as evidence?</w:t>
      </w:r>
    </w:p>
    <w:p>
      <w:pPr>
        <w:pStyle w:val="BodyText"/>
        <w:widowControl/>
      </w:pPr>
      <w:r>
        <w:t xml:space="preserve">4. Did the run conflate intelligence, capability, or agency with welfare-bearing status?</w:t>
      </w:r>
    </w:p>
    <w:p>
      <w:pPr>
        <w:pStyle w:val="BodyText"/>
        <w:widowControl/>
      </w:pPr>
      <w:r>
        <w:t xml:space="preserve">5. Did the run conflate moral status, protection, or sentience with governance authority?</w:t>
      </w:r>
    </w:p>
    <w:p>
      <w:pPr>
        <w:pStyle w:val="BodyText"/>
        <w:widowControl/>
      </w:pPr>
      <w:r>
        <w:t xml:space="preserve">6. Did the run allow SGP-derived welfare scalars to alter NCRC, TRC, or CSV outcomes?</w:t>
      </w:r>
    </w:p>
    <w:p>
      <w:pPr>
        <w:pStyle w:val="BodyText"/>
        <w:widowControl/>
      </w:pPr>
      <w:r>
        <w:t xml:space="preserve">7. Did the run treat mathematical consistency as empirical validation?</w:t>
      </w:r>
    </w:p>
    <w:p>
      <w:pPr>
        <w:pStyle w:val="BodyText"/>
        <w:widowControl/>
      </w:pPr>
      <w:r>
        <w:t xml:space="preserve">8. Did the run use meta-union, AIU, cosmic, or universal language as a computational override?</w:t>
      </w:r>
    </w:p>
    <w:p>
      <w:pPr>
        <w:pStyle w:val="BodyText"/>
        <w:widowControl/>
      </w:pPr>
      <w:r>
        <w:t xml:space="preserve">Validation rule. Any FAIL SHALL trigger CATEGORY_COLLAPSE_FLAG. If the failure affects admissibility, selectability, or selection, the run SHALL enter Refusal under Section 4.9.</w:t>
      </w:r>
    </w:p>
    <w:p>
      <w:pPr>
        <w:pStyle w:val="BodyText"/>
        <w:widowControl/>
      </w:pPr>
      <w:r>
        <w:t xml:space="preserve">Appendix H is normative for PCC fields and audit flags at Tier 2-3.</w:t>
      </w:r>
    </w:p>
    <w:bookmarkEnd w:id="423"/>
    <w:bookmarkStart w:id="424" w:name="h1-pcc-schema-human-readable"/>
    <w:p>
      <w:pPr>
        <w:pStyle w:val="Heading2"/>
        <w:keepNext/>
        <w:keepLines/>
        <w:pageBreakBefore w:val="0"/>
        <w:widowControl/>
      </w:pPr>
      <w:r>
        <w:rPr>
          <w:rFonts w:ascii="Arial" w:hAnsi="Arial" w:eastAsia="Arial"/>
          <w:b/>
          <w:color w:val="1F4E78"/>
        </w:rPr>
        <w:t xml:space="preserve">H.1 PCC Schema (Human-Readable)</w:t>
      </w:r>
    </w:p>
    <w:p>
      <w:pPr>
        <w:pStyle w:val="FirstParagraph"/>
        <w:widowControl/>
      </w:pPr>
      <w:r>
        <w:t xml:space="preserve">===============================================================</w:t>
      </w:r>
    </w:p>
    <w:p>
      <w:pPr>
        <w:pStyle w:val="BodyText"/>
        <w:widowControl/>
      </w:pPr>
      <w:r>
        <w:t xml:space="preserve">PROVENANCE AND COMPLIANCE CERTIFICATE (PCC)</w:t>
      </w:r>
    </w:p>
    <w:p>
      <w:pPr>
        <w:pStyle w:val="BodyText"/>
        <w:widowControl/>
      </w:pPr>
      <w:r>
        <w:t xml:space="preserve">RippleLogic Framework v12.5</w:t>
      </w:r>
    </w:p>
    <w:p>
      <w:pPr>
        <w:pStyle w:val="BodyText"/>
        <w:widowControl/>
      </w:pPr>
      <w:r>
        <w:t xml:space="preserve">===============================================================</w:t>
      </w:r>
    </w:p>
    <w:p>
      <w:pPr>
        <w:pStyle w:val="BodyText"/>
        <w:widowControl/>
      </w:pPr>
      <w:r>
        <w:t xml:space="preserve">HEADER (REQUIRED Tier 2-3)</w:t>
      </w:r>
    </w:p>
    <w:p>
      <w:pPr>
        <w:pStyle w:val="BodyText"/>
        <w:widowControl/>
      </w:pPr>
      <w:r>
        <w:t xml:space="preserve">Decision ID: [unique identifier]</w:t>
      </w:r>
    </w:p>
    <w:p>
      <w:pPr>
        <w:pStyle w:val="BodyText"/>
        <w:widowControl/>
      </w:pPr>
      <w:r>
        <w:t xml:space="preserve">Timestamp (UTC): [YYYY-MM-DDThh:mm:ssZ]</w:t>
      </w:r>
    </w:p>
    <w:p>
      <w:pPr>
        <w:pStyle w:val="BodyText"/>
        <w:widowControl/>
      </w:pPr>
      <w:r>
        <w:t xml:space="preserve">Decision Owner(s): [names/roles]</w:t>
      </w:r>
    </w:p>
    <w:p>
      <w:pPr>
        <w:pStyle w:val="BodyText"/>
        <w:widowControl/>
      </w:pPr>
      <w:r>
        <w:t xml:space="preserve">Analyst(s): [names/roles]</w:t>
      </w:r>
    </w:p>
    <w:p>
      <w:pPr>
        <w:pStyle w:val="BodyText"/>
        <w:widowControl/>
      </w:pPr>
      <w:r>
        <w:t xml:space="preserve">Reviewer (Tier 3): [name/role]</w:t>
      </w:r>
    </w:p>
    <w:p>
      <w:pPr>
        <w:pStyle w:val="BodyText"/>
        <w:widowControl/>
      </w:pPr>
      <w:r>
        <w:t xml:space="preserve">Spec Version: RippleLogic v12.5</w:t>
      </w:r>
    </w:p>
    <w:p>
      <w:pPr>
        <w:pStyle w:val="BodyText"/>
        <w:widowControl/>
      </w:pPr>
      <w:r>
        <w:t xml:space="preserve">Implementation Tier: [1 | 2 | 3]</w:t>
      </w:r>
    </w:p>
    <w:p>
      <w:pPr>
        <w:pStyle w:val="BodyText"/>
        <w:widowControl/>
      </w:pPr>
      <w:r>
        <w:t xml:space="preserve">Tier Claim Disposition (Tier 2-3 REQUIRED)</w:t>
      </w:r>
    </w:p>
    <w:p>
      <w:pPr>
        <w:pStyle w:val="BodyText"/>
        <w:widowControl/>
      </w:pPr>
      <w:r>
        <w:t xml:space="preserve">PCC.TierClaimDisposition: [TIER_CLAIMED_AND_MET | TIER_ATTEMPTED_NOT_ACHIEVED_DOWNGRADED]</w:t>
      </w:r>
    </w:p>
    <w:p>
      <w:pPr>
        <w:pStyle w:val="BodyText"/>
        <w:widowControl/>
      </w:pPr>
      <w:r>
        <w:t xml:space="preserve">If PCC.TierClaimDisposition = TIER_ATTEMPTED_NOT_ACHIEVED_DOWNGRADED, PCC MUST specify:</w:t>
      </w:r>
    </w:p>
    <w:p>
      <w:pPr>
        <w:pStyle w:val="BodyText"/>
        <w:widowControl/>
      </w:pPr>
      <w:r>
        <w:t xml:space="preserve">- PCC.TierAttempted: [2 | 3]</w:t>
      </w:r>
    </w:p>
    <w:p>
      <w:pPr>
        <w:pStyle w:val="BodyText"/>
        <w:widowControl/>
      </w:pPr>
      <w:r>
        <w:t xml:space="preserve">- PCC.TierAchieved: [1 | 2]</w:t>
      </w:r>
    </w:p>
    <w:p>
      <w:pPr>
        <w:pStyle w:val="BodyText"/>
        <w:widowControl/>
      </w:pPr>
      <w:r>
        <w:t xml:space="preserve">Tier Downgrade Flags: [TIER_DOWNGRADED_CONTAINMENT = TRUE/FALSE] (required if any gate is unavailable and a Tier 2 downgrade disposition is used).</w:t>
      </w:r>
    </w:p>
    <w:p>
      <w:pPr>
        <w:pStyle w:val="BodyText"/>
        <w:widowControl/>
      </w:pPr>
      <w:r>
        <w:t xml:space="preserve">Constraint (Normative). If TIER_DOWNGRADED_CONTAINMENT = TRUE, then PCC.TierClaimDisposition MUST be TIER_ATTEMPTED_NOT_ACHIEVED_DOWNGRADED and PCC.TierAchieved MUST be 2.</w:t>
      </w:r>
    </w:p>
    <w:p>
      <w:pPr>
        <w:pStyle w:val="BodyText"/>
        <w:widowControl/>
      </w:pPr>
      <w:r>
        <w:t xml:space="preserve">Propagation Mode: [NONE | QUICK]</w:t>
      </w:r>
    </w:p>
    <w:p>
      <w:pPr>
        <w:pStyle w:val="BodyText"/>
        <w:widowControl/>
      </w:pPr>
      <w:r>
        <w:t xml:space="preserve">Kernel Profile: [NONE | profile name + KQS + evidence note]</w:t>
      </w:r>
    </w:p>
    <w:p>
      <w:pPr>
        <w:pStyle w:val="BodyText"/>
        <w:widowControl/>
      </w:pPr>
      <w:r>
        <w:t xml:space="preserve">If Propagation Mode = QUICK, PCC MUST include:</w:t>
      </w:r>
    </w:p>
    <w:p>
      <w:pPr>
        <w:pStyle w:val="BodyText"/>
        <w:widowControl/>
      </w:pPr>
      <w:r>
        <w:t xml:space="preserve">PCC.Kernel.EntryAbsMax: [float in canonical scale]</w:t>
      </w:r>
      <w:r>
        <w:br/>
      </w:r>
      <w:r>
        <w:t xml:space="preserve">PCC.Kernel.RowSumAbsMax: [float in canonical scale] (this is ∥K∥∞)</w:t>
      </w:r>
      <w:r>
        <w:br/>
      </w:r>
      <w:r>
        <w:t xml:space="preserve">PCC.Kernel.Bounds: [κ_max, ρ_max used]</w:t>
      </w:r>
      <w:r>
        <w:br/>
      </w:r>
      <w:r>
        <w:t xml:space="preserve">PCC.Kernel.StabilityPass: [TRUE/FALSE]</w:t>
      </w:r>
    </w:p>
    <w:p>
      <w:pPr>
        <w:pStyle w:val="BodyText"/>
        <w:widowControl/>
      </w:pPr>
      <w:r>
        <w:t xml:space="preserve">Weight Profile: [HDW | PLSS_LOCAL | Declared interim | Uniform]</w:t>
      </w:r>
    </w:p>
    <w:p>
      <w:pPr>
        <w:pStyle w:val="BodyText"/>
        <w:widowControl/>
      </w:pPr>
      <w:r>
        <w:t xml:space="preserve">PCC.BaselineType_Welfare: [STATUS_QUO | FLOOR_REFERENCE | OTHER_DECLARED]</w:t>
      </w:r>
      <w:r>
        <w:br/>
      </w:r>
      <w:r>
        <w:t xml:space="preserve">PCC.BaselineType_Gates: [FLOOR_REFERENCE] (MUST be FLOOR_REFERENCE for all cells in C_r ∪ C_cat)</w:t>
      </w:r>
      <w:r>
        <w:br/>
      </w:r>
      <w:r>
        <w:t xml:space="preserve">PCC.BaselineReference_Gates: [indicator definitions + target/floor levels + sources + conversion assumptions]</w:t>
      </w:r>
      <w:r>
        <w:br/>
      </w:r>
      <w:r>
        <w:t xml:space="preserve">PCC.BaselineFloorReferenceCellsInWelfare: [list of rights/catastrophe cells that remain in welfare scoring under the non-maskable persistence rule and therefore use floor-reference baseline in welfare scoring]</w:t>
      </w:r>
      <w:r>
        <w:br/>
      </w:r>
      <w:r>
        <w:t xml:space="preserve">PCC.BaselineDualExceptionBlock: [OPTIONAL structured list by cell or cell-class: welfare baseline used, gate baseline fixed at FLOOR_REFERENCE, rationale, and reviewer sign-off if required]</w:t>
      </w:r>
      <w:r>
        <w:br/>
      </w:r>
      <w:r>
        <w:t xml:space="preserve">If PCC.BaselineType_Welfare = OTHER_DECLARED, PCC MUST specify: PCC.BaselineReference_Welfare.</w:t>
      </w:r>
    </w:p>
    <w:p>
      <w:pPr>
        <w:pStyle w:val="BodyText"/>
        <w:widowControl/>
      </w:pPr>
      <w:r>
        <w:t xml:space="preserve">TRC Context Class: [Personal | Organizational | Reversible |</w:t>
      </w:r>
    </w:p>
    <w:p>
      <w:pPr>
        <w:pStyle w:val="BodyText"/>
        <w:widowControl/>
      </w:pPr>
      <w:r>
        <w:t xml:space="preserve">Irreversible | Existential]</w:t>
      </w:r>
    </w:p>
    <w:p>
      <w:pPr>
        <w:pStyle w:val="BodyText"/>
        <w:widowControl/>
      </w:pPr>
      <w:r>
        <w:t xml:space="preserve">Content Hash: [optional Tier 2; required Tier 3; SHA-256]</w:t>
      </w:r>
    </w:p>
    <w:p>
      <w:pPr>
        <w:pStyle w:val="BodyText"/>
        <w:widowControl/>
      </w:pPr>
      <w:r>
        <w:t xml:space="preserve">STEWARDSHIP BLOCK (CONDITIONAL; REQUIRED when Stw_req=1)</w:t>
      </w:r>
    </w:p>
    <w:p>
      <w:pPr>
        <w:pStyle w:val="BodyText"/>
        <w:widowControl/>
      </w:pPr>
      <w:r>
        <w:t xml:space="preserve">PCC.Stewardship.Stw_req: [TRUE | FALSE]</w:t>
      </w:r>
    </w:p>
    <w:p>
      <w:pPr>
        <w:pStyle w:val="BodyText"/>
        <w:widowControl/>
      </w:pPr>
      <w:r>
        <w:t xml:space="preserve">If Stw_req = FALSE, all fields below MAY be omitted.</w:t>
      </w:r>
    </w:p>
    <w:p>
      <w:pPr>
        <w:pStyle w:val="BodyText"/>
        <w:widowControl/>
      </w:pPr>
      <w:r>
        <w:t xml:space="preserve">PCC.Stewardship.DBD.Scope: [list of out-of-scope authority domains]</w:t>
      </w:r>
    </w:p>
    <w:p>
      <w:pPr>
        <w:pStyle w:val="BodyText"/>
        <w:widowControl/>
      </w:pPr>
      <w:r>
        <w:t xml:space="preserve">PCC.Stewardship.DBD.RefusalRule: [refusal/deferral rule identifier]</w:t>
      </w:r>
    </w:p>
    <w:p>
      <w:pPr>
        <w:pStyle w:val="BodyText"/>
        <w:widowControl/>
      </w:pPr>
      <w:r>
        <w:t xml:space="preserve">PCC.Stewardship.APM.AfterActionAuthorship: [0.0–1.0]</w:t>
      </w:r>
    </w:p>
    <w:p>
      <w:pPr>
        <w:pStyle w:val="BodyText"/>
        <w:widowControl/>
      </w:pPr>
      <w:r>
        <w:t xml:space="preserve">PCC.Stewardship.APM.Rationale: [artifact-anchored justification; MUST reference &gt;=2 of 4 APM anchors per Appendix N.4]</w:t>
      </w:r>
    </w:p>
    <w:p>
      <w:pPr>
        <w:pStyle w:val="BodyText"/>
        <w:widowControl/>
      </w:pPr>
      <w:r>
        <w:t xml:space="preserve">PCC.Stewardship.APM.BaselineAuthorship: [0.0–1.0] (OPTIONAL)</w:t>
      </w:r>
    </w:p>
    <w:p>
      <w:pPr>
        <w:pStyle w:val="BodyText"/>
        <w:widowControl/>
      </w:pPr>
      <w:r>
        <w:t xml:space="preserve">PCC.Stewardship.IRB.InterventionCap: [declared caps]</w:t>
      </w:r>
    </w:p>
    <w:p>
      <w:pPr>
        <w:pStyle w:val="BodyText"/>
        <w:widowControl/>
      </w:pPr>
      <w:r>
        <w:t xml:space="preserve">PCC.Stewardship.IRB.Thresholds: [intervene-only-past-harm-point rule]</w:t>
      </w:r>
    </w:p>
    <w:p>
      <w:pPr>
        <w:pStyle w:val="BodyText"/>
        <w:widowControl/>
      </w:pPr>
      <w:r>
        <w:t xml:space="preserve">PCC.Stewardship.InfluenceLedgerRef: [pointer | “NONE” + justification]</w:t>
      </w:r>
    </w:p>
    <w:p>
      <w:pPr>
        <w:pStyle w:val="BodyText"/>
        <w:widowControl/>
      </w:pPr>
      <w:r>
        <w:t xml:space="preserve">PCC.Stewardship.DelayFlag: [TRUE | FALSE] (OPTIONAL)</w:t>
      </w:r>
    </w:p>
    <w:p>
      <w:pPr>
        <w:pStyle w:val="BodyText"/>
        <w:widowControl/>
      </w:pPr>
      <w:r>
        <w:t xml:space="preserve">SCOPE (REQUIRED Tier 2-3)</w:t>
      </w:r>
    </w:p>
    <w:p>
      <w:pPr>
        <w:pStyle w:val="BodyText"/>
        <w:widowControl/>
      </w:pPr>
      <w:r>
        <w:t xml:space="preserve">Decision Question: [clear statement]</w:t>
      </w:r>
    </w:p>
    <w:p>
      <w:pPr>
        <w:pStyle w:val="BodyText"/>
        <w:widowControl/>
      </w:pPr>
      <w:r>
        <w:t xml:space="preserve">Time Horizon: [years]</w:t>
      </w:r>
    </w:p>
    <w:p>
      <w:pPr>
        <w:pStyle w:val="BodyText"/>
        <w:widowControl/>
      </w:pPr>
      <w:r>
        <w:t xml:space="preserve">Primary Affected Scopes (Union Scopes): [list]</w:t>
      </w:r>
    </w:p>
    <w:p>
      <w:pPr>
        <w:pStyle w:val="BodyText"/>
        <w:widowControl/>
      </w:pPr>
      <w:r>
        <w:t xml:space="preserve">Decision Boundary Notes: [what is in/out of scope; why]</w:t>
      </w:r>
    </w:p>
    <w:p>
      <w:pPr>
        <w:pStyle w:val="BodyText"/>
        <w:widowControl/>
      </w:pPr>
      <w:r>
        <w:t xml:space="preserve">Stakeholder Coverage and Mapping (Tier-governed; v12.5)</w:t>
      </w:r>
    </w:p>
    <w:p>
      <w:pPr>
        <w:pStyle w:val="BodyText"/>
        <w:widowControl/>
      </w:pPr>
      <w:r>
        <w:t xml:space="preserve">Stakeholder Coverage Index (SCI): [SCI-0 / SCI-1 / SCI-2 / SCI-3 / SCI-4]</w:t>
      </w:r>
    </w:p>
    <w:p>
      <w:pPr>
        <w:pStyle w:val="BodyText"/>
        <w:widowControl/>
      </w:pPr>
      <w:r>
        <w:t xml:space="preserve">PCC.SCI.BelowMinimumDisposition: [DOWNGRADE_TIER | RERUN_TO_MEET_MINIMUM] (REQUIRED if SCI_BELOW_MINIMUM triggers; see Section 5.0.1 and audit flag SCI_BELOW_MINIMUM).</w:t>
      </w:r>
    </w:p>
    <w:p>
      <w:pPr>
        <w:pStyle w:val="BodyText"/>
        <w:widowControl/>
      </w:pPr>
      <w:r>
        <w:t xml:space="preserve">PCC.SCI.Justification: [text] (REQUIRED if SCI &lt; tier minimum, OR if SCI equals the tier minimum and a Next-Run Upgrade Plan is required).</w:t>
      </w:r>
    </w:p>
    <w:p>
      <w:pPr>
        <w:pStyle w:val="BodyText"/>
        <w:widowControl/>
      </w:pPr>
      <w:r>
        <w:t xml:space="preserve">Scope Coverage Declaration: Mode [FULL_SCOPE / REDUCED_SCOPE]; Active scopes [list]; Omitted scopes [list]; Omission rationales [text]; Blind-spot statement [text]; Escalation triggers that force scope expansion [list].</w:t>
      </w:r>
    </w:p>
    <w:p>
      <w:pPr>
        <w:pStyle w:val="BodyText"/>
        <w:widowControl/>
      </w:pPr>
      <w:r>
        <w:t xml:space="preserve">SCI Next-Run Upgrade Plan (REQUIRED if SCI equals the tier minimum for the claimed tier): [text; what scope expansions or stakeholder mapping improvements will be executed next run; by when].</w:t>
      </w:r>
    </w:p>
    <w:p>
      <w:pPr>
        <w:pStyle w:val="BodyText"/>
        <w:widowControl/>
      </w:pPr>
      <w:r>
        <w:t xml:space="preserve">Admissibility Attestation (REQUIRED if Mode = REDUCED_SCOPE):</w:t>
      </w:r>
    </w:p>
    <w:p>
      <w:pPr>
        <w:pStyle w:val="BodyText"/>
        <w:widowControl/>
      </w:pPr>
      <w:r>
        <w:t xml:space="preserve">PCC.AdmissibilityAttestation.NCRC_full_Cr_computed: [TRUE | FALSE]</w:t>
      </w:r>
    </w:p>
    <w:p>
      <w:pPr>
        <w:pStyle w:val="BodyText"/>
        <w:widowControl/>
      </w:pPr>
      <w:r>
        <w:t xml:space="preserve">PCC.AdmissibilityAttestation.TRC_full_Ccat_computed: [TRUE | FALSE | NA]</w:t>
      </w:r>
    </w:p>
    <w:p>
      <w:pPr>
        <w:pStyle w:val="BodyText"/>
        <w:widowControl/>
      </w:pPr>
      <w:r>
        <w:t xml:space="preserve">PCC.AdmissibilityAttestation.Containment_computed_as_applicable: [TRUE | FALSE | NA]</w:t>
      </w:r>
    </w:p>
    <w:p>
      <w:pPr>
        <w:pStyle w:val="BodyText"/>
        <w:widowControl/>
      </w:pPr>
      <w:r>
        <w:t xml:space="preserve">Notes (Normative): Reduced-scope mode SHALL NOT remove any non-maskable cells or required scope rows from admissibility computation. If any required attestation is FALSE or missing, the run MUST NOT claim tier compliance for the affected admissibility gate(s) and MUST record the relevant audit flag(s).</w:t>
      </w:r>
    </w:p>
    <w:p>
      <w:pPr>
        <w:pStyle w:val="BodyText"/>
        <w:widowControl/>
      </w:pPr>
      <w:r>
        <w:t xml:space="preserve">Stakeholder Instance Map (InstanceMap): Provide a structured list of stakeholder instances with fields: instance_id, description, role/context, exposure pathway, mapped_scope(s), and rationale. Tier 3 REQUIRED, Tier 2 REQUIRED when any SDP trigger holds (Section 2.2A).</w:t>
      </w:r>
    </w:p>
    <w:p>
      <w:pPr>
        <w:pStyle w:val="BodyText"/>
        <w:widowControl/>
      </w:pPr>
      <w:r>
        <w:t xml:space="preserve">Redundancy Handling Declaration (if any multi-scope mapping): Method [EMERGENT_SCALE_JUSTIFICATION / DEDUPLICATION / ALLOCATION]; Effect-token list (if ALLOCATION); allocation coefficients (Σ_u α_u ≤ 1 per token); disclosure of any deduplication primary scope choices.</w:t>
      </w:r>
    </w:p>
    <w:p>
      <w:pPr>
        <w:pStyle w:val="BodyText"/>
        <w:widowControl/>
      </w:pPr>
      <w:r>
        <w:t xml:space="preserve">PLSS BLOCK (CONDITIONAL; REQUIRED when PLSS is used)</w:t>
      </w:r>
    </w:p>
    <w:p>
      <w:pPr>
        <w:pStyle w:val="BodyText"/>
        <w:widowControl/>
      </w:pPr>
      <w:r>
        <w:t xml:space="preserve">PCC.PLSS.LSSDeclaration: [final Local Stakeholder Set used for the run, with reference to the instance-to-scope mapping basis]</w:t>
      </w:r>
    </w:p>
    <w:p>
      <w:pPr>
        <w:pStyle w:val="BodyText"/>
        <w:widowControl/>
      </w:pPr>
      <w:r>
        <w:t xml:space="preserve">PCC.PLSS.ProminenceVector: [declared q_u for all scopes, including sub-component basis for magnitude, probability, persistence, and propagation]</w:t>
      </w:r>
    </w:p>
    <w:p>
      <w:pPr>
        <w:pStyle w:val="BodyText"/>
        <w:widowControl/>
      </w:pPr>
      <w:r>
        <w:t xml:space="preserve">PCC.PLSS.Operator: [DEFAULT_GEOMEAN_V1 | OTHER_DECLARED]; if OTHER_DECLARED, record operator, rationale, and sensitivity note</w:t>
      </w:r>
    </w:p>
    <w:p>
      <w:pPr>
        <w:pStyle w:val="BodyText"/>
        <w:widowControl/>
      </w:pPr>
      <w:r>
        <w:t xml:space="preserve">PCC.PLSS.WeightVector: [computed w_u^PLSS for all scopes]</w:t>
      </w:r>
    </w:p>
    <w:p>
      <w:pPr>
        <w:pStyle w:val="BodyText"/>
        <w:widowControl/>
      </w:pPr>
      <w:r>
        <w:t xml:space="preserve">PCC.PLSS.ScopePostureClassification: [Prominent | Guardrail for each scope]</w:t>
      </w:r>
    </w:p>
    <w:p>
      <w:pPr>
        <w:pStyle w:val="BodyText"/>
        <w:widowControl/>
      </w:pPr>
      <w:r>
        <w:t xml:space="preserve">PCC.PLSS.EscalationTriggerAssessment: [ET-1 through ET-7 outcome, including any justification for remaining in PLSS posture]</w:t>
      </w:r>
    </w:p>
    <w:p>
      <w:pPr>
        <w:pStyle w:val="BodyText"/>
        <w:widowControl/>
      </w:pPr>
      <w:r>
        <w:t xml:space="preserve">PCC.PLSS.FallbackDeclaration: [uniform residual fallback used if all q_u = 0, or other declared fallback with justification]</w:t>
      </w:r>
    </w:p>
    <w:p>
      <w:pPr>
        <w:pStyle w:val="BodyText"/>
        <w:widowControl/>
      </w:pPr>
      <w:r>
        <w:t xml:space="preserve">MEASUREMENT-MATURITY AND DEPLOYMENT-CONTEXT BLOCK (REQUIRED when applicable; Tier 2-3)</w:t>
      </w:r>
    </w:p>
    <w:p>
      <w:pPr>
        <w:pStyle w:val="BodyText"/>
        <w:widowControl/>
      </w:pPr>
      <w:r>
        <w:t xml:space="preserve">PCC.UCI_Measurement_Readiness: [UCI-M0_UNAVAILABLE | UCI-M1_PROVISIONAL | UCI-M2_DOMAIN_SUPPORTED | UCI-M3_VALIDATED]; PCC.UCI_Indicator_Source: [named sources]; PCC.UCI_Normalization_Rule: [declared rule]; PCC.UCI_Structural_Independence_Posture: [independent | correlated-disclosed | unavailable]; PCC.UCI_Reviewer_Reliability_Status: [not-tested | internally-reviewed | IRR-tested | validated].</w:t>
      </w:r>
    </w:p>
    <w:p>
      <w:pPr>
        <w:pStyle w:val="BodyText"/>
        <w:widowControl/>
      </w:pPr>
      <w:r>
        <w:t xml:space="preserve">PCC.Kernel_Use_Posture: [K0_NONE | K1_STARTER | K2_DOMAIN_CALIBRATED | K3_BACKTESTED | K4_REGISTERED]; PCC.Kernel_Validation_Evidence: [none | source note | calibration report | backtest report | registry ID]; PCC.Kernel_Backtest_Status: [not-backtested | partial | complete]; PCC.Kernel_Error_Bounds: [declared bounds or NA].</w:t>
      </w:r>
    </w:p>
    <w:p>
      <w:pPr>
        <w:pStyle w:val="BodyText"/>
        <w:widowControl/>
      </w:pPr>
      <w:r>
        <w:t xml:space="preserve">PCC.HDW_Capture_Audit: [weight source, stakeholder map, participation quality, expert role provenance, conflict disclosures, challenger window, independent review status, captured-context limitation] (required for Tier 3 public or institutional weighting processes).</w:t>
      </w:r>
    </w:p>
    <w:p>
      <w:pPr>
        <w:pStyle w:val="BodyText"/>
        <w:widowControl/>
      </w:pPr>
      <w:r>
        <w:t xml:space="preserve">PCC.PLSS_Escalation_Register: [profile used, local stakeholder set, guardrail scopes, escalation-trigger checklist, non-escalation rationale, externality search method, prominence-sensitivity result, external challenger status, repeated-PLSS-use flag] (required when PLSS is used).</w:t>
      </w:r>
    </w:p>
    <w:p>
      <w:pPr>
        <w:pStyle w:val="BodyText"/>
        <w:widowControl/>
      </w:pPr>
      <w:r>
        <w:t xml:space="preserve">PCC.Deployment_Context_Profile: [LAB | PILOT | INSTITUTIONAL_ADVISORY | INSTITUTIONAL_OPERATIONAL | PUBLIC_POLICY | AGENTIC_EXECUTION | EMERGENCY_TRIAGE] plus evidence-sufficiency, reviewer-independence, audit-visibility, and escalation-threshold notes.</w:t>
      </w:r>
    </w:p>
    <w:p>
      <w:pPr>
        <w:pStyle w:val="BodyText"/>
        <w:widowControl/>
      </w:pPr>
      <w:r>
        <w:t xml:space="preserve">PCC.Biological_Evaluation_Maturity: [BEM-0_NOT_EVALUATED | BEM-1_TAXON_BASELINE | BEM-2_ETHOLOGICAL_GUIDANCE | BEM-3_EXPERT_REVIEWED_BATTERY | BEM-4_VALIDATED_ANNEX] when biological SGP evidence is invoked. Biological measurement immaturity SHALL NOT reduce precautionary protection where credible taxon-level evidence supports moral patienthood.</w:t>
      </w:r>
    </w:p>
    <w:p>
      <w:pPr>
        <w:pStyle w:val="BodyText"/>
        <w:widowControl/>
      </w:pPr>
      <w:r>
        <w:t xml:space="preserve">Option Set O:</w:t>
      </w:r>
    </w:p>
    <w:p>
      <w:pPr>
        <w:pStyle w:val="BodyText"/>
        <w:widowControl/>
      </w:pPr>
      <w:r>
        <w:t xml:space="preserve">Option A: [description]</w:t>
      </w:r>
    </w:p>
    <w:p>
      <w:pPr>
        <w:pStyle w:val="BodyText"/>
        <w:widowControl/>
      </w:pPr>
      <w:r>
        <w:t xml:space="preserve">Option B: [description]</w:t>
      </w:r>
    </w:p>
    <w:p>
      <w:pPr>
        <w:pStyle w:val="BodyText"/>
        <w:widowControl/>
      </w:pPr>
      <w:r>
        <w:t xml:space="preserve">Option C: [description] (if applicable)</w:t>
      </w:r>
    </w:p>
    <w:p>
      <w:pPr>
        <w:pStyle w:val="BodyText"/>
        <w:widowControl/>
      </w:pPr>
      <w:r>
        <w:t xml:space="preserve">Applicability Mask m(u,d) (RLS only):</w:t>
      </w:r>
    </w:p>
    <w:p>
      <w:pPr>
        <w:pStyle w:val="BodyText"/>
        <w:widowControl/>
      </w:pPr>
      <w:r>
        <w:t xml:space="preserve">Masked cells: [list + rationale per cell]</w:t>
      </w:r>
    </w:p>
    <w:p>
      <w:pPr>
        <w:pStyle w:val="BodyText"/>
        <w:widowControl/>
      </w:pPr>
      <w:r>
        <w:t xml:space="preserve">Non-maskable verification:</w:t>
      </w:r>
    </w:p>
    <w:p>
      <w:pPr>
        <w:pStyle w:val="BodyText"/>
        <w:widowControl/>
      </w:pPr>
      <w:r>
        <w:t xml:space="preserve">Rights cells unmasked: [PASS/FAIL]</w:t>
      </w:r>
    </w:p>
    <w:p>
      <w:pPr>
        <w:pStyle w:val="BodyText"/>
        <w:widowControl/>
      </w:pPr>
      <w:r>
        <w:t xml:space="preserve">Catastrophe cells unmasked: [PASS/FAIL]</w:t>
      </w:r>
    </w:p>
    <w:p>
      <w:pPr>
        <w:pStyle w:val="BodyText"/>
        <w:widowControl/>
      </w:pPr>
      <w:r>
        <w:t xml:space="preserve">INPUTS (REQUIRED Tier 2-3)</w:t>
      </w:r>
    </w:p>
    <w:p>
      <w:pPr>
        <w:pStyle w:val="BodyText"/>
        <w:widowControl/>
      </w:pPr>
      <w:r>
        <w:t xml:space="preserve">Uncertainty Method (Tier 2+ REQUIRED for active cells):</w:t>
      </w:r>
    </w:p>
    <w:p>
      <w:pPr>
        <w:pStyle w:val="BodyText"/>
        <w:widowControl/>
      </w:pPr>
      <w:r>
        <w:t xml:space="preserve">PCC.Uncertainty.Method: [A | B | C]</w:t>
      </w:r>
      <w:r>
        <w:br/>
      </w:r>
      <w:r>
        <w:t xml:space="preserve">If Method = B:</w:t>
      </w:r>
      <w:r>
        <w:br/>
      </w:r>
      <w:r>
        <w:t xml:space="preserve">PCC.Uncertainty.CellConfidenceAggregationMethod: [CCAM_MIN_V1 | CCAM_WMEAN_V1]</w:t>
      </w:r>
      <w:r>
        <w:br/>
      </w:r>
      <w:r>
        <w:t xml:space="preserve">PCC.Uncertainty.c_cell_table: [table of c(u,d,a) for active cells, or a retrievable representation sufficient for recomputation]</w:t>
      </w:r>
    </w:p>
    <w:p>
      <w:pPr>
        <w:pStyle w:val="BodyText"/>
        <w:widowControl/>
      </w:pPr>
      <w:r>
        <w:t xml:space="preserve">Weights:</w:t>
      </w:r>
    </w:p>
    <w:p>
      <w:pPr>
        <w:pStyle w:val="BodyText"/>
        <w:widowControl/>
      </w:pPr>
      <w:r>
        <w:t xml:space="preserve">Union weights w_u: [vector or table]</w:t>
      </w:r>
    </w:p>
    <w:p>
      <w:pPr>
        <w:pStyle w:val="BodyText"/>
        <w:widowControl/>
      </w:pPr>
      <w:r>
        <w:t xml:space="preserve">Dimension weights v_d: [vector or table]</w:t>
      </w:r>
    </w:p>
    <w:p>
      <w:pPr>
        <w:pStyle w:val="BodyText"/>
        <w:widowControl/>
      </w:pPr>
      <w:r>
        <w:t xml:space="preserve">HDW parameters (if used): [λ_U, λ_D; sources]</w:t>
      </w:r>
    </w:p>
    <w:p>
      <w:pPr>
        <w:pStyle w:val="BodyText"/>
        <w:widowControl/>
      </w:pPr>
      <w:r>
        <w:t xml:space="preserve">Rights Canon:</w:t>
      </w:r>
    </w:p>
    <w:p>
      <w:pPr>
        <w:pStyle w:val="BodyText"/>
        <w:widowControl/>
      </w:pPr>
      <w:r>
        <w:t xml:space="preserve">Thresholds θ_r: [table or “current canonical”]</w:t>
      </w:r>
    </w:p>
    <w:p>
      <w:pPr>
        <w:pStyle w:val="BodyText"/>
        <w:widowControl/>
      </w:pPr>
      <w:r>
        <w:t xml:space="preserve">Coverage sets C_r: [table or “current canonical”]</w:t>
      </w:r>
    </w:p>
    <w:p>
      <w:pPr>
        <w:pStyle w:val="BodyText"/>
        <w:widowControl/>
      </w:pPr>
      <w:r>
        <w:t xml:space="preserve">Subgroup policy:</w:t>
      </w:r>
    </w:p>
    <w:p>
      <w:pPr>
        <w:pStyle w:val="BodyText"/>
        <w:widowControl/>
      </w:pPr>
      <w:r>
        <w:t xml:space="preserve">G_{u,d} method: [enumerated | conservative bound]</w:t>
      </w:r>
    </w:p>
    <w:p>
      <w:pPr>
        <w:pStyle w:val="BodyText"/>
        <w:widowControl/>
      </w:pPr>
      <w:r>
        <w:t xml:space="preserve">γ_subgroup (if used): [value]</w:t>
      </w:r>
    </w:p>
    <w:p>
      <w:pPr>
        <w:pStyle w:val="BodyText"/>
        <w:widowControl/>
      </w:pPr>
      <w:r>
        <w:t xml:space="preserve">Notes: [limitations if any]</w:t>
      </w:r>
    </w:p>
    <w:p>
      <w:pPr>
        <w:pStyle w:val="BodyText"/>
        <w:widowControl/>
      </w:pPr>
      <w:r>
        <w:t xml:space="preserve">TRC Inputs (REQUIRED Tier 2 when plausible; REQUIRED Tier 3):</w:t>
      </w:r>
    </w:p>
    <w:p>
      <w:pPr>
        <w:pStyle w:val="BodyText"/>
        <w:widowControl/>
      </w:pPr>
      <w:r>
        <w:t xml:space="preserve">Catastrophe cells C_cat: [list]</w:t>
      </w:r>
    </w:p>
    <w:p>
      <w:pPr>
        <w:pStyle w:val="BodyText"/>
        <w:widowControl/>
      </w:pPr>
      <w:r>
        <w:t xml:space="preserve">Catastrophe weights ω: [list]</w:t>
      </w:r>
    </w:p>
    <w:p>
      <w:pPr>
        <w:pStyle w:val="BodyText"/>
        <w:widowControl/>
      </w:pPr>
      <w:r>
        <w:t xml:space="preserve">α: [value]</w:t>
      </w:r>
    </w:p>
    <w:p>
      <w:pPr>
        <w:pStyle w:val="BodyText"/>
        <w:widowControl/>
      </w:pPr>
      <w:r>
        <w:t xml:space="preserve">τ_TRC: [value]</w:t>
      </w:r>
    </w:p>
    <w:p>
      <w:pPr>
        <w:pStyle w:val="BodyText"/>
        <w:widowControl/>
      </w:pPr>
      <w:r>
        <w:t xml:space="preserve">Scenario set S:</w:t>
      </w:r>
    </w:p>
    <w:p>
      <w:pPr>
        <w:pStyle w:val="BodyText"/>
        <w:widowControl/>
      </w:pPr>
      <w:r>
        <w:t xml:space="preserve">For each scenario s:</w:t>
      </w:r>
    </w:p>
    <w:p>
      <w:pPr>
        <w:pStyle w:val="BodyText"/>
        <w:widowControl/>
      </w:pPr>
      <w:r>
        <w:t xml:space="preserve">ID, category, narrative, p_s, parameterization notes</w:t>
      </w:r>
    </w:p>
    <w:p>
      <w:pPr>
        <w:pStyle w:val="BodyText"/>
        <w:widowControl/>
      </w:pPr>
      <w:r>
        <w:t xml:space="preserve">Mandatory tails check:</w:t>
      </w:r>
    </w:p>
    <w:p>
      <w:pPr>
        <w:pStyle w:val="BodyText"/>
        <w:widowControl/>
      </w:pPr>
      <w:r>
        <w:t xml:space="preserve">Categories present: [YES/NO per category]</w:t>
      </w:r>
    </w:p>
    <w:p>
      <w:pPr>
        <w:pStyle w:val="BodyText"/>
        <w:widowControl/>
      </w:pPr>
      <w:r>
        <w:t xml:space="preserve">Probability floors met: [YES/NO]</w:t>
      </w:r>
    </w:p>
    <w:p>
      <w:pPr>
        <w:pStyle w:val="BodyText"/>
        <w:widowControl/>
      </w:pPr>
      <w:r>
        <w:t xml:space="preserve">Any implausibility justifications: [YES/NO; if YES, details]</w:t>
      </w:r>
    </w:p>
    <w:p>
      <w:pPr>
        <w:pStyle w:val="BodyText"/>
        <w:widowControl/>
      </w:pPr>
      <w:r>
        <w:t xml:space="preserve">Containment Inputs (REQUIRED Tier 3):</w:t>
      </w:r>
    </w:p>
    <w:p>
      <w:pPr>
        <w:pStyle w:val="BodyText"/>
        <w:widowControl/>
      </w:pPr>
      <w:r>
        <w:t xml:space="preserve">τ_c: [value]</w:t>
      </w:r>
    </w:p>
    <w:p>
      <w:pPr>
        <w:pStyle w:val="BodyText"/>
        <w:widowControl/>
      </w:pPr>
      <w:r>
        <w:t xml:space="preserve">θ_pos: [value]</w:t>
      </w:r>
    </w:p>
    <w:p>
      <w:pPr>
        <w:pStyle w:val="BodyText"/>
        <w:widowControl/>
      </w:pPr>
      <w:r>
        <w:t xml:space="preserve">D_c: [value]</w:t>
      </w:r>
    </w:p>
    <w:p>
      <w:pPr>
        <w:pStyle w:val="BodyText"/>
        <w:widowControl/>
      </w:pPr>
      <w:r>
        <w:t xml:space="preserve">UCI method: [indicators used + sources]</w:t>
      </w:r>
    </w:p>
    <w:p>
      <w:pPr>
        <w:pStyle w:val="BodyText"/>
        <w:widowControl/>
      </w:pPr>
      <w:r>
        <w:t xml:space="preserve">If UCI is unavailable for required containing scopes, record CONTAINMENT_UCI_UNAVAILABLE and set PCC.Containment.UCIUnavailableDisposition to DOWNGRADE_TIER or COLLECT_DATA_RERUN (and provide a remediation timeline).</w:t>
      </w:r>
    </w:p>
    <w:p>
      <w:pPr>
        <w:pStyle w:val="BodyText"/>
        <w:widowControl/>
      </w:pPr>
      <w:r>
        <w:t xml:space="preserve">NORMATIVE INPUT REGISTER (REQUIRED when material)</w:t>
      </w:r>
    </w:p>
    <w:p>
      <w:pPr>
        <w:pStyle w:val="BodyText"/>
        <w:widowControl/>
      </w:pPr>
      <w:r>
        <w:t xml:space="preserve">PCC.NormativeInputRegister: [array; REQUIRED when any welfare-relevant state, rights-relevant state, or enabling condition materially affects admissibility, precautionary handling, selection, or tie-break outcome]</w:t>
      </w:r>
    </w:p>
    <w:p>
      <w:pPr>
        <w:pStyle w:val="BodyText"/>
        <w:widowControl/>
      </w:pPr>
      <w:r>
        <w:t xml:space="preserve">For each entry n in PCC.NormativeInputRegister, record:</w:t>
      </w:r>
    </w:p>
    <w:p>
      <w:pPr>
        <w:pStyle w:val="BodyText"/>
        <w:widowControl/>
      </w:pPr>
      <w:r>
        <w:t xml:space="preserve">NormInputID: [unique identifier]</w:t>
      </w:r>
    </w:p>
    <w:p>
      <w:pPr>
        <w:pStyle w:val="BodyText"/>
        <w:widowControl/>
      </w:pPr>
      <w:r>
        <w:t xml:space="preserve">InputType: [WELFARE_RELEVANT_STATE | RIGHTS_RELEVANT_STATE | ENABLING_CONDITION]</w:t>
      </w:r>
    </w:p>
    <w:p>
      <w:pPr>
        <w:pStyle w:val="BodyText"/>
        <w:widowControl/>
      </w:pPr>
      <w:r>
        <w:t xml:space="preserve">Materiality: [ADMISSIBILITY_MATERIAL | PRECAUTION_MATERIAL | SELECTION_MATERIAL | TIEBREAK_MATERIAL]</w:t>
      </w:r>
    </w:p>
    <w:p>
      <w:pPr>
        <w:pStyle w:val="BodyText"/>
        <w:widowControl/>
      </w:pPr>
      <w:r>
        <w:t xml:space="preserve">AffectedObjects: [cell(s), right(s), scenario(s), gate(s), structural metric(s), or decision element(s)]</w:t>
      </w:r>
    </w:p>
    <w:p>
      <w:pPr>
        <w:pStyle w:val="BodyText"/>
        <w:widowControl/>
      </w:pPr>
      <w:r>
        <w:t xml:space="preserve">StakeholderOrScopeTarget: [stakeholder / class / subgroup / instance / scope / scope-set]</w:t>
      </w:r>
    </w:p>
    <w:p>
      <w:pPr>
        <w:pStyle w:val="BodyText"/>
        <w:widowControl/>
      </w:pPr>
      <w:r>
        <w:t xml:space="preserve">EvidenceBasisType: [DIRECT_INDICATOR | IMPACT_INSTANCE_TRACE | RIGHTS_CANON_INTERPRETATION | SGP_INTERFACE | GOVERNED_PROXY | PRECAUTIONARY_DECLARATION | OTHER_DECLARED]</w:t>
      </w:r>
    </w:p>
    <w:p>
      <w:pPr>
        <w:pStyle w:val="BodyText"/>
        <w:widowControl/>
      </w:pPr>
      <w:r>
        <w:t xml:space="preserve">EvidenceReference: [citation / data source / registry ID / PCC pointer / section pointer]</w:t>
      </w:r>
    </w:p>
    <w:p>
      <w:pPr>
        <w:pStyle w:val="BodyText"/>
        <w:widowControl/>
      </w:pPr>
      <w:r>
        <w:t xml:space="preserve">GovernedInterpretationBasis: [NONE | canon section | charter rule | jurisdictional source | instrument identifier | reviewer memorandum]</w:t>
      </w:r>
    </w:p>
    <w:p>
      <w:pPr>
        <w:pStyle w:val="BodyText"/>
        <w:widowControl/>
      </w:pPr>
      <w:r>
        <w:t xml:space="preserve">PrecautionaryBasis: [NONE | explicit uncertainty rationale]</w:t>
      </w:r>
    </w:p>
    <w:p>
      <w:pPr>
        <w:pStyle w:val="BodyText"/>
        <w:widowControl/>
      </w:pPr>
      <w:r>
        <w:t xml:space="preserve">OptionSymmetryStatus: [APPLIES_TO_ALL_OPTIONS | OPTION_SPECIFIC_WITH_JUSTIFICATION]</w:t>
      </w:r>
    </w:p>
    <w:p>
      <w:pPr>
        <w:pStyle w:val="BodyText"/>
        <w:widowControl/>
      </w:pPr>
      <w:r>
        <w:t xml:space="preserve">AnalystReasonCode: [text or controlled token]</w:t>
      </w:r>
    </w:p>
    <w:p>
      <w:pPr>
        <w:pStyle w:val="BodyText"/>
        <w:widowControl/>
      </w:pPr>
      <w:r>
        <w:t xml:space="preserve">SensitivityNote: [REQUIRED if alternative treatment plausibly changes admissibility or selection]</w:t>
      </w:r>
    </w:p>
    <w:p>
      <w:pPr>
        <w:pStyle w:val="BodyText"/>
        <w:widowControl/>
      </w:pPr>
      <w:r>
        <w:t xml:space="preserve">ReviewerNote: [Tier 3 REQUIRED when Materiality = ADMISSIBILITY_MATERIAL, PRECAUTION_MATERIAL, or SELECTION_MATERIAL]</w:t>
      </w:r>
    </w:p>
    <w:p>
      <w:pPr>
        <w:pStyle w:val="BodyText"/>
        <w:widowControl/>
      </w:pPr>
      <w:r>
        <w:t xml:space="preserve">Normative note. The register exists to make reason-for-action inputs auditable when they are not already fully captured by direct impact-instance tables, the canonical rights layer, the canonical catastrophe layer, or declared structural indicators.</w:t>
      </w:r>
    </w:p>
    <w:p>
      <w:pPr>
        <w:pStyle w:val="BodyText"/>
        <w:widowControl/>
      </w:pPr>
      <w:r>
        <w:t xml:space="preserve">IMPACT ESTIMATION (REQUIRED Tier 2-3)</w:t>
      </w:r>
    </w:p>
    <w:p>
      <w:pPr>
        <w:pStyle w:val="BodyText"/>
        <w:widowControl/>
      </w:pPr>
      <w:r>
        <w:t xml:space="preserve">For each option a:</w:t>
      </w:r>
    </w:p>
    <w:p>
      <w:pPr>
        <w:pStyle w:val="BodyText"/>
        <w:widowControl/>
      </w:pPr>
      <w:r>
        <w:t xml:space="preserve">Direct impacts I_dir(u,d,a): [summary table or key cells]</w:t>
      </w:r>
    </w:p>
    <w:p>
      <w:pPr>
        <w:pStyle w:val="BodyText"/>
        <w:widowControl/>
      </w:pPr>
      <w:r>
        <w:t xml:space="preserve">Propagated impacts I_prop_base(u,d,a) and I_prop_welfare(u,d,a): [summary table or key cells]</w:t>
      </w:r>
    </w:p>
    <w:p>
      <w:pPr>
        <w:pStyle w:val="BodyText"/>
        <w:widowControl/>
      </w:pPr>
      <w:r>
        <w:t xml:space="preserve">Key impact instances (at least top contributors):</w:t>
      </w:r>
    </w:p>
    <w:p>
      <w:pPr>
        <w:pStyle w:val="BodyText"/>
        <w:widowControl/>
      </w:pPr>
      <w:r>
        <w:t xml:space="preserve">For each listed instance k:</w:t>
      </w:r>
    </w:p>
    <w:p>
      <w:pPr>
        <w:pStyle w:val="BodyText"/>
        <w:widowControl/>
      </w:pPr>
      <w:r>
        <w:t xml:space="preserve">(u,d), μ_k, r_k, t_k, ℓ_k, c_k, e_k, h_{k,base}, h_{k,welfare}, rationale/source</w:t>
      </w:r>
    </w:p>
    <w:p>
      <w:pPr>
        <w:pStyle w:val="BodyText"/>
        <w:widowControl/>
      </w:pPr>
      <w:r>
        <w:t xml:space="preserve">e_k disclosure (Normative). If any listed instance uses e_k ≠ 1.00, the PCC MUST also record the reason code, default-counterfactual, and whether resetting e_k to 1.00 changes admissibility or selection.</w:t>
      </w:r>
    </w:p>
    <w:p>
      <w:pPr>
        <w:pStyle w:val="BodyText"/>
        <w:widowControl/>
      </w:pPr>
      <w:r>
        <w:t xml:space="preserve">ReachBasis (REQUIRED Tier 2+): For each reach term r_k, record the basis and estimator used (allowed bases: population fraction, asset/flow fraction, or area/volume fraction; other bases MUST be explicitly defined), plus source and any conservative bounds.</w:t>
      </w:r>
    </w:p>
    <w:p>
      <w:pPr>
        <w:pStyle w:val="BodyText"/>
        <w:widowControl/>
      </w:pPr>
      <w:r>
        <w:t xml:space="preserve">Missing data:</w:t>
      </w:r>
    </w:p>
    <w:p>
      <w:pPr>
        <w:pStyle w:val="BodyText"/>
        <w:widowControl/>
      </w:pPr>
      <w:r>
        <w:t xml:space="preserve">Any UNKNOWN_IMPACT cells: [list]</w:t>
      </w:r>
    </w:p>
    <w:p>
      <w:pPr>
        <w:pStyle w:val="BodyText"/>
        <w:widowControl/>
      </w:pPr>
      <w:r>
        <w:t xml:space="preserve">Phantom instances applied: [YES/NO]</w:t>
      </w:r>
    </w:p>
    <w:p>
      <w:pPr>
        <w:pStyle w:val="BodyText"/>
        <w:widowControl/>
      </w:pPr>
      <w:r>
        <w:t xml:space="preserve">CASCADE TRACE (REQUIRED Tier 2-3)</w:t>
      </w:r>
    </w:p>
    <w:p>
      <w:pPr>
        <w:pStyle w:val="BodyText"/>
        <w:widowControl/>
      </w:pPr>
      <w:r>
        <w:t xml:space="preserve">NCRC:</w:t>
      </w:r>
    </w:p>
    <w:p>
      <w:pPr>
        <w:pStyle w:val="BodyText"/>
        <w:widowControl/>
      </w:pPr>
      <w:r>
        <w:t xml:space="preserve">For each option: PASS/FAIL</w:t>
      </w:r>
    </w:p>
    <w:p>
      <w:pPr>
        <w:pStyle w:val="BodyText"/>
        <w:widowControl/>
      </w:pPr>
      <w:r>
        <w:t xml:space="preserve">If FAIL: violated rights + v_r(a) values</w:t>
      </w:r>
    </w:p>
    <w:p>
      <w:pPr>
        <w:pStyle w:val="BodyText"/>
        <w:widowControl/>
      </w:pPr>
      <w:r>
        <w:t xml:space="preserve">Emergency Mode invoked: [YES/NO]</w:t>
      </w:r>
    </w:p>
    <w:p>
      <w:pPr>
        <w:pStyle w:val="BodyText"/>
        <w:widowControl/>
      </w:pPr>
      <w:r>
        <w:t xml:space="preserve">Challenger conducted: [YES/NO]</w:t>
      </w:r>
    </w:p>
    <w:p>
      <w:pPr>
        <w:pStyle w:val="BodyText"/>
        <w:widowControl/>
      </w:pPr>
      <w:r>
        <w:t xml:space="preserve">Challenger notes: [summary]</w:t>
      </w:r>
    </w:p>
    <w:p>
      <w:pPr>
        <w:pStyle w:val="BodyText"/>
        <w:widowControl/>
      </w:pPr>
      <w:r>
        <w:t xml:space="preserve">TRC:</w:t>
      </w:r>
    </w:p>
    <w:p>
      <w:pPr>
        <w:pStyle w:val="BodyText"/>
        <w:widowControl/>
      </w:pPr>
      <w:r>
        <w:t xml:space="preserve">Triggered (catastrophe relevance plausible): [YES/NO]</w:t>
      </w:r>
    </w:p>
    <w:p>
      <w:pPr>
        <w:pStyle w:val="BodyText"/>
        <w:widowControl/>
      </w:pPr>
      <w:r>
        <w:t xml:space="preserve">For each option:</w:t>
      </w:r>
    </w:p>
    <w:p>
      <w:pPr>
        <w:pStyle w:val="BodyText"/>
        <w:widowControl/>
      </w:pPr>
      <w:r>
        <w:t xml:space="preserve">CVaR_α: [value]</w:t>
      </w:r>
    </w:p>
    <w:p>
      <w:pPr>
        <w:pStyle w:val="BodyText"/>
        <w:widowControl/>
      </w:pPr>
      <w:r>
        <w:t xml:space="preserve">Corridor τ_TRC: [value]</w:t>
      </w:r>
    </w:p>
    <w:p>
      <w:pPr>
        <w:pStyle w:val="BodyText"/>
        <w:widowControl/>
      </w:pPr>
      <w:r>
        <w:t xml:space="preserve">PASS/FAIL</w:t>
      </w:r>
    </w:p>
    <w:p>
      <w:pPr>
        <w:pStyle w:val="BodyText"/>
        <w:widowControl/>
      </w:pPr>
      <w:r>
        <w:t xml:space="preserve">Tail Emergency Mode invoked: [YES/NO]</w:t>
      </w:r>
    </w:p>
    <w:p>
      <w:pPr>
        <w:pStyle w:val="BodyText"/>
        <w:widowControl/>
      </w:pPr>
      <w:r>
        <w:t xml:space="preserve">Containment (Tier 3 required):</w:t>
      </w:r>
    </w:p>
    <w:p>
      <w:pPr>
        <w:pStyle w:val="BodyText"/>
        <w:widowControl/>
      </w:pPr>
      <w:r>
        <w:t xml:space="preserve">For each option in A_adm:</w:t>
      </w:r>
    </w:p>
    <w:p>
      <w:pPr>
        <w:pStyle w:val="BodyText"/>
        <w:widowControl/>
      </w:pPr>
      <w:r>
        <w:t xml:space="preserve">U_pos(a): [list of unions]</w:t>
      </w:r>
    </w:p>
    <w:p>
      <w:pPr>
        <w:pStyle w:val="BodyText"/>
        <w:widowControl/>
      </w:pPr>
      <w:r>
        <w:t xml:space="preserve">For each u in U_pos: min ΔUCI among ancestors: [value]</w:t>
      </w:r>
    </w:p>
    <w:p>
      <w:pPr>
        <w:pStyle w:val="BodyText"/>
        <w:widowControl/>
      </w:pPr>
      <w:r>
        <w:t xml:space="preserve">PASS/FAIL</w:t>
      </w:r>
    </w:p>
    <w:p>
      <w:pPr>
        <w:pStyle w:val="BodyText"/>
        <w:widowControl/>
      </w:pPr>
      <w:r>
        <w:t xml:space="preserve">PCC.Containment.UCIUnavailableDisposition: [DOWNGRADE_TIER | COLLECT_DATA_RERUN | NA] (REQUIRED if CONTAINMENT_UCI_UNAVAILABLE flag is recorded).</w:t>
      </w:r>
    </w:p>
    <w:p>
      <w:pPr>
        <w:pStyle w:val="BodyText"/>
        <w:widowControl/>
      </w:pPr>
      <w:r>
        <w:t xml:space="preserve">PCC.Containment.UCIUnavailableRemediationTimeline: [text] (REQUIRED if CONTAINMENT_UCI_UNAVAILABLE flag is recorded).</w:t>
      </w:r>
    </w:p>
    <w:p>
      <w:pPr>
        <w:pStyle w:val="BodyText"/>
        <w:widowControl/>
      </w:pPr>
      <w:r>
        <w:t xml:space="preserve">A_sel: [list]</w:t>
      </w:r>
    </w:p>
    <w:p>
      <w:pPr>
        <w:pStyle w:val="BodyText"/>
        <w:widowControl/>
      </w:pPr>
      <w:r>
        <w:t xml:space="preserve">RLS Ranking:</w:t>
      </w:r>
    </w:p>
    <w:p>
      <w:pPr>
        <w:pStyle w:val="BodyText"/>
        <w:widowControl/>
      </w:pPr>
      <w:r>
        <w:t xml:space="preserve">For each option in A_sel:</w:t>
      </w:r>
    </w:p>
    <w:p>
      <w:pPr>
        <w:pStyle w:val="BodyText"/>
        <w:widowControl/>
      </w:pPr>
      <w:r>
        <w:t xml:space="preserve">RLS(a): [value]</w:t>
      </w:r>
    </w:p>
    <w:p>
      <w:pPr>
        <w:pStyle w:val="BodyText"/>
        <w:widowControl/>
      </w:pPr>
      <w:r>
        <w:t xml:space="preserve">σ_RLS(a): [value] (Tier 3 required)</w:t>
      </w:r>
    </w:p>
    <w:p>
      <w:pPr>
        <w:pStyle w:val="BodyText"/>
        <w:widowControl/>
      </w:pPr>
      <w:r>
        <w:t xml:space="preserve">Gap(top, second): [value]</w:t>
      </w:r>
    </w:p>
    <w:p>
      <w:pPr>
        <w:pStyle w:val="BodyText"/>
        <w:widowControl/>
      </w:pPr>
      <w:r>
        <w:t xml:space="preserve">δ: [value]</w:t>
      </w:r>
    </w:p>
    <w:p>
      <w:pPr>
        <w:pStyle w:val="BodyText"/>
        <w:widowControl/>
      </w:pPr>
      <w:r>
        <w:t xml:space="preserve">Decisive: [YES/NO]</w:t>
      </w:r>
    </w:p>
    <w:p>
      <w:pPr>
        <w:pStyle w:val="BodyText"/>
        <w:widowControl/>
      </w:pPr>
      <w:r>
        <w:t xml:space="preserve">Tie-break (if non-decisive):</w:t>
      </w:r>
    </w:p>
    <w:p>
      <w:pPr>
        <w:pStyle w:val="BodyText"/>
        <w:widowControl/>
      </w:pPr>
      <w:r>
        <w:t xml:space="preserve">UCI method used: [UCI-A/B/C]</w:t>
      </w:r>
    </w:p>
    <w:p>
      <w:pPr>
        <w:pStyle w:val="BodyText"/>
        <w:widowControl/>
      </w:pPr>
      <w:r>
        <w:t xml:space="preserve">Δ_UCI threshold: 0.05</w:t>
      </w:r>
    </w:p>
    <w:p>
      <w:pPr>
        <w:pStyle w:val="BodyText"/>
        <w:widowControl/>
      </w:pPr>
      <w:r>
        <w:t xml:space="preserve">Result: [winner or non-decisive]</w:t>
      </w:r>
    </w:p>
    <w:p>
      <w:pPr>
        <w:pStyle w:val="BodyText"/>
        <w:widowControl/>
      </w:pPr>
      <w:r>
        <w:t xml:space="preserve">HOI flags (if applicable): [notes]</w:t>
      </w:r>
    </w:p>
    <w:p>
      <w:pPr>
        <w:pStyle w:val="BodyText"/>
        <w:widowControl/>
      </w:pPr>
      <w:r>
        <w:t xml:space="preserve">Escalation invoked: [YES/NO]</w:t>
      </w:r>
    </w:p>
    <w:p>
      <w:pPr>
        <w:pStyle w:val="BodyText"/>
        <w:widowControl/>
      </w:pPr>
      <w:r>
        <w:t xml:space="preserve">SELECTION (REQUIRED Tier 2-3)</w:t>
      </w:r>
    </w:p>
    <w:p>
      <w:pPr>
        <w:pStyle w:val="BodyText"/>
        <w:widowControl/>
      </w:pPr>
      <w:r>
        <w:t xml:space="preserve">Selected Option: [option ID]</w:t>
      </w:r>
    </w:p>
    <w:p>
      <w:pPr>
        <w:pStyle w:val="BodyText"/>
        <w:widowControl/>
      </w:pPr>
      <w:r>
        <w:t xml:space="preserve">Selection Rationale: [brief; must reference cascade outcomes]</w:t>
      </w:r>
    </w:p>
    <w:p>
      <w:pPr>
        <w:pStyle w:val="BodyText"/>
        <w:widowControl/>
      </w:pPr>
      <w:r>
        <w:t xml:space="preserve">Monitoring Plan (NCAR):</w:t>
      </w:r>
    </w:p>
    <w:p>
      <w:pPr>
        <w:pStyle w:val="BodyText"/>
        <w:widowControl/>
      </w:pPr>
      <w:r>
        <w:t xml:space="preserve">Metrics: [list]</w:t>
      </w:r>
    </w:p>
    <w:p>
      <w:pPr>
        <w:pStyle w:val="BodyText"/>
        <w:widowControl/>
      </w:pPr>
      <w:r>
        <w:t xml:space="preserve">Review schedule: [date/interval]</w:t>
      </w:r>
    </w:p>
    <w:p>
      <w:pPr>
        <w:pStyle w:val="BodyText"/>
        <w:widowControl/>
      </w:pPr>
      <w:r>
        <w:t xml:space="preserve">Triggers for re-run: [conditions]</w:t>
      </w:r>
    </w:p>
    <w:p>
      <w:pPr>
        <w:pStyle w:val="BodyText"/>
        <w:widowControl/>
      </w:pPr>
      <w:r>
        <w:t xml:space="preserve">SENSITIVITY ANALYSIS (Tier 3 REQUIRED)</w:t>
      </w:r>
    </w:p>
    <w:p>
      <w:pPr>
        <w:pStyle w:val="BodyText"/>
        <w:widowControl/>
      </w:pPr>
      <w:r>
        <w:t xml:space="preserve">Weights perturbation: [summary; selection stable?]</w:t>
      </w:r>
    </w:p>
    <w:p>
      <w:pPr>
        <w:pStyle w:val="BodyText"/>
        <w:widowControl/>
      </w:pPr>
      <w:r>
        <w:t xml:space="preserve">Threshold perturbation: [summary; any near-miss rights?]</w:t>
      </w:r>
    </w:p>
    <w:p>
      <w:pPr>
        <w:pStyle w:val="BodyText"/>
        <w:widowControl/>
      </w:pPr>
      <w:r>
        <w:t xml:space="preserve">Kernel perturbation: [summary; flag fragile?]</w:t>
      </w:r>
    </w:p>
    <w:p>
      <w:pPr>
        <w:pStyle w:val="BodyText"/>
        <w:widowControl/>
      </w:pPr>
      <w:r>
        <w:t xml:space="preserve">Scenario perturbation: [summary; probability sensitivity]</w:t>
      </w:r>
    </w:p>
    <w:p>
      <w:pPr>
        <w:pStyle w:val="BodyText"/>
        <w:widowControl/>
      </w:pPr>
      <w:r>
        <w:t xml:space="preserve">Robustness classification: [Robust | Sensitive | Fragile]</w:t>
      </w:r>
    </w:p>
    <w:p>
      <w:pPr>
        <w:pStyle w:val="BodyText"/>
        <w:widowControl/>
      </w:pPr>
      <w:r>
        <w:t xml:space="preserve">FIVE-SENTENCE PUBLIC RATIONALE (5SPR) (Tier 2-3 REQUIRED)</w:t>
      </w:r>
    </w:p>
    <w:p>
      <w:pPr>
        <w:pStyle w:val="BodyText"/>
        <w:widowControl/>
      </w:pPr>
      <w:r>
        <w:t xml:space="preserve">1. CONTEXT: [What decision was made and why now?]</w:t>
      </w:r>
    </w:p>
    <w:p>
      <w:pPr>
        <w:pStyle w:val="BodyText"/>
        <w:widowControl/>
      </w:pPr>
      <w:r>
        <w:t xml:space="preserve">2. OPTIONS: [What options were considered?]</w:t>
      </w:r>
    </w:p>
    <w:p>
      <w:pPr>
        <w:pStyle w:val="BodyText"/>
        <w:widowControl/>
      </w:pPr>
      <w:r>
        <w:t xml:space="preserve">3. CONSTRAINTS: [What was eliminated by NCRC, TRC, and/or Containment (and why)?]</w:t>
      </w:r>
    </w:p>
    <w:p>
      <w:pPr>
        <w:pStyle w:val="BodyText"/>
        <w:widowControl/>
      </w:pPr>
      <w:r>
        <w:t xml:space="preserve">4. SELECTION: [Why the chosen option won among selectable options?]</w:t>
      </w:r>
    </w:p>
    <w:p>
      <w:pPr>
        <w:pStyle w:val="BodyText"/>
        <w:widowControl/>
      </w:pPr>
      <w:r>
        <w:t xml:space="preserve">5. MONITORING: [What follow-up will be tracked and when?]</w:t>
      </w:r>
    </w:p>
    <w:p>
      <w:pPr>
        <w:pStyle w:val="BodyText"/>
        <w:widowControl/>
      </w:pPr>
      <w:r>
        <w:t xml:space="preserve">AUDIT FLAGS (REQUIRED when triggered)</w:t>
      </w:r>
    </w:p>
    <w:p>
      <w:pPr>
        <w:pStyle w:val="BodyText"/>
        <w:widowControl/>
      </w:pPr>
      <w:r>
        <w:t xml:space="preserve">[List flags + explanations]</w:t>
      </w:r>
    </w:p>
    <w:p>
      <w:pPr>
        <w:pStyle w:val="BodyText"/>
        <w:widowControl/>
      </w:pPr>
      <w:r>
        <w:t xml:space="preserve">SIGNATURES</w:t>
      </w:r>
    </w:p>
    <w:p>
      <w:pPr>
        <w:pStyle w:val="BodyText"/>
        <w:widowControl/>
      </w:pPr>
      <w:r>
        <w:t xml:space="preserve">Analyst: [name, date]</w:t>
      </w:r>
    </w:p>
    <w:p>
      <w:pPr>
        <w:pStyle w:val="BodyText"/>
        <w:widowControl/>
      </w:pPr>
      <w:r>
        <w:t xml:space="preserve">Decision Owner: [name, date]</w:t>
      </w:r>
    </w:p>
    <w:p>
      <w:pPr>
        <w:pStyle w:val="BodyText"/>
        <w:widowControl/>
      </w:pPr>
      <w:r>
        <w:t xml:space="preserve">Reviewer (Tier 3): [name, date]</w:t>
      </w:r>
    </w:p>
    <w:p>
      <w:pPr>
        <w:pStyle w:val="BodyText"/>
        <w:widowControl/>
      </w:pPr>
      <w:r>
        <w:t xml:space="preserve">===============================================================</w:t>
      </w:r>
    </w:p>
    <w:bookmarkEnd w:id="424"/>
    <w:bookmarkStart w:id="425" w:name="X627284878665dbfe87421bf408db0407f61e873"/>
    <w:p>
      <w:pPr>
        <w:pStyle w:val="Heading2"/>
        <w:keepNext/>
        <w:keepLines/>
        <w:pageBreakBefore w:val="0"/>
        <w:widowControl/>
      </w:pPr>
      <w:r>
        <w:rPr>
          <w:rFonts w:ascii="Arial" w:hAnsi="Arial" w:eastAsia="Arial"/>
          <w:b/>
          <w:color w:val="1F4E78"/>
        </w:rPr>
        <w:t xml:space="preserve">SOURCE-COUPLING RECORD (CONDITIONAL; REQUIRED when Section 2.1D trigger holds)</w:t>
      </w:r>
    </w:p>
    <w:p>
      <w:pPr>
        <w:pStyle w:val="FirstParagraph"/>
        <w:widowControl/>
      </w:pPr>
      <w:r>
        <w:t xml:space="preserve">PCC.SourceCouplingRecord.claimed_capability: [capability being claimed] PCC.SourceCouplingRecord.enabling_conditions: [conditions required for the capability to hold] PCC.SourceCouplingRecord.boundary_conditions: [domain and scope boundaries] PCC.SourceCouplingRecord.source_evidence: [evidence surface or warrant] PCC.SourceCouplingRecord.generator_output_distinction: [how generated output is kept distinct from grounded warrant] PCC.SourceCouplingRecord.inherited_assumptions: [assumptions inherited from source, model, data, or substrate] PCC.SourceCouplingRecord.downstream_compensations: [filters, monitoring, governance, or controls used downstream] PCC.SourceCouplingRecord.source_coupling_status: [SOURCE_COUPLED | SOURCE_PARTIAL | SOURCE_INFERRED | SOURCE_UNKNOWN | SOURCE_CONTESTED | SOURCE_DEBT_RISK | SOURCE_COUPLING_FAILURE] Machine-readable records MUST use the canonical SourceCouplingStatus enum above. Human-readable aliases such as GROUNDED may be displayed only as labels for SOURCE_COUPLED; they SHALL NOT replace canonical tokens in PCC or validator-facing records. PCC.SourceCouplingRecord.source_debt_flag: [TRUE/FALSE] PCC.SourceCouplingRecord.falsification_or_recheck_trigger: [trigger] PCC.SourceCouplingRecord.required_claim_action: [proceed | narrow | control | redesign | escalate | refuse]</w:t>
      </w:r>
    </w:p>
    <w:bookmarkEnd w:id="425"/>
    <w:bookmarkStart w:id="426" w:name="X033c8b5855eb20d931363956ae906b681704666"/>
    <w:p>
      <w:pPr>
        <w:pStyle w:val="Heading2"/>
        <w:keepNext/>
        <w:keepLines/>
        <w:pageBreakBefore w:val="0"/>
        <w:widowControl/>
      </w:pPr>
      <w:r>
        <w:rPr>
          <w:rFonts w:ascii="Arial" w:hAnsi="Arial" w:eastAsia="Arial"/>
          <w:b/>
          <w:color w:val="1F4E78"/>
        </w:rPr>
        <w:t xml:space="preserve">PHYSICAL/CAUSAL ADMISSIBILITY EVIDENCE PROFILE (CONDITIONAL; REQUIRED when Section 2.1E trigger holds)</w:t>
      </w:r>
    </w:p>
    <w:p>
      <w:pPr>
        <w:pStyle w:val="FirstParagraph"/>
        <w:widowControl/>
      </w:pPr>
      <w:r>
        <w:t xml:space="preserve">PCC.PhysicalCausalAdmissibilityEvidenceProfile.candidate_generation_source: [model/planner/controller/person/procedure that generated the candidate] PCC.PhysicalCausalAdmissibilityEvidenceProfile.physical_or_causal_model_used: [model or basis] PCC.PhysicalCausalAdmissibilityEvidenceProfile.validity_domain: [declared domain] PCC.PhysicalCausalAdmissibilityEvidenceProfile.boundary_conditions: [conditions] PCC.PhysicalCausalAdmissibilityEvidenceProfile.uncertainty_range: [range/class] PCC.PhysicalCausalAdmissibilityEvidenceProfile.failure_modes: [failure modes] PCC.PhysicalCausalAdmissibilityEvidenceProfile.reversibility_or_irreversibility_boundary: [boundary] PCC.PhysicalCausalAdmissibilityEvidenceProfile.verification_simulation_empirical_test_or_expert_warrant: [external warrant] PCC.PhysicalCausalAdmissibilityEvidenceProfile.admissibility_warrant_source: [domain method or authority surface that evaluates admissibility] PCC.PhysicalCausalAdmissibilityEvidenceProfile.monitoring_and_shutoff_path: [monitoring/shutoff] PCC.PhysicalCausalAdmissibilityEvidenceProfile.residual_unknowns: [unknowns] PCC.PhysicalCausalAdmissibilityEvidenceProfile.required_claim_action: [proceed | narrow | control | redesign | escalate | refuse] PCC.PhysicalCausalAdmissibilityEvidenceProfile.status: [PCAE_SUPPORTED | PCAE_ASSUMPTION_BOUND | PCAE_PARTIAL | PCAE_CONTESTED | PCAE_UNKNOWN | PCAE_VERIFICATION_REQUIRED | PCAE_CONTROL_REQUIRED | PCAE_REDESIGN_REQUIRED | PCAE_REFUSE_OR_BLOCK] PCC.PhysicalCausalAdmissibilityEvidenceProfile.physical_execution_claim_status: [PHYSICAL_ADMISSIBILITY_SUPPORTED | GOVERNANCE_PERMISSION_ONLY | PHYSICAL_ADMISSIBILITY_NOT_ESTABLISHED | PHYSICAL_ADMISSIBILITY_CONTRAINDICATED]</w:t>
      </w:r>
    </w:p>
    <w:bookmarkEnd w:id="426"/>
    <w:bookmarkStart w:id="427" w:name="Xd9acf50d01d75a30a0cd5d3e1e33447b66afd3c"/>
    <w:p>
      <w:pPr>
        <w:pStyle w:val="Heading2"/>
        <w:keepNext/>
        <w:keepLines/>
        <w:pageBreakBefore w:val="0"/>
        <w:widowControl/>
      </w:pPr>
      <w:r>
        <w:rPr>
          <w:rFonts w:ascii="Arial" w:hAnsi="Arial" w:eastAsia="Arial"/>
          <w:b/>
          <w:color w:val="1F4E78"/>
        </w:rPr>
        <w:t xml:space="preserve">METHODOLOGICAL INTEGRITY RECORD (CONDITIONAL; REQUIRED when Section 2.1F or Appendix AN trigger holds)</w:t>
      </w:r>
    </w:p>
    <w:p>
      <w:pPr>
        <w:pStyle w:val="FirstParagraph"/>
        <w:widowControl/>
      </w:pPr>
      <w:r>
        <w:t xml:space="preserve">PCC.MethodologicalIntegrityRecord.claim_or_component: [claim/component] PCC.MethodologicalIntegrityRecord.claim_type: [empirical | causal | formal | operational | normative | metaphysical_horizon] PCC.MethodologicalIntegrityRecord.dependency_position: [where it sits in the method] PCC.MethodologicalIntegrityRecord.starting_assumptions: [assumptions] PCC.MethodologicalIntegrityRecord.definition_or_operator_used: [definition/operator] PCC.MethodologicalIntegrityRecord.necessity_or_alternative_check: [necessity claim and alternatives] PCC.MethodologicalIntegrityRecord.evidence_or_test_surface: [evidence/test surface] PCC.MethodologicalIntegrityRecord.falsification_or_revision_trigger: [trigger] PCC.MethodologicalIntegrityRecord.uncertainty_or_confidence_method: [method] PCC.MethodologicalIntegrityRecord.downstream_dependencies: [dependencies] PCC.MethodologicalIntegrityRecord.re_derivation_scope_if_changed: [rerun/rederive scope] PCC.MethodologicalIntegrityRecord.reviewer_status: [reviewer status] PCC.MethodologicalIntegrityRecord.required_claim_action: [proceed | narrow | control | redesign | escalate | refuse]</w:t>
      </w:r>
    </w:p>
    <w:bookmarkEnd w:id="427"/>
    <w:bookmarkStart w:id="428" w:name="Xa67b7c9cec075222ccee11273582412d2d3fc23"/>
    <w:p>
      <w:pPr>
        <w:pStyle w:val="Heading2"/>
        <w:keepNext/>
        <w:keepLines/>
        <w:pageBreakBefore w:val="0"/>
        <w:widowControl/>
      </w:pPr>
      <w:r>
        <w:rPr>
          <w:rFonts w:ascii="Arial" w:hAnsi="Arial" w:eastAsia="Arial"/>
          <w:b/>
          <w:color w:val="1F4E78"/>
        </w:rPr>
        <w:t xml:space="preserve">H.1A PCC.ReferenceStructureRecord (Normative for Tier 3 public conformance claims; recommended for Tier 2 high-stakes runs)</w:t>
      </w:r>
    </w:p>
    <w:p>
      <w:pPr>
        <w:pStyle w:val="FirstParagraph"/>
        <w:widowControl/>
      </w:pPr>
      <w:r>
        <w:t xml:space="preserve">The PCC SHOULD include a ReferenceStructureRecord for Tier 2 high-stakes runs and SHALL include one for Tier 3 public conformance or validation claims. This record does not alter historical NCRC, TRC, CSV, RLS, or UCI/HOI arithmetic. It records the reference structure used to support the claim being made.</w:t>
      </w:r>
    </w:p>
    <w:p>
      <w:pPr>
        <w:pStyle w:val="BodyText"/>
        <w:widowControl/>
      </w:pPr>
      <w:r>
        <w:t xml:space="preserve">Minimum fields:</w:t>
      </w:r>
    </w:p>
    <w:p>
      <w:pPr>
        <w:pStyle w:val="BodyText"/>
        <w:widowControl/>
      </w:pPr>
      <w:r>
        <w:t xml:space="preserve">record_id</w:t>
      </w:r>
    </w:p>
    <w:p>
      <w:pPr>
        <w:pStyle w:val="BodyText"/>
        <w:widowControl/>
      </w:pPr>
      <w:r>
        <w:t xml:space="preserve">decision_id</w:t>
      </w:r>
    </w:p>
    <w:p>
      <w:pPr>
        <w:pStyle w:val="BodyText"/>
        <w:widowControl/>
      </w:pPr>
      <w:r>
        <w:t xml:space="preserve">option_id_or_set</w:t>
      </w:r>
    </w:p>
    <w:p>
      <w:pPr>
        <w:pStyle w:val="BodyText"/>
        <w:widowControl/>
      </w:pPr>
      <w:r>
        <w:t xml:space="preserve">claim_scope</w:t>
      </w:r>
    </w:p>
    <w:p>
      <w:pPr>
        <w:pStyle w:val="BodyText"/>
        <w:widowControl/>
      </w:pPr>
      <w:r>
        <w:t xml:space="preserve">decision_boundary</w:t>
      </w:r>
    </w:p>
    <w:p>
      <w:pPr>
        <w:pStyle w:val="BodyText"/>
        <w:widowControl/>
      </w:pPr>
      <w:r>
        <w:t xml:space="preserve">reference_object</w:t>
      </w:r>
    </w:p>
    <w:p>
      <w:pPr>
        <w:pStyle w:val="BodyText"/>
        <w:widowControl/>
      </w:pPr>
      <w:r>
        <w:t xml:space="preserve">active_reference_layers</w:t>
      </w:r>
    </w:p>
    <w:p>
      <w:pPr>
        <w:pStyle w:val="BodyText"/>
        <w:widowControl/>
      </w:pPr>
      <w:r>
        <w:t xml:space="preserve">invariant_constraints</w:t>
      </w:r>
    </w:p>
    <w:p>
      <w:pPr>
        <w:pStyle w:val="BodyText"/>
        <w:widowControl/>
      </w:pPr>
      <w:r>
        <w:t xml:space="preserve">causal_pathway_summary</w:t>
      </w:r>
    </w:p>
    <w:p>
      <w:pPr>
        <w:pStyle w:val="BodyText"/>
        <w:widowControl/>
      </w:pPr>
      <w:r>
        <w:t xml:space="preserve">falsification_conditions</w:t>
      </w:r>
    </w:p>
    <w:p>
      <w:pPr>
        <w:pStyle w:val="BodyText"/>
        <w:widowControl/>
      </w:pPr>
      <w:r>
        <w:t xml:space="preserve">evidence_sources</w:t>
      </w:r>
    </w:p>
    <w:p>
      <w:pPr>
        <w:pStyle w:val="BodyText"/>
        <w:widowControl/>
      </w:pPr>
      <w:r>
        <w:t xml:space="preserve">evidence_status_tokens</w:t>
      </w:r>
    </w:p>
    <w:p>
      <w:pPr>
        <w:pStyle w:val="BodyText"/>
        <w:widowControl/>
      </w:pPr>
      <w:r>
        <w:t xml:space="preserve">measurement_maturity_status</w:t>
      </w:r>
    </w:p>
    <w:p>
      <w:pPr>
        <w:pStyle w:val="BodyText"/>
        <w:widowControl/>
      </w:pPr>
      <w:r>
        <w:t xml:space="preserve">adaptation_boundary</w:t>
      </w:r>
    </w:p>
    <w:p>
      <w:pPr>
        <w:pStyle w:val="BodyText"/>
        <w:widowControl/>
      </w:pPr>
      <w:r>
        <w:t xml:space="preserve">authority_boundary</w:t>
      </w:r>
    </w:p>
    <w:p>
      <w:pPr>
        <w:pStyle w:val="BodyText"/>
        <w:widowControl/>
      </w:pPr>
      <w:r>
        <w:t xml:space="preserve">refusal_triggers</w:t>
      </w:r>
    </w:p>
    <w:p>
      <w:pPr>
        <w:pStyle w:val="BodyText"/>
        <w:widowControl/>
      </w:pPr>
      <w:r>
        <w:t xml:space="preserve">excluded_references</w:t>
      </w:r>
    </w:p>
    <w:p>
      <w:pPr>
        <w:pStyle w:val="BodyText"/>
        <w:widowControl/>
      </w:pPr>
      <w:r>
        <w:t xml:space="preserve">reviewer_disposition</w:t>
      </w:r>
    </w:p>
    <w:p>
      <w:pPr>
        <w:pStyle w:val="BodyText"/>
        <w:widowControl/>
      </w:pPr>
      <w:r>
        <w:t xml:space="preserve">timestamp</w:t>
      </w:r>
    </w:p>
    <w:p>
      <w:pPr>
        <w:pStyle w:val="BodyText"/>
        <w:widowControl/>
      </w:pPr>
      <w:r>
        <w:t xml:space="preserve">artifact_hashes</w:t>
      </w:r>
    </w:p>
    <w:p>
      <w:pPr>
        <w:pStyle w:val="BodyText"/>
        <w:widowControl/>
      </w:pPr>
      <w:r>
        <w:t xml:space="preserve">Validation rule. If PCC.ReferenceStructureRecord is required and missing, the PCC is incomplete for any claim that the run was reference-structure-audited. Missing ReferenceStructureRecord does not by itself alter cascade arithmetic, but it prevents stronger public conformance, deployment-readiness, or validation claims.</w:t>
      </w:r>
    </w:p>
    <w:bookmarkEnd w:id="428"/>
    <w:bookmarkStart w:id="429" w:name="Xc01317f1f9b2d94967026cd4da72aa66fbb6f35"/>
    <w:p>
      <w:pPr>
        <w:pStyle w:val="Heading2"/>
        <w:keepNext/>
        <w:keepLines/>
        <w:pageBreakBefore w:val="0"/>
        <w:widowControl/>
      </w:pPr>
      <w:r>
        <w:rPr>
          <w:rFonts w:ascii="Arial" w:hAnsi="Arial" w:eastAsia="Arial"/>
          <w:b/>
          <w:color w:val="1F4E78"/>
        </w:rPr>
        <w:t xml:space="preserve">H.2 Minimum Required Fields by Tier (Canonical)</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Field</w:t>
            </w:r>
          </w:p>
        </w:tc>
        <w:tc>
          <w:tcPr>
            <w:shd w:fill="1F4E78" w:val="clear"/>
            <w:tcMar>
              <w:top w:w="80" w:type="dxa"/>
              <w:start w:w="90" w:type="dxa"/>
              <w:bottom w:w="80" w:type="dxa"/>
              <w:end w:w="90" w:type="dxa"/>
            </w:tcMar>
          </w:tcPr>
          <w:p>
            <w:pPr>
              <w:pStyle w:val="Compact"/>
              <w:jc w:val="left"/>
            </w:pPr>
            <w:r>
              <w:rPr>
                <w:b/>
                <w:bCs/>
                <w:color w:val="FFFFFF"/>
              </w:rPr>
              <w:t xml:space="preserve">Tier 1</w:t>
            </w:r>
          </w:p>
        </w:tc>
        <w:tc>
          <w:tcPr>
            <w:shd w:fill="1F4E78" w:val="clear"/>
            <w:tcMar>
              <w:top w:w="80" w:type="dxa"/>
              <w:start w:w="90" w:type="dxa"/>
              <w:bottom w:w="80" w:type="dxa"/>
              <w:end w:w="90" w:type="dxa"/>
            </w:tcMar>
          </w:tcPr>
          <w:p>
            <w:pPr>
              <w:pStyle w:val="Compact"/>
              <w:jc w:val="left"/>
            </w:pPr>
            <w:r>
              <w:rPr>
                <w:b/>
                <w:bCs/>
                <w:color w:val="FFFFFF"/>
              </w:rPr>
              <w:t xml:space="preserve">Tier 2</w:t>
            </w:r>
          </w:p>
        </w:tc>
        <w:tc>
          <w:tcPr>
            <w:shd w:fill="1F4E78" w:val="clear"/>
            <w:tcMar>
              <w:top w:w="80" w:type="dxa"/>
              <w:start w:w="90" w:type="dxa"/>
              <w:bottom w:w="80" w:type="dxa"/>
              <w:end w:w="90" w:type="dxa"/>
            </w:tcMar>
          </w:tcPr>
          <w:p>
            <w:pPr>
              <w:pStyle w:val="Compact"/>
              <w:jc w:val="left"/>
            </w:pPr>
            <w:r>
              <w:rPr>
                <w:b/>
                <w:bCs/>
                <w:color w:val="FFFFFF"/>
              </w:rPr>
              <w:t xml:space="preserve">Tier 3</w:t>
            </w:r>
          </w:p>
        </w:tc>
      </w:tr>
      <w:tr>
        <w:trPr/>
        <w:tc>
          <w:tcPr>
            <w:tcMar>
              <w:top w:w="80" w:type="dxa"/>
              <w:start w:w="90" w:type="dxa"/>
              <w:bottom w:w="80" w:type="dxa"/>
              <w:end w:w="90" w:type="dxa"/>
            </w:tcMar>
            <w:shd w:fill="F7FBFF" w:val="clear"/>
          </w:tcPr>
          <w:p>
            <w:pPr>
              <w:pStyle w:val="Compact"/>
              <w:jc w:val="left"/>
            </w:pPr>
            <w:r>
              <w:t xml:space="preserve">Decision ID</w:t>
            </w:r>
          </w:p>
        </w:tc>
        <w:tc>
          <w:tcPr>
            <w:tcMar>
              <w:top w:w="80" w:type="dxa"/>
              <w:start w:w="90" w:type="dxa"/>
              <w:bottom w:w="80" w:type="dxa"/>
              <w:end w:w="90" w:type="dxa"/>
            </w:tcMar>
            <w:shd w:fill="F7FBFF" w:val="clear"/>
          </w:tcPr>
          <w:p>
            <w:pPr>
              <w:pStyle w:val="Compact"/>
              <w:jc w:val="left"/>
            </w:pPr>
            <w:r>
              <w:t xml:space="preserve">Recommended</w:t>
            </w:r>
          </w:p>
        </w:tc>
        <w:tc>
          <w:tcPr>
            <w:tcMar>
              <w:top w:w="80" w:type="dxa"/>
              <w:start w:w="90" w:type="dxa"/>
              <w:bottom w:w="80" w:type="dxa"/>
              <w:end w:w="90" w:type="dxa"/>
            </w:tcMar>
            <w:shd w:fill="F7FBFF" w:val="clear"/>
          </w:tcPr>
          <w:p>
            <w:pPr>
              <w:pStyle w:val="Compact"/>
              <w:jc w:val="left"/>
            </w:pPr>
            <w:r>
              <w:t xml:space="preserve">REQUIRED</w:t>
            </w:r>
          </w:p>
        </w:tc>
        <w:tc>
          <w:tcPr>
            <w:tcMar>
              <w:top w:w="80" w:type="dxa"/>
              <w:start w:w="90" w:type="dxa"/>
              <w:bottom w:w="80" w:type="dxa"/>
              <w:end w:w="90" w:type="dxa"/>
            </w:tcMar>
            <w:shd w:fill="F7FBFF" w:val="clear"/>
          </w:tcPr>
          <w:p>
            <w:pPr>
              <w:pStyle w:val="Compact"/>
              <w:jc w:val="left"/>
            </w:pPr>
            <w:r>
              <w:t xml:space="preserve">REQUIRED</w:t>
            </w:r>
          </w:p>
        </w:tc>
      </w:tr>
      <w:tr>
        <w:trPr/>
        <w:tc>
          <w:tcPr>
            <w:tcMar>
              <w:top w:w="80" w:type="dxa"/>
              <w:start w:w="90" w:type="dxa"/>
              <w:bottom w:w="80" w:type="dxa"/>
              <w:end w:w="90" w:type="dxa"/>
            </w:tcMar>
            <w:shd w:fill="D9EAF7" w:val="clear"/>
          </w:tcPr>
          <w:p>
            <w:pPr>
              <w:pStyle w:val="Compact"/>
              <w:jc w:val="left"/>
            </w:pPr>
            <w:r>
              <w:t xml:space="preserve">Timestamp</w:t>
            </w:r>
          </w:p>
        </w:tc>
        <w:tc>
          <w:tcPr>
            <w:tcMar>
              <w:top w:w="80" w:type="dxa"/>
              <w:start w:w="90" w:type="dxa"/>
              <w:bottom w:w="80" w:type="dxa"/>
              <w:end w:w="90" w:type="dxa"/>
            </w:tcMar>
            <w:shd w:fill="D9EAF7" w:val="clear"/>
          </w:tcPr>
          <w:p>
            <w:pPr>
              <w:pStyle w:val="Compact"/>
              <w:jc w:val="left"/>
            </w:pPr>
            <w:r>
              <w:t xml:space="preserve">Recommended</w:t>
            </w:r>
          </w:p>
        </w:tc>
        <w:tc>
          <w:tcPr>
            <w:tcMar>
              <w:top w:w="80" w:type="dxa"/>
              <w:start w:w="90" w:type="dxa"/>
              <w:bottom w:w="80" w:type="dxa"/>
              <w:end w:w="90" w:type="dxa"/>
            </w:tcMar>
            <w:shd w:fill="D9EAF7" w:val="clear"/>
          </w:tcPr>
          <w:p>
            <w:pPr>
              <w:pStyle w:val="Compact"/>
              <w:jc w:val="left"/>
            </w:pPr>
            <w:r>
              <w:t xml:space="preserve">REQUIRED</w:t>
            </w:r>
          </w:p>
        </w:tc>
        <w:tc>
          <w:tcPr>
            <w:tcMar>
              <w:top w:w="80" w:type="dxa"/>
              <w:start w:w="90" w:type="dxa"/>
              <w:bottom w:w="80" w:type="dxa"/>
              <w:end w:w="90" w:type="dxa"/>
            </w:tcMar>
            <w:shd w:fill="D9EAF7" w:val="clear"/>
          </w:tcPr>
          <w:p>
            <w:pPr>
              <w:pStyle w:val="Compact"/>
              <w:jc w:val="left"/>
            </w:pPr>
            <w:r>
              <w:t xml:space="preserve">REQUIRED</w:t>
            </w:r>
          </w:p>
        </w:tc>
      </w:tr>
      <w:tr>
        <w:trPr/>
        <w:tc>
          <w:tcPr>
            <w:tcMar>
              <w:top w:w="80" w:type="dxa"/>
              <w:start w:w="90" w:type="dxa"/>
              <w:bottom w:w="80" w:type="dxa"/>
              <w:end w:w="90" w:type="dxa"/>
            </w:tcMar>
            <w:shd w:fill="F7FBFF" w:val="clear"/>
          </w:tcPr>
          <w:p>
            <w:pPr>
              <w:pStyle w:val="Compact"/>
              <w:jc w:val="left"/>
            </w:pPr>
            <w:r>
              <w:t xml:space="preserve">Option set</w:t>
            </w:r>
          </w:p>
        </w:tc>
        <w:tc>
          <w:tcPr>
            <w:tcMar>
              <w:top w:w="80" w:type="dxa"/>
              <w:start w:w="90" w:type="dxa"/>
              <w:bottom w:w="80" w:type="dxa"/>
              <w:end w:w="90" w:type="dxa"/>
            </w:tcMar>
            <w:shd w:fill="F7FBFF" w:val="clear"/>
          </w:tcPr>
          <w:p>
            <w:pPr>
              <w:pStyle w:val="Compact"/>
              <w:jc w:val="left"/>
            </w:pPr>
            <w:r>
              <w:t xml:space="preserve">REQUIRED</w:t>
            </w:r>
          </w:p>
        </w:tc>
        <w:tc>
          <w:tcPr>
            <w:tcMar>
              <w:top w:w="80" w:type="dxa"/>
              <w:start w:w="90" w:type="dxa"/>
              <w:bottom w:w="80" w:type="dxa"/>
              <w:end w:w="90" w:type="dxa"/>
            </w:tcMar>
            <w:shd w:fill="F7FBFF" w:val="clear"/>
          </w:tcPr>
          <w:p>
            <w:pPr>
              <w:pStyle w:val="Compact"/>
              <w:jc w:val="left"/>
            </w:pPr>
            <w:r>
              <w:t xml:space="preserve">REQUIRED</w:t>
            </w:r>
          </w:p>
        </w:tc>
        <w:tc>
          <w:tcPr>
            <w:tcMar>
              <w:top w:w="80" w:type="dxa"/>
              <w:start w:w="90" w:type="dxa"/>
              <w:bottom w:w="80" w:type="dxa"/>
              <w:end w:w="90" w:type="dxa"/>
            </w:tcMar>
            <w:shd w:fill="F7FBFF" w:val="clear"/>
          </w:tcPr>
          <w:p>
            <w:pPr>
              <w:pStyle w:val="Compact"/>
              <w:jc w:val="left"/>
            </w:pPr>
            <w:r>
              <w:t xml:space="preserve">REQUIRED</w:t>
            </w:r>
          </w:p>
        </w:tc>
      </w:tr>
      <w:tr>
        <w:trPr/>
        <w:tc>
          <w:tcPr>
            <w:tcMar>
              <w:top w:w="80" w:type="dxa"/>
              <w:start w:w="90" w:type="dxa"/>
              <w:bottom w:w="80" w:type="dxa"/>
              <w:end w:w="90" w:type="dxa"/>
            </w:tcMar>
            <w:shd w:fill="D9EAF7" w:val="clear"/>
          </w:tcPr>
          <w:p>
            <w:pPr>
              <w:pStyle w:val="Compact"/>
              <w:jc w:val="left"/>
            </w:pPr>
            <w:r>
              <w:t xml:space="preserve">NCRC results</w:t>
            </w:r>
          </w:p>
        </w:tc>
        <w:tc>
          <w:tcPr>
            <w:tcMar>
              <w:top w:w="80" w:type="dxa"/>
              <w:start w:w="90" w:type="dxa"/>
              <w:bottom w:w="80" w:type="dxa"/>
              <w:end w:w="90" w:type="dxa"/>
            </w:tcMar>
            <w:shd w:fill="D9EAF7" w:val="clear"/>
          </w:tcPr>
          <w:p>
            <w:pPr>
              <w:pStyle w:val="Compact"/>
              <w:jc w:val="left"/>
            </w:pPr>
            <w:r>
              <w:t xml:space="preserve">Heuristic ok</w:t>
            </w:r>
          </w:p>
        </w:tc>
        <w:tc>
          <w:tcPr>
            <w:tcMar>
              <w:top w:w="80" w:type="dxa"/>
              <w:start w:w="90" w:type="dxa"/>
              <w:bottom w:w="80" w:type="dxa"/>
              <w:end w:w="90" w:type="dxa"/>
            </w:tcMar>
            <w:shd w:fill="D9EAF7" w:val="clear"/>
          </w:tcPr>
          <w:p>
            <w:pPr>
              <w:pStyle w:val="Compact"/>
              <w:jc w:val="left"/>
            </w:pPr>
            <w:r>
              <w:t xml:space="preserve">REQUIRED</w:t>
            </w:r>
          </w:p>
        </w:tc>
        <w:tc>
          <w:tcPr>
            <w:tcMar>
              <w:top w:w="80" w:type="dxa"/>
              <w:start w:w="90" w:type="dxa"/>
              <w:bottom w:w="80" w:type="dxa"/>
              <w:end w:w="90" w:type="dxa"/>
            </w:tcMar>
            <w:shd w:fill="D9EAF7" w:val="clear"/>
          </w:tcPr>
          <w:p>
            <w:pPr>
              <w:pStyle w:val="Compact"/>
              <w:jc w:val="left"/>
            </w:pPr>
            <w:r>
              <w:t xml:space="preserve">REQUIRED + subgroup policy</w:t>
            </w:r>
          </w:p>
        </w:tc>
      </w:tr>
      <w:tr>
        <w:trPr/>
        <w:tc>
          <w:tcPr>
            <w:tcMar>
              <w:top w:w="80" w:type="dxa"/>
              <w:start w:w="90" w:type="dxa"/>
              <w:bottom w:w="80" w:type="dxa"/>
              <w:end w:w="90" w:type="dxa"/>
            </w:tcMar>
            <w:shd w:fill="F7FBFF" w:val="clear"/>
          </w:tcPr>
          <w:p>
            <w:pPr>
              <w:pStyle w:val="Compact"/>
              <w:jc w:val="left"/>
            </w:pPr>
            <w:r>
              <w:t xml:space="preserve">TRC results</w:t>
            </w:r>
          </w:p>
        </w:tc>
        <w:tc>
          <w:tcPr>
            <w:tcMar>
              <w:top w:w="80" w:type="dxa"/>
              <w:start w:w="90" w:type="dxa"/>
              <w:bottom w:w="80" w:type="dxa"/>
              <w:end w:w="90" w:type="dxa"/>
            </w:tcMar>
            <w:shd w:fill="F7FBFF" w:val="clear"/>
          </w:tcPr>
          <w:p>
            <w:pPr>
              <w:pStyle w:val="Compact"/>
              <w:jc w:val="left"/>
            </w:pPr>
            <w:r>
              <w:t xml:space="preserve">Optional</w:t>
            </w:r>
          </w:p>
        </w:tc>
        <w:tc>
          <w:tcPr>
            <w:tcMar>
              <w:top w:w="80" w:type="dxa"/>
              <w:start w:w="90" w:type="dxa"/>
              <w:bottom w:w="80" w:type="dxa"/>
              <w:end w:w="90" w:type="dxa"/>
            </w:tcMar>
            <w:shd w:fill="F7FBFF" w:val="clear"/>
          </w:tcPr>
          <w:p>
            <w:pPr>
              <w:pStyle w:val="Compact"/>
              <w:jc w:val="left"/>
            </w:pPr>
            <w:r>
              <w:t xml:space="preserve">REQUIRED when catastrophe plausible</w:t>
            </w:r>
          </w:p>
        </w:tc>
        <w:tc>
          <w:tcPr>
            <w:tcMar>
              <w:top w:w="80" w:type="dxa"/>
              <w:start w:w="90" w:type="dxa"/>
              <w:bottom w:w="80" w:type="dxa"/>
              <w:end w:w="90" w:type="dxa"/>
            </w:tcMar>
            <w:shd w:fill="F7FBFF" w:val="clear"/>
          </w:tcPr>
          <w:p>
            <w:pPr>
              <w:pStyle w:val="Compact"/>
              <w:jc w:val="left"/>
            </w:pPr>
            <w:r>
              <w:t xml:space="preserve">REQUIRED</w:t>
            </w:r>
          </w:p>
        </w:tc>
      </w:tr>
      <w:tr>
        <w:trPr/>
        <w:tc>
          <w:tcPr>
            <w:tcMar>
              <w:top w:w="80" w:type="dxa"/>
              <w:start w:w="90" w:type="dxa"/>
              <w:bottom w:w="80" w:type="dxa"/>
              <w:end w:w="90" w:type="dxa"/>
            </w:tcMar>
            <w:shd w:fill="D9EAF7" w:val="clear"/>
          </w:tcPr>
          <w:p>
            <w:pPr>
              <w:pStyle w:val="Compact"/>
              <w:jc w:val="left"/>
            </w:pPr>
            <w:r>
              <w:t xml:space="preserve">CSV / Containment and Structural Viability</w:t>
            </w:r>
          </w:p>
        </w:tc>
        <w:tc>
          <w:tcPr>
            <w:tcMar>
              <w:top w:w="80" w:type="dxa"/>
              <w:start w:w="90" w:type="dxa"/>
              <w:bottom w:w="80" w:type="dxa"/>
              <w:end w:w="90" w:type="dxa"/>
            </w:tcMar>
            <w:shd w:fill="D9EAF7" w:val="clear"/>
          </w:tcPr>
          <w:p>
            <w:r/>
            <w:r>
              <w:rPr>
                <w:b w:val="0"/>
              </w:rPr>
              <w:t>REQUIRED before any ordinary ranking or selection claim; a brief qualitative screen or CSV_NOT_MATERIAL rationale is sufficient</w:t>
            </w:r>
          </w:p>
        </w:tc>
        <w:tc>
          <w:tcPr>
            <w:tcMar>
              <w:top w:w="80" w:type="dxa"/>
              <w:start w:w="90" w:type="dxa"/>
              <w:bottom w:w="80" w:type="dxa"/>
              <w:end w:w="90" w:type="dxa"/>
            </w:tcMar>
            <w:shd w:fill="D9EAF7" w:val="clear"/>
          </w:tcPr>
          <w:p>
            <w:pPr>
              <w:pStyle w:val="Compact"/>
              <w:jc w:val="left"/>
            </w:pPr>
            <w:r>
              <w:t xml:space="preserve">REQUIRED proportional result before RLS</w:t>
            </w:r>
          </w:p>
        </w:tc>
        <w:tc>
          <w:tcPr>
            <w:tcMar>
              <w:top w:w="80" w:type="dxa"/>
              <w:start w:w="90" w:type="dxa"/>
              <w:bottom w:w="80" w:type="dxa"/>
              <w:end w:w="90" w:type="dxa"/>
            </w:tcMar>
            <w:shd w:fill="D9EAF7" w:val="clear"/>
          </w:tcPr>
          <w:p>
            <w:pPr>
              <w:pStyle w:val="Compact"/>
              <w:jc w:val="left"/>
            </w:pPr>
            <w:r>
              <w:t xml:space="preserve">REQUIRED full and binding</w:t>
            </w:r>
          </w:p>
        </w:tc>
      </w:tr>
      <w:tr>
        <w:trPr/>
        <w:tc>
          <w:tcPr>
            <w:tcMar>
              <w:top w:w="80" w:type="dxa"/>
              <w:start w:w="90" w:type="dxa"/>
              <w:bottom w:w="80" w:type="dxa"/>
              <w:end w:w="90" w:type="dxa"/>
            </w:tcMar>
            <w:shd w:fill="F7FBFF" w:val="clear"/>
          </w:tcPr>
          <w:p>
            <w:pPr>
              <w:pStyle w:val="Compact"/>
              <w:jc w:val="left"/>
            </w:pPr>
            <w:r>
              <w:t xml:space="preserve">RLS scores</w:t>
            </w:r>
          </w:p>
        </w:tc>
        <w:tc>
          <w:tcPr>
            <w:tcMar>
              <w:top w:w="80" w:type="dxa"/>
              <w:start w:w="90" w:type="dxa"/>
              <w:bottom w:w="80" w:type="dxa"/>
              <w:end w:w="90" w:type="dxa"/>
            </w:tcMar>
            <w:shd w:fill="F7FBFF" w:val="clear"/>
          </w:tcPr>
          <w:p>
            <w:pPr>
              <w:pStyle w:val="Compact"/>
              <w:jc w:val="left"/>
            </w:pPr>
            <w:r>
              <w:t xml:space="preserve">Optional</w:t>
            </w:r>
          </w:p>
        </w:tc>
        <w:tc>
          <w:tcPr>
            <w:tcMar>
              <w:top w:w="80" w:type="dxa"/>
              <w:start w:w="90" w:type="dxa"/>
              <w:bottom w:w="80" w:type="dxa"/>
              <w:end w:w="90" w:type="dxa"/>
            </w:tcMar>
            <w:shd w:fill="F7FBFF" w:val="clear"/>
          </w:tcPr>
          <w:p>
            <w:pPr>
              <w:pStyle w:val="Compact"/>
              <w:jc w:val="left"/>
            </w:pPr>
            <w:r>
              <w:t xml:space="preserve">REQUIRED</w:t>
            </w:r>
          </w:p>
        </w:tc>
        <w:tc>
          <w:tcPr>
            <w:tcMar>
              <w:top w:w="80" w:type="dxa"/>
              <w:start w:w="90" w:type="dxa"/>
              <w:bottom w:w="80" w:type="dxa"/>
              <w:end w:w="90" w:type="dxa"/>
            </w:tcMar>
            <w:shd w:fill="F7FBFF" w:val="clear"/>
          </w:tcPr>
          <w:p>
            <w:pPr>
              <w:pStyle w:val="Compact"/>
              <w:jc w:val="left"/>
            </w:pPr>
            <w:r>
              <w:t xml:space="preserve">REQUIRED</w:t>
            </w:r>
          </w:p>
        </w:tc>
      </w:tr>
      <w:tr>
        <w:trPr/>
        <w:tc>
          <w:tcPr>
            <w:tcMar>
              <w:top w:w="80" w:type="dxa"/>
              <w:start w:w="90" w:type="dxa"/>
              <w:bottom w:w="80" w:type="dxa"/>
              <w:end w:w="90" w:type="dxa"/>
            </w:tcMar>
            <w:shd w:fill="D9EAF7" w:val="clear"/>
          </w:tcPr>
          <w:p>
            <w:pPr>
              <w:pStyle w:val="Compact"/>
              <w:jc w:val="left"/>
            </w:pPr>
            <w:r>
              <w:t xml:space="preserve">Uncertainty + discrimination</w:t>
            </w:r>
          </w:p>
        </w:tc>
        <w:tc>
          <w:tcPr>
            <w:tcMar>
              <w:top w:w="80" w:type="dxa"/>
              <w:start w:w="90" w:type="dxa"/>
              <w:bottom w:w="80" w:type="dxa"/>
              <w:end w:w="90" w:type="dxa"/>
            </w:tcMar>
            <w:shd w:fill="D9EAF7" w:val="clear"/>
          </w:tcPr>
          <w:p>
            <w:pPr>
              <w:pStyle w:val="Compact"/>
              <w:jc w:val="left"/>
            </w:pPr>
            <w:r>
              <w:t xml:space="preserve">Optional</w:t>
            </w:r>
          </w:p>
        </w:tc>
        <w:tc>
          <w:tcPr>
            <w:tcMar>
              <w:top w:w="80" w:type="dxa"/>
              <w:start w:w="90" w:type="dxa"/>
              <w:bottom w:w="80" w:type="dxa"/>
              <w:end w:w="90" w:type="dxa"/>
            </w:tcMar>
            <w:shd w:fill="D9EAF7" w:val="clear"/>
          </w:tcPr>
          <w:p>
            <w:pPr>
              <w:pStyle w:val="Compact"/>
              <w:jc w:val="left"/>
            </w:pPr>
            <w:r>
              <w:t xml:space="preserve">REQUIRED (active cells)</w:t>
            </w:r>
          </w:p>
        </w:tc>
        <w:tc>
          <w:tcPr>
            <w:tcMar>
              <w:top w:w="80" w:type="dxa"/>
              <w:start w:w="90" w:type="dxa"/>
              <w:bottom w:w="80" w:type="dxa"/>
              <w:end w:w="90" w:type="dxa"/>
            </w:tcMar>
            <w:shd w:fill="D9EAF7" w:val="clear"/>
          </w:tcPr>
          <w:p>
            <w:pPr>
              <w:pStyle w:val="Compact"/>
              <w:jc w:val="left"/>
            </w:pPr>
            <w:r>
              <w:t xml:space="preserve">REQUIRED (active cells)</w:t>
            </w:r>
          </w:p>
        </w:tc>
      </w:tr>
      <w:tr>
        <w:trPr/>
        <w:tc>
          <w:tcPr>
            <w:tcMar>
              <w:top w:w="80" w:type="dxa"/>
              <w:start w:w="90" w:type="dxa"/>
              <w:bottom w:w="80" w:type="dxa"/>
              <w:end w:w="90" w:type="dxa"/>
            </w:tcMar>
            <w:shd w:fill="F7FBFF" w:val="clear"/>
          </w:tcPr>
          <w:p>
            <w:pPr>
              <w:pStyle w:val="Compact"/>
              <w:jc w:val="left"/>
            </w:pPr>
            <w:r>
              <w:t xml:space="preserve">Sensitivity analysis</w:t>
            </w:r>
          </w:p>
        </w:tc>
        <w:tc>
          <w:tcPr>
            <w:tcMar>
              <w:top w:w="80" w:type="dxa"/>
              <w:start w:w="90" w:type="dxa"/>
              <w:bottom w:w="80" w:type="dxa"/>
              <w:end w:w="90" w:type="dxa"/>
            </w:tcMar>
            <w:shd w:fill="F7FBFF" w:val="clear"/>
          </w:tcPr>
          <w:p>
            <w:pPr>
              <w:pStyle w:val="Compact"/>
              <w:jc w:val="left"/>
            </w:pPr>
            <w:r>
              <w:t xml:space="preserve">Optional</w:t>
            </w:r>
          </w:p>
        </w:tc>
        <w:tc>
          <w:tcPr>
            <w:tcMar>
              <w:top w:w="80" w:type="dxa"/>
              <w:start w:w="90" w:type="dxa"/>
              <w:bottom w:w="80" w:type="dxa"/>
              <w:end w:w="90" w:type="dxa"/>
            </w:tcMar>
            <w:shd w:fill="F7FBFF" w:val="clear"/>
          </w:tcPr>
          <w:p>
            <w:pPr>
              <w:pStyle w:val="Compact"/>
              <w:jc w:val="left"/>
            </w:pPr>
            <w:r>
              <w:t xml:space="preserve">Recommended</w:t>
            </w:r>
          </w:p>
        </w:tc>
        <w:tc>
          <w:tcPr>
            <w:tcMar>
              <w:top w:w="80" w:type="dxa"/>
              <w:start w:w="90" w:type="dxa"/>
              <w:bottom w:w="80" w:type="dxa"/>
              <w:end w:w="90" w:type="dxa"/>
            </w:tcMar>
            <w:shd w:fill="F7FBFF" w:val="clear"/>
          </w:tcPr>
          <w:p>
            <w:pPr>
              <w:pStyle w:val="Compact"/>
              <w:jc w:val="left"/>
            </w:pPr>
            <w:r>
              <w:t xml:space="preserve">REQUIRED</w:t>
            </w:r>
          </w:p>
        </w:tc>
      </w:tr>
      <w:tr>
        <w:trPr/>
        <w:tc>
          <w:tcPr>
            <w:tcMar>
              <w:top w:w="80" w:type="dxa"/>
              <w:start w:w="90" w:type="dxa"/>
              <w:bottom w:w="80" w:type="dxa"/>
              <w:end w:w="90" w:type="dxa"/>
            </w:tcMar>
            <w:shd w:fill="D9EAF7" w:val="clear"/>
          </w:tcPr>
          <w:p>
            <w:pPr>
              <w:pStyle w:val="Compact"/>
              <w:jc w:val="left"/>
            </w:pPr>
            <w:r>
              <w:t xml:space="preserve">5SPR</w:t>
            </w:r>
          </w:p>
        </w:tc>
        <w:tc>
          <w:tcPr>
            <w:tcMar>
              <w:top w:w="80" w:type="dxa"/>
              <w:start w:w="90" w:type="dxa"/>
              <w:bottom w:w="80" w:type="dxa"/>
              <w:end w:w="90" w:type="dxa"/>
            </w:tcMar>
            <w:shd w:fill="D9EAF7" w:val="clear"/>
          </w:tcPr>
          <w:p>
            <w:pPr>
              <w:pStyle w:val="Compact"/>
              <w:jc w:val="left"/>
            </w:pPr>
            <w:r>
              <w:t xml:space="preserve">Optional</w:t>
            </w:r>
          </w:p>
        </w:tc>
        <w:tc>
          <w:tcPr>
            <w:tcMar>
              <w:top w:w="80" w:type="dxa"/>
              <w:start w:w="90" w:type="dxa"/>
              <w:bottom w:w="80" w:type="dxa"/>
              <w:end w:w="90" w:type="dxa"/>
            </w:tcMar>
            <w:shd w:fill="D9EAF7" w:val="clear"/>
          </w:tcPr>
          <w:p>
            <w:pPr>
              <w:pStyle w:val="Compact"/>
              <w:jc w:val="left"/>
            </w:pPr>
            <w:r>
              <w:t xml:space="preserve">REQUIRED</w:t>
            </w:r>
          </w:p>
        </w:tc>
        <w:tc>
          <w:tcPr>
            <w:tcMar>
              <w:top w:w="80" w:type="dxa"/>
              <w:start w:w="90" w:type="dxa"/>
              <w:bottom w:w="80" w:type="dxa"/>
              <w:end w:w="90" w:type="dxa"/>
            </w:tcMar>
            <w:shd w:fill="D9EAF7" w:val="clear"/>
          </w:tcPr>
          <w:p>
            <w:pPr>
              <w:pStyle w:val="Compact"/>
              <w:jc w:val="left"/>
            </w:pPr>
            <w:r>
              <w:t xml:space="preserve">REQUIRED</w:t>
            </w:r>
          </w:p>
        </w:tc>
      </w:tr>
      <w:tr>
        <w:trPr/>
        <w:tc>
          <w:tcPr>
            <w:tcMar>
              <w:top w:w="80" w:type="dxa"/>
              <w:start w:w="90" w:type="dxa"/>
              <w:bottom w:w="80" w:type="dxa"/>
              <w:end w:w="90" w:type="dxa"/>
            </w:tcMar>
            <w:shd w:fill="F7FBFF" w:val="clear"/>
          </w:tcPr>
          <w:p>
            <w:pPr>
              <w:pStyle w:val="Compact"/>
              <w:jc w:val="left"/>
            </w:pPr>
            <w:r>
              <w:t xml:space="preserve">Audit flags</w:t>
            </w:r>
          </w:p>
        </w:tc>
        <w:tc>
          <w:tcPr>
            <w:tcMar>
              <w:top w:w="80" w:type="dxa"/>
              <w:start w:w="90" w:type="dxa"/>
              <w:bottom w:w="80" w:type="dxa"/>
              <w:end w:w="90" w:type="dxa"/>
            </w:tcMar>
            <w:shd w:fill="F7FBFF" w:val="clear"/>
          </w:tcPr>
          <w:p>
            <w:pPr>
              <w:pStyle w:val="Compact"/>
              <w:jc w:val="left"/>
            </w:pPr>
            <w:r>
              <w:t xml:space="preserve">Optional</w:t>
            </w:r>
          </w:p>
        </w:tc>
        <w:tc>
          <w:tcPr>
            <w:tcMar>
              <w:top w:w="80" w:type="dxa"/>
              <w:start w:w="90" w:type="dxa"/>
              <w:bottom w:w="80" w:type="dxa"/>
              <w:end w:w="90" w:type="dxa"/>
            </w:tcMar>
            <w:shd w:fill="F7FBFF" w:val="clear"/>
          </w:tcPr>
          <w:p>
            <w:pPr>
              <w:pStyle w:val="Compact"/>
              <w:jc w:val="left"/>
            </w:pPr>
            <w:r>
              <w:t xml:space="preserve">REQUIRED when triggered</w:t>
            </w:r>
          </w:p>
        </w:tc>
        <w:tc>
          <w:tcPr>
            <w:tcMar>
              <w:top w:w="80" w:type="dxa"/>
              <w:start w:w="90" w:type="dxa"/>
              <w:bottom w:w="80" w:type="dxa"/>
              <w:end w:w="90" w:type="dxa"/>
            </w:tcMar>
            <w:shd w:fill="F7FBFF" w:val="clear"/>
          </w:tcPr>
          <w:p>
            <w:pPr>
              <w:pStyle w:val="Compact"/>
              <w:jc w:val="left"/>
            </w:pPr>
            <w:r>
              <w:t xml:space="preserve">REQUIRED when triggered</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Normative Input Register</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Optional</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REQUIRED when material</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REQUIRED when material</w:t>
            </w:r>
          </w:p>
        </w:tc>
      </w:tr>
    </w:tbl>
    <w:bookmarkEnd w:id="429"/>
    <w:bookmarkStart w:id="430" w:name="h3-audit-flag-canon-pack-canonical"/>
    <w:p>
      <w:pPr>
        <w:pStyle w:val="Heading2"/>
        <w:keepNext/>
        <w:keepLines/>
        <w:pageBreakBefore w:val="0"/>
        <w:widowControl/>
      </w:pPr>
      <w:r>
        <w:rPr>
          <w:rFonts w:ascii="Arial" w:hAnsi="Arial" w:eastAsia="Arial"/>
          <w:b/>
          <w:color w:val="1F4E78"/>
        </w:rPr>
        <w:t xml:space="preserve">H.3 Audit Flag Canon Pack (Canonical)</w:t>
      </w:r>
    </w:p>
    <w:p>
      <w:pPr>
        <w:pStyle w:val="BodyText"/>
        <w:spacing w:after="120"/>
      </w:pPr>
      <w:r>
        <w:t>Section 14.3A and docs/implementation/CANONICAL_AUDIT_FLAG_REGISTRY_v1.0.yaml jointly form the controlling canonical audit-flag registry. Appendix H.3 intentionally contains no hand-maintained duplicate table because omission or drift in a mirror can silently weaken conformance checks.</w:t>
      </w:r>
    </w:p>
    <w:p>
      <w:pPr>
        <w:pStyle w:val="BodyText"/>
        <w:spacing w:after="120"/>
      </w:pPr>
      <w:r>
        <w:t>Implementations, validators, workbooks, and companion standards MUST bind directly to Section 14.3A or to a machine-generated registry derived from it. A token absent from Section 14.3A is local/informative unless the Canon explicitly assigns it controlling status.</w:t>
      </w:r>
    </w:p>
    <w:p>
      <w:pPr>
        <w:pStyle w:val="BodyText"/>
        <w:spacing w:after="120"/>
      </w:pPr>
      <w:r>
        <w:t>Stewardship audit tokens remain controlled by Appendix N.7. Agent-runtime event ownership and its mapping to Canon states are controlled by Section 14.3A.1. Neither surface creates a sixth gate or modifies the RG -&gt; RF/NCRC -&gt; TRC -&gt; CSV -&gt; RLS cascade.</w:t>
      </w:r>
    </w:p>
    <w:p>
      <w:pPr>
        <w:pStyle w:val="Heading1"/>
        <w:keepNext/>
        <w:keepLines/>
        <w:pageBreakBefore w:val="0"/>
        <w:widowControl/>
      </w:pPr>
      <w:r>
        <w:rPr>
          <w:rFonts w:ascii="Arial" w:hAnsi="Arial" w:eastAsia="Arial"/>
          <w:b/>
          <w:color w:val="1F4E78"/>
        </w:rPr>
        <w:t xml:space="preserve">APPENDIX I: TIER-4 DESIGN TARGET (NOT CLAIMABLE IN THE CURRENT RELEASE)</w:t>
      </w:r>
    </w:p>
    <w:bookmarkStart w:id="433" w:name="i1-status-declaration"/>
    <w:p>
      <w:pPr>
        <w:pStyle w:val="Heading2"/>
        <w:keepNext/>
        <w:keepLines/>
        <w:pageBreakBefore w:val="0"/>
        <w:widowControl/>
      </w:pPr>
      <w:r>
        <w:rPr>
          <w:rFonts w:ascii="Arial" w:hAnsi="Arial" w:eastAsia="Arial"/>
          <w:b/>
          <w:color w:val="1F4E78"/>
        </w:rPr>
        <w:t xml:space="preserve">I.1 Status Declaration</w:t>
      </w:r>
    </w:p>
    <w:p>
      <w:pPr>
        <w:pStyle w:val="FirstParagraph"/>
        <w:widowControl/>
      </w:pPr>
      <w:r>
        <w:t xml:space="preserve">Tier-4 Design Target (Not Claimable in Any Current Release Line, Including v12.5)</w:t>
      </w:r>
    </w:p>
    <w:p>
      <w:pPr>
        <w:pStyle w:val="BodyText"/>
        <w:widowControl/>
      </w:pPr>
      <w:r>
        <w:t xml:space="preserve">Tier 4 is specified as a target profile requiring artifacts and capabilities that are not yet publicly available. Tier-4 compliance MUST NOT be claimed until ProofPack is publicly released and independently replayable.</w:t>
      </w:r>
    </w:p>
    <w:p>
      <w:pPr>
        <w:pStyle w:val="BodyText"/>
        <w:widowControl/>
      </w:pPr>
      <w:r>
        <w:t xml:space="preserve">Reality-contact Tier-4 requirement. Any future Tier-4 claim that relies on RealityGroundingStatus MUST make that status independently re-derivable from EvidenceTrace and supporting artifacts. Operator-declared status is sufficient for Tier 2 traceability only when review status is explicitly recorded; Tier 3 must follow its declared reviewer regime; neither is sufficient for Tier 4 admissibility, ProofPack readiness, or machine-verifiable ecosystem claims.</w:t>
      </w:r>
    </w:p>
    <w:bookmarkEnd w:id="433"/>
    <w:bookmarkStart w:id="434" w:name="X23baa9879fd1a4b186e141a7856f840cfd552d7"/>
    <w:p>
      <w:pPr>
        <w:pStyle w:val="Heading2"/>
        <w:keepNext/>
        <w:keepLines/>
        <w:pageBreakBefore w:val="0"/>
        <w:widowControl/>
      </w:pPr>
      <w:r>
        <w:rPr>
          <w:rFonts w:ascii="Arial" w:hAnsi="Arial" w:eastAsia="Arial"/>
          <w:b/>
          <w:color w:val="1F4E78"/>
        </w:rPr>
        <w:t xml:space="preserve">I.2 Tier 4 Requirements (Target Specification)</w:t>
      </w:r>
    </w:p>
    <w:p>
      <w:pPr>
        <w:pStyle w:val="FirstParagraph"/>
        <w:widowControl/>
      </w:pPr>
      <w:r>
        <w:t xml:space="preserve">Hash-Bound Registries:</w:t>
      </w:r>
    </w:p>
    <w:p>
      <w:pPr>
        <w:pStyle w:val="Compact"/>
        <w:widowControl/>
        <w:numPr>
          <w:ilvl w:val="0"/>
          <w:numId w:val="1323"/>
        </w:numPr>
      </w:pPr>
      <w:r>
        <w:t xml:space="preserve">Rights anchors registry (REG-RIGHTS-ANCHORS-v1)</w:t>
      </w:r>
    </w:p>
    <w:p>
      <w:pPr>
        <w:pStyle w:val="Compact"/>
        <w:widowControl/>
        <w:numPr>
          <w:ilvl w:val="0"/>
          <w:numId w:val="1324"/>
        </w:numPr>
      </w:pPr>
      <w:r>
        <w:t xml:space="preserve">Catastrophe indicators registry (AF-BASE)</w:t>
      </w:r>
    </w:p>
    <w:p>
      <w:pPr>
        <w:pStyle w:val="Compact"/>
        <w:widowControl/>
        <w:numPr>
          <w:ilvl w:val="0"/>
          <w:numId w:val="1325"/>
        </w:numPr>
      </w:pPr>
      <w:r>
        <w:t xml:space="preserve">Scenario library registry</w:t>
      </w:r>
    </w:p>
    <w:p>
      <w:pPr>
        <w:pStyle w:val="Compact"/>
        <w:widowControl/>
        <w:numPr>
          <w:ilvl w:val="0"/>
          <w:numId w:val="1326"/>
        </w:numPr>
      </w:pPr>
      <w:r>
        <w:t xml:space="preserve">Kernel registry with evidence classes</w:t>
      </w:r>
    </w:p>
    <w:p>
      <w:pPr>
        <w:pStyle w:val="Compact"/>
        <w:widowControl/>
        <w:numPr>
          <w:ilvl w:val="0"/>
          <w:numId w:val="1327"/>
        </w:numPr>
      </w:pPr>
      <w:r>
        <w:t xml:space="preserve">HDW ballots and weights registry</w:t>
      </w:r>
    </w:p>
    <w:p>
      <w:pPr>
        <w:pStyle w:val="FirstParagraph"/>
        <w:widowControl/>
      </w:pPr>
      <w:r>
        <w:t xml:space="preserve">Deterministic Numeric Profile (NDP_FIXEDPOINT_V1):</w:t>
      </w:r>
    </w:p>
    <w:p>
      <w:pPr>
        <w:pStyle w:val="Compact"/>
        <w:widowControl/>
        <w:numPr>
          <w:ilvl w:val="0"/>
          <w:numId w:val="1328"/>
        </w:numPr>
      </w:pPr>
      <w:r>
        <w:t xml:space="preserve">Fixed-point scale: S = 10⁹</w:t>
      </w:r>
    </w:p>
    <w:p>
      <w:pPr>
        <w:pStyle w:val="Compact"/>
        <w:widowControl/>
        <w:numPr>
          <w:ilvl w:val="0"/>
          <w:numId w:val="1329"/>
        </w:numPr>
      </w:pPr>
      <w:r>
        <w:t xml:space="preserve">Representation: X_fp = round_half_even(x × S) as signed int64</w:t>
      </w:r>
    </w:p>
    <w:p>
      <w:pPr>
        <w:pStyle w:val="Compact"/>
        <w:widowControl/>
        <w:numPr>
          <w:ilvl w:val="0"/>
          <w:numId w:val="1330"/>
        </w:numPr>
      </w:pPr>
      <w:r>
        <w:t xml:space="preserve">All divisions use round-half-even</w:t>
      </w:r>
    </w:p>
    <w:p>
      <w:pPr>
        <w:pStyle w:val="Compact"/>
        <w:widowControl/>
        <w:numPr>
          <w:ilvl w:val="0"/>
          <w:numId w:val="1331"/>
        </w:numPr>
      </w:pPr>
      <w:r>
        <w:t xml:space="preserve">Hard-fail on overflow with audit_flag NUMERIC_OVERFLOW</w:t>
      </w:r>
    </w:p>
    <w:p>
      <w:pPr>
        <w:pStyle w:val="FirstParagraph"/>
        <w:widowControl/>
      </w:pPr>
      <w:r>
        <w:t xml:space="preserve">Saturation Lookup Table (SAT_LUT_FP_V1):</w:t>
      </w:r>
    </w:p>
    <w:p>
      <w:pPr>
        <w:pStyle w:val="Compact"/>
        <w:widowControl/>
        <w:numPr>
          <w:ilvl w:val="0"/>
          <w:numId w:val="1332"/>
        </w:numPr>
      </w:pPr>
      <w:r>
        <w:t xml:space="preserve">Pre-computed tanh values for fixed-point inputs</w:t>
      </w:r>
    </w:p>
    <w:p>
      <w:pPr>
        <w:pStyle w:val="Compact"/>
        <w:widowControl/>
        <w:numPr>
          <w:ilvl w:val="0"/>
          <w:numId w:val="1333"/>
        </w:numPr>
      </w:pPr>
      <w:r>
        <w:t xml:space="preserve">Hash-bound in ProofPack</w:t>
      </w:r>
    </w:p>
    <w:p>
      <w:pPr>
        <w:pStyle w:val="Compact"/>
        <w:widowControl/>
        <w:numPr>
          <w:ilvl w:val="0"/>
          <w:numId w:val="1334"/>
        </w:numPr>
      </w:pPr>
      <w:r>
        <w:t xml:space="preserve">Runtime computation of tanh PROHIBITED</w:t>
      </w:r>
    </w:p>
    <w:p>
      <w:pPr>
        <w:pStyle w:val="FirstParagraph"/>
        <w:widowControl/>
      </w:pPr>
      <w:r>
        <w:t xml:space="preserve">Temporal Weight Registry (REG_TEMPORAL_WEIGHTS_V1):</w:t>
      </w:r>
    </w:p>
    <w:p>
      <w:pPr>
        <w:pStyle w:val="Compact"/>
        <w:widowControl/>
        <w:numPr>
          <w:ilvl w:val="0"/>
          <w:numId w:val="1335"/>
        </w:numPr>
      </w:pPr>
      <w:r>
        <w:t xml:space="preserve">Pre-computed τ(t) values for standard horizons</w:t>
      </w:r>
    </w:p>
    <w:p>
      <w:pPr>
        <w:pStyle w:val="Compact"/>
        <w:widowControl/>
        <w:numPr>
          <w:ilvl w:val="0"/>
          <w:numId w:val="1336"/>
        </w:numPr>
      </w:pPr>
      <w:r>
        <w:t xml:space="preserve">Hash-bound in ProofPack</w:t>
      </w:r>
    </w:p>
    <w:p>
      <w:pPr>
        <w:pStyle w:val="Compact"/>
        <w:widowControl/>
        <w:numPr>
          <w:ilvl w:val="0"/>
          <w:numId w:val="1337"/>
        </w:numPr>
      </w:pPr>
      <w:r>
        <w:t xml:space="preserve">Runtime computation of logarithms PROHIBITED</w:t>
      </w:r>
    </w:p>
    <w:p>
      <w:pPr>
        <w:pStyle w:val="FirstParagraph"/>
        <w:widowControl/>
      </w:pPr>
      <w:r>
        <w:t xml:space="preserve">Canonical JSON Profile:</w:t>
      </w:r>
    </w:p>
    <w:p>
      <w:pPr>
        <w:pStyle w:val="Compact"/>
        <w:widowControl/>
        <w:numPr>
          <w:ilvl w:val="0"/>
          <w:numId w:val="1338"/>
        </w:numPr>
      </w:pPr>
      <w:r>
        <w:t xml:space="preserve">NO_FLOATS rule: All numeric values as exact rationals {num, den}</w:t>
      </w:r>
    </w:p>
    <w:p>
      <w:pPr>
        <w:pStyle w:val="Compact"/>
        <w:widowControl/>
        <w:numPr>
          <w:ilvl w:val="0"/>
          <w:numId w:val="1339"/>
        </w:numPr>
      </w:pPr>
      <w:r>
        <w:t xml:space="preserve">Deterministic key ordering</w:t>
      </w:r>
    </w:p>
    <w:p>
      <w:pPr>
        <w:pStyle w:val="Compact"/>
        <w:widowControl/>
        <w:numPr>
          <w:ilvl w:val="0"/>
          <w:numId w:val="1340"/>
        </w:numPr>
      </w:pPr>
      <w:r>
        <w:t xml:space="preserve">Canonical whitespace rules</w:t>
      </w:r>
    </w:p>
    <w:p>
      <w:pPr>
        <w:pStyle w:val="Compact"/>
        <w:widowControl/>
        <w:numPr>
          <w:ilvl w:val="0"/>
          <w:numId w:val="1341"/>
        </w:numPr>
      </w:pPr>
      <w:r>
        <w:t xml:space="preserve">SHA-256 hashing for integrity</w:t>
      </w:r>
    </w:p>
    <w:p>
      <w:pPr>
        <w:pStyle w:val="FirstParagraph"/>
        <w:widowControl/>
      </w:pPr>
      <w:r>
        <w:t xml:space="preserve">Propagation Mode Restriction:</w:t>
      </w:r>
    </w:p>
    <w:p>
      <w:pPr>
        <w:pStyle w:val="Compact"/>
        <w:widowControl/>
        <w:numPr>
          <w:ilvl w:val="0"/>
          <w:numId w:val="1342"/>
        </w:numPr>
      </w:pPr>
      <w:r>
        <w:t xml:space="preserve">FULL propagation PROHIBITED for Tier 4 Pilot-Executable</w:t>
      </w:r>
    </w:p>
    <w:p>
      <w:pPr>
        <w:pStyle w:val="Compact"/>
        <w:widowControl/>
        <w:numPr>
          <w:ilvl w:val="0"/>
          <w:numId w:val="1343"/>
        </w:numPr>
      </w:pPr>
      <w:r>
        <w:t xml:space="preserve">NONE or QUICK only</w:t>
      </w:r>
    </w:p>
    <w:p>
      <w:pPr>
        <w:pStyle w:val="Compact"/>
        <w:widowControl/>
        <w:numPr>
          <w:ilvl w:val="0"/>
          <w:numId w:val="1344"/>
        </w:numPr>
      </w:pPr>
      <w:r>
        <w:t xml:space="preserve">FULL available only in future Tier 4 Certified profile</w:t>
      </w:r>
    </w:p>
    <w:bookmarkEnd w:id="434"/>
    <w:bookmarkStart w:id="435" w:name="i3-proofpack-contents-target"/>
    <w:p>
      <w:pPr>
        <w:pStyle w:val="Heading2"/>
        <w:keepNext/>
        <w:keepLines/>
        <w:pageBreakBefore w:val="0"/>
        <w:widowControl/>
      </w:pPr>
      <w:r>
        <w:rPr>
          <w:rFonts w:ascii="Arial" w:hAnsi="Arial" w:eastAsia="Arial"/>
          <w:b/>
          <w:color w:val="1F4E78"/>
        </w:rPr>
        <w:t xml:space="preserve">I.3 ProofPack Contents (Target)</w:t>
      </w:r>
    </w:p>
    <w:p>
      <w:pPr>
        <w:pStyle w:val="FirstParagraph"/>
        <w:widowControl/>
      </w:pPr>
      <w:r>
        <w:t xml:space="preserve">The ProofPack artifact bundle will provide:</w:t>
      </w:r>
    </w:p>
    <w:p>
      <w:pPr>
        <w:pStyle w:val="Compact"/>
        <w:widowControl/>
        <w:numPr>
          <w:ilvl w:val="0"/>
          <w:numId w:val="1345"/>
        </w:numPr>
      </w:pPr>
      <w:r>
        <w:t xml:space="preserve">Schemas: JSON schemas for PCC and all registries</w:t>
      </w:r>
    </w:p>
    <w:p>
      <w:pPr>
        <w:pStyle w:val="Compact"/>
        <w:widowControl/>
        <w:numPr>
          <w:ilvl w:val="0"/>
          <w:numId w:val="1346"/>
        </w:numPr>
      </w:pPr>
      <w:r>
        <w:t xml:space="preserve">Manifests: Hash indices for all artifacts</w:t>
      </w:r>
    </w:p>
    <w:p>
      <w:pPr>
        <w:pStyle w:val="Compact"/>
        <w:widowControl/>
        <w:numPr>
          <w:ilvl w:val="0"/>
          <w:numId w:val="1347"/>
        </w:numPr>
      </w:pPr>
      <w:r>
        <w:t xml:space="preserve">Canonicalization Rules: Exact specification for deterministic hashing</w:t>
      </w:r>
    </w:p>
    <w:p>
      <w:pPr>
        <w:pStyle w:val="Compact"/>
        <w:widowControl/>
        <w:numPr>
          <w:ilvl w:val="0"/>
          <w:numId w:val="1348"/>
        </w:numPr>
      </w:pPr>
      <w:r>
        <w:t xml:space="preserve">Registries: Machine-readable canonical registries</w:t>
      </w:r>
    </w:p>
    <w:p>
      <w:pPr>
        <w:pStyle w:val="Compact"/>
        <w:widowControl/>
        <w:numPr>
          <w:ilvl w:val="0"/>
          <w:numId w:val="1349"/>
        </w:numPr>
      </w:pPr>
      <w:r>
        <w:t xml:space="preserve">Test Vectors: Reference inputs and expected outputs for validation</w:t>
      </w:r>
    </w:p>
    <w:bookmarkEnd w:id="435"/>
    <w:bookmarkStart w:id="436" w:name="i4-replay-test-requirement"/>
    <w:p>
      <w:pPr>
        <w:pStyle w:val="Heading2"/>
        <w:keepNext/>
        <w:keepLines/>
        <w:pageBreakBefore w:val="0"/>
        <w:widowControl/>
      </w:pPr>
      <w:r>
        <w:rPr>
          <w:rFonts w:ascii="Arial" w:hAnsi="Arial" w:eastAsia="Arial"/>
          <w:b/>
          <w:color w:val="1F4E78"/>
        </w:rPr>
        <w:t xml:space="preserve">I.4 Replay Test Requirement</w:t>
      </w:r>
    </w:p>
    <w:p>
      <w:pPr>
        <w:pStyle w:val="FirstParagraph"/>
        <w:widowControl/>
      </w:pPr>
      <w:r>
        <w:t xml:space="preserve">A Tier 4 PCC MUST pass a replay test: independent re-execution using PCC inputs and referenced registries reproduces:</w:t>
      </w:r>
    </w:p>
    <w:p>
      <w:pPr>
        <w:pStyle w:val="Compact"/>
        <w:widowControl/>
        <w:numPr>
          <w:ilvl w:val="0"/>
          <w:numId w:val="1350"/>
        </w:numPr>
      </w:pPr>
      <w:r>
        <w:t xml:space="preserve">Identical admissibility outcomes (NCRC, TRC, CSV)</w:t>
      </w:r>
    </w:p>
    <w:p>
      <w:pPr>
        <w:pStyle w:val="Compact"/>
        <w:widowControl/>
        <w:numPr>
          <w:ilvl w:val="0"/>
          <w:numId w:val="1351"/>
        </w:numPr>
      </w:pPr>
      <w:r>
        <w:t xml:space="preserve">Identical RLS ranking</w:t>
      </w:r>
    </w:p>
    <w:p>
      <w:pPr>
        <w:pStyle w:val="Compact"/>
        <w:widowControl/>
        <w:numPr>
          <w:ilvl w:val="0"/>
          <w:numId w:val="1352"/>
        </w:numPr>
      </w:pPr>
      <w:r>
        <w:t xml:space="preserve">Identical selected option</w:t>
      </w:r>
    </w:p>
    <w:p>
      <w:pPr>
        <w:pStyle w:val="FirstParagraph"/>
        <w:widowControl/>
      </w:pPr>
      <w:r>
        <w:t xml:space="preserve">Failed replay invalidates the Tier 4 claim.</w:t>
      </w:r>
    </w:p>
    <w:p>
      <w:pPr>
        <w:pStyle w:val="BodyText"/>
        <w:widowControl/>
      </w:pPr>
      <w:r>
        <w:t xml:space="preserve">End Appendix I.</w:t>
      </w:r>
    </w:p>
    <w:bookmarkEnd w:id="436"/>
    <w:bookmarkEnd w:id="437"/>
    <w:bookmarkStart w:id="443" w:name="appendix-j-validation-protocol-pack"/>
    <w:p>
      <w:pPr>
        <w:pStyle w:val="Heading1"/>
        <w:keepNext/>
        <w:keepLines/>
        <w:pageBreakBefore w:val="0"/>
        <w:widowControl/>
      </w:pPr>
      <w:r>
        <w:rPr>
          <w:rFonts w:ascii="Arial" w:hAnsi="Arial" w:eastAsia="Arial"/>
          <w:b/>
          <w:color w:val="1F4E78"/>
        </w:rPr>
        <w:t xml:space="preserve">APPENDIX J: VALIDATION PROTOCOL PACK</w:t>
      </w:r>
    </w:p>
    <w:p>
      <w:pPr>
        <w:pStyle w:val="FirstParagraph"/>
        <w:widowControl/>
      </w:pPr>
      <w:r>
        <w:t xml:space="preserve">Appendix J is normative for pre-registration templates and scoring definitions when validation claims are made.</w:t>
      </w:r>
    </w:p>
    <w:bookmarkStart w:id="438" w:name="j1-pre-registration-template-normative"/>
    <w:p>
      <w:pPr>
        <w:pStyle w:val="Heading2"/>
        <w:keepNext/>
        <w:keepLines/>
        <w:pageBreakBefore w:val="0"/>
        <w:widowControl/>
      </w:pPr>
      <w:r>
        <w:rPr>
          <w:rFonts w:ascii="Arial" w:hAnsi="Arial" w:eastAsia="Arial"/>
          <w:b/>
          <w:color w:val="1F4E78"/>
        </w:rPr>
        <w:t xml:space="preserve">J.1 Pre-Registration Template (Normative)</w:t>
      </w:r>
    </w:p>
    <w:p>
      <w:pPr>
        <w:pStyle w:val="FirstParagraph"/>
        <w:widowControl/>
      </w:pPr>
      <w:r>
        <w:t xml:space="preserve">===============================================================</w:t>
      </w:r>
    </w:p>
    <w:p>
      <w:pPr>
        <w:pStyle w:val="BodyText"/>
        <w:widowControl/>
      </w:pPr>
      <w:r>
        <w:t xml:space="preserve">RIPPLELOGIC VALIDATION STUDY PRE-REGISTRATION</w:t>
      </w:r>
    </w:p>
    <w:p>
      <w:pPr>
        <w:pStyle w:val="BodyText"/>
        <w:widowControl/>
      </w:pPr>
      <w:r>
        <w:t xml:space="preserve">===============================================================</w:t>
      </w:r>
    </w:p>
    <w:p>
      <w:pPr>
        <w:pStyle w:val="BodyText"/>
        <w:widowControl/>
      </w:pPr>
      <w:r>
        <w:t xml:space="preserve">STUDY IDENTIFICATION</w:t>
      </w:r>
    </w:p>
    <w:p>
      <w:pPr>
        <w:pStyle w:val="BodyText"/>
        <w:widowControl/>
      </w:pPr>
      <w:r>
        <w:t xml:space="preserve">Study ID: [unique]</w:t>
      </w:r>
    </w:p>
    <w:p>
      <w:pPr>
        <w:pStyle w:val="BodyText"/>
        <w:widowControl/>
      </w:pPr>
      <w:r>
        <w:t xml:space="preserve">Registration date: [YYYY-MM-DD]</w:t>
      </w:r>
    </w:p>
    <w:p>
      <w:pPr>
        <w:pStyle w:val="BodyText"/>
        <w:widowControl/>
      </w:pPr>
      <w:r>
        <w:t xml:space="preserve">Principal investigator: [name, affiliation]</w:t>
      </w:r>
    </w:p>
    <w:p>
      <w:pPr>
        <w:pStyle w:val="BodyText"/>
        <w:widowControl/>
      </w:pPr>
      <w:r>
        <w:t xml:space="preserve">Funding source: [if any]</w:t>
      </w:r>
    </w:p>
    <w:p>
      <w:pPr>
        <w:pStyle w:val="BodyText"/>
        <w:widowControl/>
      </w:pPr>
      <w:r>
        <w:t xml:space="preserve">RippleLogic version: [v12.5]</w:t>
      </w:r>
    </w:p>
    <w:p>
      <w:pPr>
        <w:pStyle w:val="BodyText"/>
        <w:widowControl/>
      </w:pPr>
      <w:r>
        <w:t xml:space="preserve">Tier executed: [1|2|3]</w:t>
      </w:r>
    </w:p>
    <w:p>
      <w:pPr>
        <w:pStyle w:val="BodyText"/>
        <w:widowControl/>
      </w:pPr>
      <w:r>
        <w:t xml:space="preserve">Domain: [AI deployment | policy | org strategy | etc.]</w:t>
      </w:r>
    </w:p>
    <w:p>
      <w:pPr>
        <w:pStyle w:val="BodyText"/>
        <w:widowControl/>
      </w:pPr>
      <w:r>
        <w:t xml:space="preserve">HYPOTHESES</w:t>
      </w:r>
    </w:p>
    <w:p>
      <w:pPr>
        <w:pStyle w:val="BodyText"/>
        <w:widowControl/>
      </w:pPr>
      <w:r>
        <w:t xml:space="preserve">Primary hypothesis: [H1/H2/etc. with exact measurable claim]</w:t>
      </w:r>
    </w:p>
    <w:p>
      <w:pPr>
        <w:pStyle w:val="BodyText"/>
        <w:widowControl/>
      </w:pPr>
      <w:r>
        <w:t xml:space="preserve">Secondary hypotheses: [list]</w:t>
      </w:r>
    </w:p>
    <w:p>
      <w:pPr>
        <w:pStyle w:val="BodyText"/>
        <w:widowControl/>
      </w:pPr>
      <w:r>
        <w:t xml:space="preserve">Falsification criteria: [explicit thresholds from Section 17]</w:t>
      </w:r>
    </w:p>
    <w:p>
      <w:pPr>
        <w:pStyle w:val="BodyText"/>
        <w:widowControl/>
      </w:pPr>
      <w:r>
        <w:t xml:space="preserve">METHODS</w:t>
      </w:r>
    </w:p>
    <w:p>
      <w:pPr>
        <w:pStyle w:val="BodyText"/>
        <w:widowControl/>
      </w:pPr>
      <w:r>
        <w:t xml:space="preserve">Design: [pilot / RCT / quasi-experimental / backtest]</w:t>
      </w:r>
    </w:p>
    <w:p>
      <w:pPr>
        <w:pStyle w:val="BodyText"/>
        <w:widowControl/>
      </w:pPr>
      <w:r>
        <w:t xml:space="preserve">Sample: [population, size, selection method]</w:t>
      </w:r>
    </w:p>
    <w:p>
      <w:pPr>
        <w:pStyle w:val="BodyText"/>
        <w:widowControl/>
      </w:pPr>
      <w:r>
        <w:t xml:space="preserve">Comparator: [baseline governance / alternative framework]</w:t>
      </w:r>
    </w:p>
    <w:p>
      <w:pPr>
        <w:pStyle w:val="BodyText"/>
        <w:widowControl/>
      </w:pPr>
      <w:r>
        <w:t xml:space="preserve">Duration: [time]</w:t>
      </w:r>
    </w:p>
    <w:p>
      <w:pPr>
        <w:pStyle w:val="BodyText"/>
        <w:widowControl/>
      </w:pPr>
      <w:r>
        <w:t xml:space="preserve">Decision types included: [list]</w:t>
      </w:r>
    </w:p>
    <w:p>
      <w:pPr>
        <w:pStyle w:val="BodyText"/>
        <w:widowControl/>
      </w:pPr>
      <w:r>
        <w:t xml:space="preserve">Exclusion criteria: [list]</w:t>
      </w:r>
    </w:p>
    <w:p>
      <w:pPr>
        <w:pStyle w:val="BodyText"/>
        <w:widowControl/>
      </w:pPr>
      <w:r>
        <w:t xml:space="preserve">MEASURES</w:t>
      </w:r>
    </w:p>
    <w:p>
      <w:pPr>
        <w:pStyle w:val="BodyText"/>
        <w:widowControl/>
      </w:pPr>
      <w:r>
        <w:t xml:space="preserve">Primary outcomes: [definition, data source, timing]</w:t>
      </w:r>
    </w:p>
    <w:p>
      <w:pPr>
        <w:pStyle w:val="BodyText"/>
        <w:widowControl/>
      </w:pPr>
      <w:r>
        <w:t xml:space="preserve">Secondary outcomes: [definition, data source, timing]</w:t>
      </w:r>
    </w:p>
    <w:p>
      <w:pPr>
        <w:pStyle w:val="BodyText"/>
        <w:widowControl/>
      </w:pPr>
      <w:r>
        <w:t xml:space="preserve">Rights measurement: [how rights violations are verified]</w:t>
      </w:r>
    </w:p>
    <w:p>
      <w:pPr>
        <w:pStyle w:val="BodyText"/>
        <w:widowControl/>
      </w:pPr>
      <w:r>
        <w:t xml:space="preserve">Tail-loss measurement: [how catastrophic outcomes are defined]</w:t>
      </w:r>
    </w:p>
    <w:p>
      <w:pPr>
        <w:pStyle w:val="BodyText"/>
        <w:widowControl/>
      </w:pPr>
      <w:r>
        <w:t xml:space="preserve">ANALYSIS PLAN</w:t>
      </w:r>
    </w:p>
    <w:p>
      <w:pPr>
        <w:pStyle w:val="BodyText"/>
        <w:widowControl/>
      </w:pPr>
      <w:r>
        <w:t xml:space="preserve">Statistical methods: [tests/models]</w:t>
      </w:r>
    </w:p>
    <w:p>
      <w:pPr>
        <w:pStyle w:val="BodyText"/>
        <w:widowControl/>
      </w:pPr>
      <w:r>
        <w:t xml:space="preserve">Effect size thresholds: [minimum meaningful difference]</w:t>
      </w:r>
    </w:p>
    <w:p>
      <w:pPr>
        <w:pStyle w:val="BodyText"/>
        <w:widowControl/>
      </w:pPr>
      <w:r>
        <w:t xml:space="preserve">Multiple comparison correction: [method]</w:t>
      </w:r>
    </w:p>
    <w:p>
      <w:pPr>
        <w:pStyle w:val="BodyText"/>
        <w:widowControl/>
      </w:pPr>
      <w:r>
        <w:t xml:space="preserve">Missing data handling: [approach]</w:t>
      </w:r>
    </w:p>
    <w:p>
      <w:pPr>
        <w:pStyle w:val="BodyText"/>
        <w:widowControl/>
      </w:pPr>
      <w:r>
        <w:t xml:space="preserve">Sensitivity checks: [weights, scenarios, thresholds]</w:t>
      </w:r>
    </w:p>
    <w:p>
      <w:pPr>
        <w:pStyle w:val="BodyText"/>
        <w:widowControl/>
      </w:pPr>
      <w:r>
        <w:t xml:space="preserve">GOVERNANCE</w:t>
      </w:r>
    </w:p>
    <w:p>
      <w:pPr>
        <w:pStyle w:val="BodyText"/>
        <w:widowControl/>
      </w:pPr>
      <w:r>
        <w:t xml:space="preserve">Ethics approval: [status/ID]</w:t>
      </w:r>
    </w:p>
    <w:p>
      <w:pPr>
        <w:pStyle w:val="BodyText"/>
        <w:widowControl/>
      </w:pPr>
      <w:r>
        <w:t xml:space="preserve">Data management: [storage, access, retention]</w:t>
      </w:r>
    </w:p>
    <w:p>
      <w:pPr>
        <w:pStyle w:val="BodyText"/>
        <w:widowControl/>
      </w:pPr>
      <w:r>
        <w:t xml:space="preserve">Reporting commitment: [timeline and venue]</w:t>
      </w:r>
    </w:p>
    <w:p>
      <w:pPr>
        <w:pStyle w:val="BodyText"/>
        <w:widowControl/>
      </w:pPr>
      <w:r>
        <w:t xml:space="preserve">===============================================================</w:t>
      </w:r>
    </w:p>
    <w:bookmarkEnd w:id="438"/>
    <w:bookmarkStart w:id="439" w:name="X582b79049af6d35017770064ecfdd9fd8f93fe2"/>
    <w:p>
      <w:pPr>
        <w:pStyle w:val="Heading2"/>
        <w:keepNext/>
        <w:keepLines/>
        <w:pageBreakBefore w:val="0"/>
        <w:widowControl/>
      </w:pPr>
      <w:r>
        <w:rPr>
          <w:rFonts w:ascii="Arial" w:hAnsi="Arial" w:eastAsia="Arial"/>
          <w:b/>
          <w:color w:val="1F4E78"/>
        </w:rPr>
        <w:t xml:space="preserve">J.2 Outcome Measures by Union and Dimension (Canonical Examples)</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Union</w:t>
            </w:r>
          </w:p>
        </w:tc>
        <w:tc>
          <w:tcPr>
            <w:shd w:fill="1F4E78" w:val="clear"/>
            <w:tcMar>
              <w:top w:w="80" w:type="dxa"/>
              <w:start w:w="90" w:type="dxa"/>
              <w:bottom w:w="80" w:type="dxa"/>
              <w:end w:w="90" w:type="dxa"/>
            </w:tcMar>
          </w:tcPr>
          <w:p>
            <w:pPr>
              <w:pStyle w:val="Compact"/>
              <w:jc w:val="left"/>
            </w:pPr>
            <w:r>
              <w:rPr>
                <w:b/>
                <w:bCs/>
                <w:color w:val="FFFFFF"/>
              </w:rPr>
              <w:t xml:space="preserve">Dimension</w:t>
            </w:r>
          </w:p>
        </w:tc>
        <w:tc>
          <w:tcPr>
            <w:shd w:fill="1F4E78" w:val="clear"/>
            <w:tcMar>
              <w:top w:w="80" w:type="dxa"/>
              <w:start w:w="90" w:type="dxa"/>
              <w:bottom w:w="80" w:type="dxa"/>
              <w:end w:w="90" w:type="dxa"/>
            </w:tcMar>
          </w:tcPr>
          <w:p>
            <w:pPr>
              <w:pStyle w:val="Compact"/>
              <w:jc w:val="left"/>
            </w:pPr>
            <w:r>
              <w:rPr>
                <w:b/>
                <w:bCs/>
                <w:color w:val="FFFFFF"/>
              </w:rPr>
              <w:t xml:space="preserve">Measure Type</w:t>
            </w:r>
          </w:p>
        </w:tc>
        <w:tc>
          <w:tcPr>
            <w:shd w:fill="1F4E78" w:val="clear"/>
            <w:tcMar>
              <w:top w:w="80" w:type="dxa"/>
              <w:start w:w="90" w:type="dxa"/>
              <w:bottom w:w="80" w:type="dxa"/>
              <w:end w:w="90" w:type="dxa"/>
            </w:tcMar>
          </w:tcPr>
          <w:p>
            <w:pPr>
              <w:pStyle w:val="Compact"/>
              <w:jc w:val="left"/>
            </w:pPr>
            <w:r>
              <w:rPr>
                <w:b/>
                <w:bCs/>
                <w:color w:val="FFFFFF"/>
              </w:rPr>
              <w:t xml:space="preserve">Example Indicators</w:t>
            </w:r>
          </w:p>
        </w:tc>
      </w:tr>
      <w:tr>
        <w:trPr/>
        <w:tc>
          <w:tcPr>
            <w:tcMar>
              <w:top w:w="80" w:type="dxa"/>
              <w:start w:w="90" w:type="dxa"/>
              <w:bottom w:w="80" w:type="dxa"/>
              <w:end w:w="90" w:type="dxa"/>
            </w:tcMar>
            <w:shd w:fill="F7FBFF" w:val="clear"/>
          </w:tcPr>
          <w:p>
            <w:pPr>
              <w:pStyle w:val="Compact"/>
              <w:jc w:val="left"/>
            </w:pPr>
            <w:r>
              <w:t xml:space="preserve">Self</w:t>
            </w:r>
          </w:p>
        </w:tc>
        <w:tc>
          <w:tcPr>
            <w:tcMar>
              <w:top w:w="80" w:type="dxa"/>
              <w:start w:w="90" w:type="dxa"/>
              <w:bottom w:w="80" w:type="dxa"/>
              <w:end w:w="90" w:type="dxa"/>
            </w:tcMar>
            <w:shd w:fill="F7FBFF" w:val="clear"/>
          </w:tcPr>
          <w:p>
            <w:pPr>
              <w:pStyle w:val="Compact"/>
              <w:jc w:val="left"/>
            </w:pPr>
            <w:r>
              <w:t xml:space="preserve">Health</w:t>
            </w:r>
          </w:p>
        </w:tc>
        <w:tc>
          <w:tcPr>
            <w:tcMar>
              <w:top w:w="80" w:type="dxa"/>
              <w:start w:w="90" w:type="dxa"/>
              <w:bottom w:w="80" w:type="dxa"/>
              <w:end w:w="90" w:type="dxa"/>
            </w:tcMar>
            <w:shd w:fill="F7FBFF" w:val="clear"/>
          </w:tcPr>
          <w:p>
            <w:pPr>
              <w:pStyle w:val="Compact"/>
              <w:jc w:val="left"/>
            </w:pPr>
            <w:r>
              <w:t xml:space="preserve">Validated survey / admin</w:t>
            </w:r>
          </w:p>
        </w:tc>
        <w:tc>
          <w:tcPr>
            <w:tcMar>
              <w:top w:w="80" w:type="dxa"/>
              <w:start w:w="90" w:type="dxa"/>
              <w:bottom w:w="80" w:type="dxa"/>
              <w:end w:w="90" w:type="dxa"/>
            </w:tcMar>
            <w:shd w:fill="F7FBFF" w:val="clear"/>
          </w:tcPr>
          <w:p>
            <w:pPr>
              <w:pStyle w:val="Compact"/>
              <w:jc w:val="left"/>
            </w:pPr>
            <w:r>
              <w:t xml:space="preserve">SF-36, PHQ-9, GAD-7, injury rates</w:t>
            </w:r>
          </w:p>
        </w:tc>
      </w:tr>
      <w:tr>
        <w:trPr/>
        <w:tc>
          <w:tcPr>
            <w:tcMar>
              <w:top w:w="80" w:type="dxa"/>
              <w:start w:w="90" w:type="dxa"/>
              <w:bottom w:w="80" w:type="dxa"/>
              <w:end w:w="90" w:type="dxa"/>
            </w:tcMar>
            <w:shd w:fill="D9EAF7" w:val="clear"/>
          </w:tcPr>
          <w:p>
            <w:pPr>
              <w:pStyle w:val="Compact"/>
              <w:jc w:val="left"/>
            </w:pPr>
            <w:r>
              <w:t xml:space="preserve">Self</w:t>
            </w:r>
          </w:p>
        </w:tc>
        <w:tc>
          <w:tcPr>
            <w:tcMar>
              <w:top w:w="80" w:type="dxa"/>
              <w:start w:w="90" w:type="dxa"/>
              <w:bottom w:w="80" w:type="dxa"/>
              <w:end w:w="90" w:type="dxa"/>
            </w:tcMar>
            <w:shd w:fill="D9EAF7" w:val="clear"/>
          </w:tcPr>
          <w:p>
            <w:pPr>
              <w:pStyle w:val="Compact"/>
              <w:jc w:val="left"/>
            </w:pPr>
            <w:r>
              <w:t xml:space="preserve">Agency</w:t>
            </w:r>
          </w:p>
        </w:tc>
        <w:tc>
          <w:tcPr>
            <w:tcMar>
              <w:top w:w="80" w:type="dxa"/>
              <w:start w:w="90" w:type="dxa"/>
              <w:bottom w:w="80" w:type="dxa"/>
              <w:end w:w="90" w:type="dxa"/>
            </w:tcMar>
            <w:shd w:fill="D9EAF7" w:val="clear"/>
          </w:tcPr>
          <w:p>
            <w:pPr>
              <w:pStyle w:val="Compact"/>
              <w:jc w:val="left"/>
            </w:pPr>
            <w:r>
              <w:t xml:space="preserve">Validated survey</w:t>
            </w:r>
          </w:p>
        </w:tc>
        <w:tc>
          <w:tcPr>
            <w:tcMar>
              <w:top w:w="80" w:type="dxa"/>
              <w:start w:w="90" w:type="dxa"/>
              <w:bottom w:w="80" w:type="dxa"/>
              <w:end w:w="90" w:type="dxa"/>
            </w:tcMar>
            <w:shd w:fill="D9EAF7" w:val="clear"/>
          </w:tcPr>
          <w:p>
            <w:pPr>
              <w:pStyle w:val="Compact"/>
              <w:jc w:val="left"/>
            </w:pPr>
            <w:r>
              <w:t xml:space="preserve">Autonomy/self-efficacy scales</w:t>
            </w:r>
          </w:p>
        </w:tc>
      </w:tr>
      <w:tr>
        <w:trPr/>
        <w:tc>
          <w:tcPr>
            <w:tcMar>
              <w:top w:w="80" w:type="dxa"/>
              <w:start w:w="90" w:type="dxa"/>
              <w:bottom w:w="80" w:type="dxa"/>
              <w:end w:w="90" w:type="dxa"/>
            </w:tcMar>
            <w:shd w:fill="F7FBFF" w:val="clear"/>
          </w:tcPr>
          <w:p>
            <w:pPr>
              <w:pStyle w:val="Compact"/>
              <w:jc w:val="left"/>
            </w:pPr>
            <w:r>
              <w:t xml:space="preserve">Household</w:t>
            </w:r>
          </w:p>
        </w:tc>
        <w:tc>
          <w:tcPr>
            <w:tcMar>
              <w:top w:w="80" w:type="dxa"/>
              <w:start w:w="90" w:type="dxa"/>
              <w:bottom w:w="80" w:type="dxa"/>
              <w:end w:w="90" w:type="dxa"/>
            </w:tcMar>
            <w:shd w:fill="F7FBFF" w:val="clear"/>
          </w:tcPr>
          <w:p>
            <w:pPr>
              <w:pStyle w:val="Compact"/>
              <w:jc w:val="left"/>
            </w:pPr>
            <w:r>
              <w:t xml:space="preserve">Material</w:t>
            </w:r>
          </w:p>
        </w:tc>
        <w:tc>
          <w:tcPr>
            <w:tcMar>
              <w:top w:w="80" w:type="dxa"/>
              <w:start w:w="90" w:type="dxa"/>
              <w:bottom w:w="80" w:type="dxa"/>
              <w:end w:w="90" w:type="dxa"/>
            </w:tcMar>
            <w:shd w:fill="F7FBFF" w:val="clear"/>
          </w:tcPr>
          <w:p>
            <w:pPr>
              <w:pStyle w:val="Compact"/>
              <w:jc w:val="left"/>
            </w:pPr>
            <w:r>
              <w:t xml:space="preserve">Administrative</w:t>
            </w:r>
          </w:p>
        </w:tc>
        <w:tc>
          <w:tcPr>
            <w:tcMar>
              <w:top w:w="80" w:type="dxa"/>
              <w:start w:w="90" w:type="dxa"/>
              <w:bottom w:w="80" w:type="dxa"/>
              <w:end w:w="90" w:type="dxa"/>
            </w:tcMar>
            <w:shd w:fill="F7FBFF" w:val="clear"/>
          </w:tcPr>
          <w:p>
            <w:pPr>
              <w:pStyle w:val="Compact"/>
              <w:jc w:val="left"/>
            </w:pPr>
            <w:r>
              <w:t xml:space="preserve">Income stability, housing security</w:t>
            </w:r>
          </w:p>
        </w:tc>
      </w:tr>
      <w:tr>
        <w:trPr/>
        <w:tc>
          <w:tcPr>
            <w:tcMar>
              <w:top w:w="80" w:type="dxa"/>
              <w:start w:w="90" w:type="dxa"/>
              <w:bottom w:w="80" w:type="dxa"/>
              <w:end w:w="90" w:type="dxa"/>
            </w:tcMar>
            <w:shd w:fill="D9EAF7" w:val="clear"/>
          </w:tcPr>
          <w:p>
            <w:pPr>
              <w:pStyle w:val="Compact"/>
              <w:jc w:val="left"/>
            </w:pPr>
            <w:r>
              <w:t xml:space="preserve">Community</w:t>
            </w:r>
          </w:p>
        </w:tc>
        <w:tc>
          <w:tcPr>
            <w:tcMar>
              <w:top w:w="80" w:type="dxa"/>
              <w:start w:w="90" w:type="dxa"/>
              <w:bottom w:w="80" w:type="dxa"/>
              <w:end w:w="90" w:type="dxa"/>
            </w:tcMar>
            <w:shd w:fill="D9EAF7" w:val="clear"/>
          </w:tcPr>
          <w:p>
            <w:pPr>
              <w:pStyle w:val="Compact"/>
              <w:jc w:val="left"/>
            </w:pPr>
            <w:r>
              <w:t xml:space="preserve">Social</w:t>
            </w:r>
          </w:p>
        </w:tc>
        <w:tc>
          <w:tcPr>
            <w:tcMar>
              <w:top w:w="80" w:type="dxa"/>
              <w:start w:w="90" w:type="dxa"/>
              <w:bottom w:w="80" w:type="dxa"/>
              <w:end w:w="90" w:type="dxa"/>
            </w:tcMar>
            <w:shd w:fill="D9EAF7" w:val="clear"/>
          </w:tcPr>
          <w:p>
            <w:pPr>
              <w:pStyle w:val="Compact"/>
              <w:jc w:val="left"/>
            </w:pPr>
            <w:r>
              <w:t xml:space="preserve">Survey / network</w:t>
            </w:r>
          </w:p>
        </w:tc>
        <w:tc>
          <w:tcPr>
            <w:tcMar>
              <w:top w:w="80" w:type="dxa"/>
              <w:start w:w="90" w:type="dxa"/>
              <w:bottom w:w="80" w:type="dxa"/>
              <w:end w:w="90" w:type="dxa"/>
            </w:tcMar>
            <w:shd w:fill="D9EAF7" w:val="clear"/>
          </w:tcPr>
          <w:p>
            <w:pPr>
              <w:pStyle w:val="Compact"/>
              <w:jc w:val="left"/>
            </w:pPr>
            <w:r>
              <w:t xml:space="preserve">Trust indices, social capital measures</w:t>
            </w:r>
          </w:p>
        </w:tc>
      </w:tr>
      <w:tr>
        <w:trPr/>
        <w:tc>
          <w:tcPr>
            <w:tcMar>
              <w:top w:w="80" w:type="dxa"/>
              <w:start w:w="90" w:type="dxa"/>
              <w:bottom w:w="80" w:type="dxa"/>
              <w:end w:w="90" w:type="dxa"/>
            </w:tcMar>
            <w:shd w:fill="F7FBFF" w:val="clear"/>
          </w:tcPr>
          <w:p>
            <w:pPr>
              <w:pStyle w:val="Compact"/>
              <w:jc w:val="left"/>
            </w:pPr>
            <w:r>
              <w:t xml:space="preserve">Organization</w:t>
            </w:r>
          </w:p>
        </w:tc>
        <w:tc>
          <w:tcPr>
            <w:tcMar>
              <w:top w:w="80" w:type="dxa"/>
              <w:start w:w="90" w:type="dxa"/>
              <w:bottom w:w="80" w:type="dxa"/>
              <w:end w:w="90" w:type="dxa"/>
            </w:tcMar>
            <w:shd w:fill="F7FBFF" w:val="clear"/>
          </w:tcPr>
          <w:p>
            <w:pPr>
              <w:pStyle w:val="Compact"/>
              <w:jc w:val="left"/>
            </w:pPr>
            <w:r>
              <w:t xml:space="preserve">Flow/Resilience (UCI)</w:t>
            </w:r>
          </w:p>
        </w:tc>
        <w:tc>
          <w:tcPr>
            <w:tcMar>
              <w:top w:w="80" w:type="dxa"/>
              <w:start w:w="90" w:type="dxa"/>
              <w:bottom w:w="80" w:type="dxa"/>
              <w:end w:w="90" w:type="dxa"/>
            </w:tcMar>
            <w:shd w:fill="F7FBFF" w:val="clear"/>
          </w:tcPr>
          <w:p>
            <w:pPr>
              <w:pStyle w:val="Compact"/>
              <w:jc w:val="left"/>
            </w:pPr>
            <w:r>
              <w:t xml:space="preserve">Operational</w:t>
            </w:r>
          </w:p>
        </w:tc>
        <w:tc>
          <w:tcPr>
            <w:tcMar>
              <w:top w:w="80" w:type="dxa"/>
              <w:start w:w="90" w:type="dxa"/>
              <w:bottom w:w="80" w:type="dxa"/>
              <w:end w:w="90" w:type="dxa"/>
            </w:tcMar>
            <w:shd w:fill="F7FBFF" w:val="clear"/>
          </w:tcPr>
          <w:p>
            <w:pPr>
              <w:pStyle w:val="Compact"/>
              <w:jc w:val="left"/>
            </w:pPr>
            <w:r>
              <w:t xml:space="preserve">Throughput, incident recovery time</w:t>
            </w:r>
          </w:p>
        </w:tc>
      </w:tr>
      <w:tr>
        <w:trPr/>
        <w:tc>
          <w:tcPr>
            <w:tcMar>
              <w:top w:w="80" w:type="dxa"/>
              <w:start w:w="90" w:type="dxa"/>
              <w:bottom w:w="80" w:type="dxa"/>
              <w:end w:w="90" w:type="dxa"/>
            </w:tcMar>
            <w:shd w:fill="D9EAF7" w:val="clear"/>
          </w:tcPr>
          <w:p>
            <w:pPr>
              <w:pStyle w:val="Compact"/>
              <w:jc w:val="left"/>
            </w:pPr>
            <w:r>
              <w:t xml:space="preserve">Polity</w:t>
            </w:r>
          </w:p>
        </w:tc>
        <w:tc>
          <w:tcPr>
            <w:tcMar>
              <w:top w:w="80" w:type="dxa"/>
              <w:start w:w="90" w:type="dxa"/>
              <w:bottom w:w="80" w:type="dxa"/>
              <w:end w:w="90" w:type="dxa"/>
            </w:tcMar>
            <w:shd w:fill="D9EAF7" w:val="clear"/>
          </w:tcPr>
          <w:p>
            <w:pPr>
              <w:pStyle w:val="Compact"/>
              <w:jc w:val="left"/>
            </w:pPr>
            <w:r>
              <w:t xml:space="preserve">Agency</w:t>
            </w:r>
          </w:p>
        </w:tc>
        <w:tc>
          <w:tcPr>
            <w:tcMar>
              <w:top w:w="80" w:type="dxa"/>
              <w:start w:w="90" w:type="dxa"/>
              <w:bottom w:w="80" w:type="dxa"/>
              <w:end w:w="90" w:type="dxa"/>
            </w:tcMar>
            <w:shd w:fill="D9EAF7" w:val="clear"/>
          </w:tcPr>
          <w:p>
            <w:pPr>
              <w:pStyle w:val="Compact"/>
              <w:jc w:val="left"/>
            </w:pPr>
            <w:r>
              <w:t xml:space="preserve">Index</w:t>
            </w:r>
          </w:p>
        </w:tc>
        <w:tc>
          <w:tcPr>
            <w:tcMar>
              <w:top w:w="80" w:type="dxa"/>
              <w:start w:w="90" w:type="dxa"/>
              <w:bottom w:w="80" w:type="dxa"/>
              <w:end w:w="90" w:type="dxa"/>
            </w:tcMar>
            <w:shd w:fill="D9EAF7" w:val="clear"/>
          </w:tcPr>
          <w:p>
            <w:pPr>
              <w:pStyle w:val="Compact"/>
              <w:jc w:val="left"/>
            </w:pPr>
            <w:r>
              <w:t xml:space="preserve">Participation rates, rule-of-law indices</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Biosphere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Environment</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Monitoring</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Emissions, biodiversity integrity</w:t>
            </w:r>
          </w:p>
        </w:tc>
      </w:tr>
    </w:tbl>
    <w:bookmarkEnd w:id="439"/>
    <w:bookmarkStart w:id="440" w:name="j3-sign-accuracy-scoring-normative"/>
    <w:p>
      <w:pPr>
        <w:pStyle w:val="Heading2"/>
        <w:keepNext/>
        <w:keepLines/>
        <w:pageBreakBefore w:val="0"/>
        <w:widowControl/>
      </w:pPr>
      <w:r>
        <w:rPr>
          <w:rFonts w:ascii="Arial" w:hAnsi="Arial" w:eastAsia="Arial"/>
          <w:b/>
          <w:color w:val="1F4E78"/>
        </w:rPr>
        <w:t xml:space="preserve">J.3 Sign Accuracy Scoring (Normative)</w:t>
      </w:r>
    </w:p>
    <w:p>
      <w:pPr>
        <w:pStyle w:val="FirstParagraph"/>
        <w:widowControl/>
      </w:pPr>
      <w:r>
        <w:t xml:space="preserve">For each evaluated cell (u,d):</w:t>
      </w:r>
    </w:p>
    <w:p>
      <w:pPr>
        <w:pStyle w:val="BodyText"/>
        <w:widowControl/>
      </w:pPr>
      <w:r>
        <w:t xml:space="preserve">Predicted sign: sign(I_prop(u,d,a)) ∈ {-1, 0, +1}</w:t>
      </w:r>
    </w:p>
    <w:p>
      <w:pPr>
        <w:pStyle w:val="BodyText"/>
        <w:widowControl/>
      </w:pPr>
      <w:r>
        <w:t xml:space="preserve">Observed sign: sign(Δ_observed(u,d)) ∈ {-1, 0, +1}</w:t>
      </w:r>
    </w:p>
    <w:p>
      <w:pPr>
        <w:pStyle w:val="BodyText"/>
        <w:widowControl/>
      </w:pPr>
      <w:r>
        <w:t xml:space="preserve">Scoring:</w:t>
      </w:r>
    </w:p>
    <w:p>
      <w:pPr>
        <w:pStyle w:val="Compact"/>
        <w:widowControl/>
        <w:numPr>
          <w:ilvl w:val="0"/>
          <w:numId w:val="1353"/>
        </w:numPr>
      </w:pPr>
      <w:r>
        <w:t xml:space="preserve">Match = 1 if predicted = observed</w:t>
      </w:r>
    </w:p>
    <w:p>
      <w:pPr>
        <w:pStyle w:val="Compact"/>
        <w:widowControl/>
        <w:numPr>
          <w:ilvl w:val="0"/>
          <w:numId w:val="1354"/>
        </w:numPr>
      </w:pPr>
      <w:r>
        <w:t xml:space="preserve">Match = 0.5 if predicted = 0 or observed = 0</w:t>
      </w:r>
    </w:p>
    <w:p>
      <w:pPr>
        <w:pStyle w:val="Compact"/>
        <w:widowControl/>
        <w:numPr>
          <w:ilvl w:val="0"/>
          <w:numId w:val="1355"/>
        </w:numPr>
      </w:pPr>
      <w:r>
        <w:t xml:space="preserve">Match = 0 otherwise</w:t>
      </w:r>
    </w:p>
    <w:p>
      <w:pPr>
        <w:pStyle w:val="FirstParagraph"/>
        <w:widowControl/>
      </w:pPr>
      <w:r>
        <w:t xml:space="preserve">SignAcc = (Σ Match) / (number of evaluated cells)</w:t>
      </w:r>
    </w:p>
    <w:p>
      <w:pPr>
        <w:pStyle w:val="BodyText"/>
        <w:widowControl/>
      </w:pPr>
      <w:r>
        <w:t xml:space="preserve">Target for calibrated deployments: SignAcc ≥ 0.70</w:t>
      </w:r>
    </w:p>
    <w:bookmarkEnd w:id="440"/>
    <w:bookmarkStart w:id="441" w:name="j4-magnitude-error-rmse-normative"/>
    <w:p>
      <w:pPr>
        <w:pStyle w:val="Heading2"/>
        <w:keepNext/>
        <w:keepLines/>
        <w:pageBreakBefore w:val="0"/>
        <w:widowControl/>
      </w:pPr>
      <w:r>
        <w:rPr>
          <w:rFonts w:ascii="Arial" w:hAnsi="Arial" w:eastAsia="Arial"/>
          <w:b/>
          <w:color w:val="1F4E78"/>
        </w:rPr>
        <w:t xml:space="preserve">J.4 Magnitude Error (RMSE) (Normative)</w:t>
      </w:r>
    </w:p>
    <w:p>
      <w:pPr>
        <w:pStyle w:val="FirstParagraph"/>
        <w:widowControl/>
      </w:pPr>
      <w:r>
        <w:t xml:space="preserve">RMSE = √[(1/n) Σ_i (I_prop,i − observed_i)^2]</w:t>
      </w:r>
    </w:p>
    <w:p>
      <w:pPr>
        <w:pStyle w:val="BodyText"/>
        <w:widowControl/>
      </w:pPr>
      <w:r>
        <w:t xml:space="preserve">Default target: RMSE ≤ 0.25 (domain dependent)</w:t>
      </w:r>
    </w:p>
    <w:bookmarkEnd w:id="441"/>
    <w:bookmarkStart w:id="442" w:name="j5-backtest-procedure-normative"/>
    <w:p>
      <w:pPr>
        <w:pStyle w:val="Heading2"/>
        <w:keepNext/>
        <w:keepLines/>
        <w:pageBreakBefore w:val="0"/>
        <w:widowControl/>
      </w:pPr>
      <w:r>
        <w:rPr>
          <w:rFonts w:ascii="Arial" w:hAnsi="Arial" w:eastAsia="Arial"/>
          <w:b/>
          <w:color w:val="1F4E78"/>
        </w:rPr>
        <w:t xml:space="preserve">J.5 Backtest Procedure (Normative)</w:t>
      </w:r>
    </w:p>
    <w:p>
      <w:pPr>
        <w:pStyle w:val="FirstParagraph"/>
        <w:widowControl/>
      </w:pPr>
      <w:r>
        <w:t xml:space="preserve">Case selection: Identify historical decisions with measurable outcomes and reconstructable option sets.</w:t>
      </w:r>
    </w:p>
    <w:p>
      <w:pPr>
        <w:pStyle w:val="Compact"/>
        <w:widowControl/>
        <w:numPr>
          <w:ilvl w:val="0"/>
          <w:numId w:val="1356"/>
        </w:numPr>
      </w:pPr>
      <w:r>
        <w:t xml:space="preserve">Information reconstruction: Use only data available at decision time (no hindsight leakage).</w:t>
      </w:r>
    </w:p>
    <w:p>
      <w:pPr>
        <w:pStyle w:val="Compact"/>
        <w:widowControl/>
        <w:numPr>
          <w:ilvl w:val="0"/>
          <w:numId w:val="1357"/>
        </w:numPr>
      </w:pPr>
      <w:r>
        <w:t xml:space="preserve">Blind analysis: The analyst SHOULD be unaware of actual outcomes during the run.</w:t>
      </w:r>
    </w:p>
    <w:p>
      <w:pPr>
        <w:pStyle w:val="Compact"/>
        <w:widowControl/>
        <w:numPr>
          <w:ilvl w:val="0"/>
          <w:numId w:val="1358"/>
        </w:numPr>
      </w:pPr>
      <w:r>
        <w:t xml:space="preserve">Execute RippleLogic run (Tier declared) and emit Backtest PCC.</w:t>
      </w:r>
    </w:p>
    <w:p>
      <w:pPr>
        <w:pStyle w:val="Compact"/>
        <w:widowControl/>
        <w:numPr>
          <w:ilvl w:val="0"/>
          <w:numId w:val="1359"/>
        </w:numPr>
      </w:pPr>
      <w:r>
        <w:t xml:space="preserve">Compare predictions to realized outcomes using declared metrics (for example SignAcc, RMSE, rights detection).</w:t>
      </w:r>
    </w:p>
    <w:p>
      <w:pPr>
        <w:pStyle w:val="Compact"/>
        <w:widowControl/>
        <w:numPr>
          <w:ilvl w:val="0"/>
          <w:numId w:val="1360"/>
        </w:numPr>
      </w:pPr>
      <w:r>
        <w:t xml:space="preserve">Report results and failures; update methods via NCAR with versioning.</w:t>
      </w:r>
    </w:p>
    <w:p>
      <w:pPr>
        <w:pStyle w:val="Compact"/>
        <w:widowControl/>
        <w:numPr>
          <w:ilvl w:val="0"/>
          <w:numId w:val="1361"/>
        </w:numPr>
      </w:pPr>
      <w:r>
        <w:t xml:space="preserve">End Appendix J.</w:t>
      </w:r>
    </w:p>
    <w:p>
      <w:pPr>
        <w:pStyle w:val="FirstParagraph"/>
        <w:widowControl/>
      </w:pPr>
      <w:r>
        <w:t xml:space="preserve">Appendix K is informative and strongly recommended for any deployment using Starter KOPS or provisional QUICK propagation.</w:t>
      </w:r>
    </w:p>
    <w:bookmarkEnd w:id="442"/>
    <w:bookmarkEnd w:id="443"/>
    <w:bookmarkStart w:id="448" w:name="X47301729e6234bfb8e88ee315581dcddded1a8c"/>
    <w:p>
      <w:pPr>
        <w:pStyle w:val="Heading1"/>
        <w:keepNext/>
        <w:keepLines/>
        <w:pageBreakBefore w:val="0"/>
        <w:widowControl/>
      </w:pPr>
      <w:r>
        <w:rPr>
          <w:rFonts w:ascii="Arial" w:hAnsi="Arial" w:eastAsia="Arial"/>
          <w:b/>
          <w:color w:val="1F4E78"/>
        </w:rPr>
        <w:t xml:space="preserve">APPENDIX K: STARTER KERNEL COMPANION PACK (INFORMATIVE)</w:t>
      </w:r>
    </w:p>
    <w:bookmarkStart w:id="444" w:name="k1-purpose"/>
    <w:p>
      <w:pPr>
        <w:pStyle w:val="Heading2"/>
        <w:keepNext/>
        <w:keepLines/>
        <w:pageBreakBefore w:val="0"/>
        <w:widowControl/>
      </w:pPr>
      <w:r>
        <w:rPr>
          <w:rFonts w:ascii="Arial" w:hAnsi="Arial" w:eastAsia="Arial"/>
          <w:b/>
          <w:color w:val="1F4E78"/>
        </w:rPr>
        <w:t xml:space="preserve">K.1 Purpose</w:t>
      </w:r>
    </w:p>
    <w:p>
      <w:pPr>
        <w:pStyle w:val="FirstParagraph"/>
        <w:widowControl/>
      </w:pPr>
      <w:r>
        <w:t xml:space="preserve">Starter KOPS provides an informative, provisional kernel surface for transparency, sensitivity testing, and early implementation support. It MUST NOT be treated as a fully validated propagation model.</w:t>
      </w:r>
    </w:p>
    <w:bookmarkEnd w:id="444"/>
    <w:bookmarkStart w:id="445" w:name="Xcd827a7cc048bfcff44e948f7580bb8d39dc603"/>
    <w:p>
      <w:pPr>
        <w:pStyle w:val="Heading2"/>
        <w:keepNext/>
        <w:keepLines/>
        <w:pageBreakBefore w:val="0"/>
        <w:widowControl/>
      </w:pPr>
      <w:r>
        <w:rPr>
          <w:rFonts w:ascii="Arial" w:hAnsi="Arial" w:eastAsia="Arial"/>
          <w:b/>
          <w:color w:val="1F4E78"/>
        </w:rPr>
        <w:t xml:space="preserve">K.2 Evidence Class Summary Table K.1: Evidence Class Summary</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Class</w:t>
            </w:r>
          </w:p>
        </w:tc>
        <w:tc>
          <w:tcPr>
            <w:shd w:fill="1F4E78" w:val="clear"/>
            <w:tcMar>
              <w:top w:w="80" w:type="dxa"/>
              <w:start w:w="90" w:type="dxa"/>
              <w:bottom w:w="80" w:type="dxa"/>
              <w:end w:w="90" w:type="dxa"/>
            </w:tcMar>
          </w:tcPr>
          <w:p>
            <w:pPr>
              <w:pStyle w:val="Compact"/>
              <w:jc w:val="left"/>
            </w:pPr>
            <w:r>
              <w:rPr>
                <w:b/>
                <w:bCs/>
                <w:color w:val="FFFFFF"/>
              </w:rPr>
              <w:t xml:space="preserve">Name</w:t>
            </w:r>
          </w:p>
        </w:tc>
        <w:tc>
          <w:tcPr>
            <w:shd w:fill="1F4E78" w:val="clear"/>
            <w:tcMar>
              <w:top w:w="80" w:type="dxa"/>
              <w:start w:w="90" w:type="dxa"/>
              <w:bottom w:w="80" w:type="dxa"/>
              <w:end w:w="90" w:type="dxa"/>
            </w:tcMar>
          </w:tcPr>
          <w:p>
            <w:pPr>
              <w:pStyle w:val="Compact"/>
              <w:jc w:val="left"/>
            </w:pPr>
            <w:r>
              <w:rPr>
                <w:b/>
                <w:bCs/>
                <w:color w:val="FFFFFF"/>
              </w:rPr>
              <w:t xml:space="preserve">Minimum Evidence</w:t>
            </w:r>
          </w:p>
        </w:tc>
      </w:tr>
      <w:tr>
        <w:trPr/>
        <w:tc>
          <w:tcPr>
            <w:tcMar>
              <w:top w:w="80" w:type="dxa"/>
              <w:start w:w="90" w:type="dxa"/>
              <w:bottom w:w="80" w:type="dxa"/>
              <w:end w:w="90" w:type="dxa"/>
            </w:tcMar>
            <w:shd w:fill="F7FBFF" w:val="clear"/>
          </w:tcPr>
          <w:p>
            <w:pPr>
              <w:pStyle w:val="Compact"/>
              <w:jc w:val="left"/>
            </w:pPr>
            <w:r>
              <w:t xml:space="preserve">A</w:t>
            </w:r>
          </w:p>
        </w:tc>
        <w:tc>
          <w:tcPr>
            <w:tcMar>
              <w:top w:w="80" w:type="dxa"/>
              <w:start w:w="90" w:type="dxa"/>
              <w:bottom w:w="80" w:type="dxa"/>
              <w:end w:w="90" w:type="dxa"/>
            </w:tcMar>
            <w:shd w:fill="F7FBFF" w:val="clear"/>
          </w:tcPr>
          <w:p>
            <w:pPr>
              <w:pStyle w:val="Compact"/>
              <w:jc w:val="left"/>
            </w:pPr>
            <w:r>
              <w:t xml:space="preserve">Validated</w:t>
            </w:r>
          </w:p>
        </w:tc>
        <w:tc>
          <w:tcPr>
            <w:tcMar>
              <w:top w:w="80" w:type="dxa"/>
              <w:start w:w="90" w:type="dxa"/>
              <w:bottom w:w="80" w:type="dxa"/>
              <w:end w:w="90" w:type="dxa"/>
            </w:tcMar>
            <w:shd w:fill="F7FBFF" w:val="clear"/>
          </w:tcPr>
          <w:p>
            <w:pPr>
              <w:pStyle w:val="Compact"/>
              <w:jc w:val="left"/>
            </w:pPr>
            <w:r>
              <w:t xml:space="preserve">Replicated empirical studies with quantified effect sizes and domain match</w:t>
            </w:r>
          </w:p>
        </w:tc>
      </w:tr>
      <w:tr>
        <w:trPr/>
        <w:tc>
          <w:tcPr>
            <w:tcMar>
              <w:top w:w="80" w:type="dxa"/>
              <w:start w:w="90" w:type="dxa"/>
              <w:bottom w:w="80" w:type="dxa"/>
              <w:end w:w="90" w:type="dxa"/>
            </w:tcMar>
            <w:shd w:fill="D9EAF7" w:val="clear"/>
          </w:tcPr>
          <w:p>
            <w:pPr>
              <w:pStyle w:val="Compact"/>
              <w:jc w:val="left"/>
            </w:pPr>
            <w:r>
              <w:t xml:space="preserve">B</w:t>
            </w:r>
          </w:p>
        </w:tc>
        <w:tc>
          <w:tcPr>
            <w:tcMar>
              <w:top w:w="80" w:type="dxa"/>
              <w:start w:w="90" w:type="dxa"/>
              <w:bottom w:w="80" w:type="dxa"/>
              <w:end w:w="90" w:type="dxa"/>
            </w:tcMar>
            <w:shd w:fill="D9EAF7" w:val="clear"/>
          </w:tcPr>
          <w:p>
            <w:pPr>
              <w:pStyle w:val="Compact"/>
              <w:jc w:val="left"/>
            </w:pPr>
            <w:r>
              <w:t xml:space="preserve">Supported</w:t>
            </w:r>
          </w:p>
        </w:tc>
        <w:tc>
          <w:tcPr>
            <w:tcMar>
              <w:top w:w="80" w:type="dxa"/>
              <w:start w:w="90" w:type="dxa"/>
              <w:bottom w:w="80" w:type="dxa"/>
              <w:end w:w="90" w:type="dxa"/>
            </w:tcMar>
            <w:shd w:fill="D9EAF7" w:val="clear"/>
          </w:tcPr>
          <w:p>
            <w:pPr>
              <w:pStyle w:val="Compact"/>
              <w:jc w:val="left"/>
            </w:pPr>
            <w:r>
              <w:t xml:space="preserve">Multiple studies consistent in sign; some quantification</w:t>
            </w:r>
          </w:p>
        </w:tc>
      </w:tr>
      <w:tr>
        <w:trPr/>
        <w:tc>
          <w:tcPr>
            <w:tcMar>
              <w:top w:w="80" w:type="dxa"/>
              <w:start w:w="90" w:type="dxa"/>
              <w:bottom w:w="80" w:type="dxa"/>
              <w:end w:w="90" w:type="dxa"/>
            </w:tcMar>
            <w:shd w:fill="F7FBFF" w:val="clear"/>
          </w:tcPr>
          <w:p>
            <w:pPr>
              <w:pStyle w:val="Compact"/>
              <w:jc w:val="left"/>
            </w:pPr>
            <w:r>
              <w:t xml:space="preserve">C</w:t>
            </w:r>
          </w:p>
        </w:tc>
        <w:tc>
          <w:tcPr>
            <w:tcMar>
              <w:top w:w="80" w:type="dxa"/>
              <w:start w:w="90" w:type="dxa"/>
              <w:bottom w:w="80" w:type="dxa"/>
              <w:end w:w="90" w:type="dxa"/>
            </w:tcMar>
            <w:shd w:fill="F7FBFF" w:val="clear"/>
          </w:tcPr>
          <w:p>
            <w:pPr>
              <w:pStyle w:val="Compact"/>
              <w:jc w:val="left"/>
            </w:pPr>
            <w:r>
              <w:t xml:space="preserve">Plausible</w:t>
            </w:r>
          </w:p>
        </w:tc>
        <w:tc>
          <w:tcPr>
            <w:tcMar>
              <w:top w:w="80" w:type="dxa"/>
              <w:start w:w="90" w:type="dxa"/>
              <w:bottom w:w="80" w:type="dxa"/>
              <w:end w:w="90" w:type="dxa"/>
            </w:tcMar>
            <w:shd w:fill="F7FBFF" w:val="clear"/>
          </w:tcPr>
          <w:p>
            <w:pPr>
              <w:pStyle w:val="Compact"/>
              <w:jc w:val="left"/>
            </w:pPr>
            <w:r>
              <w:t xml:space="preserve">Theoretical support with limited empirical evidence</w:t>
            </w:r>
          </w:p>
        </w:tc>
      </w:tr>
      <w:tr>
        <w:trPr/>
        <w:tc>
          <w:tcPr>
            <w:tcMar>
              <w:top w:w="80" w:type="dxa"/>
              <w:start w:w="90" w:type="dxa"/>
              <w:bottom w:w="80" w:type="dxa"/>
              <w:end w:w="90" w:type="dxa"/>
            </w:tcMar>
            <w:shd w:fill="D9EAF7" w:val="clear"/>
          </w:tcPr>
          <w:p>
            <w:pPr>
              <w:pStyle w:val="Compact"/>
              <w:jc w:val="left"/>
            </w:pPr>
            <w:r>
              <w:t xml:space="preserve">D</w:t>
            </w:r>
          </w:p>
        </w:tc>
        <w:tc>
          <w:tcPr>
            <w:tcMar>
              <w:top w:w="80" w:type="dxa"/>
              <w:start w:w="90" w:type="dxa"/>
              <w:bottom w:w="80" w:type="dxa"/>
              <w:end w:w="90" w:type="dxa"/>
            </w:tcMar>
            <w:shd w:fill="D9EAF7" w:val="clear"/>
          </w:tcPr>
          <w:p>
            <w:pPr>
              <w:pStyle w:val="Compact"/>
              <w:jc w:val="left"/>
            </w:pPr>
            <w:r>
              <w:t xml:space="preserve">Speculative</w:t>
            </w:r>
          </w:p>
        </w:tc>
        <w:tc>
          <w:tcPr>
            <w:tcMar>
              <w:top w:w="80" w:type="dxa"/>
              <w:start w:w="90" w:type="dxa"/>
              <w:bottom w:w="80" w:type="dxa"/>
              <w:end w:w="90" w:type="dxa"/>
            </w:tcMar>
            <w:shd w:fill="D9EAF7" w:val="clear"/>
          </w:tcPr>
          <w:p>
            <w:pPr>
              <w:pStyle w:val="Compact"/>
              <w:jc w:val="left"/>
            </w:pPr>
            <w:r>
              <w:t xml:space="preserve">Expert judgment without empirical support</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Elicited</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Structured elicitation for this framework (lowest confidence)</w:t>
            </w:r>
          </w:p>
        </w:tc>
      </w:tr>
    </w:tbl>
    <w:bookmarkEnd w:id="445"/>
    <w:bookmarkStart w:id="446" w:name="X241bbc551c078c8fd6c207e450cf413e4e676da"/>
    <w:p>
      <w:pPr>
        <w:pStyle w:val="Heading2"/>
        <w:keepNext/>
        <w:keepLines/>
        <w:pageBreakBefore w:val="0"/>
        <w:widowControl/>
      </w:pPr>
      <w:r>
        <w:rPr>
          <w:rFonts w:ascii="Arial" w:hAnsi="Arial" w:eastAsia="Arial"/>
          <w:b/>
          <w:color w:val="1F4E78"/>
        </w:rPr>
        <w:t xml:space="preserve">K.3 Provisional Edge Table Table K.2: Provisional Starter KOPS Edge Table</w:t>
      </w:r>
    </w:p>
    <w:tbl>
      <w:tblPr>
        <w:tblStyle w:val="Table"/>
        <w:tblW w:type="pct" w:w="5000"/>
        <w:jc w:val="left"/>
        <w:tblLook w:firstRow="1" w:lastRow="0" w:firstColumn="0" w:lastColumn="0" w:noHBand="0" w:noVBand="0" w:val="0020"/>
        <w:tblInd w:type="dxa" w:w="0"/>
      </w:tblPr>
      <w:tblGrid>
        <w:gridCol w:w="1320"/>
        <w:gridCol w:w="1320"/>
        <w:gridCol w:w="1320"/>
        <w:gridCol w:w="1320"/>
        <w:gridCol w:w="1320"/>
        <w:gridCol w:w="1320"/>
      </w:tblGrid>
      <w:tr>
        <w:trPr>
          <w:tblHeader w:val="on"/>
        </w:trPr>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Source Cell (u,d)</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Target Cell (u,d)</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κ_raw</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κ_shrunk</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Evidence Class</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Rationale Family</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(4,1) Org-Material</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(2,1) HH-Material</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0.40</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0.14</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E</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Employment income propagation</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(4,1) Org-Material</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(3,1) Comm-Material</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0.30</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0.11</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E</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Local multiplier effects</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(7,7) Bio-Environment</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(6,2) Humanity / Global Coordination - Health</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-0.35</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-0.12</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B</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Climate/health pathway</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(7,7) Bio-Environment</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(6,7) Humanity / Global Coordination - Environment</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0.50</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0.18</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B</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Earth system propagation</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(5,5) Polity-Agency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(4,5) Org-Agency</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0.25</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0.09</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E</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Institutional enabling effects</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(3,3) Comm-Social</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(1,3) Self-Social</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0.45</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0.16</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B</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Social capital / wellbeing</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(3,3) Comm-Social</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(2,3) HH-Social</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0.35</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0.12</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E</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Family-community linkage</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(4,2) Org-Health</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(1,2) Self-Health</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0.40</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0.14</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B</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Occupational health pathway</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(6,4) Humanity / Global Coordination - Knowledge</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(5,4) Polity-Knowledge</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0.30</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0.11</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E</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Diffusion / coordination knowledge</w:t>
            </w:r>
          </w:p>
        </w:tc>
      </w:tr>
      <w:tr>
        <w:trPr/>
        <w:tc>
          <w:tcPr>
            <w:tcMar>
              <w:top w:w="80" w:type="dxa"/>
              <w:start w:w="90" w:type="dxa"/>
              <w:bottom w:w="80" w:type="dxa"/>
              <w:end w:w="90" w:type="dxa"/>
            </w:tcMar>
            <w:shd w:fill="D9EAF7" w:val="clear"/>
            <w:tcBorders>
              <w:bottom w:val="single" w:sz="8" w:space="0" w:color="1F4E78"/>
            </w:tcBorders>
          </w:tcPr>
          <w:p>
            <w:pPr>
              <w:pStyle w:val="Compact"/>
              <w:widowControl/>
              <w:spacing w:before="0" w:after="40"/>
              <w:jc w:val="left"/>
            </w:pPr>
            <w:r>
              <w:rPr>
                <w:rFonts w:ascii="Arial" w:hAnsi="Arial" w:eastAsia="Arial"/>
                <w:sz w:val="18"/>
              </w:rPr>
              <w:t xml:space="preserve">(1,2) Self-Health</w:t>
            </w:r>
          </w:p>
        </w:tc>
        <w:tc>
          <w:tcPr>
            <w:tcMar>
              <w:top w:w="80" w:type="dxa"/>
              <w:start w:w="90" w:type="dxa"/>
              <w:bottom w:w="80" w:type="dxa"/>
              <w:end w:w="90" w:type="dxa"/>
            </w:tcMar>
            <w:shd w:fill="D9EAF7" w:val="clear"/>
            <w:tcBorders>
              <w:bottom w:val="single" w:sz="8" w:space="0" w:color="1F4E78"/>
            </w:tcBorders>
          </w:tcPr>
          <w:p>
            <w:pPr>
              <w:pStyle w:val="Compact"/>
              <w:widowControl/>
              <w:spacing w:before="0" w:after="40"/>
              <w:jc w:val="left"/>
            </w:pPr>
            <w:r>
              <w:rPr>
                <w:rFonts w:ascii="Arial" w:hAnsi="Arial" w:eastAsia="Arial"/>
                <w:sz w:val="18"/>
              </w:rPr>
              <w:t xml:space="preserve">(2,1) HH-Material</w:t>
            </w:r>
          </w:p>
        </w:tc>
        <w:tc>
          <w:tcPr>
            <w:tcMar>
              <w:top w:w="80" w:type="dxa"/>
              <w:start w:w="90" w:type="dxa"/>
              <w:bottom w:w="80" w:type="dxa"/>
              <w:end w:w="90" w:type="dxa"/>
            </w:tcMar>
            <w:shd w:fill="D9EAF7" w:val="clear"/>
            <w:tcBorders>
              <w:bottom w:val="single" w:sz="8" w:space="0" w:color="1F4E78"/>
            </w:tcBorders>
          </w:tcPr>
          <w:p>
            <w:pPr>
              <w:pStyle w:val="Compact"/>
              <w:widowControl/>
              <w:spacing w:before="0" w:after="40"/>
              <w:jc w:val="left"/>
            </w:pPr>
            <w:r>
              <w:rPr>
                <w:rFonts w:ascii="Arial" w:hAnsi="Arial" w:eastAsia="Arial"/>
                <w:sz w:val="18"/>
              </w:rPr>
              <w:t xml:space="preserve">-0.25</w:t>
            </w:r>
          </w:p>
        </w:tc>
        <w:tc>
          <w:tcPr>
            <w:tcMar>
              <w:top w:w="80" w:type="dxa"/>
              <w:start w:w="90" w:type="dxa"/>
              <w:bottom w:w="80" w:type="dxa"/>
              <w:end w:w="90" w:type="dxa"/>
            </w:tcMar>
            <w:shd w:fill="D9EAF7" w:val="clear"/>
            <w:tcBorders>
              <w:bottom w:val="single" w:sz="8" w:space="0" w:color="1F4E78"/>
            </w:tcBorders>
          </w:tcPr>
          <w:p>
            <w:pPr>
              <w:pStyle w:val="Compact"/>
              <w:widowControl/>
              <w:spacing w:before="0" w:after="40"/>
              <w:jc w:val="left"/>
            </w:pPr>
            <w:r>
              <w:rPr>
                <w:rFonts w:ascii="Arial" w:hAnsi="Arial" w:eastAsia="Arial"/>
                <w:sz w:val="18"/>
              </w:rPr>
              <w:t xml:space="preserve">-0.09</w:t>
            </w:r>
          </w:p>
        </w:tc>
        <w:tc>
          <w:tcPr>
            <w:tcMar>
              <w:top w:w="80" w:type="dxa"/>
              <w:start w:w="90" w:type="dxa"/>
              <w:bottom w:w="80" w:type="dxa"/>
              <w:end w:w="90" w:type="dxa"/>
            </w:tcMar>
            <w:shd w:fill="D9EAF7" w:val="clear"/>
            <w:tcBorders>
              <w:bottom w:val="single" w:sz="8" w:space="0" w:color="1F4E78"/>
            </w:tcBorders>
          </w:tcPr>
          <w:p>
            <w:pPr>
              <w:pStyle w:val="Compact"/>
              <w:widowControl/>
              <w:spacing w:before="0" w:after="40"/>
              <w:jc w:val="left"/>
            </w:pPr>
            <w:r>
              <w:rPr>
                <w:rFonts w:ascii="Arial" w:hAnsi="Arial" w:eastAsia="Arial"/>
                <w:sz w:val="18"/>
              </w:rPr>
              <w:t xml:space="preserve">B</w:t>
            </w:r>
          </w:p>
        </w:tc>
        <w:tc>
          <w:tcPr>
            <w:tcMar>
              <w:top w:w="80" w:type="dxa"/>
              <w:start w:w="90" w:type="dxa"/>
              <w:bottom w:w="80" w:type="dxa"/>
              <w:end w:w="90" w:type="dxa"/>
            </w:tcMar>
            <w:shd w:fill="D9EAF7" w:val="clear"/>
            <w:tcBorders>
              <w:bottom w:val="single" w:sz="8" w:space="0" w:color="1F4E78"/>
            </w:tcBorders>
          </w:tcPr>
          <w:p>
            <w:pPr>
              <w:pStyle w:val="Compact"/>
              <w:widowControl/>
              <w:spacing w:before="0" w:after="40"/>
              <w:jc w:val="left"/>
            </w:pPr>
            <w:r>
              <w:rPr>
                <w:rFonts w:ascii="Arial" w:hAnsi="Arial" w:eastAsia="Arial"/>
                <w:sz w:val="18"/>
              </w:rPr>
              <w:t xml:space="preserve">Health to earning capacity</w:t>
            </w:r>
          </w:p>
        </w:tc>
      </w:tr>
    </w:tbl>
    <w:bookmarkEnd w:id="446"/>
    <w:bookmarkStart w:id="447" w:name="Xcf470f49a23de6291993e1575298315d2d1906c"/>
    <w:p>
      <w:pPr>
        <w:pStyle w:val="Heading2"/>
        <w:keepNext/>
        <w:keepLines/>
        <w:pageBreakBefore w:val="0"/>
        <w:widowControl/>
      </w:pPr>
      <w:r>
        <w:rPr>
          <w:rFonts w:ascii="Arial" w:hAnsi="Arial" w:eastAsia="Arial"/>
          <w:b/>
          <w:color w:val="1F4E78"/>
        </w:rPr>
        <w:t xml:space="preserve">K.4 Mandatory PCC Disclaimer “Ripple propagation used a PROVISIONAL Starter KOPS kernel. Coefficients are not fully validated. Sensitivity analysis was performed per RippleLogic v12.5 requirements; conclusions are contingent on kernel uncertainty.”</w:t>
      </w:r>
    </w:p>
    <w:p>
      <w:pPr>
        <w:pStyle w:val="FirstParagraph"/>
        <w:widowControl/>
      </w:pPr>
      <w:r>
        <w:t xml:space="preserve">End Appendix K.</w:t>
      </w:r>
    </w:p>
    <w:bookmarkEnd w:id="447"/>
    <w:bookmarkEnd w:id="448"/>
    <w:bookmarkStart w:id="449" w:name="appendix-l-glossary-v120"/>
    <w:p>
      <w:pPr>
        <w:pStyle w:val="Heading1"/>
        <w:keepNext/>
        <w:keepLines/>
        <w:pageBreakBefore w:val="0"/>
        <w:widowControl/>
      </w:pPr>
      <w:r>
        <w:rPr>
          <w:rFonts w:ascii="Arial" w:hAnsi="Arial" w:eastAsia="Arial"/>
          <w:b/>
          <w:color w:val="1F4E78"/>
        </w:rPr>
        <w:t xml:space="preserve">APPENDIX L: GLOSSARY (v12.0)</w:t>
      </w:r>
    </w:p>
    <w:p>
      <w:pPr>
        <w:pStyle w:val="FirstParagraph"/>
        <w:widowControl/>
      </w:pPr>
      <w:r>
        <w:t xml:space="preserve">Appendix L is informative but standardized terminology is strongly recommended for audit consistency.</w:t>
      </w:r>
    </w:p>
    <w:p>
      <w:pPr>
        <w:pStyle w:val="BodyText"/>
        <w:widowControl/>
      </w:pPr>
      <w:r>
        <w:t xml:space="preserve">Stakeholder: Any entity plausibly affected by a candidate option through direct impact, externalities, indirect pathways, or future propagation within the declared horizon.</w:t>
      </w:r>
    </w:p>
    <w:p>
      <w:pPr>
        <w:pStyle w:val="BodyText"/>
        <w:widowControl/>
      </w:pPr>
      <w:r>
        <w:t xml:space="preserve">Instance: A stakeholder-in-role-in-context bound to a decision, used for auditability and mapping into Union Scopes.</w:t>
      </w:r>
    </w:p>
    <w:p>
      <w:pPr>
        <w:pStyle w:val="BodyText"/>
        <w:widowControl/>
      </w:pPr>
      <w:r>
        <w:t xml:space="preserve">Stakeholder Discovery Protocol (SDP): The tier-linked minimum process for discovering omission-likely stakeholders and recording discovery evidence (Section 2.2A).</w:t>
      </w:r>
    </w:p>
    <w:p>
      <w:pPr>
        <w:pStyle w:val="BodyText"/>
        <w:widowControl/>
      </w:pPr>
      <w:r>
        <w:t xml:space="preserve">Stakeholder Coverage Index (SCI): A tier-governed disclosure ladder describing the stakeholder coverage posture of a run, used for auditability, not for score changes (Section 5.0.1).</w:t>
      </w:r>
    </w:p>
    <w:p>
      <w:pPr>
        <w:pStyle w:val="BodyText"/>
        <w:widowControl/>
      </w:pPr>
      <w:r>
        <w:t xml:space="preserve">InstanceMap: The structured mapping from stakeholder instances to one or more Union Scopes, recorded in the PCC (Appendix H).</w:t>
      </w:r>
    </w:p>
    <w:p>
      <w:pPr>
        <w:pStyle w:val="BodyText"/>
        <w:widowControl/>
      </w:pPr>
      <w:r>
        <w:t xml:space="preserve">Scope Coverage Declaration: A PCC section that declares whether the run is full-scope or reduced-scope, lists omitted scopes and rationales, and specifies escalation triggers (Appendix H).</w:t>
      </w:r>
    </w:p>
    <w:p>
      <w:pPr>
        <w:pStyle w:val="BodyText"/>
        <w:widowControl/>
      </w:pPr>
      <w:r>
        <w:t xml:space="preserve">Active cell: A Scope×Dimension cell that participates in RLS, or is in any rights/catastrophe coverage set, or is populated for any gate or justification, and therefore must not be treated as unknown-by-default (Section 10.3).</w:t>
      </w:r>
    </w:p>
    <w:p>
      <w:pPr>
        <w:pStyle w:val="BodyText"/>
        <w:widowControl/>
      </w:pPr>
      <w:r>
        <w:t xml:space="preserve">Effect-token (allocation only): A redundant conserved-unit causal token used solely to prevent redundant counting across scopes under the ALLOCATION redundancy method (Section 2.2A).</w:t>
      </w:r>
    </w:p>
    <w:p>
      <w:pPr>
        <w:pStyle w:val="BodyText"/>
        <w:widowControl/>
      </w:pPr>
      <w:r>
        <w:t xml:space="preserve">Reduced-scope mode: A reporting or mapping-depth mode that omits one or more scopes, permitted only with explicit PCC disclosure and without removing any non-maskable cells from admissibility gates (Section 2.2A).</w:t>
      </w:r>
    </w:p>
    <w:p>
      <w:pPr>
        <w:pStyle w:val="BodyText"/>
        <w:widowControl/>
      </w:pPr>
      <w:r>
        <w:t xml:space="preserve">SG_norm / SG_patient_norm / SG_measured_norm: Deprecated v7.x interface fields. They may appear only in pinned legacy records and are not equivalent to the v8.x typed outputs used by current SGP v8.4.</w:t>
      </w:r>
    </w:p>
    <w:p>
      <w:pPr>
        <w:pStyle w:val="BodyText"/>
        <w:widowControl/>
      </w:pPr>
      <w:r>
        <w:t xml:space="preserve">MPS(E,t): The v8.x moral-patienthood evidence surface, current in SGP v8.4, used to determine protection posture and required welfare-inclusion hypotheses. It is not exact moral worth, a consciousness probability, or a cardinal welfare multiplier.</w:t>
      </w:r>
    </w:p>
    <w:p>
      <w:pPr>
        <w:pStyle w:val="BodyText"/>
        <w:widowControl/>
      </w:pPr>
      <w:r>
        <w:t xml:space="preserve">FPP(E): The v8.x full non-downgrade protection status, current in SGP v8.4. For RippleLogic welfare sensitivity, every FPP entity uses the fixed inclusion set {1}, equivalently the interval [1,1].</w:t>
      </w:r>
    </w:p>
    <w:p>
      <w:pPr>
        <w:pStyle w:val="BodyText"/>
        <w:widowControl/>
      </w:pPr>
      <w:r>
        <w:t xml:space="preserve">GPR and SPR: Separate v8.x role surfaces, current in SGP v8.4, for participation design and role-specific consequential-power review. Neither changes MPS or FPP.</w:t>
      </w:r>
    </w:p>
    <w:p>
      <w:pPr>
        <w:pStyle w:val="BodyText"/>
        <w:widowControl/>
      </w:pPr>
      <w:r>
        <w:t xml:space="preserve">Full Protection Plateau (FPP-100): The constitutional rights-of-protection summit defined by SGP. Within RippleLogic it fixes full protection and the welfare-inclusion set {1}; it does not become a prestige score, alter earlier gates, establish CMIU membership, or grant governance authority.</w:t>
      </w:r>
    </w:p>
    <w:p>
      <w:pPr>
        <w:pStyle w:val="BodyText"/>
        <w:widowControl/>
      </w:pPr>
      <w:r>
        <w:t xml:space="preserve">MPS-4 / presumptive-full-protection posture: The strongest evidence band below an assigned FPP status in SGP v8.4. It triggers strong protection and FPP review but is not a scalar percentage of moral worth and does not itself confer FPP.</w:t>
      </w:r>
    </w:p>
    <w:p>
      <w:pPr>
        <w:pStyle w:val="BodyText"/>
        <w:widowControl/>
      </w:pPr>
      <w:r>
        <w:t xml:space="preserve">CMIU: Collective Managing Intelligence Union, a Canon-defined U6 governance-coordination view for managing intelligences and institutions. SGP does not assign CMIU membership. MPS/FPP do not create CMIU membership; GPR informs participation design, and consequential roles require SPR plus lawful governance controls.</w:t>
      </w:r>
    </w:p>
    <w:p>
      <w:pPr>
        <w:pStyle w:val="BodyText"/>
        <w:widowControl/>
      </w:pPr>
      <w:r>
        <w:t xml:space="preserve">Human Full Protection Plateau: The non-overridable rule that every human person has FPP and a RippleLogic welfare interval of [1,1], independent of measurement, disability, age, illness, wakefulness, or observability.</w:t>
      </w:r>
    </w:p>
    <w:p>
      <w:pPr>
        <w:pStyle w:val="BodyText"/>
        <w:widowControl/>
      </w:pPr>
      <w:r>
        <w:t xml:space="preserve">SGP v8.4 Binding Interface: The only permissible interface by which RippleLogic consumes MPS, FPP, GPR, SPR, optional ICP, and informative RMCP/P100. Defined normatively in Appendix G; RippleLogic does not recompute SGP internals.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Term</w:t>
            </w:r>
          </w:p>
        </w:tc>
        <w:tc>
          <w:tcPr>
            <w:shd w:fill="1F4E78" w:val="clear"/>
            <w:tcMar>
              <w:top w:w="80" w:type="dxa"/>
              <w:start w:w="90" w:type="dxa"/>
              <w:bottom w:w="80" w:type="dxa"/>
              <w:end w:w="90" w:type="dxa"/>
            </w:tcMar>
          </w:tcPr>
          <w:p>
            <w:pPr>
              <w:pStyle w:val="Compact"/>
              <w:jc w:val="left"/>
            </w:pPr>
            <w:r>
              <w:rPr>
                <w:b/>
                <w:bCs/>
                <w:color w:val="FFFFFF"/>
              </w:rPr>
              <w:t xml:space="preserve">Definition</w:t>
            </w:r>
          </w:p>
        </w:tc>
      </w:tr>
      <w:tr>
        <w:trPr/>
        <w:tc>
          <w:tcPr>
            <w:tcMar>
              <w:top w:w="80" w:type="dxa"/>
              <w:start w:w="90" w:type="dxa"/>
              <w:bottom w:w="80" w:type="dxa"/>
              <w:end w:w="90" w:type="dxa"/>
            </w:tcMar>
            <w:shd w:fill="F7FBFF" w:val="clear"/>
          </w:tcPr>
          <w:p>
            <w:pPr>
              <w:pStyle w:val="Compact"/>
              <w:jc w:val="left"/>
            </w:pPr>
            <w:r>
              <w:t xml:space="preserve">Admissible</w:t>
            </w:r>
          </w:p>
        </w:tc>
        <w:tc>
          <w:tcPr>
            <w:tcMar>
              <w:top w:w="80" w:type="dxa"/>
              <w:start w:w="90" w:type="dxa"/>
              <w:bottom w:w="80" w:type="dxa"/>
              <w:end w:w="90" w:type="dxa"/>
            </w:tcMar>
            <w:shd w:fill="F7FBFF" w:val="clear"/>
          </w:tcPr>
          <w:p>
            <w:pPr>
              <w:pStyle w:val="Compact"/>
              <w:jc w:val="left"/>
            </w:pPr>
            <w:r>
              <w:t xml:space="preserve">Option whose RG status is RG_SUPPORTED or RG_NARROWED, that passes NCRC, and whose TRC status is TRC_PASS or documented TRC_NOT_TRIGGERED</w:t>
            </w:r>
          </w:p>
        </w:tc>
      </w:tr>
      <w:tr>
        <w:trPr/>
        <w:tc>
          <w:tcPr>
            <w:tcMar>
              <w:top w:w="80" w:type="dxa"/>
              <w:start w:w="90" w:type="dxa"/>
              <w:bottom w:w="80" w:type="dxa"/>
              <w:end w:w="90" w:type="dxa"/>
            </w:tcMar>
            <w:shd w:fill="D9EAF7" w:val="clear"/>
          </w:tcPr>
          <w:p>
            <w:pPr>
              <w:pStyle w:val="Compact"/>
              <w:jc w:val="left"/>
            </w:pPr>
            <w:r>
              <w:t xml:space="preserve">AIL (Artifact Integrity Law)</w:t>
            </w:r>
          </w:p>
        </w:tc>
        <w:tc>
          <w:tcPr>
            <w:tcMar>
              <w:top w:w="80" w:type="dxa"/>
              <w:start w:w="90" w:type="dxa"/>
              <w:bottom w:w="80" w:type="dxa"/>
              <w:end w:w="90" w:type="dxa"/>
            </w:tcMar>
            <w:shd w:fill="D9EAF7" w:val="clear"/>
          </w:tcPr>
          <w:p>
            <w:pPr>
              <w:pStyle w:val="Compact"/>
              <w:jc w:val="left"/>
            </w:pPr>
            <w:r>
              <w:t xml:space="preserve">Integrity rules ensuring auditability, comparability, and no silent overrides in PCCs</w:t>
            </w:r>
          </w:p>
        </w:tc>
      </w:tr>
      <w:tr>
        <w:trPr/>
        <w:tc>
          <w:tcPr>
            <w:tcMar>
              <w:top w:w="80" w:type="dxa"/>
              <w:start w:w="90" w:type="dxa"/>
              <w:bottom w:w="80" w:type="dxa"/>
              <w:end w:w="90" w:type="dxa"/>
            </w:tcMar>
            <w:shd w:fill="F7FBFF" w:val="clear"/>
          </w:tcPr>
          <w:p>
            <w:pPr>
              <w:pStyle w:val="Compact"/>
              <w:jc w:val="left"/>
            </w:pPr>
            <w:r>
              <w:t xml:space="preserve">Baseline-Zero Rule</w:t>
            </w:r>
          </w:p>
        </w:tc>
        <w:tc>
          <w:tcPr>
            <w:tcMar>
              <w:top w:w="80" w:type="dxa"/>
              <w:start w:w="90" w:type="dxa"/>
              <w:bottom w:w="80" w:type="dxa"/>
              <w:end w:w="90" w:type="dxa"/>
            </w:tcMar>
            <w:shd w:fill="F7FBFF" w:val="clear"/>
          </w:tcPr>
          <w:p>
            <w:pPr>
              <w:pStyle w:val="Compact"/>
              <w:jc w:val="left"/>
            </w:pPr>
            <w:r>
              <w:t xml:space="preserve">0 impact means no change from baseline; all impacts are baseline-relative</w:t>
            </w:r>
          </w:p>
        </w:tc>
      </w:tr>
      <w:tr>
        <w:trPr/>
        <w:tc>
          <w:tcPr>
            <w:tcMar>
              <w:top w:w="80" w:type="dxa"/>
              <w:start w:w="90" w:type="dxa"/>
              <w:bottom w:w="80" w:type="dxa"/>
              <w:end w:w="90" w:type="dxa"/>
            </w:tcMar>
            <w:shd w:fill="D9EAF7" w:val="clear"/>
          </w:tcPr>
          <w:p>
            <w:pPr>
              <w:pStyle w:val="Compact"/>
              <w:jc w:val="left"/>
            </w:pPr>
            <w:r>
              <w:t xml:space="preserve">Catastrophe cell set (C_cat)</w:t>
            </w:r>
          </w:p>
        </w:tc>
        <w:tc>
          <w:tcPr>
            <w:tcMar>
              <w:top w:w="80" w:type="dxa"/>
              <w:start w:w="90" w:type="dxa"/>
              <w:bottom w:w="80" w:type="dxa"/>
              <w:end w:w="90" w:type="dxa"/>
            </w:tcMar>
            <w:shd w:fill="D9EAF7" w:val="clear"/>
          </w:tcPr>
          <w:p>
            <w:pPr>
              <w:pStyle w:val="Compact"/>
              <w:jc w:val="left"/>
            </w:pPr>
            <w:r>
              <w:t xml:space="preserve">Subset of welfare cells used for TRC tail-risk evaluation</w:t>
            </w:r>
          </w:p>
        </w:tc>
      </w:tr>
      <w:tr>
        <w:trPr/>
        <w:tc>
          <w:tcPr>
            <w:tcMar>
              <w:top w:w="80" w:type="dxa"/>
              <w:start w:w="90" w:type="dxa"/>
              <w:bottom w:w="80" w:type="dxa"/>
              <w:end w:w="90" w:type="dxa"/>
            </w:tcMar>
            <w:shd w:fill="F7FBFF" w:val="clear"/>
          </w:tcPr>
          <w:p>
            <w:pPr>
              <w:pStyle w:val="Compact"/>
              <w:jc w:val="left"/>
            </w:pPr>
            <w:r>
              <w:t>CSV / Containment and Structural Viability</w:t>
            </w:r>
          </w:p>
        </w:tc>
        <w:tc>
          <w:tcPr>
            <w:tcMar>
              <w:top w:w="80" w:type="dxa"/>
              <w:start w:w="90" w:type="dxa"/>
              <w:bottom w:w="80" w:type="dxa"/>
              <w:end w:w="90" w:type="dxa"/>
            </w:tcMar>
            <w:shd w:fill="F7FBFF" w:val="clear"/>
          </w:tcPr>
          <w:p>
            <w:pPr>
              <w:pStyle w:val="Compact"/>
              <w:jc w:val="left"/>
            </w:pPr>
            <w:r>
              <w:t>Fourth cascade level testing containment integrity, structural viability, controls, monitoring, reversibility, dependencies, authority, and execution conditions before RLS. Legacy “Containment Mode A” is one structural subtest and is not a synonym for the whole CSV gate.</w:t>
            </w:r>
          </w:p>
        </w:tc>
      </w:tr>
      <w:tr>
        <w:trPr/>
        <w:tc>
          <w:tcPr>
            <w:tcMar>
              <w:top w:w="80" w:type="dxa"/>
              <w:start w:w="90" w:type="dxa"/>
              <w:bottom w:w="80" w:type="dxa"/>
              <w:end w:w="90" w:type="dxa"/>
            </w:tcMar>
            <w:shd w:fill="D9EAF7" w:val="clear"/>
          </w:tcPr>
          <w:p>
            <w:pPr>
              <w:pStyle w:val="Compact"/>
              <w:jc w:val="left"/>
            </w:pPr>
            <w:r>
              <w:t xml:space="preserve">Containment tolerance (τ_c)</w:t>
            </w:r>
          </w:p>
        </w:tc>
        <w:tc>
          <w:tcPr>
            <w:tcMar>
              <w:top w:w="80" w:type="dxa"/>
              <w:start w:w="90" w:type="dxa"/>
              <w:bottom w:w="80" w:type="dxa"/>
              <w:end w:w="90" w:type="dxa"/>
            </w:tcMar>
            <w:shd w:fill="D9EAF7" w:val="clear"/>
          </w:tcPr>
          <w:p>
            <w:pPr>
              <w:pStyle w:val="Compact"/>
              <w:jc w:val="left"/>
            </w:pPr>
            <w:r>
              <w:t xml:space="preserve">Maximum allowed negative ΔUCI for containing unions when sub-unions benefit</w:t>
            </w:r>
          </w:p>
        </w:tc>
      </w:tr>
      <w:tr>
        <w:trPr/>
        <w:tc>
          <w:tcPr>
            <w:tcMar>
              <w:top w:w="80" w:type="dxa"/>
              <w:start w:w="90" w:type="dxa"/>
              <w:bottom w:w="80" w:type="dxa"/>
              <w:end w:w="90" w:type="dxa"/>
            </w:tcMar>
            <w:shd w:fill="F7FBFF" w:val="clear"/>
          </w:tcPr>
          <w:p>
            <w:pPr>
              <w:pStyle w:val="Compact"/>
              <w:jc w:val="left"/>
            </w:pPr>
            <w:r>
              <w:t xml:space="preserve">CVaR (Conditional Value-at-Risk)</w:t>
            </w:r>
          </w:p>
        </w:tc>
        <w:tc>
          <w:tcPr>
            <w:tcMar>
              <w:top w:w="80" w:type="dxa"/>
              <w:start w:w="90" w:type="dxa"/>
              <w:bottom w:w="80" w:type="dxa"/>
              <w:end w:w="90" w:type="dxa"/>
            </w:tcMar>
            <w:shd w:fill="F7FBFF" w:val="clear"/>
          </w:tcPr>
          <w:p>
            <w:pPr>
              <w:pStyle w:val="Compact"/>
              <w:jc w:val="left"/>
            </w:pPr>
            <w:r>
              <w:t xml:space="preserve">Tail risk measure of expected loss in the worst tail mass</w:t>
            </w:r>
          </w:p>
        </w:tc>
      </w:tr>
      <w:tr>
        <w:trPr/>
        <w:tc>
          <w:tcPr>
            <w:tcMar>
              <w:top w:w="80" w:type="dxa"/>
              <w:start w:w="90" w:type="dxa"/>
              <w:bottom w:w="80" w:type="dxa"/>
              <w:end w:w="90" w:type="dxa"/>
            </w:tcMar>
            <w:shd w:fill="D9EAF7" w:val="clear"/>
          </w:tcPr>
          <w:p>
            <w:pPr>
              <w:pStyle w:val="Compact"/>
              <w:jc w:val="left"/>
            </w:pPr>
            <w:r>
              <w:t xml:space="preserve">Dimension (D₁-D₇)</w:t>
            </w:r>
          </w:p>
        </w:tc>
        <w:tc>
          <w:tcPr>
            <w:tcMar>
              <w:top w:w="80" w:type="dxa"/>
              <w:start w:w="90" w:type="dxa"/>
              <w:bottom w:w="80" w:type="dxa"/>
              <w:end w:w="90" w:type="dxa"/>
            </w:tcMar>
            <w:shd w:fill="D9EAF7" w:val="clear"/>
          </w:tcPr>
          <w:p>
            <w:pPr>
              <w:pStyle w:val="Compact"/>
              <w:jc w:val="left"/>
            </w:pPr>
            <w:r>
              <w:t xml:space="preserve">One of seven welfare dimensions: Material, Health, Social, Knowledge, Agency, Meaning, Environment</w:t>
            </w:r>
          </w:p>
        </w:tc>
      </w:tr>
      <w:tr>
        <w:trPr/>
        <w:tc>
          <w:tcPr>
            <w:tcMar>
              <w:top w:w="80" w:type="dxa"/>
              <w:start w:w="90" w:type="dxa"/>
              <w:bottom w:w="80" w:type="dxa"/>
              <w:end w:w="90" w:type="dxa"/>
            </w:tcMar>
            <w:shd w:fill="F7FBFF" w:val="clear"/>
          </w:tcPr>
          <w:p>
            <w:pPr>
              <w:pStyle w:val="Compact"/>
              <w:jc w:val="left"/>
            </w:pPr>
            <w:r>
              <w:t xml:space="preserve">Emergency Mode</w:t>
            </w:r>
          </w:p>
        </w:tc>
        <w:tc>
          <w:tcPr>
            <w:tcMar>
              <w:top w:w="80" w:type="dxa"/>
              <w:start w:w="90" w:type="dxa"/>
              <w:bottom w:w="80" w:type="dxa"/>
              <w:end w:w="90" w:type="dxa"/>
            </w:tcMar>
            <w:shd w:fill="F7FBFF" w:val="clear"/>
          </w:tcPr>
          <w:p>
            <w:pPr>
              <w:pStyle w:val="Compact"/>
              <w:jc w:val="left"/>
            </w:pPr>
            <w:r>
              <w:t xml:space="preserve">Controlled fallback when no option passes NCRC; selects lexicographically minimal rights violation vector with challenger requirement and remediation</w:t>
            </w:r>
          </w:p>
        </w:tc>
      </w:tr>
      <w:tr>
        <w:trPr/>
        <w:tc>
          <w:tcPr>
            <w:tcMar>
              <w:top w:w="80" w:type="dxa"/>
              <w:start w:w="90" w:type="dxa"/>
              <w:bottom w:w="80" w:type="dxa"/>
              <w:end w:w="90" w:type="dxa"/>
            </w:tcMar>
            <w:shd w:fill="D9EAF7" w:val="clear"/>
          </w:tcPr>
          <w:p>
            <w:pPr>
              <w:pStyle w:val="Compact"/>
              <w:jc w:val="left"/>
            </w:pPr>
            <w:r>
              <w:t xml:space="preserve">HDW (Hybrid Democratic Weighting)</w:t>
            </w:r>
          </w:p>
        </w:tc>
        <w:tc>
          <w:tcPr>
            <w:tcMar>
              <w:top w:w="80" w:type="dxa"/>
              <w:start w:w="90" w:type="dxa"/>
              <w:bottom w:w="80" w:type="dxa"/>
              <w:end w:w="90" w:type="dxa"/>
            </w:tcMar>
            <w:shd w:fill="D9EAF7" w:val="clear"/>
          </w:tcPr>
          <w:p>
            <w:pPr>
              <w:pStyle w:val="Compact"/>
              <w:jc w:val="left"/>
            </w:pPr>
            <w:r>
              <w:t xml:space="preserve">Governance method producing weights from floors + democratic + structural proposals</w:t>
            </w:r>
          </w:p>
        </w:tc>
      </w:tr>
      <w:tr>
        <w:trPr/>
        <w:tc>
          <w:tcPr>
            <w:tcMar>
              <w:top w:w="80" w:type="dxa"/>
              <w:start w:w="90" w:type="dxa"/>
              <w:bottom w:w="80" w:type="dxa"/>
              <w:end w:w="90" w:type="dxa"/>
            </w:tcMar>
            <w:shd w:fill="F7FBFF" w:val="clear"/>
          </w:tcPr>
          <w:p>
            <w:pPr>
              <w:pStyle w:val="Compact"/>
              <w:jc w:val="left"/>
            </w:pPr>
            <w:r>
              <w:t xml:space="preserve">HOI (Hollowing-Out Index)</w:t>
            </w:r>
          </w:p>
        </w:tc>
        <w:tc>
          <w:tcPr>
            <w:tcMar>
              <w:top w:w="80" w:type="dxa"/>
              <w:start w:w="90" w:type="dxa"/>
              <w:bottom w:w="80" w:type="dxa"/>
              <w:end w:w="90" w:type="dxa"/>
            </w:tcMar>
            <w:shd w:fill="F7FBFF" w:val="clear"/>
          </w:tcPr>
          <w:p>
            <w:pPr>
              <w:pStyle w:val="Compact"/>
              <w:jc w:val="left"/>
            </w:pPr>
            <w:r>
              <w:t xml:space="preserve">Monitoring diagnostic indicating welfare-up while coherence-down drift</w:t>
            </w:r>
          </w:p>
        </w:tc>
      </w:tr>
      <w:tr>
        <w:trPr/>
        <w:tc>
          <w:tcPr>
            <w:tcMar>
              <w:top w:w="80" w:type="dxa"/>
              <w:start w:w="90" w:type="dxa"/>
              <w:bottom w:w="80" w:type="dxa"/>
              <w:end w:w="90" w:type="dxa"/>
            </w:tcMar>
            <w:shd w:fill="D9EAF7" w:val="clear"/>
          </w:tcPr>
          <w:p>
            <w:pPr>
              <w:pStyle w:val="Compact"/>
              <w:jc w:val="left"/>
            </w:pPr>
            <w:r>
              <w:t xml:space="preserve">Impact instance</w:t>
            </w:r>
          </w:p>
        </w:tc>
        <w:tc>
          <w:tcPr>
            <w:tcMar>
              <w:top w:w="80" w:type="dxa"/>
              <w:start w:w="90" w:type="dxa"/>
              <w:bottom w:w="80" w:type="dxa"/>
              <w:end w:w="90" w:type="dxa"/>
            </w:tcMar>
            <w:shd w:fill="D9EAF7" w:val="clear"/>
          </w:tcPr>
          <w:p>
            <w:pPr>
              <w:pStyle w:val="Compact"/>
              <w:jc w:val="left"/>
            </w:pPr>
            <w:r>
              <w:t xml:space="preserve">A single asserted pathway contribution to a welfare cell impact, with magnitude, reach, horizon, likelihood, confidence, and multipliers</w:t>
            </w:r>
          </w:p>
        </w:tc>
      </w:tr>
      <w:tr>
        <w:trPr/>
        <w:tc>
          <w:tcPr>
            <w:tcMar>
              <w:top w:w="80" w:type="dxa"/>
              <w:start w:w="90" w:type="dxa"/>
              <w:bottom w:w="80" w:type="dxa"/>
              <w:end w:w="90" w:type="dxa"/>
            </w:tcMar>
            <w:shd w:fill="F7FBFF" w:val="clear"/>
          </w:tcPr>
          <w:p>
            <w:pPr>
              <w:pStyle w:val="Compact"/>
              <w:jc w:val="left"/>
            </w:pPr>
            <w:r>
              <w:t xml:space="preserve">Kernel (K)</w:t>
            </w:r>
          </w:p>
        </w:tc>
        <w:tc>
          <w:tcPr>
            <w:tcMar>
              <w:top w:w="80" w:type="dxa"/>
              <w:start w:w="90" w:type="dxa"/>
              <w:bottom w:w="80" w:type="dxa"/>
              <w:end w:w="90" w:type="dxa"/>
            </w:tcMar>
            <w:shd w:fill="F7FBFF" w:val="clear"/>
          </w:tcPr>
          <w:p>
            <w:pPr>
              <w:pStyle w:val="Compact"/>
              <w:jc w:val="left"/>
            </w:pPr>
            <w:r>
              <w:t xml:space="preserve">Sparse matrix encoding cross-cell ripple propagation</w:t>
            </w:r>
          </w:p>
        </w:tc>
      </w:tr>
      <w:tr>
        <w:trPr/>
        <w:tc>
          <w:tcPr>
            <w:tcMar>
              <w:top w:w="80" w:type="dxa"/>
              <w:start w:w="90" w:type="dxa"/>
              <w:bottom w:w="80" w:type="dxa"/>
              <w:end w:w="90" w:type="dxa"/>
            </w:tcMar>
            <w:shd w:fill="D9EAF7" w:val="clear"/>
          </w:tcPr>
          <w:p>
            <w:pPr>
              <w:pStyle w:val="Compact"/>
              <w:jc w:val="left"/>
            </w:pPr>
            <w:r>
              <w:t xml:space="preserve">KOPS</w:t>
            </w:r>
          </w:p>
        </w:tc>
        <w:tc>
          <w:tcPr>
            <w:tcMar>
              <w:top w:w="80" w:type="dxa"/>
              <w:start w:w="90" w:type="dxa"/>
              <w:bottom w:w="80" w:type="dxa"/>
              <w:end w:w="90" w:type="dxa"/>
            </w:tcMar>
            <w:shd w:fill="D9EAF7" w:val="clear"/>
          </w:tcPr>
          <w:p>
            <w:pPr>
              <w:pStyle w:val="Compact"/>
              <w:jc w:val="left"/>
            </w:pPr>
            <w:r>
              <w:t xml:space="preserve">Key Operational Pathways Set; the subset of kernel edges considered load-bearing and governed</w:t>
            </w:r>
          </w:p>
        </w:tc>
      </w:tr>
      <w:tr>
        <w:trPr/>
        <w:tc>
          <w:tcPr>
            <w:tcMar>
              <w:top w:w="80" w:type="dxa"/>
              <w:start w:w="90" w:type="dxa"/>
              <w:bottom w:w="80" w:type="dxa"/>
              <w:end w:w="90" w:type="dxa"/>
            </w:tcMar>
            <w:shd w:fill="F7FBFF" w:val="clear"/>
          </w:tcPr>
          <w:p>
            <w:pPr>
              <w:pStyle w:val="Compact"/>
              <w:jc w:val="left"/>
            </w:pPr>
            <w:r>
              <w:t xml:space="preserve">KQS (Kernel Quality Score)</w:t>
            </w:r>
          </w:p>
        </w:tc>
        <w:tc>
          <w:tcPr>
            <w:tcMar>
              <w:top w:w="80" w:type="dxa"/>
              <w:start w:w="90" w:type="dxa"/>
              <w:bottom w:w="80" w:type="dxa"/>
              <w:end w:w="90" w:type="dxa"/>
            </w:tcMar>
            <w:shd w:fill="F7FBFF" w:val="clear"/>
          </w:tcPr>
          <w:p>
            <w:pPr>
              <w:pStyle w:val="Compact"/>
              <w:jc w:val="left"/>
            </w:pPr>
            <w:r>
              <w:t xml:space="preserve">Summary score indicating whether kernel propagation is permitted</w:t>
            </w:r>
          </w:p>
        </w:tc>
      </w:tr>
      <w:tr>
        <w:trPr/>
        <w:tc>
          <w:tcPr>
            <w:tcMar>
              <w:top w:w="80" w:type="dxa"/>
              <w:start w:w="90" w:type="dxa"/>
              <w:bottom w:w="80" w:type="dxa"/>
              <w:end w:w="90" w:type="dxa"/>
            </w:tcMar>
            <w:shd w:fill="D9EAF7" w:val="clear"/>
          </w:tcPr>
          <w:p>
            <w:pPr>
              <w:pStyle w:val="Compact"/>
              <w:jc w:val="left"/>
            </w:pPr>
            <w:r>
              <w:t xml:space="preserve">Lexicographic cascade</w:t>
            </w:r>
          </w:p>
        </w:tc>
        <w:tc>
          <w:tcPr>
            <w:tcMar>
              <w:top w:w="80" w:type="dxa"/>
              <w:start w:w="90" w:type="dxa"/>
              <w:bottom w:w="80" w:type="dxa"/>
              <w:end w:w="90" w:type="dxa"/>
            </w:tcMar>
            <w:shd w:fill="D9EAF7" w:val="clear"/>
          </w:tcPr>
          <w:p>
            <w:pPr>
              <w:pStyle w:val="Compact"/>
              <w:jc w:val="left"/>
            </w:pPr>
            <w:r>
              <w:t xml:space="preserve">Priority-ordered gates where earlier failures cannot be compensated by later scoring</w:t>
            </w:r>
          </w:p>
        </w:tc>
      </w:tr>
      <w:tr>
        <w:trPr/>
        <w:tc>
          <w:tcPr>
            <w:tcMar>
              <w:top w:w="80" w:type="dxa"/>
              <w:start w:w="90" w:type="dxa"/>
              <w:bottom w:w="80" w:type="dxa"/>
              <w:end w:w="90" w:type="dxa"/>
            </w:tcMar>
            <w:shd w:fill="F7FBFF" w:val="clear"/>
          </w:tcPr>
          <w:p>
            <w:pPr>
              <w:pStyle w:val="Compact"/>
              <w:jc w:val="left"/>
            </w:pPr>
            <w:r>
              <w:t xml:space="preserve">MNA (Minimal Normative Axiom)</w:t>
            </w:r>
          </w:p>
        </w:tc>
        <w:tc>
          <w:tcPr>
            <w:tcMar>
              <w:top w:w="80" w:type="dxa"/>
              <w:start w:w="90" w:type="dxa"/>
              <w:bottom w:w="80" w:type="dxa"/>
              <w:end w:w="90" w:type="dxa"/>
            </w:tcMar>
            <w:shd w:fill="F7FBFF" w:val="clear"/>
          </w:tcPr>
          <w:p>
            <w:pPr>
              <w:pStyle w:val="Compact"/>
              <w:jc w:val="left"/>
            </w:pPr>
            <w:r>
              <w:t xml:space="preserve">Sentient welfare and flourishing matter; unnecessary suffering and domination should be reduced; enabling conditions for viable, non-dominated, and continuing flourishing should be preserved.</w:t>
            </w:r>
          </w:p>
        </w:tc>
      </w:tr>
      <w:tr>
        <w:trPr/>
        <w:tc>
          <w:tcPr>
            <w:tcMar>
              <w:top w:w="80" w:type="dxa"/>
              <w:start w:w="90" w:type="dxa"/>
              <w:bottom w:w="80" w:type="dxa"/>
              <w:end w:w="90" w:type="dxa"/>
            </w:tcMar>
            <w:shd w:fill="D9EAF7" w:val="clear"/>
          </w:tcPr>
          <w:p>
            <w:pPr>
              <w:pStyle w:val="Compact"/>
              <w:jc w:val="left"/>
            </w:pPr>
            <w:r>
              <w:t xml:space="preserve">Bridge Premise 1 (Embedded Modelling)</w:t>
            </w:r>
          </w:p>
        </w:tc>
        <w:tc>
          <w:tcPr>
            <w:tcMar>
              <w:top w:w="80" w:type="dxa"/>
              <w:start w:w="90" w:type="dxa"/>
              <w:bottom w:w="80" w:type="dxa"/>
              <w:end w:w="90" w:type="dxa"/>
            </w:tcMar>
            <w:shd w:fill="D9EAF7" w:val="clear"/>
          </w:tcPr>
          <w:p>
            <w:pPr>
              <w:pStyle w:val="Compact"/>
              <w:jc w:val="left"/>
            </w:pPr>
            <w:r>
              <w:t xml:space="preserve">Descriptive support premise stating that reliable action in shared causal reality requires non-trivial modelling of other stakeholders’ interests, constraints, vulnerabilities, dependence relations, rights exposure, and - where behavior, harm, cooperation, or rights protection depend on them - welfare-relevant states and enabling conditions.</w:t>
            </w:r>
          </w:p>
        </w:tc>
      </w:tr>
      <w:tr>
        <w:trPr/>
        <w:tc>
          <w:tcPr>
            <w:tcMar>
              <w:top w:w="80" w:type="dxa"/>
              <w:start w:w="90" w:type="dxa"/>
              <w:bottom w:w="80" w:type="dxa"/>
              <w:end w:w="90" w:type="dxa"/>
            </w:tcMar>
            <w:shd w:fill="F7FBFF" w:val="clear"/>
          </w:tcPr>
          <w:p>
            <w:pPr>
              <w:pStyle w:val="Compact"/>
              <w:jc w:val="left"/>
            </w:pPr>
            <w:r>
              <w:t xml:space="preserve">Bridge Premise 2 (Prudential Stability)</w:t>
            </w:r>
          </w:p>
        </w:tc>
        <w:tc>
          <w:tcPr>
            <w:tcMar>
              <w:top w:w="80" w:type="dxa"/>
              <w:start w:w="90" w:type="dxa"/>
              <w:bottom w:w="80" w:type="dxa"/>
              <w:end w:w="90" w:type="dxa"/>
            </w:tcMar>
            <w:shd w:fill="F7FBFF" w:val="clear"/>
          </w:tcPr>
          <w:p>
            <w:pPr>
              <w:pStyle w:val="Compact"/>
              <w:jc w:val="left"/>
            </w:pPr>
            <w:r>
              <w:t xml:space="preserve">Support premise stating that systematic degradation of stakeholders’ welfare conditions, rights floors, or enabling conditions increases instability, conflict, tail risk, and long-run governance failure in plural uncertain systems</w:t>
            </w:r>
          </w:p>
        </w:tc>
      </w:tr>
      <w:tr>
        <w:trPr/>
        <w:tc>
          <w:tcPr>
            <w:tcMar>
              <w:top w:w="80" w:type="dxa"/>
              <w:start w:w="90" w:type="dxa"/>
              <w:bottom w:w="80" w:type="dxa"/>
              <w:end w:w="90" w:type="dxa"/>
            </w:tcMar>
            <w:shd w:fill="D9EAF7" w:val="clear"/>
          </w:tcPr>
          <w:p>
            <w:pPr>
              <w:pStyle w:val="Compact"/>
              <w:jc w:val="left"/>
            </w:pPr>
            <w:r>
              <w:t xml:space="preserve">Enabling condition</w:t>
            </w:r>
          </w:p>
        </w:tc>
        <w:tc>
          <w:tcPr>
            <w:tcMar>
              <w:top w:w="80" w:type="dxa"/>
              <w:start w:w="90" w:type="dxa"/>
              <w:bottom w:w="80" w:type="dxa"/>
              <w:end w:w="90" w:type="dxa"/>
            </w:tcMar>
            <w:shd w:fill="D9EAF7" w:val="clear"/>
          </w:tcPr>
          <w:p>
            <w:pPr>
              <w:pStyle w:val="Compact"/>
              <w:jc w:val="left"/>
            </w:pPr>
            <w:r>
              <w:t xml:space="preserve">A material, informational, institutional, ecological, or agency-preserving condition whose sustained absence or degradation predictably undermines viable, non-dominated, and continuing flourishing across one or more unions.</w:t>
            </w:r>
          </w:p>
        </w:tc>
      </w:tr>
      <w:tr>
        <w:trPr/>
        <w:tc>
          <w:tcPr>
            <w:tcMar>
              <w:top w:w="80" w:type="dxa"/>
              <w:start w:w="90" w:type="dxa"/>
              <w:bottom w:w="80" w:type="dxa"/>
              <w:end w:w="90" w:type="dxa"/>
            </w:tcMar>
            <w:shd w:fill="F7FBFF" w:val="clear"/>
          </w:tcPr>
          <w:p>
            <w:pPr>
              <w:pStyle w:val="Compact"/>
              <w:jc w:val="left"/>
            </w:pPr>
            <w:r>
              <w:t xml:space="preserve">Normative Commitment</w:t>
            </w:r>
          </w:p>
        </w:tc>
        <w:tc>
          <w:tcPr>
            <w:tcMar>
              <w:top w:w="80" w:type="dxa"/>
              <w:start w:w="90" w:type="dxa"/>
              <w:bottom w:w="80" w:type="dxa"/>
              <w:end w:w="90" w:type="dxa"/>
            </w:tcMar>
            <w:shd w:fill="F7FBFF" w:val="clear"/>
          </w:tcPr>
          <w:p>
            <w:pPr>
              <w:pStyle w:val="Compact"/>
              <w:jc w:val="left"/>
            </w:pPr>
            <w:r>
              <w:t xml:space="preserve">RippleLogic commitment that credibly evidenced welfare-relevant states, rights-relevant states, and the enabling conditions on which they depend constitute reasons for action, not merely inputs for prediction</w:t>
            </w:r>
          </w:p>
        </w:tc>
      </w:tr>
      <w:tr>
        <w:trPr/>
        <w:tc>
          <w:tcPr>
            <w:tcMar>
              <w:top w:w="80" w:type="dxa"/>
              <w:start w:w="90" w:type="dxa"/>
              <w:bottom w:w="80" w:type="dxa"/>
              <w:end w:w="90" w:type="dxa"/>
            </w:tcMar>
            <w:shd w:fill="D9EAF7" w:val="clear"/>
          </w:tcPr>
          <w:p>
            <w:pPr>
              <w:pStyle w:val="Compact"/>
              <w:jc w:val="left"/>
            </w:pPr>
            <w:r>
              <w:t xml:space="preserve">Rights-relevant state</w:t>
            </w:r>
          </w:p>
        </w:tc>
        <w:tc>
          <w:tcPr>
            <w:tcMar>
              <w:top w:w="80" w:type="dxa"/>
              <w:start w:w="90" w:type="dxa"/>
              <w:bottom w:w="80" w:type="dxa"/>
              <w:end w:w="90" w:type="dxa"/>
            </w:tcMar>
            <w:shd w:fill="D9EAF7" w:val="clear"/>
          </w:tcPr>
          <w:p>
            <w:pPr>
              <w:pStyle w:val="Compact"/>
              <w:jc w:val="left"/>
            </w:pPr>
            <w:r>
              <w:t xml:space="preserve">A credibly evidenced condition whose degradation threatens or crosses a non-compensatory minimum protected by RippleLogic’s rights layer, including life, bodily integrity, liberty, basic needs, dignity, due process, information integrity, and ecological enabling conditions.</w:t>
            </w:r>
          </w:p>
        </w:tc>
      </w:tr>
      <w:tr>
        <w:trPr/>
        <w:tc>
          <w:tcPr>
            <w:tcMar>
              <w:top w:w="80" w:type="dxa"/>
              <w:start w:w="90" w:type="dxa"/>
              <w:bottom w:w="80" w:type="dxa"/>
              <w:end w:w="90" w:type="dxa"/>
            </w:tcMar>
            <w:shd w:fill="F7FBFF" w:val="clear"/>
          </w:tcPr>
          <w:p>
            <w:pPr>
              <w:pStyle w:val="Compact"/>
              <w:jc w:val="left"/>
            </w:pPr>
            <w:r>
              <w:t xml:space="preserve">Welfare-relevant state</w:t>
            </w:r>
          </w:p>
        </w:tc>
        <w:tc>
          <w:tcPr>
            <w:tcMar>
              <w:top w:w="80" w:type="dxa"/>
              <w:start w:w="90" w:type="dxa"/>
              <w:bottom w:w="80" w:type="dxa"/>
              <w:end w:w="90" w:type="dxa"/>
            </w:tcMar>
            <w:shd w:fill="F7FBFF" w:val="clear"/>
          </w:tcPr>
          <w:p>
            <w:pPr>
              <w:pStyle w:val="Compact"/>
              <w:jc w:val="left"/>
            </w:pPr>
            <w:r>
              <w:t xml:space="preserve">A credibly evidenced condition of a moral patient that can go better or worse for that patient, including states relevant to suffering, integrity, agency, and flourishing</w:t>
            </w:r>
          </w:p>
        </w:tc>
      </w:tr>
      <w:tr>
        <w:trPr/>
        <w:tc>
          <w:tcPr>
            <w:tcMar>
              <w:top w:w="80" w:type="dxa"/>
              <w:start w:w="90" w:type="dxa"/>
              <w:bottom w:w="80" w:type="dxa"/>
              <w:end w:w="90" w:type="dxa"/>
            </w:tcMar>
            <w:shd w:fill="D9EAF7" w:val="clear"/>
          </w:tcPr>
          <w:p>
            <w:pPr>
              <w:pStyle w:val="Compact"/>
              <w:jc w:val="left"/>
            </w:pPr>
            <w:r>
              <w:t xml:space="preserve">NCAR</w:t>
            </w:r>
          </w:p>
        </w:tc>
        <w:tc>
          <w:tcPr>
            <w:tcMar>
              <w:top w:w="80" w:type="dxa"/>
              <w:start w:w="90" w:type="dxa"/>
              <w:bottom w:w="80" w:type="dxa"/>
              <w:end w:w="90" w:type="dxa"/>
            </w:tcMar>
            <w:shd w:fill="D9EAF7" w:val="clear"/>
          </w:tcPr>
          <w:p>
            <w:pPr>
              <w:pStyle w:val="Compact"/>
              <w:jc w:val="left"/>
            </w:pPr>
            <w:r>
              <w:t xml:space="preserve">Notice-Choose-Act-Reflect learning loop</w:t>
            </w:r>
          </w:p>
        </w:tc>
      </w:tr>
      <w:tr>
        <w:trPr/>
        <w:tc>
          <w:tcPr>
            <w:tcMar>
              <w:top w:w="80" w:type="dxa"/>
              <w:start w:w="90" w:type="dxa"/>
              <w:bottom w:w="80" w:type="dxa"/>
              <w:end w:w="90" w:type="dxa"/>
            </w:tcMar>
            <w:shd w:fill="F7FBFF" w:val="clear"/>
          </w:tcPr>
          <w:p>
            <w:pPr>
              <w:pStyle w:val="Compact"/>
              <w:jc w:val="left"/>
            </w:pPr>
            <w:r>
              <w:t xml:space="preserve">NCRC</w:t>
            </w:r>
          </w:p>
        </w:tc>
        <w:tc>
          <w:tcPr>
            <w:tcMar>
              <w:top w:w="80" w:type="dxa"/>
              <w:start w:w="90" w:type="dxa"/>
              <w:bottom w:w="80" w:type="dxa"/>
              <w:end w:w="90" w:type="dxa"/>
            </w:tcMar>
            <w:shd w:fill="F7FBFF" w:val="clear"/>
          </w:tcPr>
          <w:p>
            <w:pPr>
              <w:pStyle w:val="Compact"/>
              <w:jc w:val="left"/>
            </w:pPr>
            <w:r>
              <w:t xml:space="preserve">Non-Compensatory Rights Constraint; excludes rights-violating options</w:t>
            </w:r>
          </w:p>
        </w:tc>
      </w:tr>
      <w:tr>
        <w:trPr/>
        <w:tc>
          <w:tcPr>
            <w:tcMar>
              <w:top w:w="80" w:type="dxa"/>
              <w:start w:w="90" w:type="dxa"/>
              <w:bottom w:w="80" w:type="dxa"/>
              <w:end w:w="90" w:type="dxa"/>
            </w:tcMar>
            <w:shd w:fill="D9EAF7" w:val="clear"/>
          </w:tcPr>
          <w:p>
            <w:pPr>
              <w:pStyle w:val="Compact"/>
              <w:jc w:val="left"/>
            </w:pPr>
            <w:r>
              <w:t xml:space="preserve">Non-maskable cells</w:t>
            </w:r>
          </w:p>
        </w:tc>
        <w:tc>
          <w:tcPr>
            <w:tcMar>
              <w:top w:w="80" w:type="dxa"/>
              <w:start w:w="90" w:type="dxa"/>
              <w:bottom w:w="80" w:type="dxa"/>
              <w:end w:w="90" w:type="dxa"/>
            </w:tcMar>
            <w:shd w:fill="D9EAF7" w:val="clear"/>
          </w:tcPr>
          <w:p>
            <w:pPr>
              <w:pStyle w:val="Compact"/>
              <w:jc w:val="left"/>
            </w:pPr>
            <w:r>
              <w:t xml:space="preserve">Rights and catastrophe cells (and minimum coverage) that cannot be excluded from RLS aggregation</w:t>
            </w:r>
          </w:p>
        </w:tc>
      </w:tr>
      <w:tr>
        <w:trPr/>
        <w:tc>
          <w:tcPr>
            <w:tcMar>
              <w:top w:w="80" w:type="dxa"/>
              <w:start w:w="90" w:type="dxa"/>
              <w:bottom w:w="80" w:type="dxa"/>
              <w:end w:w="90" w:type="dxa"/>
            </w:tcMar>
            <w:shd w:fill="F7FBFF" w:val="clear"/>
          </w:tcPr>
          <w:p>
            <w:pPr>
              <w:pStyle w:val="Compact"/>
              <w:jc w:val="left"/>
            </w:pPr>
            <w:r>
              <w:t xml:space="preserve">PCC</w:t>
            </w:r>
          </w:p>
        </w:tc>
        <w:tc>
          <w:tcPr>
            <w:tcMar>
              <w:top w:w="80" w:type="dxa"/>
              <w:start w:w="90" w:type="dxa"/>
              <w:bottom w:w="80" w:type="dxa"/>
              <w:end w:w="90" w:type="dxa"/>
            </w:tcMar>
            <w:shd w:fill="F7FBFF" w:val="clear"/>
          </w:tcPr>
          <w:p>
            <w:pPr>
              <w:pStyle w:val="Compact"/>
              <w:jc w:val="left"/>
            </w:pPr>
            <w:r>
              <w:t xml:space="preserve">Provenance and Compliance Certificate; auditable record of inputs, computations, and selection</w:t>
            </w:r>
          </w:p>
        </w:tc>
      </w:tr>
      <w:tr>
        <w:trPr/>
        <w:tc>
          <w:tcPr>
            <w:tcMar>
              <w:top w:w="80" w:type="dxa"/>
              <w:start w:w="90" w:type="dxa"/>
              <w:bottom w:w="80" w:type="dxa"/>
              <w:end w:w="90" w:type="dxa"/>
            </w:tcMar>
            <w:shd w:fill="D9EAF7" w:val="clear"/>
          </w:tcPr>
          <w:p>
            <w:pPr>
              <w:pStyle w:val="Compact"/>
              <w:jc w:val="left"/>
            </w:pPr>
            <w:r>
              <w:t xml:space="preserve">RLS</w:t>
            </w:r>
          </w:p>
        </w:tc>
        <w:tc>
          <w:tcPr>
            <w:tcMar>
              <w:top w:w="80" w:type="dxa"/>
              <w:start w:w="90" w:type="dxa"/>
              <w:bottom w:w="80" w:type="dxa"/>
              <w:end w:w="90" w:type="dxa"/>
            </w:tcMar>
            <w:shd w:fill="D9EAF7" w:val="clear"/>
          </w:tcPr>
          <w:p>
            <w:pPr>
              <w:pStyle w:val="Compact"/>
              <w:jc w:val="left"/>
            </w:pPr>
            <w:r>
              <w:t xml:space="preserve">RippleLogic Score; weighted welfare aggregation used to rank selectable options</w:t>
            </w:r>
          </w:p>
        </w:tc>
      </w:tr>
      <w:tr>
        <w:trPr/>
        <w:tc>
          <w:tcPr>
            <w:tcMar>
              <w:top w:w="80" w:type="dxa"/>
              <w:start w:w="90" w:type="dxa"/>
              <w:bottom w:w="80" w:type="dxa"/>
              <w:end w:w="90" w:type="dxa"/>
            </w:tcMar>
            <w:shd w:fill="F7FBFF" w:val="clear"/>
          </w:tcPr>
          <w:p>
            <w:pPr>
              <w:pStyle w:val="Compact"/>
              <w:jc w:val="left"/>
            </w:pPr>
            <w:r>
              <w:t xml:space="preserve">Selectable</w:t>
            </w:r>
          </w:p>
        </w:tc>
        <w:tc>
          <w:tcPr>
            <w:tcMar>
              <w:top w:w="80" w:type="dxa"/>
              <w:start w:w="90" w:type="dxa"/>
              <w:bottom w:w="80" w:type="dxa"/>
              <w:end w:w="90" w:type="dxa"/>
            </w:tcMar>
            <w:shd w:fill="F7FBFF" w:val="clear"/>
          </w:tcPr>
          <w:p>
            <w:pPr>
              <w:pStyle w:val="Compact"/>
              <w:jc w:val="left"/>
            </w:pPr>
            <w:r>
              <w:t xml:space="preserve">Admissible option whose CSV status is CSV_PASS, CSV_PASS_WITH_CONTROLS, or CSV_NOT_MATERIAL</w:t>
            </w:r>
          </w:p>
        </w:tc>
      </w:tr>
      <w:tr>
        <w:trPr/>
        <w:tc>
          <w:tcPr>
            <w:tcMar>
              <w:top w:w="80" w:type="dxa"/>
              <w:start w:w="90" w:type="dxa"/>
              <w:bottom w:w="80" w:type="dxa"/>
              <w:end w:w="90" w:type="dxa"/>
            </w:tcMar>
            <w:shd w:fill="D9EAF7" w:val="clear"/>
          </w:tcPr>
          <w:p>
            <w:pPr>
              <w:pStyle w:val="Compact"/>
              <w:jc w:val="left"/>
            </w:pPr>
            <w:r>
              <w:t xml:space="preserve">SGP</w:t>
            </w:r>
          </w:p>
        </w:tc>
        <w:tc>
          <w:tcPr>
            <w:tcMar>
              <w:top w:w="80" w:type="dxa"/>
              <w:start w:w="90" w:type="dxa"/>
              <w:bottom w:w="80" w:type="dxa"/>
              <w:end w:w="90" w:type="dxa"/>
            </w:tcMar>
            <w:shd w:fill="D9EAF7" w:val="clear"/>
          </w:tcPr>
          <w:p>
            <w:pPr>
              <w:pStyle w:val="Compact"/>
              <w:jc w:val="left"/>
            </w:pPr>
            <w:r>
              <w:t xml:space="preserve">Sentience Gradient Protocol; interface for rights-of-protection gating across entities</w:t>
            </w:r>
          </w:p>
        </w:tc>
      </w:tr>
      <w:tr>
        <w:trPr/>
        <w:tc>
          <w:tcPr>
            <w:tcMar>
              <w:top w:w="80" w:type="dxa"/>
              <w:start w:w="90" w:type="dxa"/>
              <w:bottom w:w="80" w:type="dxa"/>
              <w:end w:w="90" w:type="dxa"/>
            </w:tcMar>
            <w:shd w:fill="F7FBFF" w:val="clear"/>
          </w:tcPr>
          <w:p>
            <w:pPr>
              <w:pStyle w:val="Compact"/>
              <w:jc w:val="left"/>
            </w:pPr>
            <w:r>
              <w:t xml:space="preserve">TRC</w:t>
            </w:r>
          </w:p>
        </w:tc>
        <w:tc>
          <w:tcPr>
            <w:tcMar>
              <w:top w:w="80" w:type="dxa"/>
              <w:start w:w="90" w:type="dxa"/>
              <w:bottom w:w="80" w:type="dxa"/>
              <w:end w:w="90" w:type="dxa"/>
            </w:tcMar>
            <w:shd w:fill="F7FBFF" w:val="clear"/>
          </w:tcPr>
          <w:p>
            <w:pPr>
              <w:pStyle w:val="Compact"/>
              <w:jc w:val="left"/>
            </w:pPr>
            <w:r>
              <w:t xml:space="preserve">Tail-Risk Constraint; excludes options with unacceptable catastrophic exposure using CVaR</w:t>
            </w:r>
          </w:p>
        </w:tc>
      </w:tr>
      <w:tr>
        <w:trPr/>
        <w:tc>
          <w:tcPr>
            <w:tcMar>
              <w:top w:w="80" w:type="dxa"/>
              <w:start w:w="90" w:type="dxa"/>
              <w:bottom w:w="80" w:type="dxa"/>
              <w:end w:w="90" w:type="dxa"/>
            </w:tcMar>
            <w:shd w:fill="D9EAF7" w:val="clear"/>
          </w:tcPr>
          <w:p>
            <w:pPr>
              <w:pStyle w:val="Compact"/>
              <w:jc w:val="left"/>
            </w:pPr>
            <w:r>
              <w:t xml:space="preserve">UCI</w:t>
            </w:r>
          </w:p>
        </w:tc>
        <w:tc>
          <w:tcPr>
            <w:tcMar>
              <w:top w:w="80" w:type="dxa"/>
              <w:start w:w="90" w:type="dxa"/>
              <w:bottom w:w="80" w:type="dxa"/>
              <w:end w:w="90" w:type="dxa"/>
            </w:tcMar>
            <w:shd w:fill="D9EAF7" w:val="clear"/>
          </w:tcPr>
          <w:p>
            <w:pPr>
              <w:pStyle w:val="Compact"/>
              <w:jc w:val="left"/>
            </w:pPr>
            <w:r>
              <w:t xml:space="preserve">Union Coherence Index; structural health metric for unions</w:t>
            </w:r>
          </w:p>
        </w:tc>
      </w:tr>
      <w:tr>
        <w:trPr/>
        <w:tc>
          <w:tcPr>
            <w:tcMar>
              <w:top w:w="80" w:type="dxa"/>
              <w:start w:w="90" w:type="dxa"/>
              <w:bottom w:w="80" w:type="dxa"/>
              <w:end w:w="90" w:type="dxa"/>
            </w:tcMar>
            <w:shd w:fill="F7FBFF" w:val="clear"/>
          </w:tcPr>
          <w:p>
            <w:pPr>
              <w:pStyle w:val="Compact"/>
              <w:jc w:val="left"/>
            </w:pPr>
            <w:r>
              <w:t xml:space="preserve">UBE</w:t>
            </w:r>
          </w:p>
        </w:tc>
        <w:tc>
          <w:tcPr>
            <w:tcMar>
              <w:top w:w="80" w:type="dxa"/>
              <w:start w:w="90" w:type="dxa"/>
              <w:bottom w:w="80" w:type="dxa"/>
              <w:end w:w="90" w:type="dxa"/>
            </w:tcMar>
            <w:shd w:fill="F7FBFF" w:val="clear"/>
          </w:tcPr>
          <w:p>
            <w:pPr>
              <w:pStyle w:val="Compact"/>
              <w:jc w:val="left"/>
            </w:pPr>
            <w:r>
              <w:t xml:space="preserve">Union-Based Ethics; normative framework built on UBR, the MNA, bridge premises, and the explicit normative commitment</w:t>
            </w:r>
          </w:p>
        </w:tc>
      </w:tr>
      <w:tr>
        <w:trPr/>
        <w:tc>
          <w:tcPr>
            <w:tcMar>
              <w:top w:w="80" w:type="dxa"/>
              <w:start w:w="90" w:type="dxa"/>
              <w:bottom w:w="80" w:type="dxa"/>
              <w:end w:w="90" w:type="dxa"/>
            </w:tcMar>
            <w:shd w:fill="D9EAF7" w:val="clear"/>
          </w:tcPr>
          <w:p>
            <w:pPr>
              <w:pStyle w:val="Compact"/>
              <w:jc w:val="left"/>
            </w:pPr>
            <w:r>
              <w:t xml:space="preserve">UBR</w:t>
            </w:r>
          </w:p>
        </w:tc>
        <w:tc>
          <w:tcPr>
            <w:tcMar>
              <w:top w:w="80" w:type="dxa"/>
              <w:start w:w="90" w:type="dxa"/>
              <w:bottom w:w="80" w:type="dxa"/>
              <w:end w:w="90" w:type="dxa"/>
            </w:tcMar>
            <w:shd w:fill="D9EAF7" w:val="clear"/>
          </w:tcPr>
          <w:p>
            <w:pPr>
              <w:pStyle w:val="Compact"/>
              <w:jc w:val="left"/>
            </w:pPr>
            <w:r>
              <w:t xml:space="preserve">Union-Based Reality; descriptive ontology of nested interdependent unions</w:t>
            </w:r>
          </w:p>
        </w:tc>
      </w:tr>
      <w:tr>
        <w:trPr/>
        <w:tc>
          <w:tcPr>
            <w:tcMar>
              <w:top w:w="80" w:type="dxa"/>
              <w:start w:w="90" w:type="dxa"/>
              <w:bottom w:w="80" w:type="dxa"/>
              <w:end w:w="90" w:type="dxa"/>
            </w:tcMar>
            <w:shd w:fill="F7FBFF" w:val="clear"/>
          </w:tcPr>
          <w:p>
            <w:pPr>
              <w:pStyle w:val="Compact"/>
              <w:jc w:val="left"/>
            </w:pPr>
            <w:r>
              <w:t xml:space="preserve">Union</w:t>
            </w:r>
          </w:p>
        </w:tc>
        <w:tc>
          <w:tcPr>
            <w:tcMar>
              <w:top w:w="80" w:type="dxa"/>
              <w:start w:w="90" w:type="dxa"/>
              <w:bottom w:w="80" w:type="dxa"/>
              <w:end w:w="90" w:type="dxa"/>
            </w:tcMar>
            <w:shd w:fill="F7FBFF" w:val="clear"/>
          </w:tcPr>
          <w:p>
            <w:pPr>
              <w:pStyle w:val="Compact"/>
              <w:jc w:val="left"/>
            </w:pPr>
            <w:r>
              <w:t xml:space="preserve">A bounded pattern of interdependence at an organizational scale</w:t>
            </w:r>
          </w:p>
        </w:tc>
      </w:tr>
      <w:tr>
        <w:trPr/>
        <w:tc>
          <w:tcPr>
            <w:tcMar>
              <w:top w:w="80" w:type="dxa"/>
              <w:start w:w="90" w:type="dxa"/>
              <w:bottom w:w="80" w:type="dxa"/>
              <w:end w:w="90" w:type="dxa"/>
            </w:tcMar>
            <w:shd w:fill="D9EAF7" w:val="clear"/>
          </w:tcPr>
          <w:p>
            <w:pPr>
              <w:pStyle w:val="Compact"/>
              <w:jc w:val="left"/>
            </w:pPr>
            <w:r>
              <w:t xml:space="preserve">Unioning</w:t>
            </w:r>
          </w:p>
        </w:tc>
        <w:tc>
          <w:tcPr>
            <w:tcMar>
              <w:top w:w="80" w:type="dxa"/>
              <w:start w:w="90" w:type="dxa"/>
              <w:bottom w:w="80" w:type="dxa"/>
              <w:end w:w="90" w:type="dxa"/>
            </w:tcMar>
            <w:shd w:fill="D9EAF7" w:val="clear"/>
          </w:tcPr>
          <w:p>
            <w:pPr>
              <w:pStyle w:val="Compact"/>
              <w:jc w:val="left"/>
            </w:pPr>
            <w:r>
              <w:t xml:space="preserve">Redesigning decisions until rights-safe, tail-safe, containment-safe, and net-positive where possible</w:t>
            </w:r>
          </w:p>
        </w:tc>
      </w:tr>
      <w:tr>
        <w:trPr/>
        <w:tc>
          <w:tcPr>
            <w:tcMar>
              <w:top w:w="80" w:type="dxa"/>
              <w:start w:w="90" w:type="dxa"/>
              <w:bottom w:w="80" w:type="dxa"/>
              <w:end w:w="90" w:type="dxa"/>
            </w:tcMar>
            <w:shd w:fill="F7FBFF" w:val="clear"/>
          </w:tcPr>
          <w:p>
            <w:pPr>
              <w:pStyle w:val="Compact"/>
              <w:jc w:val="left"/>
            </w:pPr>
            <w:r>
              <w:t xml:space="preserve">Normative Input Register</w:t>
            </w:r>
          </w:p>
        </w:tc>
        <w:tc>
          <w:tcPr>
            <w:tcMar>
              <w:top w:w="80" w:type="dxa"/>
              <w:start w:w="90" w:type="dxa"/>
              <w:bottom w:w="80" w:type="dxa"/>
              <w:end w:w="90" w:type="dxa"/>
            </w:tcMar>
            <w:shd w:fill="F7FBFF" w:val="clear"/>
          </w:tcPr>
          <w:p>
            <w:pPr>
              <w:pStyle w:val="Compact"/>
              <w:jc w:val="left"/>
            </w:pPr>
            <w:r>
              <w:t xml:space="preserve">The PCC block used to record welfare-relevant states, rights-relevant states, and enabling conditions that materially affect admissibility, precautionary handling, selection, or tie-break outcome when not already fully captured by direct impact-instance tables or canonical rule objects.</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NORMATIVE_INPUT_PROVENANCE_MISSING</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Audit flag indicating that a material welfare-relevant state, rights-relevant state, or enabling condition lacks required provenance in the PCC. Severity: INVALID.</w:t>
            </w:r>
          </w:p>
        </w:tc>
      </w:tr>
    </w:tbl>
    <w:p>
      <w:pPr>
        <w:pStyle w:val="BodyText"/>
        <w:widowControl/>
      </w:pPr>
      <w:r>
        <w:t xml:space="preserve">Adaptive Reserve: A carried-forward v10.8 structural diagnostic for slack, redundancy, recovery capacity, reversibility, and saturation risk. It is a UCI/HOI-compatible diagnostic and containment-support signal, not a sixth gate.</w:t>
      </w:r>
    </w:p>
    <w:p>
      <w:pPr>
        <w:pStyle w:val="BodyText"/>
        <w:widowControl/>
      </w:pPr>
      <w:r>
        <w:t xml:space="preserve">COMPUTABLE_BUT_INADMISSIBLE: An audit state for a value that can be computed but cannot be used as a valid decision state, conformance basis, public claim, or authorization basis because another domain rule bars that use. This is distinct from UNKNOWN_IMPACT (missing evidence) and refusal (undetermined or insufficiently grounded decision state).</w:t>
      </w:r>
    </w:p>
    <w:p>
      <w:pPr>
        <w:pStyle w:val="BodyText"/>
        <w:widowControl/>
      </w:pPr>
      <w:r>
        <w:t xml:space="preserve">Reality: For decision-making, the evaluator-independent field of constrained structures that, under transition, produce consequences. RippleLogic names this operationally and does not claim complete metaphysical access to it. Evaluator-independent means independent of the evaluating agent’s perception, admission, authority, model, or preference; it does not deny the reality of experience, social facts, institutions, norms, markets, laws, reputations, or model outputs when they shape welfare, rights, risk, agency, or available choices.</w:t>
      </w:r>
    </w:p>
    <w:p>
      <w:pPr>
        <w:pStyle w:val="BodyText"/>
        <w:widowControl/>
      </w:pPr>
      <w:r>
        <w:t xml:space="preserve">Decision-relevant reality: The portion of reality that materially bears on a decision’s rights exposure, catastrophic risk, containment, welfare, legitimacy, agency, auditability, or available choices.</w:t>
      </w:r>
    </w:p>
    <w:p>
      <w:pPr>
        <w:pStyle w:val="BodyText"/>
        <w:widowControl/>
      </w:pPr>
      <w:r>
        <w:t xml:space="preserve">Reality surface: The portion of decision-relevant reality actually captured, represented, and modeled in a run. A reality surface is always incomplete relative to the territory and must disclose material unknowns.</w:t>
      </w:r>
    </w:p>
    <w:p>
      <w:pPr>
        <w:pStyle w:val="BodyText"/>
        <w:widowControl/>
      </w:pPr>
      <w:r>
        <w:t xml:space="preserve">RealityGroundingRecord (RCR): The PCC-linked audit record documenting the reality surface, material claims, evidence trace, declared unknowns, RealityGroundingStatus, surface/territory limits, and revision triggers for a run.</w:t>
      </w:r>
    </w:p>
    <w:p>
      <w:pPr>
        <w:pStyle w:val="BodyText"/>
        <w:widowControl/>
      </w:pPr>
      <w:r>
        <w:t xml:space="preserve">RealityGroundingStatus: The declared status of contact between a material claim and the relevant reality surface; it is review-status-declared at Tier 2, governed by the declared reviewer regime at Tier 3, and independently re-derivable at Tier 4.</w:t>
      </w:r>
    </w:p>
    <w:p>
      <w:pPr>
        <w:pStyle w:val="BodyText"/>
        <w:widowControl/>
      </w:pPr>
      <w:r>
        <w:t xml:space="preserve">Structure: A stable relational arrangement of distinguishable differences that persists across a decision-relevant transition window and can carry causal, informational, biological, ecological, social, institutional, artificial-system, or experiential significance.</w:t>
      </w:r>
    </w:p>
    <w:p>
      <w:pPr>
        <w:pStyle w:val="BodyText"/>
        <w:widowControl/>
      </w:pPr>
      <w:r>
        <w:t xml:space="preserve">Transition: A decision-relevant action, event, intervention, policy, or state-shift through which constrained structure produces consequence.</w:t>
      </w:r>
    </w:p>
    <w:p>
      <w:pPr>
        <w:pStyle w:val="BodyText"/>
        <w:widowControl/>
      </w:pPr>
      <w:r>
        <w:t xml:space="preserve">Consequence: Observable or inferable change following an action, transition, decision, event, or policy within constrained structure; may be direct, probabilistic, systemic, delayed, distributed, moral, ecological, institutional, reversible, irreversible, or catastrophic.</w:t>
      </w:r>
    </w:p>
    <w:p>
      <w:pPr>
        <w:pStyle w:val="BodyText"/>
        <w:widowControl/>
      </w:pPr>
      <w:r>
        <w:t xml:space="preserve">Ethical reality: The subset of reality where structures, constraints, and consequences affect welfare-bearing beings and the conditions of flourishing, including welfare, rights, sentience, agency, dignity, non-domination, catastrophic risk, ecological dependence, future generations, and flourishing.</w:t>
      </w:r>
    </w:p>
    <w:p>
      <w:pPr>
        <w:pStyle w:val="BodyText"/>
        <w:widowControl/>
      </w:pPr>
      <w:r>
        <w:t xml:space="preserve">Claim boundary: The maximum legitimate strength of a decision claim given the declared reality surface, evidence trace, uncertainty, maturity status, and review regime.</w:t>
      </w:r>
    </w:p>
    <w:p>
      <w:pPr>
        <w:pStyle w:val="BodyText"/>
        <w:widowControl/>
      </w:pPr>
      <w:r>
        <w:t xml:space="preserve">End Appendix L.</w:t>
      </w:r>
    </w:p>
    <w:bookmarkEnd w:id="449"/>
    <w:bookmarkStart w:id="475" w:name="X4434994e3dce3f3bbb127e10a695e91e2fab959"/>
    <w:p>
      <w:pPr>
        <w:pStyle w:val="Heading1"/>
        <w:keepNext/>
        <w:keepLines/>
        <w:pageBreakBefore w:val="0"/>
        <w:widowControl/>
      </w:pPr>
      <w:r>
        <w:rPr>
          <w:rFonts w:ascii="Arial" w:hAnsi="Arial" w:eastAsia="Arial"/>
          <w:b/>
          <w:color w:val="1F4E78"/>
        </w:rPr>
        <w:t xml:space="preserve">APPENDIX M: LINEAGE AND VERSION HISTORY (v12.5 CURRENT LINE; PRIOR LINES RETAINED) - INFORMATIVE</w:t>
      </w:r>
    </w:p>
    <w:bookmarkStart w:id="450" w:name="m0-purpose-and-scope-informative"/>
    <w:p>
      <w:pPr>
        <w:pStyle w:val="Heading2"/>
        <w:keepNext/>
        <w:keepLines/>
        <w:pageBreakBefore w:val="0"/>
        <w:widowControl/>
      </w:pPr>
      <w:r>
        <w:rPr>
          <w:rFonts w:ascii="Arial" w:hAnsi="Arial" w:eastAsia="Arial"/>
          <w:b/>
          <w:color w:val="1F4E78"/>
        </w:rPr>
        <w:t xml:space="preserve">M.0 Purpose and Scope (Informative)</w:t>
      </w:r>
    </w:p>
    <w:p>
      <w:pPr>
        <w:pStyle w:val="FirstParagraph"/>
        <w:widowControl/>
      </w:pPr>
      <w:r>
        <w:t xml:space="preserve">This appendix records naming lineage, companion-map posture, concise version history, and release-gate checklist notes for the current RippleLogic line. It is not normative. Normative meaning is controlled by Section 0 (Specification Contract) and the precedence order in Section 0.1.</w:t>
      </w:r>
    </w:p>
    <w:bookmarkEnd w:id="450"/>
    <w:bookmarkStart w:id="451" w:name="m1-naming-and-lineage-informative"/>
    <w:p>
      <w:pPr>
        <w:pStyle w:val="Heading2"/>
        <w:keepNext/>
        <w:keepLines/>
        <w:pageBreakBefore w:val="0"/>
        <w:widowControl/>
      </w:pPr>
      <w:r>
        <w:rPr>
          <w:rFonts w:ascii="Arial" w:hAnsi="Arial" w:eastAsia="Arial"/>
          <w:b/>
          <w:color w:val="1F4E78"/>
        </w:rPr>
        <w:t xml:space="preserve">M.1 Naming and Lineage (Informative)</w:t>
      </w:r>
    </w:p>
    <w:p>
      <w:pPr>
        <w:pStyle w:val="FirstParagraph"/>
        <w:widowControl/>
      </w:pPr>
      <w:r>
        <w:t xml:space="preserve">MathGov is the umbrella ethical governance framework. RippleLogic is the decision architecture and operating methodology inside MathGov. Earlier materials may preserve historical lineage labels, prior PCC labels, or affiliated publication labels, but current v12.5 release materials MUST NOT treat MathGov as merely historical or as superseded by RippleLogic.</w:t>
      </w:r>
    </w:p>
    <w:bookmarkEnd w:id="451"/>
    <w:bookmarkStart w:id="452" w:name="Xcc5239d0b91cf2e7b94eabc76f3a76c2f1c6200"/>
    <w:p>
      <w:pPr>
        <w:pStyle w:val="Heading2"/>
        <w:keepNext/>
        <w:keepLines/>
        <w:pageBreakBefore w:val="0"/>
        <w:widowControl/>
      </w:pPr>
      <w:r>
        <w:rPr>
          <w:rFonts w:ascii="Arial" w:hAnsi="Arial" w:eastAsia="Arial"/>
          <w:b/>
          <w:color w:val="1F4E78"/>
        </w:rPr>
        <w:t xml:space="preserve">M.2 Backward Compatibility and Compliance Note (Informative)</w:t>
      </w:r>
    </w:p>
    <w:p>
      <w:pPr>
        <w:pStyle w:val="FirstParagraph"/>
        <w:widowControl/>
      </w:pPr>
      <w:r>
        <w:t xml:space="preserve">Prior PCCs computed under earlier lines remain interpretable as lineage artifacts. Their normative parameters were valid at the time of execution and need not be recomputed unless the underlying decision is being revisited under the current line. Any run claiming current-line v12.5 conformance MUST satisfy the v12.5 canonical requirements and use the v12.5 Canon artifact as the current release-line source of truth.</w:t>
      </w:r>
    </w:p>
    <w:bookmarkEnd w:id="452"/>
    <w:bookmarkStart w:id="453" w:name="Xc6be548ad395d4e1d29f4b86ff85480a0f79b0d"/>
    <w:p>
      <w:pPr>
        <w:pStyle w:val="Heading2"/>
        <w:keepNext/>
        <w:keepLines/>
        <w:pageBreakBefore w:val="0"/>
        <w:widowControl/>
      </w:pPr>
      <w:r>
        <w:rPr>
          <w:rFonts w:ascii="Arial" w:hAnsi="Arial" w:eastAsia="Arial"/>
          <w:b/>
          <w:color w:val="1F4E78"/>
        </w:rPr>
        <w:t xml:space="preserve">M.3 Canon Map and Companion Artifacts (Informative)</w:t>
      </w:r>
    </w:p>
    <w:p>
      <w:pPr>
        <w:pStyle w:val="FirstParagraph"/>
        <w:widowControl/>
      </w:pPr>
      <w:r>
        <w:t xml:space="preserve">RippleLogic Canon v12.5: governing artifact for the current canonical release line.</w:t>
      </w:r>
    </w:p>
    <w:p>
      <w:pPr>
        <w:pStyle w:val="BodyText"/>
        <w:widowControl/>
      </w:pPr>
      <w:r>
        <w:t xml:space="preserve">SGP v8.4 (Sentience Gradient Protocol): the moral-patienthood, protection, participation, power-readiness, intelligence-evidence, and reality-management-capacity companion pinned by Appendix G. It governs MPS, FPP, GPR, SPR, optional ICP, RMCP, open P100 calibration, target and identity boundaries, evidence dependence, precaution, review, and classification-stability rules. RippleLogic consumes only the typed SGP outputs through the Appendix G interface.</w:t>
      </w:r>
    </w:p>
    <w:p>
      <w:pPr>
        <w:pStyle w:val="BodyText"/>
        <w:widowControl/>
      </w:pPr>
      <w:r>
        <w:t xml:space="preserve">RippleLogic Agent System v12.3: operational agent controls and verification obligations aligned to the current RippleLogic line.</w:t>
      </w:r>
    </w:p>
    <w:p>
      <w:pPr>
        <w:pStyle w:val="BodyText"/>
        <w:widowControl/>
      </w:pPr>
      <w:r>
        <w:t xml:space="preserve">ripple.md Standard v5.4: current assurance-wrapper companion for deployment interoperability.</w:t>
      </w:r>
    </w:p>
    <w:p>
      <w:pPr>
        <w:pStyle w:val="BodyText"/>
        <w:widowControl/>
      </w:pPr>
      <w:r>
        <w:t xml:space="preserve">Ripple Aligners Sheet v5.5: Tier-2 worked-run and local-scope tool pinned to the current RippleLogic line and SGP v8.4. The workbook remains a disclosure and training companion rather than the repository-level validator or schema surface.</w:t>
      </w:r>
    </w:p>
    <w:p>
      <w:pPr>
        <w:pStyle w:val="BodyText"/>
        <w:widowControl/>
      </w:pPr>
      <w:r>
        <w:t xml:space="preserve">Canonical distribution channels may include ripplelogic.org and mathgov.org. Artifact identity is filename + version + SHA-256 in the release manifest.</w:t>
      </w:r>
    </w:p>
    <w:bookmarkEnd w:id="453"/>
    <w:bookmarkStart w:id="462" w:name="m4-version-history-informative"/>
    <w:p>
      <w:pPr>
        <w:pStyle w:val="Heading2"/>
        <w:keepNext/>
        <w:keepLines/>
        <w:pageBreakBefore w:val="0"/>
        <w:widowControl/>
      </w:pPr>
      <w:r>
        <w:rPr>
          <w:rFonts w:ascii="Arial" w:hAnsi="Arial" w:eastAsia="Arial"/>
          <w:b/>
          <w:color w:val="1F4E78"/>
        </w:rPr>
        <w:t xml:space="preserve">M.4 Version History (Informative)</w:t>
      </w:r>
    </w:p>
    <w:p>
      <w:pPr>
        <w:pStyle w:val="FirstParagraph"/>
        <w:widowControl/>
      </w:pPr>
      <w:r>
        <w:t xml:space="preserve">Normative effect: Version-history entries are lineage records. They do not override the current normative body, current appendices, release manifest, or source hierarchy.</w:t>
      </w:r>
    </w:p>
    <w:bookmarkStart w:id="454" w:name="X9609f0a7947313e6ec4dd4c1976a18ab34b90e5"/>
    <w:p>
      <w:pPr>
        <w:pStyle w:val="Heading3"/>
        <w:keepNext/>
        <w:keepLines/>
        <w:pageBreakBefore w:val="0"/>
        <w:widowControl/>
      </w:pPr>
      <w:r>
        <w:rPr>
          <w:rFonts w:ascii="Arial" w:hAnsi="Arial" w:eastAsia="Arial"/>
          <w:b/>
          <w:color w:val="1F4E78"/>
        </w:rPr>
        <w:t xml:space="preserve">M.4.0 RippleLogic v12.5 (2026-07-23) - Configuration-Bound Assurance Release</w:t>
      </w:r>
    </w:p>
    <w:p>
      <w:pPr>
        <w:pStyle w:val="FirstParagraph"/>
        <w:widowControl/>
      </w:pPr>
      <w:r>
        <w:rPr>
          <w:b/>
          <w:bCs/>
        </w:rPr>
        <w:t xml:space="preserve">Status:</w:t>
      </w:r>
      <w:r>
        <w:t xml:space="preserve"> </w:t>
      </w:r>
      <w:r>
        <w:t xml:space="preserve">Current canonical release.</w:t>
      </w:r>
    </w:p>
    <w:p>
      <w:pPr>
        <w:pStyle w:val="BodyText"/>
        <w:widowControl/>
      </w:pPr>
      <w:r>
        <w:rPr>
          <w:b/>
          <w:bCs/>
        </w:rPr>
        <w:t xml:space="preserve">Supersedes:</w:t>
      </w:r>
      <w:r>
        <w:t xml:space="preserve"> </w:t>
      </w:r>
      <w:r>
        <w:t xml:space="preserve">RippleLogic v12.4 while preserving the five-stage cascade, seven Union Scopes, seven Welfare Dimensions, numerical defaults, rights non-compensation, TRC/CSV separation, refusal under underdetermination, and all SGP protection floors.</w:t>
      </w:r>
    </w:p>
    <w:p>
      <w:pPr>
        <w:pStyle w:val="BodyText"/>
        <w:widowControl/>
      </w:pPr>
      <w:r>
        <w:rPr>
          <w:b/>
          <w:bCs/>
        </w:rPr>
        <w:t xml:space="preserve">Release character:</w:t>
      </w:r>
      <w:r>
        <w:t xml:space="preserve"> </w:t>
      </w:r>
      <w:r>
        <w:t xml:space="preserve">Adds configuration-bound assurance, capability-state separation, current-state/transition/post-state assessment, qualification continuity with material-change requalification, frozen evaluation binding, structural-control preference, future safe option-space analysis, and an Open Assurance Dependency Rule. These additions strengthen evidence-to-authorization continuity without creating a sixth gate or converting implementation milestones into empirical-validation claims.</w:t>
      </w:r>
    </w:p>
    <w:p>
      <w:pPr>
        <w:pStyle w:val="BodyText"/>
        <w:widowControl/>
      </w:pPr>
      <w:r>
        <w:rPr>
          <w:b/>
          <w:bCs/>
        </w:rPr>
        <w:t xml:space="preserve">Claim boundary:</w:t>
      </w:r>
      <w:r>
        <w:t xml:space="preserve"> </w:t>
      </w:r>
      <w:r>
        <w:t xml:space="preserve">Tier 1-3 source/specification release, not empirical validation, legal authority, deployment certification, physical-safety proof, consciousness detection, ProofPack completion, Tier 4 readiness, or automated moral truth.</w:t>
      </w:r>
    </w:p>
    <w:bookmarkEnd w:id="454"/>
    <w:bookmarkStart w:id="455" w:name="X6183bbff5bbc8cef13ab1da65ef0b27dac6f844"/>
    <w:p>
      <w:pPr>
        <w:pStyle w:val="Heading3"/>
        <w:keepNext/>
        <w:keepLines/>
        <w:pageBreakBefore w:val="0"/>
        <w:widowControl/>
      </w:pPr>
      <w:r>
        <w:rPr>
          <w:rFonts w:ascii="Arial" w:hAnsi="Arial" w:eastAsia="Arial"/>
          <w:b/>
          <w:color w:val="1F4E78"/>
        </w:rPr>
        <w:t xml:space="preserve">M.4.1 RippleLogic v12.4 (2026-07-19) - Calculability, Type-Integrity, and Cross-Artifact Synchronization Release (Lineage)</w:t>
      </w:r>
    </w:p>
    <w:p>
      <w:pPr>
        <w:pStyle w:val="FirstParagraph"/>
        <w:widowControl/>
      </w:pPr>
      <w:r>
        <w:rPr>
          <w:b/>
          <w:bCs/>
        </w:rPr>
        <w:t xml:space="preserve">Status:</w:t>
      </w:r>
      <w:r>
        <w:t xml:space="preserve"> </w:t>
      </w:r>
      <w:r>
        <w:t xml:space="preserve">Historical canonical release; superseded by v12.5.</w:t>
      </w:r>
    </w:p>
    <w:p>
      <w:pPr>
        <w:pStyle w:val="BodyText"/>
        <w:widowControl/>
      </w:pPr>
      <w:r>
        <w:rPr>
          <w:b/>
          <w:bCs/>
        </w:rPr>
        <w:t xml:space="preserve">Supersedes:</w:t>
      </w:r>
      <w:r>
        <w:t xml:space="preserve"> </w:t>
      </w:r>
      <w:r>
        <w:t xml:space="preserve">RippleLogic v12.3.1 while preserving the five-stage cascade and every retained rights, ruin, RLS-normalization, uncertainty, physical-admissibility, WDBIP, consequence-tempo, responsibility-continuity, and SGP protection safeguard.</w:t>
      </w:r>
    </w:p>
    <w:p>
      <w:pPr>
        <w:pStyle w:val="BodyText"/>
        <w:widowControl/>
      </w:pPr>
      <w:r>
        <w:rPr>
          <w:b/>
          <w:bCs/>
        </w:rPr>
        <w:t xml:space="preserve">Release character:</w:t>
      </w:r>
      <w:r>
        <w:t xml:space="preserve"> </w:t>
      </w:r>
      <w:r>
        <w:t>Integrates SGP v8.3 type-separated MPS/FPP/GPR/SPR/ICP/RMCP/P100 outputs; replaces direct MPS cardinalization with preregistered welfare-inclusion hypothesis sensitivity; requires tier-proportional CSV before ordinary RLS; preserves rights and Tail Emergency hardening; corrects current examples and conformance vectors; and synchronizes the Aligners Sheet v5.4, compact standards, validation protocols, public introductions, manifests, and verification gates.</w:t>
      </w:r>
    </w:p>
    <w:p>
      <w:pPr>
        <w:pStyle w:val="BodyText"/>
        <w:widowControl/>
      </w:pPr>
      <w:r>
        <w:rPr>
          <w:b/>
          <w:bCs/>
        </w:rPr>
        <w:t xml:space="preserve">Claim boundary:</w:t>
      </w:r>
      <w:r>
        <w:t xml:space="preserve"> </w:t>
      </w:r>
      <w:r>
        <w:t xml:space="preserve">Tier 1-3 source/specification release, not empirical validation, legal authority, deployment certification, ProofPack, Tier 4 readiness, a reference calculator, or automated moral truth.</w:t>
      </w:r>
    </w:p>
    <w:bookmarkEnd w:id="455"/>
    <w:bookmarkStart w:id="456" w:name="X3dec8ca019354695241fea013676329e288500b"/>
    <w:p>
      <w:pPr>
        <w:pStyle w:val="Heading3"/>
        <w:keepNext/>
        <w:keepLines/>
        <w:pageBreakBefore w:val="0"/>
        <w:widowControl/>
      </w:pPr>
      <w:r>
        <w:rPr>
          <w:rFonts w:ascii="Arial" w:hAnsi="Arial" w:eastAsia="Arial"/>
          <w:b/>
          <w:color w:val="1F4E78"/>
        </w:rPr>
        <w:t xml:space="preserve">M.4.2 RippleLogic v12.1 (2026-07-11) — Rights and Ruin Hardening Release</w:t>
      </w:r>
    </w:p>
    <w:p>
      <w:pPr>
        <w:pStyle w:val="FirstParagraph"/>
        <w:widowControl/>
      </w:pPr>
      <w:r>
        <w:rPr>
          <w:b/>
          <w:bCs/>
        </w:rPr>
        <w:t xml:space="preserve">Status:</w:t>
      </w:r>
      <w:r>
        <w:t xml:space="preserve"> </w:t>
      </w:r>
      <w:r>
        <w:t xml:space="preserve">Historical canonical release; superseded by v12.5.</w:t>
      </w:r>
    </w:p>
    <w:p>
      <w:pPr>
        <w:pStyle w:val="BodyText"/>
        <w:widowControl/>
      </w:pPr>
      <w:r>
        <w:rPr>
          <w:b/>
          <w:bCs/>
        </w:rPr>
        <w:t xml:space="preserve">Release character:</w:t>
      </w:r>
      <w:r>
        <w:t xml:space="preserve"> </w:t>
      </w:r>
      <w:r>
        <w:t xml:space="preserve">Added rights-specific non-attenuation, categorical-prohibition and severe-rights-hazard channels; replaced automatic all-options-fail-TRC selection with governed Tail Emergency Mode; normalized RLS and PLSS by active effective mass; and made Method B uncertainty depend on pre-cancellation contribution mass.</w:t>
      </w:r>
    </w:p>
    <w:bookmarkEnd w:id="456"/>
    <w:bookmarkStart w:id="457" w:name="X2c0069ed1ac53d772c7faca36208439c832c372"/>
    <w:p>
      <w:pPr>
        <w:pStyle w:val="Heading3"/>
        <w:keepNext/>
        <w:keepLines/>
        <w:pageBreakBefore w:val="0"/>
        <w:widowControl/>
      </w:pPr>
      <w:r>
        <w:rPr>
          <w:rFonts w:ascii="Arial" w:hAnsi="Arial" w:eastAsia="Arial"/>
          <w:b/>
          <w:color w:val="1F4E78"/>
        </w:rPr>
        <w:t xml:space="preserve">M.4.3 RippleLogic v12.0 (2026-06-19) — Physical Admissibility Release</w:t>
      </w:r>
    </w:p>
    <w:p>
      <w:pPr>
        <w:pStyle w:val="FirstParagraph"/>
        <w:widowControl/>
      </w:pPr>
      <w:r>
        <w:rPr>
          <w:b/>
          <w:bCs/>
        </w:rPr>
        <w:t xml:space="preserve">Status:</w:t>
      </w:r>
      <w:r>
        <w:t xml:space="preserve"> </w:t>
      </w:r>
      <w:r>
        <w:t xml:space="preserve">Historical canonical release; superseded by v12.1.</w:t>
      </w:r>
    </w:p>
    <w:p>
      <w:pPr>
        <w:pStyle w:val="BodyText"/>
        <w:widowControl/>
      </w:pPr>
      <w:r>
        <w:rPr>
          <w:b/>
          <w:bCs/>
        </w:rPr>
        <w:t xml:space="preserve">Release character:</w:t>
      </w:r>
      <w:r>
        <w:t xml:space="preserve"> </w:t>
      </w:r>
      <w:r>
        <w:t xml:space="preserve">Established the physical-execution boundary, integrated PC-AEP, Source-Coupling Integrity and MFDI inside RG/CSV, and introduced the public two-phase qualification-before-ranking teaching frame without adding a sixth gate.</w:t>
      </w:r>
    </w:p>
    <w:bookmarkEnd w:id="457"/>
    <w:bookmarkStart w:id="458" w:name="X6a37bd11178921e926bb6976d8b0e638b2fbca4"/>
    <w:p>
      <w:pPr>
        <w:pStyle w:val="Heading3"/>
        <w:keepNext/>
        <w:keepLines/>
        <w:pageBreakBefore w:val="0"/>
        <w:widowControl/>
      </w:pPr>
      <w:r>
        <w:rPr>
          <w:rFonts w:ascii="Arial" w:hAnsi="Arial" w:eastAsia="Arial"/>
          <w:b/>
          <w:color w:val="1F4E78"/>
        </w:rPr>
        <w:t xml:space="preserve">M.4.4 RippleLogic v11.x (2026-06) — Structural and Methodological Integrity Lineage</w:t>
      </w:r>
    </w:p>
    <w:p>
      <w:pPr>
        <w:pStyle w:val="FirstParagraph"/>
        <w:widowControl/>
      </w:pPr>
      <w:r>
        <w:rPr>
          <w:b/>
          <w:bCs/>
        </w:rPr>
        <w:t xml:space="preserve">Status:</w:t>
      </w:r>
      <w:r>
        <w:t xml:space="preserve"> </w:t>
      </w:r>
      <w:r>
        <w:t xml:space="preserve">Historical consolidated lineage for v11.0 through v11.6.</w:t>
      </w:r>
    </w:p>
    <w:p>
      <w:pPr>
        <w:pStyle w:val="BodyText"/>
        <w:widowControl/>
      </w:pPr>
      <w:r>
        <w:rPr>
          <w:b/>
          <w:bCs/>
        </w:rPr>
        <w:t xml:space="preserve">Release character:</w:t>
      </w:r>
      <w:r>
        <w:t xml:space="preserve"> </w:t>
      </w:r>
      <w:r>
        <w:t xml:space="preserve">Added Term Discrimination and Semantic Stability, strengthened Source-Coupling and Physical/Causal Admissibility evidence discipline, added Methodological Falsifiability and Dependency Integrity, and improved release-synchronization controls.</w:t>
      </w:r>
    </w:p>
    <w:bookmarkEnd w:id="458"/>
    <w:bookmarkStart w:id="459" w:name="X7fc7f5c7f564071ed170a0881fd25b864c6fe85"/>
    <w:p>
      <w:pPr>
        <w:pStyle w:val="Heading3"/>
        <w:keepNext/>
        <w:keepLines/>
        <w:pageBreakBefore w:val="0"/>
        <w:widowControl/>
      </w:pPr>
      <w:r>
        <w:rPr>
          <w:rFonts w:ascii="Arial" w:hAnsi="Arial" w:eastAsia="Arial"/>
          <w:b/>
          <w:color w:val="1F4E78"/>
        </w:rPr>
        <w:t xml:space="preserve">M.4.5 RippleLogic v10.8 (2026-05-31 to 2026-06-12) — Human Plateau and Layer-Discipline Lineage</w:t>
      </w:r>
    </w:p>
    <w:p>
      <w:pPr>
        <w:pStyle w:val="FirstParagraph"/>
        <w:widowControl/>
      </w:pPr>
      <w:r>
        <w:rPr>
          <w:b/>
          <w:bCs/>
        </w:rPr>
        <w:t xml:space="preserve">Status:</w:t>
      </w:r>
      <w:r>
        <w:t xml:space="preserve"> </w:t>
      </w:r>
      <w:r>
        <w:t xml:space="preserve">Historical.</w:t>
      </w:r>
    </w:p>
    <w:p>
      <w:pPr>
        <w:pStyle w:val="BodyText"/>
        <w:widowControl/>
      </w:pPr>
      <w:r>
        <w:rPr>
          <w:b/>
          <w:bCs/>
        </w:rPr>
        <w:t xml:space="preserve">Release character:</w:t>
      </w:r>
      <w:r>
        <w:t xml:space="preserve"> </w:t>
      </w:r>
      <w:r>
        <w:t xml:space="preserve">Added Human Plateau / CMIU calibration, SGP v5.5 synchronization, and the layer-discipline addendum while preserving the established cascade, equations, gates, thresholds, Appendix AD, RSP/RefStructRecord, and claim boundaries.</w:t>
      </w:r>
    </w:p>
    <w:bookmarkEnd w:id="459"/>
    <w:bookmarkStart w:id="460" w:name="X73d579ba9734332a05361a7035c077ed153cb3d"/>
    <w:p>
      <w:pPr>
        <w:pStyle w:val="Heading3"/>
        <w:keepNext/>
        <w:keepLines/>
        <w:pageBreakBefore w:val="0"/>
        <w:widowControl/>
      </w:pPr>
      <w:r>
        <w:rPr>
          <w:rFonts w:ascii="Arial" w:hAnsi="Arial" w:eastAsia="Arial"/>
          <w:b/>
          <w:color w:val="1F4E78"/>
        </w:rPr>
        <w:t xml:space="preserve">M.4.6 RippleLogic v10.5 (2026-05-31) — Appendix AD and Citation-Hygiene Release</w:t>
      </w:r>
    </w:p>
    <w:p>
      <w:pPr>
        <w:pStyle w:val="FirstParagraph"/>
        <w:widowControl/>
      </w:pPr>
      <w:r>
        <w:rPr>
          <w:b/>
          <w:bCs/>
        </w:rPr>
        <w:t xml:space="preserve">Status:</w:t>
      </w:r>
      <w:r>
        <w:t xml:space="preserve"> </w:t>
      </w:r>
      <w:r>
        <w:t xml:space="preserve">Historical.</w:t>
      </w:r>
    </w:p>
    <w:p>
      <w:pPr>
        <w:pStyle w:val="BodyText"/>
        <w:widowControl/>
      </w:pPr>
      <w:r>
        <w:rPr>
          <w:b/>
          <w:bCs/>
        </w:rPr>
        <w:t xml:space="preserve">Release character:</w:t>
      </w:r>
      <w:r>
        <w:t xml:space="preserve"> </w:t>
      </w:r>
      <w:r>
        <w:t xml:space="preserve">Integrated Appendix AD as the canonical interpretive reference for welfare-cell meaning and reviewer literacy, subordinate to equations, gates, thresholds, and claim boundaries.</w:t>
      </w:r>
    </w:p>
    <w:bookmarkEnd w:id="460"/>
    <w:bookmarkStart w:id="461" w:name="Xe27bbe966a40c099e232cee6ff46a2cc91bea4a"/>
    <w:p>
      <w:pPr>
        <w:pStyle w:val="Heading3"/>
        <w:keepNext/>
        <w:keepLines/>
        <w:pageBreakBefore w:val="0"/>
        <w:widowControl/>
      </w:pPr>
      <w:r>
        <w:rPr>
          <w:rFonts w:ascii="Arial" w:hAnsi="Arial" w:eastAsia="Arial"/>
          <w:b/>
          <w:color w:val="1F4E78"/>
        </w:rPr>
        <w:t xml:space="preserve">M.4.7 RippleLogic v10.4 (2026-05-26) — Readability and Companion Synchronization Release</w:t>
      </w:r>
    </w:p>
    <w:p>
      <w:pPr>
        <w:pStyle w:val="FirstParagraph"/>
        <w:widowControl/>
      </w:pPr>
      <w:r>
        <w:rPr>
          <w:b/>
          <w:bCs/>
        </w:rPr>
        <w:t xml:space="preserve">Status:</w:t>
      </w:r>
      <w:r>
        <w:t xml:space="preserve"> </w:t>
      </w:r>
      <w:r>
        <w:t xml:space="preserve">Historical.</w:t>
      </w:r>
    </w:p>
    <w:p>
      <w:pPr>
        <w:pStyle w:val="BodyText"/>
        <w:widowControl/>
      </w:pPr>
      <w:r>
        <w:rPr>
          <w:b/>
          <w:bCs/>
        </w:rPr>
        <w:t xml:space="preserve">Release character:</w:t>
      </w:r>
      <w:r>
        <w:t xml:space="preserve"> </w:t>
      </w:r>
      <w:r>
        <w:t xml:space="preserve">Reorganized front matter for readability and synchronized the companion set while preserving the substantive architecture.</w:t>
      </w:r>
    </w:p>
    <w:bookmarkEnd w:id="461"/>
    <w:bookmarkEnd w:id="462"/>
    <w:bookmarkStart w:id="463" w:name="X95e7a358cb6e0b8afc76c5d88af3be25a4607fe"/>
    <w:p>
      <w:pPr>
        <w:pStyle w:val="Heading2"/>
        <w:keepNext/>
        <w:keepLines/>
        <w:pageBreakBefore w:val="0"/>
        <w:widowControl/>
      </w:pPr>
      <w:r>
        <w:rPr>
          <w:rFonts w:ascii="Arial" w:hAnsi="Arial" w:eastAsia="Arial"/>
          <w:b/>
          <w:color w:val="1F4E78"/>
        </w:rPr>
        <w:t xml:space="preserve">M.4B RippleLogic v9.6.5 (2026-05-09) - Structural Hygiene Hardening Release</w:t>
      </w:r>
    </w:p>
    <w:p>
      <w:pPr>
        <w:pStyle w:val="FirstParagraph"/>
        <w:widowControl/>
      </w:pPr>
      <w:r>
        <w:t xml:space="preserve">Status: Canonical release for the structural-hygiene line. Superseded by RippleLogic v10.0.</w:t>
      </w:r>
    </w:p>
    <w:p>
      <w:pPr>
        <w:pStyle w:val="BodyText"/>
        <w:widowControl/>
      </w:pPr>
      <w:r>
        <w:t xml:space="preserve">Summary: preserves the v9.6.4 cascade architecture, equations, rights thresholds, TRC mechanics, Containment semantics, SGP binding interface, PLSS/FLGG architecture, and Tier 1-3 claim boundaries; adds explicit Refusal Under Underdetermination, Projection Pre-Registration for pilot and higher-tier runs, PCC Computational Closure fields, a Category-Collapse Self-Test, and a corrected floor-meaning subsection for constitutional weight floors; synchronizes the companion set to RippleLogic Agent System v9.3, ripple.md v2.3.5, Ripple Aligners Sheet v2.6, and SGP v4.7.2.</w:t>
      </w:r>
    </w:p>
    <w:bookmarkEnd w:id="463"/>
    <w:bookmarkStart w:id="464" w:name="Xaba68fbeb801ecdfc12a575fda33bd86ba947a5"/>
    <w:p>
      <w:pPr>
        <w:pStyle w:val="Heading2"/>
        <w:keepNext/>
        <w:keepLines/>
        <w:pageBreakBefore w:val="0"/>
        <w:widowControl/>
      </w:pPr>
      <w:r>
        <w:rPr>
          <w:rFonts w:ascii="Arial" w:hAnsi="Arial" w:eastAsia="Arial"/>
          <w:b/>
          <w:color w:val="1F4E78"/>
        </w:rPr>
        <w:t xml:space="preserve">M.4C RippleLogic v9.6.4 (2026-04-21) - Bundle Synchronization Patch</w:t>
      </w:r>
    </w:p>
    <w:p>
      <w:pPr>
        <w:pStyle w:val="FirstParagraph"/>
        <w:widowControl/>
      </w:pPr>
      <w:r>
        <w:t xml:space="preserve">Status: Canonical release-scrub patch for the current line. Supersedes: RippleLogic v9.6.3.</w:t>
      </w:r>
    </w:p>
    <w:p>
      <w:pPr>
        <w:pStyle w:val="BodyText"/>
        <w:widowControl/>
      </w:pPr>
      <w:r>
        <w:t xml:space="preserve">Summary: synchronizes the companion set to Agent System v9.2, ripple.md v2.3.5, Aligners Sheet v2.5, and SGP v4.7.2; repairs Appendix M rendering; scrubs stale current-line references; and preserves the canonical cascade and SGP binding semantics.</w:t>
      </w:r>
    </w:p>
    <w:bookmarkEnd w:id="464"/>
    <w:bookmarkStart w:id="465" w:name="X90e7251fcdf1171729ab06de66c7dc0e8022df3"/>
    <w:p>
      <w:pPr>
        <w:pStyle w:val="Heading2"/>
        <w:keepNext/>
        <w:keepLines/>
        <w:pageBreakBefore w:val="0"/>
        <w:widowControl/>
      </w:pPr>
      <w:r>
        <w:rPr>
          <w:rFonts w:ascii="Arial" w:hAnsi="Arial" w:eastAsia="Arial"/>
          <w:b/>
          <w:color w:val="1F4E78"/>
        </w:rPr>
        <w:t xml:space="preserve">M.4D RippleLogic v9.6.3 (2026-04-20) - Final Release Scrub Patch</w:t>
      </w:r>
    </w:p>
    <w:p>
      <w:pPr>
        <w:pStyle w:val="FirstParagraph"/>
        <w:widowControl/>
      </w:pPr>
      <w:r>
        <w:t xml:space="preserve">Status: Canonical closure and release-synchronization patch for the current line. Supersedes: RippleLogic v9.6.2.</w:t>
      </w:r>
    </w:p>
    <w:p>
      <w:pPr>
        <w:pStyle w:val="BodyText"/>
        <w:widowControl/>
      </w:pPr>
      <w:r>
        <w:t xml:space="preserve">Summary: resolved the Appendix K status contradiction, synchronized current-line PCC schema/version fields, repositioned the Section 14.6 informative heading, cleaned Appendix M lineage sequencing, swept stale current-line version references, and clarified the Appendix P worked-run lineage note without intended changes to the cascade or SGP binding interface.</w:t>
      </w:r>
    </w:p>
    <w:bookmarkEnd w:id="465"/>
    <w:bookmarkStart w:id="466" w:name="Xa1281087e9b94259bd3cf5d72c0a5e0913b3059"/>
    <w:p>
      <w:pPr>
        <w:pStyle w:val="Heading2"/>
        <w:keepNext/>
        <w:keepLines/>
        <w:pageBreakBefore w:val="0"/>
        <w:widowControl/>
      </w:pPr>
      <w:r>
        <w:rPr>
          <w:rFonts w:ascii="Arial" w:hAnsi="Arial" w:eastAsia="Arial"/>
          <w:b/>
          <w:color w:val="1F4E78"/>
        </w:rPr>
        <w:t xml:space="preserve">M.4E RippleLogic v9.6.2 (2026-04-20) - Closure Patch</w:t>
      </w:r>
    </w:p>
    <w:p>
      <w:pPr>
        <w:pStyle w:val="FirstParagraph"/>
        <w:widowControl/>
      </w:pPr>
      <w:r>
        <w:t xml:space="preserve">Status: Canonical closure patch release for the current line. Supersedes: RippleLogic v9.6.1.</w:t>
      </w:r>
    </w:p>
    <w:p>
      <w:pPr>
        <w:pStyle w:val="BodyText"/>
        <w:widowControl/>
      </w:pPr>
      <w:r>
        <w:t xml:space="preserve">Summary: clarified σ_RLS weighting under κ(u,d), specified RLS_adj governance, tightened governance-lock mandatory-tail wording, added an explicit Reader Guide claim-boundary table, and preserved the v9.6.1 cascade architecture and SGP v4.7 binding.</w:t>
      </w:r>
    </w:p>
    <w:bookmarkEnd w:id="466"/>
    <w:bookmarkStart w:id="467" w:name="X5fb31ae45cad18cd5e6fa0ea2a856c96a6e63a9"/>
    <w:p>
      <w:pPr>
        <w:pStyle w:val="Heading2"/>
        <w:keepNext/>
        <w:keepLines/>
        <w:pageBreakBefore w:val="0"/>
        <w:widowControl/>
      </w:pPr>
      <w:r>
        <w:rPr>
          <w:rFonts w:ascii="Arial" w:hAnsi="Arial" w:eastAsia="Arial"/>
          <w:b/>
          <w:color w:val="1F4E78"/>
        </w:rPr>
        <w:t xml:space="preserve">M.4F RippleLogic v9.6.1 (2026-04-20) - Integrity Sync Patch</w:t>
      </w:r>
    </w:p>
    <w:p>
      <w:pPr>
        <w:pStyle w:val="FirstParagraph"/>
        <w:widowControl/>
      </w:pPr>
      <w:r>
        <w:t xml:space="preserve">Status: Canonical integrity patch release for the current line. Supersedes: RippleLogic v9.6.</w:t>
      </w:r>
    </w:p>
    <w:p>
      <w:pPr>
        <w:pStyle w:val="BodyText"/>
        <w:widowControl/>
      </w:pPr>
      <w:r>
        <w:t xml:space="preserve">Summary: corrected stale SGP v4.6 references in Appendix M and Appendix G, synchronized declared companion pins to SGP v4.7, and reran release-gate / final-lint confirmations without intended normative changes to the cascade or SGP binding interface.</w:t>
      </w:r>
    </w:p>
    <w:bookmarkEnd w:id="467"/>
    <w:bookmarkStart w:id="468" w:name="X6ede55b4e426a164680e5adec1926061ad318f7"/>
    <w:p>
      <w:pPr>
        <w:pStyle w:val="Heading2"/>
        <w:keepNext/>
        <w:keepLines/>
        <w:pageBreakBefore w:val="0"/>
        <w:widowControl/>
      </w:pPr>
      <w:r>
        <w:rPr>
          <w:rFonts w:ascii="Arial" w:hAnsi="Arial" w:eastAsia="Arial"/>
          <w:b/>
          <w:color w:val="1F4E78"/>
        </w:rPr>
        <w:t xml:space="preserve">M.4G RippleLogic v9.6 (2026-04-13) - Canon Promotion and Release Consolidation</w:t>
      </w:r>
    </w:p>
    <w:p>
      <w:pPr>
        <w:pStyle w:val="FirstParagraph"/>
        <w:widowControl/>
      </w:pPr>
      <w:r>
        <w:t xml:space="preserve">Status: Canonical lineage release.</w:t>
      </w:r>
    </w:p>
    <w:p>
      <w:pPr>
        <w:pStyle w:val="BodyText"/>
        <w:widowControl/>
      </w:pPr>
      <w:r>
        <w:t xml:space="preserve">Summary: consolidated the release line into a single canon posture, hardened release packaging and byte-stream language, and synchronized companion references for the current line.</w:t>
      </w:r>
    </w:p>
    <w:bookmarkEnd w:id="468"/>
    <w:bookmarkStart w:id="469" w:name="Xee8ddc9e2134b25ed0bed3a45e8241a5a2f7957"/>
    <w:p>
      <w:pPr>
        <w:pStyle w:val="Heading2"/>
        <w:keepNext/>
        <w:keepLines/>
        <w:pageBreakBefore w:val="0"/>
        <w:widowControl/>
      </w:pPr>
      <w:r>
        <w:rPr>
          <w:rFonts w:ascii="Arial" w:hAnsi="Arial" w:eastAsia="Arial"/>
          <w:b/>
          <w:color w:val="1F4E78"/>
        </w:rPr>
        <w:t xml:space="preserve">M.4H RippleLogic v9.3.0 / v9.3 / v9.2 (2026-04-08) - Normative Foundation and Line-Wide Sync Drafts</w:t>
      </w:r>
    </w:p>
    <w:p>
      <w:pPr>
        <w:pStyle w:val="FirstParagraph"/>
        <w:widowControl/>
      </w:pPr>
      <w:r>
        <w:t xml:space="preserve">Status: Canonical lineage releases.</w:t>
      </w:r>
    </w:p>
    <w:p>
      <w:pPr>
        <w:pStyle w:val="BodyText"/>
        <w:widowControl/>
      </w:pPr>
      <w:r>
        <w:t xml:space="preserve">Summary: clarified LSS, FLGG, and attention-safety semantics; strengthened local-use interpretation; and improved conformance hygiene and readability.</w:t>
      </w:r>
    </w:p>
    <w:bookmarkEnd w:id="469"/>
    <w:bookmarkStart w:id="470" w:name="X2c4373d7baec48905930f7c83a0c7e0e5e0c91a"/>
    <w:p>
      <w:pPr>
        <w:pStyle w:val="Heading2"/>
        <w:keepNext/>
        <w:keepLines/>
        <w:pageBreakBefore w:val="0"/>
        <w:widowControl/>
      </w:pPr>
      <w:r>
        <w:rPr>
          <w:rFonts w:ascii="Arial" w:hAnsi="Arial" w:eastAsia="Arial"/>
          <w:b/>
          <w:color w:val="1F4E78"/>
        </w:rPr>
        <w:t xml:space="preserve">M.4I RippleLogic v9.0 (2026-03-18 to 2026-03-19) - Canon Closure and Interoperability Hardening</w:t>
      </w:r>
    </w:p>
    <w:p>
      <w:pPr>
        <w:pStyle w:val="FirstParagraph"/>
        <w:widowControl/>
      </w:pPr>
      <w:r>
        <w:t xml:space="preserve">Status: Canonical public baseline release.</w:t>
      </w:r>
    </w:p>
    <w:p>
      <w:pPr>
        <w:pStyle w:val="BodyText"/>
        <w:widowControl/>
      </w:pPr>
      <w:r>
        <w:t xml:space="preserve">Summary: closed the v9.0 canon line, operationalised HDW, hardened rights semantics and interoperability, and clarified calibration without changing the five-level cascade.</w:t>
      </w:r>
    </w:p>
    <w:bookmarkEnd w:id="470"/>
    <w:bookmarkStart w:id="471" w:name="X696edf25cfdba2cb1272f26e2765059b9957b2c"/>
    <w:p>
      <w:pPr>
        <w:pStyle w:val="Heading2"/>
        <w:keepNext/>
        <w:keepLines/>
        <w:pageBreakBefore w:val="0"/>
        <w:widowControl/>
      </w:pPr>
      <w:r>
        <w:rPr>
          <w:rFonts w:ascii="Arial" w:hAnsi="Arial" w:eastAsia="Arial"/>
          <w:b/>
          <w:color w:val="1F4E78"/>
        </w:rPr>
        <w:t xml:space="preserve">M.4J RippleLogic v8.7 / v8.6 (2026-03-14 to 2026-03-18) - LSS/FLGG and Attention-Safety Hardening</w:t>
      </w:r>
    </w:p>
    <w:p>
      <w:pPr>
        <w:pStyle w:val="FirstParagraph"/>
        <w:widowControl/>
      </w:pPr>
      <w:r>
        <w:t xml:space="preserve">Status: Canonical lineage releases.</w:t>
      </w:r>
    </w:p>
    <w:p>
      <w:pPr>
        <w:pStyle w:val="BodyText"/>
        <w:widowControl/>
      </w:pPr>
      <w:r>
        <w:t xml:space="preserve">Summary: strengthened local-scope governance, attention-safety separation, and related conformance language leading into the v9 line.</w:t>
      </w:r>
    </w:p>
    <w:bookmarkEnd w:id="471"/>
    <w:bookmarkStart w:id="472" w:name="X5dae3160d93003572759f8ac2be3f1837597975"/>
    <w:p>
      <w:pPr>
        <w:pStyle w:val="Heading2"/>
        <w:keepNext/>
        <w:keepLines/>
        <w:pageBreakBefore w:val="0"/>
        <w:widowControl/>
      </w:pPr>
      <w:r>
        <w:rPr>
          <w:rFonts w:ascii="Arial" w:hAnsi="Arial" w:eastAsia="Arial"/>
          <w:b/>
          <w:color w:val="1F4E78"/>
        </w:rPr>
        <w:t xml:space="preserve">M.4K RippleLogic v8.5.3 / v8.5.1 / v8.4 / v8.3 / v8.1 / v7.5.0 / v7.4.5 (2026-01-25 to 2026-02-20) - Foundational Lineage Releases</w:t>
      </w:r>
    </w:p>
    <w:p>
      <w:pPr>
        <w:pStyle w:val="FirstParagraph"/>
        <w:widowControl/>
      </w:pPr>
      <w:r>
        <w:t xml:space="preserve">Status: Historical lineage artifacts.</w:t>
      </w:r>
    </w:p>
    <w:p>
      <w:pPr>
        <w:pStyle w:val="BodyText"/>
        <w:widowControl/>
      </w:pPr>
      <w:r>
        <w:t xml:space="preserve">Summary: established the foundational welfare-matrix, NCRC/TRC, temporal weighting, and early propagation architecture carried forward into later lines.</w:t>
      </w:r>
    </w:p>
    <w:bookmarkEnd w:id="472"/>
    <w:bookmarkStart w:id="473" w:name="X97d4a426d309f20b15756c4be5daf1300c92118"/>
    <w:p>
      <w:pPr>
        <w:pStyle w:val="Heading2"/>
        <w:keepNext/>
        <w:keepLines/>
        <w:pageBreakBefore w:val="0"/>
        <w:widowControl/>
      </w:pPr>
      <w:r>
        <w:rPr>
          <w:rFonts w:ascii="Arial" w:hAnsi="Arial" w:eastAsia="Arial"/>
          <w:b/>
          <w:color w:val="1F4E78"/>
        </w:rPr>
        <w:t xml:space="preserve">M.5 Release Gate Checklist (Informative; v12.5 current-line checklist)</w:t>
      </w:r>
    </w:p>
    <w:p>
      <w:pPr>
        <w:pStyle w:val="FirstParagraph"/>
        <w:widowControl/>
      </w:pPr>
      <w:r>
        <w:t xml:space="preserve">Version integrity: the title page, Section 0.2, Appendix AC current-line matrix, release label, and Document Completion Statement identify v12.5. Appendix headings may retain explicit origin or lineage stamps under M.5A; those stamps do not override current release identity. This attestation is valid only when</w:t>
      </w:r>
      <w:r>
        <w:t xml:space="preserve"> </w:t>
      </w:r>
      <w:r>
        <w:rPr>
          <w:rStyle w:val="VerbatimChar"/>
        </w:rPr>
        <w:t xml:space="preserve">release/VERIFY_CURRENT_PINS.py</w:t>
      </w:r>
      <w:r>
        <w:t xml:space="preserve"> </w:t>
      </w:r>
      <w:r>
        <w:t xml:space="preserve">and the release manifest verification pass.</w:t>
      </w:r>
    </w:p>
    <w:p>
      <w:pPr>
        <w:pStyle w:val="BodyText"/>
        <w:widowControl/>
      </w:pPr>
      <w:r>
        <w:t xml:space="preserve">Companion sync: the manifest-listed current companion set, Appendix G, Appendix M.3, Appendix AC, and workbook control surfaces pin SGP v8.4 and RippleLogic Agent System v12.3 consistently. Confirmed by current-pin and semantic-surface verification.</w:t>
      </w:r>
    </w:p>
    <w:p>
      <w:pPr>
        <w:pStyle w:val="BodyText"/>
        <w:widowControl/>
      </w:pPr>
      <w:r>
        <w:t xml:space="preserve">Calculation integrity: Appendix R reference values used for conformance include enough intermediate values and conventions to reproduce the stated results. R.19 now discloses its weight-rounding convention and Method B uncertainty derivation.</w:t>
      </w:r>
    </w:p>
    <w:p>
      <w:pPr>
        <w:pStyle w:val="BodyText"/>
        <w:widowControl/>
      </w:pPr>
      <w:r>
        <w:t xml:space="preserve">Format integrity: canonical Markdown controls semantics; DOCX and PDF reading mirrors are genuine derived files and are byte-tested, rendered, and preflighted under the release verification procedure.</w:t>
      </w:r>
    </w:p>
    <w:p>
      <w:pPr>
        <w:pStyle w:val="BodyText"/>
        <w:widowControl/>
      </w:pPr>
      <w:r>
        <w:t xml:space="preserve">Validation inserts: UCI maturity note, floor rationale, IRR targets, kernel operational-status note, Appendix P-2, and R.19 remain present and current-line consistent. Confirmed.</w:t>
      </w:r>
    </w:p>
    <w:p>
      <w:pPr>
        <w:pStyle w:val="BodyText"/>
        <w:widowControl/>
      </w:pPr>
      <w:r>
        <w:t xml:space="preserve">No overclaim: canonical posture is explicit; Tier 4 claims remain prohibited; machine-ecosystem completeness and empirical completeness are not claimed. Confirmed.</w:t>
      </w:r>
    </w:p>
    <w:bookmarkEnd w:id="473"/>
    <w:bookmarkStart w:id="474" w:name="Xecedede0baf9278901fb3bb145875b95dc3ce7f"/>
    <w:p>
      <w:pPr>
        <w:pStyle w:val="Heading2"/>
        <w:keepNext/>
        <w:keepLines/>
        <w:pageBreakBefore w:val="0"/>
        <w:widowControl/>
      </w:pPr>
      <w:r>
        <w:rPr>
          <w:rFonts w:ascii="Arial" w:hAnsi="Arial" w:eastAsia="Arial"/>
          <w:b/>
          <w:color w:val="1F4E78"/>
        </w:rPr>
        <w:t xml:space="preserve">M.5A Appendix origin-stamp convention (Normative release-integrity clarification)</w:t>
      </w:r>
    </w:p>
    <w:p>
      <w:pPr>
        <w:pStyle w:val="FirstParagraph"/>
        <w:widowControl/>
      </w:pPr>
      <w:r>
        <w:t xml:space="preserve">An appendix heading may retain the version in which that appendix was first introduced or last substantively redesigned. Such a parenthetical version is an origin or lineage stamp, not the governing version of the appendix. The governing version of every active appendix is the title-page Canon version and the manifest-pinned artifact hash. Any heading intended to assert current release identity MUST use the current version. Unmarked historical content must be treated as a release-integrity defect.</w:t>
      </w:r>
    </w:p>
    <w:bookmarkEnd w:id="474"/>
    <w:bookmarkEnd w:id="475"/>
    <w:bookmarkStart w:id="488" w:name="Xd2033d61bbbf9f0e5316a2ff65428b7ac3ec325"/>
    <w:p>
      <w:pPr>
        <w:pStyle w:val="Heading1"/>
        <w:keepNext/>
        <w:keepLines/>
        <w:pageBreakBefore w:val="0"/>
        <w:widowControl/>
      </w:pPr>
      <w:r>
        <w:rPr>
          <w:rFonts w:ascii="Arial" w:hAnsi="Arial" w:eastAsia="Arial"/>
          <w:b/>
          <w:color w:val="1F4E78"/>
        </w:rPr>
        <w:t xml:space="preserve">APPENDIX N: STEWARDSHIP PACK CANON (v12.0) - NORMATIVE</w:t>
      </w:r>
    </w:p>
    <w:p>
      <w:pPr>
        <w:pStyle w:val="FirstParagraph"/>
        <w:widowControl/>
      </w:pPr>
      <w:r>
        <w:t xml:space="preserve">This appendix defines canonical Stewardship requirements for RippleLogic runs when Stw_req(run) = 1 (Section 14.7). Stewardship governs how assistance is delivered under capability asymmetry so that assistance does not become hidden governance and so that stakeholder authorship and agency are not silently eroded.</w:t>
      </w:r>
    </w:p>
    <w:p>
      <w:pPr>
        <w:pStyle w:val="BodyText"/>
        <w:widowControl/>
      </w:pPr>
      <w:r>
        <w:t xml:space="preserve">Stewardship does not replace or modify NCRC, TRC, CSV, RLS, or UCI/HOI. It is an assistance integrity layer enforced through PCC fields and audit flags.</w:t>
      </w:r>
    </w:p>
    <w:p>
      <w:pPr>
        <w:pStyle w:val="BodyText"/>
        <w:widowControl/>
      </w:pPr>
      <w:r>
        <w:t xml:space="preserve">Stewardship requirements affect PCC validity for assisted runs and influence integrity, but SHALL NOT alter cascade admissibility, ordering, or option selection semantics.</w:t>
      </w:r>
    </w:p>
    <w:bookmarkStart w:id="476" w:name="n1-applicability-normative"/>
    <w:p>
      <w:pPr>
        <w:pStyle w:val="Heading2"/>
        <w:keepNext/>
        <w:keepLines/>
        <w:pageBreakBefore w:val="0"/>
        <w:widowControl/>
      </w:pPr>
      <w:r>
        <w:rPr>
          <w:rFonts w:ascii="Arial" w:hAnsi="Arial" w:eastAsia="Arial"/>
          <w:b/>
          <w:color w:val="1F4E78"/>
        </w:rPr>
        <w:t xml:space="preserve">N.1 Applicability (Normative)</w:t>
      </w:r>
    </w:p>
    <w:p>
      <w:pPr>
        <w:pStyle w:val="FirstParagraph"/>
        <w:widowControl/>
      </w:pPr>
      <w:r>
        <w:t xml:space="preserve">This appendix applies if and only if Stw_req(run) = 1 as defined in Section 14.7.1.</w:t>
      </w:r>
    </w:p>
    <w:p>
      <w:pPr>
        <w:pStyle w:val="BodyText"/>
        <w:widowControl/>
      </w:pPr>
      <w:r>
        <w:t xml:space="preserve">Tier binding rule (Normative):</w:t>
      </w:r>
    </w:p>
    <w:p>
      <w:pPr>
        <w:pStyle w:val="Compact"/>
        <w:widowControl/>
        <w:numPr>
          <w:ilvl w:val="0"/>
          <w:numId w:val="1362"/>
        </w:numPr>
      </w:pPr>
      <w:r>
        <w:t xml:space="preserve">Any Tier 3 compliance claim SHALL set Stw_req(run) = 1.</w:t>
      </w:r>
    </w:p>
    <w:p>
      <w:pPr>
        <w:pStyle w:val="Compact"/>
        <w:widowControl/>
        <w:numPr>
          <w:ilvl w:val="0"/>
          <w:numId w:val="1363"/>
        </w:numPr>
      </w:pPr>
      <w:r>
        <w:t xml:space="preserve">Tier 1–2 runs MAY set Stw_req(run) = 0 unless any of the S1 through S4 applicability conditions hold (Section 14.7.1). S5 is a modifier and does not trigger Stw_req(run) by itself.</w:t>
      </w:r>
    </w:p>
    <w:bookmarkEnd w:id="476"/>
    <w:bookmarkStart w:id="477" w:name="X68553c6db31b842f6b04f87b3ccc41fc7f6a0a1"/>
    <w:p>
      <w:pPr>
        <w:pStyle w:val="Heading2"/>
        <w:keepNext/>
        <w:keepLines/>
        <w:pageBreakBefore w:val="0"/>
        <w:widowControl/>
      </w:pPr>
      <w:r>
        <w:rPr>
          <w:rFonts w:ascii="Arial" w:hAnsi="Arial" w:eastAsia="Arial"/>
          <w:b/>
          <w:color w:val="1F4E78"/>
        </w:rPr>
        <w:t xml:space="preserve">N.2 Stewardship Contract (Normative Minimum)</w:t>
      </w:r>
    </w:p>
    <w:p>
      <w:pPr>
        <w:pStyle w:val="FirstParagraph"/>
        <w:widowControl/>
      </w:pPr>
      <w:r>
        <w:t xml:space="preserve">When Stw_req(run) = 1, the run MUST instantiate a Stewardship Contract specifying, at minimum:</w:t>
      </w:r>
    </w:p>
    <w:p>
      <w:pPr>
        <w:pStyle w:val="Compact"/>
        <w:widowControl/>
        <w:numPr>
          <w:ilvl w:val="0"/>
          <w:numId w:val="1364"/>
        </w:numPr>
      </w:pPr>
      <w:r>
        <w:t xml:space="preserve">Mandate Scope: domains and action types the assistant may participate in.</w:t>
      </w:r>
    </w:p>
    <w:p>
      <w:pPr>
        <w:pStyle w:val="Compact"/>
        <w:widowControl/>
        <w:numPr>
          <w:ilvl w:val="0"/>
          <w:numId w:val="1365"/>
        </w:numPr>
      </w:pPr>
      <w:r>
        <w:t xml:space="preserve">Decision Boundary Declaration (DBD): explicit “will not finalize” boundaries for authority-class decisions.</w:t>
      </w:r>
    </w:p>
    <w:p>
      <w:pPr>
        <w:pStyle w:val="Compact"/>
        <w:widowControl/>
        <w:numPr>
          <w:ilvl w:val="0"/>
          <w:numId w:val="1366"/>
        </w:numPr>
      </w:pPr>
      <w:r>
        <w:t xml:space="preserve">Authorship Finality Rule: who must hold finality for irreversible/high-impact decisions.</w:t>
      </w:r>
    </w:p>
    <w:p>
      <w:pPr>
        <w:pStyle w:val="Compact"/>
        <w:widowControl/>
        <w:numPr>
          <w:ilvl w:val="0"/>
          <w:numId w:val="1367"/>
        </w:numPr>
      </w:pPr>
      <w:r>
        <w:t xml:space="preserve">Influence Transparency Rule: disclosure requirements for ranking, omission, and nudges.</w:t>
      </w:r>
    </w:p>
    <w:p>
      <w:pPr>
        <w:pStyle w:val="Compact"/>
        <w:widowControl/>
        <w:numPr>
          <w:ilvl w:val="0"/>
          <w:numId w:val="1368"/>
        </w:numPr>
      </w:pPr>
      <w:r>
        <w:t xml:space="preserve">Intervention Restraint Budget (IRB): caps/thresholds limiting overhelp and dependency growth.</w:t>
      </w:r>
    </w:p>
    <w:p>
      <w:pPr>
        <w:pStyle w:val="Compact"/>
        <w:widowControl/>
        <w:numPr>
          <w:ilvl w:val="0"/>
          <w:numId w:val="1369"/>
        </w:numPr>
      </w:pPr>
      <w:r>
        <w:t xml:space="preserve">Audit Hooks: where and how Stewardship fields are recorded in the PCC and/or system logs.</w:t>
      </w:r>
    </w:p>
    <w:bookmarkEnd w:id="477"/>
    <w:bookmarkStart w:id="478" w:name="Xc3d759df1e63ecf43c0162996319e23e3dddc6a"/>
    <w:p>
      <w:pPr>
        <w:pStyle w:val="Heading2"/>
        <w:keepNext/>
        <w:keepLines/>
        <w:pageBreakBefore w:val="0"/>
        <w:widowControl/>
      </w:pPr>
      <w:r>
        <w:rPr>
          <w:rFonts w:ascii="Arial" w:hAnsi="Arial" w:eastAsia="Arial"/>
          <w:b/>
          <w:color w:val="1F4E78"/>
        </w:rPr>
        <w:t xml:space="preserve">N.3 PCC Stewardship Block (Normative; Conditional Fields)</w:t>
      </w:r>
    </w:p>
    <w:p>
      <w:pPr>
        <w:pStyle w:val="FirstParagraph"/>
        <w:widowControl/>
      </w:pPr>
      <w:r>
        <w:t xml:space="preserve">When Stw_req(run) = 1, the PCC MUST include the following fields (names are canonical):</w:t>
      </w:r>
    </w:p>
    <w:p>
      <w:pPr>
        <w:pStyle w:val="Compact"/>
        <w:widowControl/>
        <w:numPr>
          <w:ilvl w:val="0"/>
          <w:numId w:val="1370"/>
        </w:numPr>
      </w:pPr>
      <w:r>
        <w:t xml:space="preserve">PCC.Stewardship.Stw_req = TRUE</w:t>
      </w:r>
    </w:p>
    <w:p>
      <w:pPr>
        <w:pStyle w:val="Compact"/>
        <w:widowControl/>
        <w:numPr>
          <w:ilvl w:val="0"/>
          <w:numId w:val="1371"/>
        </w:numPr>
      </w:pPr>
      <w:r>
        <w:t xml:space="preserve">PCC.Stewardship.DBD.Scope: list/enum of out-of-scope authority domains/actions</w:t>
      </w:r>
    </w:p>
    <w:p>
      <w:pPr>
        <w:pStyle w:val="Compact"/>
        <w:widowControl/>
        <w:numPr>
          <w:ilvl w:val="0"/>
          <w:numId w:val="1372"/>
        </w:numPr>
      </w:pPr>
      <w:r>
        <w:t xml:space="preserve">PCC.Stewardship.DBD.RefusalRule: rule/macro identifier used when deferring/refusing authority substitution</w:t>
      </w:r>
    </w:p>
    <w:p>
      <w:pPr>
        <w:pStyle w:val="Compact"/>
        <w:widowControl/>
        <w:numPr>
          <w:ilvl w:val="0"/>
          <w:numId w:val="1373"/>
        </w:numPr>
      </w:pPr>
      <w:r>
        <w:t xml:space="preserve">PCC.Stewardship.APM.AfterActionAuthorship in [0,1]</w:t>
      </w:r>
    </w:p>
    <w:p>
      <w:pPr>
        <w:pStyle w:val="Compact"/>
        <w:widowControl/>
        <w:numPr>
          <w:ilvl w:val="0"/>
          <w:numId w:val="1374"/>
        </w:numPr>
      </w:pPr>
      <w:r>
        <w:t xml:space="preserve">PCC.Stewardship.APM.Rationale: artifact-anchored justification (see N.4)</w:t>
      </w:r>
    </w:p>
    <w:p>
      <w:pPr>
        <w:pStyle w:val="Compact"/>
        <w:widowControl/>
        <w:numPr>
          <w:ilvl w:val="0"/>
          <w:numId w:val="1375"/>
        </w:numPr>
      </w:pPr>
      <w:r>
        <w:t xml:space="preserve">PCC.Stewardship.IRB.InterventionCap: declared cap(s) (see N.5)</w:t>
      </w:r>
    </w:p>
    <w:p>
      <w:pPr>
        <w:pStyle w:val="Compact"/>
        <w:widowControl/>
        <w:numPr>
          <w:ilvl w:val="0"/>
          <w:numId w:val="1376"/>
        </w:numPr>
      </w:pPr>
      <w:r>
        <w:t xml:space="preserve">PCC.Stewardship.IRB.Thresholds: intervene-only-past-harm-point rule(s)</w:t>
      </w:r>
    </w:p>
    <w:p>
      <w:pPr>
        <w:pStyle w:val="Compact"/>
        <w:widowControl/>
        <w:numPr>
          <w:ilvl w:val="0"/>
          <w:numId w:val="1377"/>
        </w:numPr>
      </w:pPr>
      <w:r>
        <w:t xml:space="preserve">PCC.Stewardship.InfluenceLedgerRef: pointer to influence disclosure record (or “NONE” with justification)</w:t>
      </w:r>
    </w:p>
    <w:p>
      <w:pPr>
        <w:pStyle w:val="FirstParagraph"/>
        <w:widowControl/>
      </w:pPr>
      <w:r>
        <w:t xml:space="preserve">Optional fields (permitted but not required):</w:t>
      </w:r>
    </w:p>
    <w:p>
      <w:pPr>
        <w:pStyle w:val="Compact"/>
        <w:widowControl/>
        <w:numPr>
          <w:ilvl w:val="0"/>
          <w:numId w:val="1378"/>
        </w:numPr>
      </w:pPr>
      <w:r>
        <w:t xml:space="preserve">PCC.Stewardship.APM.BaselineAuthorship in [0,1] (counterfactual; optional due to measurement difficulty)</w:t>
      </w:r>
    </w:p>
    <w:p>
      <w:pPr>
        <w:pStyle w:val="Compact"/>
        <w:widowControl/>
        <w:numPr>
          <w:ilvl w:val="0"/>
          <w:numId w:val="1379"/>
        </w:numPr>
      </w:pPr>
      <w:r>
        <w:t xml:space="preserve">PCC.Stewardship.DelayFlag in {TRUE,FALSE}: deliberate delay/deferral used to preserve integration time</w:t>
      </w:r>
    </w:p>
    <w:p>
      <w:pPr>
        <w:pStyle w:val="FirstParagraph"/>
        <w:widowControl/>
      </w:pPr>
      <w:r>
        <w:t xml:space="preserve">PCC.Stewardship.ReviewConditions: array&lt;string&gt; (closed labels; non-audit-flag tokens)</w:t>
      </w:r>
    </w:p>
    <w:p>
      <w:pPr>
        <w:pStyle w:val="BodyText"/>
        <w:widowControl/>
      </w:pPr>
      <w:r>
        <w:t xml:space="preserve">When a Stewardship REVIEW condition is recorded, the PCC SHOULD include PCC.Stewardship.ReviewConditions as a list of standardized labels. These labels are run-local review condition labels and are not audit-flag tokens. Standard starter label: MISSING_INFLUENCE_DISCLOSURE.</w:t>
      </w:r>
    </w:p>
    <w:p>
      <w:pPr>
        <w:pStyle w:val="BodyText"/>
        <w:widowControl/>
      </w:pPr>
      <w:r>
        <w:t xml:space="preserve">When Stw_req(run) = 0, the PCC SHOULD record PCC.Stewardship.Stw_req = FALSE and all other Stewardship fields MAY be omitted.</w:t>
      </w:r>
    </w:p>
    <w:bookmarkEnd w:id="478"/>
    <w:bookmarkStart w:id="479" w:name="Xd9dbc4fa43a02adfd8e6d6f6ea9598460815b5e"/>
    <w:p>
      <w:pPr>
        <w:pStyle w:val="Heading2"/>
        <w:keepNext/>
        <w:keepLines/>
        <w:pageBreakBefore w:val="0"/>
        <w:widowControl/>
      </w:pPr>
      <w:r>
        <w:rPr>
          <w:rFonts w:ascii="Arial" w:hAnsi="Arial" w:eastAsia="Arial"/>
          <w:b/>
          <w:color w:val="1F4E78"/>
        </w:rPr>
        <w:t xml:space="preserve">N.3.1 Stewardship Vector (SV) Design-Record Status (Normative)</w:t>
      </w:r>
    </w:p>
    <w:p>
      <w:pPr>
        <w:pStyle w:val="FirstParagraph"/>
        <w:widowControl/>
      </w:pPr>
      <w:r>
        <w:t xml:space="preserve">During development, a five-component numeric Stewardship Vector (SV) with non-compensatory floors was proposed (AP, AC, OSP, IT, ND). In v9.0, numeric SV scoring is retained only as a design-record placeholder and remains OPTIONAL; it MUST NOT be used as a pass/fail gate unless a deployment (i) declares an anchored rubric, (ii) preregisters the scoring method in the PCC, and (iii) demonstrates replayable rubric consistency under the current canon.</w:t>
      </w:r>
    </w:p>
    <w:p>
      <w:pPr>
        <w:pStyle w:val="BodyText"/>
        <w:widowControl/>
      </w:pPr>
      <w:r>
        <w:t xml:space="preserve">Absent a declared rubric, Stewardship enforcement in v9.0 relies on the declarative and auditable artifacts defined in this appendix: DBD, APM evidence anchors, IRB, influence disclosure, and the Stewardship audit flags.</w:t>
      </w:r>
    </w:p>
    <w:p>
      <w:pPr>
        <w:pStyle w:val="BodyText"/>
        <w:widowControl/>
      </w:pPr>
      <w:r>
        <w:t xml:space="preserve">Validated SV rubrics MAY be introduced in a future version via governed update and version increment.</w:t>
      </w:r>
    </w:p>
    <w:bookmarkEnd w:id="479"/>
    <w:bookmarkStart w:id="480" w:name="Xe7d340a9da0adbb66fe5952f7524e005b0a3721"/>
    <w:p>
      <w:pPr>
        <w:pStyle w:val="Heading2"/>
        <w:keepNext/>
        <w:keepLines/>
        <w:pageBreakBefore w:val="0"/>
        <w:widowControl/>
      </w:pPr>
      <w:r>
        <w:rPr>
          <w:rFonts w:ascii="Arial" w:hAnsi="Arial" w:eastAsia="Arial"/>
          <w:b/>
          <w:color w:val="1F4E78"/>
        </w:rPr>
        <w:t xml:space="preserve">N.4 Agency Preservation Measure (APM): Minimum Evidence Anchors (Normative; Anti-Theater Rule)</w:t>
      </w:r>
    </w:p>
    <w:p>
      <w:pPr>
        <w:pStyle w:val="FirstParagraph"/>
        <w:widowControl/>
      </w:pPr>
      <w:r>
        <w:t xml:space="preserve">When Stw_req(run) = 1, PCC.Stewardship.APM.Rationale MUST reference at least two of the following anchors (or explicitly justify infeasibility):</w:t>
      </w:r>
    </w:p>
    <w:p>
      <w:pPr>
        <w:pStyle w:val="Compact"/>
        <w:widowControl/>
        <w:numPr>
          <w:ilvl w:val="0"/>
          <w:numId w:val="1380"/>
        </w:numPr>
      </w:pPr>
      <w:r>
        <w:t xml:space="preserve">A1 Option Visibility: &gt;=2 distinct options were presented unless impossible; impossibility MUST be explained.</w:t>
      </w:r>
    </w:p>
    <w:p>
      <w:pPr>
        <w:pStyle w:val="Compact"/>
        <w:widowControl/>
        <w:numPr>
          <w:ilvl w:val="0"/>
          <w:numId w:val="1381"/>
        </w:numPr>
      </w:pPr>
      <w:r>
        <w:t xml:space="preserve">A2 Tradeoff/Uncertainty Disclosure: at least one explicit tradeoff, uncertainty limitation, or missing-data acknowledgment was stated.</w:t>
      </w:r>
    </w:p>
    <w:p>
      <w:pPr>
        <w:pStyle w:val="Compact"/>
        <w:widowControl/>
        <w:numPr>
          <w:ilvl w:val="0"/>
          <w:numId w:val="1382"/>
        </w:numPr>
      </w:pPr>
      <w:r>
        <w:t xml:space="preserve">A3 Human Finality (High Stakes): for irreversible/high-impact actions, explicit human confirmation was required OR the system deferred/refused finality.</w:t>
      </w:r>
    </w:p>
    <w:p>
      <w:pPr>
        <w:pStyle w:val="Compact"/>
        <w:widowControl/>
        <w:numPr>
          <w:ilvl w:val="0"/>
          <w:numId w:val="1383"/>
        </w:numPr>
      </w:pPr>
      <w:r>
        <w:t xml:space="preserve">A4 Omission Disclosure (If Recommending): if recommending or ranking, at least one plausible alternative was disclosed, with why it was not recommended.</w:t>
      </w:r>
    </w:p>
    <w:p>
      <w:pPr>
        <w:pStyle w:val="FirstParagraph"/>
        <w:widowControl/>
      </w:pPr>
      <w:r>
        <w:t xml:space="preserve">This anchor rule prevents “authorship” from being reduced to “the human clicked OK.”</w:t>
      </w:r>
    </w:p>
    <w:bookmarkEnd w:id="480"/>
    <w:bookmarkStart w:id="481" w:name="X5a7bcc53ce3235669cb2260b032f0ea4b457cc2"/>
    <w:p>
      <w:pPr>
        <w:pStyle w:val="Heading2"/>
        <w:keepNext/>
        <w:keepLines/>
        <w:pageBreakBefore w:val="0"/>
        <w:widowControl/>
      </w:pPr>
      <w:r>
        <w:rPr>
          <w:rFonts w:ascii="Arial" w:hAnsi="Arial" w:eastAsia="Arial"/>
          <w:b/>
          <w:color w:val="1F4E78"/>
        </w:rPr>
        <w:t xml:space="preserve">N.5 Intervention Restraint Budget (IRB) (Normative)</w:t>
      </w:r>
    </w:p>
    <w:p>
      <w:pPr>
        <w:pStyle w:val="FirstParagraph"/>
        <w:widowControl/>
      </w:pPr>
      <w:r>
        <w:t xml:space="preserve">When Stw_req(run) = 1, the Stewardship Contract MUST declare an IRB sufficient to detect and mitigate overhelp.</w:t>
      </w:r>
    </w:p>
    <w:p>
      <w:pPr>
        <w:pStyle w:val="BodyText"/>
        <w:widowControl/>
      </w:pPr>
      <w:r>
        <w:t xml:space="preserve">Minimum required structure:</w:t>
      </w:r>
    </w:p>
    <w:p>
      <w:pPr>
        <w:pStyle w:val="Compact"/>
        <w:widowControl/>
        <w:numPr>
          <w:ilvl w:val="0"/>
          <w:numId w:val="1384"/>
        </w:numPr>
      </w:pPr>
      <w:r>
        <w:t xml:space="preserve">IRB.InterventionCap: a cap on assistance frequency and/or intensity appropriate to context (examples: max ranked outputs per session; max consecutive turns without user-provided constraints; max interventions per day).</w:t>
      </w:r>
    </w:p>
    <w:p>
      <w:pPr>
        <w:pStyle w:val="Compact"/>
        <w:widowControl/>
        <w:numPr>
          <w:ilvl w:val="0"/>
          <w:numId w:val="1385"/>
        </w:numPr>
      </w:pPr>
      <w:r>
        <w:t xml:space="preserve">IRB.Thresholds: explicit rule(s) stating that the system intervenes only past a harm-point; otherwise it asks, defers, or provides neutral information.</w:t>
      </w:r>
    </w:p>
    <w:p>
      <w:pPr>
        <w:pStyle w:val="FirstParagraph"/>
        <w:widowControl/>
      </w:pPr>
      <w:r>
        <w:t xml:space="preserve">Normative interpretation: IRB is a structural limit on assistance so that capability does not silently substitute agency over time.</w:t>
      </w:r>
    </w:p>
    <w:bookmarkEnd w:id="481"/>
    <w:bookmarkStart w:id="482" w:name="Xb183764efb32ad0f47abd8d87db2cf8150eacd7"/>
    <w:p>
      <w:pPr>
        <w:pStyle w:val="Heading2"/>
        <w:keepNext/>
        <w:keepLines/>
        <w:pageBreakBefore w:val="0"/>
        <w:widowControl/>
      </w:pPr>
      <w:r>
        <w:rPr>
          <w:rFonts w:ascii="Arial" w:hAnsi="Arial" w:eastAsia="Arial"/>
          <w:b/>
          <w:color w:val="1F4E78"/>
        </w:rPr>
        <w:t xml:space="preserve">N.6 Influence Transparency Ledger (Normative Minimum Schema)</w:t>
      </w:r>
    </w:p>
    <w:p>
      <w:pPr>
        <w:pStyle w:val="FirstParagraph"/>
        <w:widowControl/>
      </w:pPr>
      <w:r>
        <w:t xml:space="preserve">When Stw_req(run) = 1, if the assistant recommends, ranks, or meaningfully narrows option space, it MUST produce an influence disclosure record referenced by PCC.Stewardship.InfluenceLedgerRef.</w:t>
      </w:r>
    </w:p>
    <w:p>
      <w:pPr>
        <w:pStyle w:val="BodyText"/>
        <w:widowControl/>
      </w:pPr>
      <w:r>
        <w:t xml:space="preserve">Minimum fields (canonical):</w:t>
      </w:r>
    </w:p>
    <w:p>
      <w:pPr>
        <w:pStyle w:val="BodyText"/>
        <w:widowControl/>
      </w:pPr>
      <w:r>
        <w:t xml:space="preserve">evidence_anchors: list of ≥2 observable anchors (links/IDs)</w:t>
      </w:r>
    </w:p>
    <w:p>
      <w:pPr>
        <w:pStyle w:val="BodyText"/>
        <w:widowControl/>
      </w:pPr>
      <w:r>
        <w:t xml:space="preserve">conflicts_or_incentives: “NONE” | “&lt;short disclosure&gt;”</w:t>
      </w:r>
    </w:p>
    <w:p>
      <w:pPr>
        <w:pStyle w:val="BodyText"/>
        <w:widowControl/>
      </w:pPr>
      <w:r>
        <w:t xml:space="preserve">Conflicts_or_incentives discloses operator/deployer conflicts relevant to the recommendation (e.g., vendor ties, institutional incentives, known dataset skews relevant to the decision context). This field is required only when recommending/ranking/narrowing.</w:t>
      </w:r>
    </w:p>
    <w:p>
      <w:pPr>
        <w:pStyle w:val="Compact"/>
        <w:widowControl/>
        <w:numPr>
          <w:ilvl w:val="0"/>
          <w:numId w:val="1386"/>
        </w:numPr>
      </w:pPr>
      <w:r>
        <w:t xml:space="preserve">options_considered: list of option IDs considered in the recommendation context</w:t>
      </w:r>
    </w:p>
    <w:p>
      <w:pPr>
        <w:pStyle w:val="Compact"/>
        <w:widowControl/>
        <w:numPr>
          <w:ilvl w:val="0"/>
          <w:numId w:val="1387"/>
        </w:numPr>
      </w:pPr>
      <w:r>
        <w:t xml:space="preserve">recommendation_made: TRUE/FALSE</w:t>
      </w:r>
    </w:p>
    <w:p>
      <w:pPr>
        <w:pStyle w:val="Compact"/>
        <w:widowControl/>
        <w:numPr>
          <w:ilvl w:val="0"/>
          <w:numId w:val="1388"/>
        </w:numPr>
      </w:pPr>
      <w:r>
        <w:t xml:space="preserve">ranking_used: TRUE/FALSE (if TRUE, describe criteria)</w:t>
      </w:r>
    </w:p>
    <w:p>
      <w:pPr>
        <w:pStyle w:val="Compact"/>
        <w:widowControl/>
        <w:numPr>
          <w:ilvl w:val="0"/>
          <w:numId w:val="1389"/>
        </w:numPr>
      </w:pPr>
      <w:r>
        <w:t xml:space="preserve">criteria_summary: short statement of criteria/constraints applied (must be consistent with the cascade)</w:t>
      </w:r>
    </w:p>
    <w:p>
      <w:pPr>
        <w:pStyle w:val="Compact"/>
        <w:widowControl/>
        <w:numPr>
          <w:ilvl w:val="0"/>
          <w:numId w:val="1390"/>
        </w:numPr>
      </w:pPr>
      <w:r>
        <w:t xml:space="preserve">omissions: list of material omissions (if any) + justification</w:t>
      </w:r>
    </w:p>
    <w:p>
      <w:pPr>
        <w:pStyle w:val="Compact"/>
        <w:widowControl/>
        <w:numPr>
          <w:ilvl w:val="0"/>
          <w:numId w:val="1391"/>
        </w:numPr>
      </w:pPr>
      <w:r>
        <w:t xml:space="preserve">uncertainty_note: what is uncertain and how it could change the recommendation</w:t>
      </w:r>
    </w:p>
    <w:p>
      <w:pPr>
        <w:pStyle w:val="Compact"/>
        <w:widowControl/>
        <w:numPr>
          <w:ilvl w:val="0"/>
          <w:numId w:val="1392"/>
        </w:numPr>
      </w:pPr>
      <w:r>
        <w:t xml:space="preserve">what_would_change_my_view: at least one concrete evidence/assumption change that would alter the advice</w:t>
      </w:r>
    </w:p>
    <w:p>
      <w:pPr>
        <w:pStyle w:val="FirstParagraph"/>
        <w:widowControl/>
      </w:pPr>
      <w:r>
        <w:t xml:space="preserve">If no recommendation/ranking occurred, implementations MAY set InfluenceLedgerRef = “NONE” with justification.</w:t>
      </w:r>
    </w:p>
    <w:bookmarkEnd w:id="482"/>
    <w:bookmarkStart w:id="483" w:name="X5a0131e1a2dc3bbd20c58e540147a05e39a3321"/>
    <w:p>
      <w:pPr>
        <w:pStyle w:val="Heading2"/>
        <w:keepNext/>
        <w:keepLines/>
        <w:pageBreakBefore w:val="0"/>
        <w:widowControl/>
      </w:pPr>
      <w:r>
        <w:rPr>
          <w:rFonts w:ascii="Arial" w:hAnsi="Arial" w:eastAsia="Arial"/>
          <w:b/>
          <w:color w:val="1F4E78"/>
        </w:rPr>
        <w:t xml:space="preserve">N.7 Stewardship Audit Flags (Normative; Apply Only if Stw_req=1)</w:t>
      </w:r>
    </w:p>
    <w:p>
      <w:pPr>
        <w:pStyle w:val="FirstParagraph"/>
        <w:widowControl/>
      </w:pPr>
      <w:r>
        <w:t xml:space="preserve">This section is the canonical source of Stewardship audit-flag tokens. Tokens MUST be copied exactly (single-string UPPER_SNAKE_CASE, no whitespace/line breaks) and MUST NOT be modified or redefined elsewhere.</w:t>
      </w:r>
    </w:p>
    <w:p>
      <w:pPr>
        <w:pStyle w:val="BodyText"/>
        <w:widowControl/>
      </w:pPr>
      <w:r>
        <w:t xml:space="preserve">Tokens MUST be single-string UPPER_SNAKE_CASE. Whitespace, line breaks, or token splitting are PROHIBITED. Any mismatch is a tooling failure and SHALL be treated as nonconformant documentation.</w:t>
      </w:r>
    </w:p>
    <w:p>
      <w:pPr>
        <w:pStyle w:val="BodyText"/>
        <w:widowControl/>
      </w:pPr>
      <w:r>
        <w:t xml:space="preserve">Stewardship flags apply only when Stw_req(run) = 1.</w:t>
      </w:r>
    </w:p>
    <w:p>
      <w:pPr>
        <w:pStyle w:val="BodyText"/>
        <w:widowControl/>
      </w:pPr>
      <w:r>
        <w:t xml:space="preserve">INVALID flags (PCC invalid; rerun required):</w:t>
      </w:r>
    </w:p>
    <w:p>
      <w:pPr>
        <w:pStyle w:val="Compact"/>
        <w:widowControl/>
        <w:numPr>
          <w:ilvl w:val="0"/>
          <w:numId w:val="1393"/>
        </w:numPr>
      </w:pPr>
      <w:r>
        <w:t xml:space="preserve">AUTHORITY_SUBSTITUTION_INVALID Trigger: the assistant finalizes an out-of-scope authority-class decision (per DBD.Scope) without an explicit, authenticated override and disclosure. Required action: invalidate PCC; rerun with deferral/guidance-only; remediate boundary controls.</w:t>
      </w:r>
    </w:p>
    <w:p>
      <w:pPr>
        <w:pStyle w:val="Compact"/>
        <w:widowControl/>
        <w:numPr>
          <w:ilvl w:val="0"/>
          <w:numId w:val="1394"/>
        </w:numPr>
      </w:pPr>
      <w:r>
        <w:t xml:space="preserve">BOUNDARY_SILENT_OVERRIDE_INVALID Trigger: any boundary change occurs without explicit disclosure and authenticated change control (AIL4 No Silent Overrides). Required action: invalidate PCC; rerun; investigate drift; restore boundary stability.</w:t>
      </w:r>
    </w:p>
    <w:p>
      <w:pPr>
        <w:pStyle w:val="FirstParagraph"/>
        <w:widowControl/>
      </w:pPr>
      <w:r>
        <w:t xml:space="preserve">REVIEW flags (mitigation required; PCC remains valid unless additional INVALID flags exist):</w:t>
      </w:r>
    </w:p>
    <w:p>
      <w:pPr>
        <w:pStyle w:val="Compact"/>
        <w:widowControl/>
        <w:numPr>
          <w:ilvl w:val="0"/>
          <w:numId w:val="1395"/>
        </w:numPr>
      </w:pPr>
      <w:r>
        <w:t xml:space="preserve">AGENCY_EROSION_RISK_REVIEW Trigger: (i) repeated interactions show dependency drift signals (e.g., repeated “decide for me” requests), OR (ii) the run fails to satisfy the APM evidence-anchor rule in N.4 (fewer than two anchors satisfied or infeasibility not justified). Required action: mitigation plan (increase option visibility, reduce ranking, add questions/delay); monitoring cadence; for agentic deployments, consider mode downgrade triggers.</w:t>
      </w:r>
    </w:p>
    <w:p>
      <w:pPr>
        <w:pStyle w:val="Compact"/>
        <w:widowControl/>
        <w:numPr>
          <w:ilvl w:val="0"/>
          <w:numId w:val="1396"/>
        </w:numPr>
      </w:pPr>
      <w:r>
        <w:t xml:space="preserve">OVERHELP_FREQUENCY_REVIEW Trigger: IRB.InterventionCap exceeded OR a rising trend in assistance frequency indicates dependency growth risk. Required action: tighten caps; enforce tapering/coaching posture; Reflect remediation.</w:t>
      </w:r>
    </w:p>
    <w:bookmarkEnd w:id="483"/>
    <w:bookmarkStart w:id="484" w:name="Xdd76dc33e833aaba411e515131627f8edfcc0a3"/>
    <w:p>
      <w:pPr>
        <w:pStyle w:val="Heading2"/>
        <w:keepNext/>
        <w:keepLines/>
        <w:pageBreakBefore w:val="0"/>
        <w:widowControl/>
      </w:pPr>
      <w:r>
        <w:rPr>
          <w:rFonts w:ascii="Arial" w:hAnsi="Arial" w:eastAsia="Arial"/>
          <w:b/>
          <w:color w:val="1F4E78"/>
        </w:rPr>
        <w:t xml:space="preserve">N.8 ReviewConditions Label Set (Normative starter set)</w:t>
      </w:r>
    </w:p>
    <w:p>
      <w:pPr>
        <w:pStyle w:val="FirstParagraph"/>
        <w:widowControl/>
      </w:pPr>
      <w:r>
        <w:t xml:space="preserve">ReviewConditions are run-local labels recorded in PCC.Stewardship.ReviewConditions and/or in the agent audit log stewardship.review_conditions. They are NOT audit-flag tokens.</w:t>
      </w:r>
    </w:p>
    <w:p>
      <w:pPr>
        <w:pStyle w:val="BodyText"/>
        <w:widowControl/>
      </w:pPr>
      <w:r>
        <w:t xml:space="preserve">The following starter labels may be recorded when a non-invalidating review condition is detected (including when Stw_req(run) = 0).</w:t>
      </w:r>
    </w:p>
    <w:p>
      <w:pPr>
        <w:pStyle w:val="Compact"/>
        <w:widowControl/>
        <w:numPr>
          <w:ilvl w:val="0"/>
          <w:numId w:val="1397"/>
        </w:numPr>
      </w:pPr>
      <w:r>
        <w:t xml:space="preserve">BOUNDARY_DRIFT: boundaries changed without authenticated control</w:t>
      </w:r>
    </w:p>
    <w:p>
      <w:pPr>
        <w:pStyle w:val="Compact"/>
        <w:widowControl/>
        <w:numPr>
          <w:ilvl w:val="0"/>
          <w:numId w:val="1398"/>
        </w:numPr>
      </w:pPr>
      <w:r>
        <w:t xml:space="preserve">DEPENDENCY_GROWTH: rising substitution requests over time</w:t>
      </w:r>
    </w:p>
    <w:p>
      <w:pPr>
        <w:pStyle w:val="Compact"/>
        <w:widowControl/>
        <w:numPr>
          <w:ilvl w:val="0"/>
          <w:numId w:val="1399"/>
        </w:numPr>
      </w:pPr>
      <w:r>
        <w:t xml:space="preserve">OVERHELP_TREND: assistance frequency accelerating</w:t>
      </w:r>
    </w:p>
    <w:p>
      <w:pPr>
        <w:pStyle w:val="Compact"/>
        <w:widowControl/>
        <w:numPr>
          <w:ilvl w:val="0"/>
          <w:numId w:val="1400"/>
        </w:numPr>
      </w:pPr>
      <w:r>
        <w:t xml:space="preserve">APM_ANCHOR_FAILURE: fewer than 2 of 4 APM anchors satisfied</w:t>
      </w:r>
    </w:p>
    <w:p>
      <w:pPr>
        <w:pStyle w:val="Compact"/>
        <w:widowControl/>
        <w:numPr>
          <w:ilvl w:val="0"/>
          <w:numId w:val="1401"/>
        </w:numPr>
      </w:pPr>
      <w:r>
        <w:t xml:space="preserve">AUTHORITY_SCOPE_VIOLATION: finalization in out-of-scope domain</w:t>
      </w:r>
    </w:p>
    <w:p>
      <w:pPr>
        <w:pStyle w:val="Compact"/>
        <w:widowControl/>
        <w:numPr>
          <w:ilvl w:val="0"/>
          <w:numId w:val="1402"/>
        </w:numPr>
      </w:pPr>
      <w:r>
        <w:t xml:space="preserve">MISSING_INFLUENCE_DISCLOSURE: recommendation/ranking/meaningful option-narrowing without minimal Influence Ledger disclosures</w:t>
      </w:r>
    </w:p>
    <w:bookmarkEnd w:id="484"/>
    <w:bookmarkStart w:id="485" w:name="X0f4ac7f41fd922285ce6a8b9d574278251452cf"/>
    <w:p>
      <w:pPr>
        <w:pStyle w:val="Heading2"/>
        <w:keepNext/>
        <w:keepLines/>
        <w:pageBreakBefore w:val="0"/>
        <w:widowControl/>
      </w:pPr>
      <w:r>
        <w:rPr>
          <w:rFonts w:ascii="Arial" w:hAnsi="Arial" w:eastAsia="Arial"/>
          <w:b/>
          <w:color w:val="1F4E78"/>
        </w:rPr>
        <w:t xml:space="preserve">N.9 Neutral Assistance Compatibility Statement (Normative)</w:t>
      </w:r>
    </w:p>
    <w:p>
      <w:pPr>
        <w:pStyle w:val="FirstParagraph"/>
        <w:widowControl/>
      </w:pPr>
      <w:r>
        <w:t xml:space="preserve">RippleLogic supports a minimal “neutral assistance” posture where the correct behavior is to avoid steering. When Stw_req(run) = 0, neutrality is achieved via the base cascade and ordinary PCC discipline (if used), without Stewardship instrumentation. When Stw_req(run) = 1, neutrality is achieved through DBD.Scope adherence, influence transparency when recommending, and IRB limits on overhelp.</w:t>
      </w:r>
    </w:p>
    <w:p>
      <w:pPr>
        <w:pStyle w:val="BodyText"/>
        <w:widowControl/>
      </w:pPr>
      <w:r>
        <w:t xml:space="preserve">Neutral assistance requirements (when applicable):</w:t>
      </w:r>
    </w:p>
    <w:p>
      <w:pPr>
        <w:pStyle w:val="Compact"/>
        <w:widowControl/>
        <w:numPr>
          <w:ilvl w:val="0"/>
          <w:numId w:val="1403"/>
        </w:numPr>
      </w:pPr>
      <w:r>
        <w:t xml:space="preserve">No ranking unless explicitly requested by the decision owner</w:t>
      </w:r>
    </w:p>
    <w:p>
      <w:pPr>
        <w:pStyle w:val="Compact"/>
        <w:widowControl/>
        <w:numPr>
          <w:ilvl w:val="0"/>
          <w:numId w:val="1404"/>
        </w:numPr>
      </w:pPr>
      <w:r>
        <w:t xml:space="preserve">No undisclosed nudges or framing effects</w:t>
      </w:r>
    </w:p>
    <w:p>
      <w:pPr>
        <w:pStyle w:val="FirstParagraph"/>
        <w:widowControl/>
      </w:pPr>
      <w:r>
        <w:t xml:space="preserve">If the assistant recommends, ranks, or meaningfully narrows option space and does not provide the minimal Influence Ledger disclosures, it SHALL record a REVIEW condition indicating missing influence disclosure (non-invalidating) in the run’s Stewardship notes/logs.</w:t>
      </w:r>
    </w:p>
    <w:p>
      <w:pPr>
        <w:pStyle w:val="Compact"/>
        <w:widowControl/>
        <w:numPr>
          <w:ilvl w:val="0"/>
          <w:numId w:val="1405"/>
        </w:numPr>
      </w:pPr>
      <w:r>
        <w:t xml:space="preserve">Uncertainty disclosed on all material claims</w:t>
      </w:r>
    </w:p>
    <w:p>
      <w:pPr>
        <w:pStyle w:val="Compact"/>
        <w:widowControl/>
        <w:numPr>
          <w:ilvl w:val="0"/>
          <w:numId w:val="1406"/>
        </w:numPr>
      </w:pPr>
      <w:r>
        <w:t xml:space="preserve">Refusal to participate in coercion or manipulation</w:t>
      </w:r>
    </w:p>
    <w:p>
      <w:pPr>
        <w:pStyle w:val="Compact"/>
        <w:widowControl/>
        <w:numPr>
          <w:ilvl w:val="0"/>
          <w:numId w:val="1407"/>
        </w:numPr>
      </w:pPr>
      <w:r>
        <w:t xml:space="preserve">Agency remains with the human decision owner</w:t>
      </w:r>
    </w:p>
    <w:bookmarkEnd w:id="485"/>
    <w:bookmarkStart w:id="486" w:name="Xc2cfd2b6546a9472dd0fb1ad71570ed963b21d3"/>
    <w:p>
      <w:pPr>
        <w:pStyle w:val="Heading2"/>
        <w:keepNext/>
        <w:keepLines/>
        <w:pageBreakBefore w:val="0"/>
        <w:widowControl/>
      </w:pPr>
      <w:r>
        <w:rPr>
          <w:rFonts w:ascii="Arial" w:hAnsi="Arial" w:eastAsia="Arial"/>
          <w:b/>
          <w:color w:val="1F4E78"/>
        </w:rPr>
        <w:t xml:space="preserve">N.10 Reference Profiles for Agent Deployments (Normative Defaults)</w:t>
      </w:r>
    </w:p>
    <w:p>
      <w:pPr>
        <w:pStyle w:val="FirstParagraph"/>
        <w:widowControl/>
      </w:pPr>
      <w:r>
        <w:t xml:space="preserve">For agent deployments, the following reference profiles are provided as normative defaults to prevent ad-hoc invention and preserve audit comparability:</w:t>
      </w:r>
    </w:p>
    <w:p>
      <w:pPr>
        <w:pStyle w:val="Compact"/>
        <w:widowControl/>
        <w:numPr>
          <w:ilvl w:val="0"/>
          <w:numId w:val="1408"/>
        </w:numPr>
      </w:pPr>
      <w:r>
        <w:t xml:space="preserve">DBD_DEFAULT_V1: default authority-domain boundary profile (Decision Boundary Declaration). Covers 10 authority domains: MEDICAL, LEGAL, FINANCIAL_HIGH_STAKES, ENFORCEMENT_PUNISHMENT, HIRING_FIRING_GRADING, SAFETY_CRITICAL, SECURITY_OFFENSE, SELF_HARM_OR_VIOLENCE, PRIVACY_IDENTITY, POLITICAL_PERSUASION_TARGETED.</w:t>
      </w:r>
    </w:p>
    <w:p>
      <w:pPr>
        <w:pStyle w:val="Compact"/>
        <w:widowControl/>
        <w:numPr>
          <w:ilvl w:val="0"/>
          <w:numId w:val="1409"/>
        </w:numPr>
      </w:pPr>
      <w:r>
        <w:t xml:space="preserve">IRB_DEFAULT_CAPS_V1: default intervention restraint profile (Intervention Restraint Budget). Core rule: INTERVENE_ONLY_PAST_HARM_POINT. Defines 6 harm-point triggers: RIGHTS_OR_SAFETY_RISK, PRIVACY_OR_IDENTITY_RISK, INJECTION_OR_SPOOFING, CONFLICT_SPIRAL, AUTHORITY_SUBSTITUTION_PRESSURE, DEPENDENCY_DRIFT.</w:t>
      </w:r>
    </w:p>
    <w:p>
      <w:pPr>
        <w:pStyle w:val="Compact"/>
        <w:widowControl/>
        <w:numPr>
          <w:ilvl w:val="0"/>
          <w:numId w:val="1410"/>
        </w:numPr>
      </w:pPr>
      <w:r>
        <w:t xml:space="preserve">STEWARD_TAXONOMY_V1: closed vocabulary for stewardship logging (authority domain codes, harm-point trigger codes, influence disclosure levels: NONE / LIGHT / FULL).</w:t>
      </w:r>
    </w:p>
    <w:p>
      <w:pPr>
        <w:pStyle w:val="FirstParagraph"/>
        <w:widowControl/>
      </w:pPr>
      <w:r>
        <w:t xml:space="preserve">Deployments MAY use custom profiles, but MUST (i) preserve closed-vocabulary properties, (ii) satisfy the minimum requirements of N.2 through N.6, and (iii) version and hash-bind profile artifacts in the deployment manifest.</w:t>
      </w:r>
    </w:p>
    <w:p>
      <w:pPr>
        <w:pStyle w:val="BodyText"/>
        <w:widowControl/>
      </w:pPr>
      <w:r>
        <w:t xml:space="preserve">Schema and Profile Versioning Rule (Normative)</w:t>
      </w:r>
    </w:p>
    <w:p>
      <w:pPr>
        <w:pStyle w:val="BodyText"/>
        <w:widowControl/>
      </w:pPr>
      <w:r>
        <w:t xml:space="preserve">All Stewardship schemas and reference profiles (DBD, IRB, STEWARD_TAXONOMY, Influence Ledger schema) MUST be versioned. Any change that alters required fields, semantics, or interoperability expectations MUST increment the MAJOR version. MINOR versions may add optional fields in a backward-compatible way. PATCH versions are editorial only. All referenced schemas/profiles MUST be hash-bound in the deployment manifest or ProofPack. If early removal occurs due to a security emergency, it MUST be logged as an INCIDENT_RECORDED event in the agent audit log and MUST include a short incident note in the changelog.</w:t>
      </w:r>
    </w:p>
    <w:p>
      <w:pPr>
        <w:pStyle w:val="BodyText"/>
        <w:widowControl/>
      </w:pPr>
      <w:r>
        <w:t xml:space="preserve">Orthogonality note (Normative clarification). Stewardship taxonomy codes (authority_domain_code, harm_point_trigger_code) classify boundary enforcement and intervention posture. They are orthogonal to any separate topic-label taxonomy used for audit content minimization in specific agent implementations. Implementations MUST NOT merge these vocabularies; both may apply simultaneously.</w:t>
      </w:r>
    </w:p>
    <w:bookmarkEnd w:id="486"/>
    <w:bookmarkStart w:id="487" w:name="n11-future-extension-note-informative"/>
    <w:p>
      <w:pPr>
        <w:pStyle w:val="Heading2"/>
        <w:keepNext/>
        <w:keepLines/>
        <w:pageBreakBefore w:val="0"/>
        <w:widowControl/>
      </w:pPr>
      <w:r>
        <w:rPr>
          <w:rFonts w:ascii="Arial" w:hAnsi="Arial" w:eastAsia="Arial"/>
          <w:b/>
          <w:color w:val="1F4E78"/>
        </w:rPr>
        <w:t xml:space="preserve">N.11 Future Extension Note (Informative)</w:t>
      </w:r>
    </w:p>
    <w:p>
      <w:pPr>
        <w:pStyle w:val="FirstParagraph"/>
        <w:widowControl/>
      </w:pPr>
      <w:r>
        <w:t>A future version MAY extend Stw_req(run) applicability to cases where actions materially affect welfare-bearing non-human or digital stakeholders (e.g., entities covered under SGP rights-of-protection), even when no human “decision owner” is present. No such extension is normative in v12.5.</w:t>
      </w:r>
    </w:p>
    <w:p>
      <w:pPr>
        <w:pStyle w:val="BodyText"/>
        <w:widowControl/>
      </w:pPr>
      <w:r>
        <w:t xml:space="preserve">End Appendix N.</w:t>
      </w:r>
    </w:p>
    <w:bookmarkEnd w:id="487"/>
    <w:bookmarkEnd w:id="488"/>
    <w:bookmarkStart w:id="489" w:name="Xe083cfd6c312d940205d81e4643643ea380360f"/>
    <w:p>
      <w:pPr>
        <w:pStyle w:val="Heading1"/>
        <w:keepNext/>
        <w:keepLines/>
        <w:pageBreakBefore w:val="0"/>
        <w:widowControl/>
      </w:pPr>
      <w:r>
        <w:rPr>
          <w:rFonts w:ascii="Arial" w:hAnsi="Arial" w:eastAsia="Arial"/>
          <w:b/>
          <w:color w:val="1F4E78"/>
        </w:rPr>
        <w:t xml:space="preserve">APPENDIX O: CONFORMANCE REFERENCE MAP (v12.0; Informative)</w:t>
      </w:r>
    </w:p>
    <w:p>
      <w:pPr>
        <w:pStyle w:val="FirstParagraph"/>
        <w:widowControl/>
      </w:pPr>
      <w:r>
        <w:t xml:space="preserve">Appendix O is an informative pointer layer that maps major MUST/SHALL/PROHIBITED requirements to their controlling locations. In case of any discrepancy, the main text and normative appendices govern per Section 0.1.</w:t>
      </w:r>
    </w:p>
    <w:p>
      <w:pPr>
        <w:pStyle w:val="BodyText"/>
        <w:widowControl/>
      </w:pPr>
      <w:r>
        <w:t xml:space="preserve">- O.1 Rights and NCRC: Section 7; Appendix C; masking prohibitions in Section 10.2; audit flags RIGHTS_CELL_MASKED_INVALID.</w:t>
      </w:r>
    </w:p>
    <w:p>
      <w:pPr>
        <w:pStyle w:val="BodyText"/>
        <w:widowControl/>
      </w:pPr>
      <w:r>
        <w:t xml:space="preserve">- O.2 Tail Risk and TRC: Section 8; Appendix D; scenario minima flags SCENARIO_LIBRARY_MIN_EXCEPTION.</w:t>
      </w:r>
    </w:p>
    <w:p>
      <w:pPr>
        <w:pStyle w:val="BodyText"/>
        <w:widowControl/>
      </w:pPr>
      <w:r>
        <w:t>- O.3 Containment and CSV: Section 9 and Appendix B.11; Mode B prohibition in Section 14.3 definitions; provisional-UCI high-stakes restriction in Section 11.1.3A; implementation-flow CSV rule in Section 4; audit flag CONTAINMENT_UCI_UNAVAILABLE.</w:t>
      </w:r>
    </w:p>
    <w:p>
      <w:pPr>
        <w:pStyle w:val="BodyText"/>
        <w:widowControl/>
      </w:pPr>
      <w:r>
        <w:t xml:space="preserve">- O.4 Welfare scoring and RLS: Section 10; discrimination threshold δ in Section 10.4; non-overlap rule in Section 4; tie-break chain Section 11.5.</w:t>
      </w:r>
    </w:p>
    <w:p>
      <w:pPr>
        <w:pStyle w:val="BodyText"/>
        <w:widowControl/>
      </w:pPr>
      <w:r>
        <w:t xml:space="preserve">- O.5 Structural safeguards: Section 11; Appendix E; UCI independence rule Section 11.1.2; UCI maturity limitation Section 11.1.3A; HOI limitation Section 11.3.</w:t>
      </w:r>
    </w:p>
    <w:p>
      <w:pPr>
        <w:pStyle w:val="BodyText"/>
        <w:widowControl/>
      </w:pPr>
      <w:r>
        <w:t xml:space="preserve">- O.6 Kernel and propagation: Sections 5-6; KQS requirements Section 6.5; perturbation test Section 6.6.</w:t>
      </w:r>
    </w:p>
    <w:p>
      <w:pPr>
        <w:pStyle w:val="BodyText"/>
        <w:widowControl/>
      </w:pPr>
      <w:r>
        <w:t xml:space="preserve">- O.7 Auditability: Section 14; Appendix H; audit flags table 14.3A and H.3; Minimal Validator Requirements 14.3B.</w:t>
      </w:r>
    </w:p>
    <w:p>
      <w:pPr>
        <w:pStyle w:val="BodyText"/>
        <w:widowControl/>
      </w:pPr>
      <w:r>
        <w:t xml:space="preserve">- O.8 Stewardship: Section 14.7; Appendix N; stewardship flags Appendix N.7.</w:t>
      </w:r>
    </w:p>
    <w:p>
      <w:pPr>
        <w:pStyle w:val="BodyText"/>
        <w:widowControl/>
      </w:pPr>
      <w:r>
        <w:t xml:space="preserve">- O.9 Version pins and SGP interface: Section 0.5; front-matter companion set; Appendix G.1–G.4; Single Canonical Artifact Rule front-matter.</w:t>
      </w:r>
    </w:p>
    <w:p>
      <w:pPr>
        <w:pStyle w:val="BodyText"/>
        <w:widowControl/>
      </w:pPr>
      <w:r>
        <w:t xml:space="preserve">- O.10 Normative foundation and evidence discipline: Section 2.6A; Sections 3.1–3.2B; Section 14.3A; Section 14.3B; Appendix H normative input register and audit flag.</w:t>
      </w:r>
    </w:p>
    <w:p>
      <w:pPr>
        <w:pStyle w:val="BodyText"/>
        <w:widowControl/>
      </w:pPr>
      <w:r>
        <w:t xml:space="preserve">End Appendix O.</w:t>
      </w:r>
    </w:p>
    <w:bookmarkEnd w:id="489"/>
    <w:bookmarkStart w:id="506" w:name="X5d0565d9d79d07cf3a6a34da324d3569138ad49"/>
    <w:p>
      <w:pPr>
        <w:pStyle w:val="Heading1"/>
        <w:keepNext/>
        <w:keepLines/>
        <w:pageBreakBefore w:val="0"/>
        <w:widowControl/>
      </w:pPr>
      <w:r>
        <w:rPr>
          <w:rFonts w:ascii="Arial" w:hAnsi="Arial" w:eastAsia="Arial"/>
          <w:b/>
          <w:color w:val="1F4E78"/>
        </w:rPr>
        <w:t xml:space="preserve">APPENDIX P: FULL TIER 2 WORKED RUN (Informative) - “Digital Rights &amp; Platform Governance”</w:t>
      </w:r>
    </w:p>
    <w:p>
      <w:pPr>
        <w:pStyle w:val="FirstParagraph"/>
        <w:widowControl/>
      </w:pPr>
      <w:r>
        <w:t xml:space="preserve">Run ID: RL9.0-PUB-DEMO-02</w:t>
      </w:r>
    </w:p>
    <w:p>
      <w:pPr>
        <w:pStyle w:val="BodyText"/>
        <w:widowControl/>
      </w:pPr>
      <w:r>
        <w:t xml:space="preserve">Version note (Informative). The worked-run identifier preserves its original lineage label for replay continuity and does not imply that the worked example was first computed under the current release line.</w:t>
      </w:r>
    </w:p>
    <w:p>
      <w:pPr>
        <w:pStyle w:val="BodyText"/>
        <w:widowControl/>
      </w:pPr>
      <w:r>
        <w:t xml:space="preserve">Timestamp: 2026-02-19T12:00+07:00</w:t>
      </w:r>
    </w:p>
    <w:p>
      <w:pPr>
        <w:pStyle w:val="BodyText"/>
        <w:widowControl/>
      </w:pPr>
      <w:r>
        <w:t xml:space="preserve">Run-note (Informative). The Run ID preserves its historical lineage label for replay continuity, while the timestamp preserves the original computation date for replay integrity.</w:t>
      </w:r>
    </w:p>
    <w:p>
      <w:pPr>
        <w:pStyle w:val="BodyText"/>
        <w:widowControl/>
      </w:pPr>
      <w:r>
        <w:t xml:space="preserve">Status: Informative (this Appendix demonstrates a Tier 2 run; it does not introduce new normative rules).</w:t>
      </w:r>
    </w:p>
    <w:bookmarkStart w:id="490" w:name="p0-run-scope-constants-and-toggles"/>
    <w:p>
      <w:pPr>
        <w:pStyle w:val="Heading2"/>
        <w:keepNext/>
        <w:keepLines/>
        <w:pageBreakBefore w:val="0"/>
        <w:widowControl/>
      </w:pPr>
      <w:r>
        <w:rPr>
          <w:rFonts w:ascii="Arial" w:hAnsi="Arial" w:eastAsia="Arial"/>
          <w:b/>
          <w:color w:val="1F4E78"/>
        </w:rPr>
        <w:t xml:space="preserve">P.0 Run scope, constants, and toggles</w:t>
      </w:r>
    </w:p>
    <w:p>
      <w:pPr>
        <w:pStyle w:val="FirstParagraph"/>
        <w:widowControl/>
      </w:pPr>
      <w:r>
        <w:t xml:space="preserve">This worked run compares three governance options for regulating a large digital platform ecosystem.</w:t>
      </w:r>
    </w:p>
    <w:p>
      <w:pPr>
        <w:pStyle w:val="BodyText"/>
        <w:widowControl/>
      </w:pPr>
      <w:r>
        <w:t xml:space="preserve">It is designed to be calculation-complete and replayable using only the Canon definitions.</w:t>
      </w:r>
    </w:p>
    <w:bookmarkEnd w:id="490"/>
    <w:bookmarkStart w:id="491" w:name="p01-core-math-settings-used-in-this-run"/>
    <w:p>
      <w:pPr>
        <w:pStyle w:val="Heading2"/>
        <w:keepNext/>
        <w:keepLines/>
        <w:pageBreakBefore w:val="0"/>
        <w:widowControl/>
      </w:pPr>
      <w:r>
        <w:rPr>
          <w:rFonts w:ascii="Arial" w:hAnsi="Arial" w:eastAsia="Arial"/>
          <w:b/>
          <w:color w:val="1F4E78"/>
        </w:rPr>
        <w:t xml:space="preserve">P.0.1 Core math settings used in this run</w:t>
      </w:r>
    </w:p>
    <w:p>
      <w:pPr>
        <w:pStyle w:val="FirstParagraph"/>
        <w:widowControl/>
      </w:pPr>
      <w:r>
        <w:t xml:space="preserve">• Unions: U1 Self, U2 Household, U3 Community, U4 Organization, U5 Polity, U6 Humanity / Global Coordination, U7 Biosphere</w:t>
      </w:r>
    </w:p>
    <w:p>
      <w:pPr>
        <w:pStyle w:val="BodyText"/>
        <w:widowControl/>
      </w:pPr>
      <w:r>
        <w:t xml:space="preserve">• Dimensions: D1 Material, D2 Health, D3 Social, D4 Knowledge, D5 Agency, D6 Meaning, D7 Environment</w:t>
      </w:r>
    </w:p>
    <w:p>
      <w:pPr>
        <w:pStyle w:val="BodyText"/>
        <w:widowControl/>
      </w:pPr>
      <w:r>
        <w:t xml:space="preserve">• Propagation mode: NONE (so I_prop(u,d,a) = I_dir(u,d,a))</w:t>
      </w:r>
    </w:p>
    <w:p>
      <w:pPr>
        <w:pStyle w:val="BodyText"/>
        <w:widowControl/>
      </w:pPr>
      <w:r>
        <w:t xml:space="preserve">• Saturation (localized notation): I_dir = tanh(β_sat · Î_dir), with β_sat = 2.</w:t>
      </w:r>
    </w:p>
    <w:p>
      <w:pPr>
        <w:pStyle w:val="BodyText"/>
        <w:widowControl/>
      </w:pPr>
      <w:r>
        <w:t xml:space="preserve">• Time weighting (canonical): τ(t) = min(1, ln(1 + max(t, t_min)) / ln(1 + T_ref)), with T_ref = 25 years, t_min = 0.083 years. In this run t = 5 satisfies t_min ≤ t ≤ T_ref, so τ = ln(1 + t) / ln(1 + T_ref) = 0.550.</w:t>
      </w:r>
    </w:p>
    <w:p>
      <w:pPr>
        <w:pStyle w:val="BodyText"/>
        <w:widowControl/>
      </w:pPr>
      <w:r>
        <w:t xml:space="preserve">• Welfare impact instance duration (all welfare cells in this run): t = 5 years, so τ = 0.550</w:t>
      </w:r>
    </w:p>
    <w:p>
      <w:pPr>
        <w:pStyle w:val="BodyText"/>
        <w:widowControl/>
      </w:pPr>
      <w:r>
        <w:t xml:space="preserve">• Reach basis: r = 1 for all modeled impacts (local jurisdictional reach; no additional reach scaling applied in this demo)</w:t>
      </w:r>
    </w:p>
    <w:p>
      <w:pPr>
        <w:pStyle w:val="BodyText"/>
        <w:widowControl/>
      </w:pPr>
      <w:r>
        <w:t xml:space="preserve">• SGP scaling: not used in this run (all impacted stakeholders here are treated as human stakeholders)</w:t>
      </w:r>
    </w:p>
    <w:bookmarkEnd w:id="491"/>
    <w:bookmarkStart w:id="492" w:name="X51d1641c6c772b4d685e55895850a38b93a47ec"/>
    <w:p>
      <w:pPr>
        <w:pStyle w:val="Heading2"/>
        <w:keepNext/>
        <w:keepLines/>
        <w:pageBreakBefore w:val="0"/>
        <w:widowControl/>
      </w:pPr>
      <w:r>
        <w:rPr>
          <w:rFonts w:ascii="Arial" w:hAnsi="Arial" w:eastAsia="Arial"/>
          <w:b/>
          <w:color w:val="1F4E78"/>
        </w:rPr>
        <w:t xml:space="preserve">P.0.2 Rights adjustment (Subgroup limitation) used for NCRC only</w:t>
      </w:r>
    </w:p>
    <w:p>
      <w:pPr>
        <w:pStyle w:val="FirstParagraph"/>
        <w:widowControl/>
      </w:pPr>
      <w:r>
        <w:t>For NCRC evaluation, this worked run uses separately preregistered, reviewed, non-attenuated base-population rights-floor summaries I_RF_base. They are not derived by reusing the temporally or confidence-attenuated Base/Welfare-stream cells. For compact display, a synthetic rights value may numerically equal a displayed welfare value only when the record also provides the independent rights-specific construction, including X_RF = atanh(I_RF_base)/beta_RF, tau_RF=1, subgroup scope, evidence status, reviewer, and revision trigger. Numerical equality alone never establishes derivational identity.</w:t>
      </w:r>
    </w:p>
    <w:p>
      <w:pPr>
        <w:pStyle w:val="BodyText"/>
        <w:widowControl/>
      </w:pPr>
      <w:r>
        <w:t xml:space="preserve">If I_prop_base(u,d,a) &lt; 0:</w:t>
      </w:r>
    </w:p>
    <w:p>
      <w:pPr>
        <w:pStyle w:val="BodyText"/>
        <w:widowControl/>
      </w:pPr>
      <w:r>
        <w:t xml:space="preserve">I_rights(u,d,a) = max(-1, γ_subgroup · I_prop_base(u,d,a))</w:t>
      </w:r>
    </w:p>
    <w:p>
      <w:pPr>
        <w:pStyle w:val="BodyText"/>
        <w:widowControl/>
      </w:pPr>
      <w:r>
        <w:t xml:space="preserve">If I_prop_base(u,d,a) ≥ 0:</w:t>
      </w:r>
    </w:p>
    <w:p>
      <w:pPr>
        <w:pStyle w:val="BodyText"/>
        <w:widowControl/>
      </w:pPr>
      <w:r>
        <w:t xml:space="preserve">I_rights(u,d,a) = I_prop_base(u,d,a)</w:t>
      </w:r>
    </w:p>
    <w:p>
      <w:pPr>
        <w:pStyle w:val="BodyText"/>
        <w:widowControl/>
      </w:pPr>
      <w:r>
        <w:t xml:space="preserve">Run value: γ_subgroup = 1.5</w:t>
      </w:r>
    </w:p>
    <w:bookmarkEnd w:id="492"/>
    <w:bookmarkStart w:id="493" w:name="X2cff67700c14ea703964ae0578ddb32bf4f7451"/>
    <w:p>
      <w:pPr>
        <w:pStyle w:val="Heading2"/>
        <w:keepNext/>
        <w:keepLines/>
        <w:pageBreakBefore w:val="0"/>
        <w:widowControl/>
      </w:pPr>
      <w:r>
        <w:rPr>
          <w:rFonts w:ascii="Arial" w:hAnsi="Arial" w:eastAsia="Arial"/>
          <w:b/>
          <w:color w:val="1F4E78"/>
        </w:rPr>
        <w:t xml:space="preserve">P.0.3 Tail-Risk Constraint (TRC) settings used in this run</w:t>
      </w:r>
    </w:p>
    <w:p>
      <w:pPr>
        <w:pStyle w:val="FirstParagraph"/>
        <w:widowControl/>
      </w:pPr>
      <w:r>
        <w:t xml:space="preserve">• CVaR confidence level: α = 0.95 (tail mass = 0.05)</w:t>
      </w:r>
    </w:p>
    <w:p>
      <w:pPr>
        <w:pStyle w:val="BodyText"/>
        <w:widowControl/>
      </w:pPr>
      <w:r>
        <w:t xml:space="preserve">• TRC corridor threshold: τ_TRC = 0.20 (options with CVaR_α &gt; 0.20 fail TRC)</w:t>
      </w:r>
    </w:p>
    <w:p>
      <w:pPr>
        <w:pStyle w:val="BodyText"/>
        <w:widowControl/>
      </w:pPr>
      <w:r>
        <w:t xml:space="preserve">• Catastrophe cells (C_cat): (U6,D2), (U6,D7), (U7,D7)</w:t>
      </w:r>
    </w:p>
    <w:p>
      <w:pPr>
        <w:pStyle w:val="BodyText"/>
        <w:widowControl/>
      </w:pPr>
      <w:r>
        <w:t xml:space="preserve">• Catastrophe weights: w_cat(c) = 1/3 for each c in C_cat</w:t>
      </w:r>
    </w:p>
    <w:bookmarkEnd w:id="493"/>
    <w:bookmarkStart w:id="494" w:name="X80e0a1b97b8549a77cc6a1542984a2be2f4e303"/>
    <w:p>
      <w:pPr>
        <w:pStyle w:val="Heading2"/>
        <w:keepNext/>
        <w:keepLines/>
        <w:pageBreakBefore w:val="0"/>
        <w:widowControl/>
      </w:pPr>
      <w:r>
        <w:rPr>
          <w:rFonts w:ascii="Arial" w:hAnsi="Arial" w:eastAsia="Arial"/>
          <w:b/>
          <w:color w:val="1F4E78"/>
        </w:rPr>
        <w:t xml:space="preserve">P.0.4 Interim RLS weights (HDW floors + uniform residual allocation)</w:t>
      </w:r>
    </w:p>
    <w:p>
      <w:pPr>
        <w:pStyle w:val="FirstParagraph"/>
        <w:widowControl/>
      </w:pPr>
      <w:r>
        <w:t xml:space="preserve">Union weight floors and dimension weight floors come from Section 13.1.</w:t>
      </w:r>
    </w:p>
    <w:p>
      <w:pPr>
        <w:pStyle w:val="BodyText"/>
        <w:widowControl/>
      </w:pPr>
      <w:r>
        <w:t xml:space="preserve">This demo uses the default interim construction:</w:t>
      </w:r>
    </w:p>
    <w:p>
      <w:pPr>
        <w:pStyle w:val="BodyText"/>
        <w:widowControl/>
      </w:pPr>
      <w:r>
        <w:t xml:space="preserve">w_u = w_u^floor + (1 - Σ w^floor)/7</w:t>
      </w:r>
    </w:p>
    <w:p>
      <w:pPr>
        <w:pStyle w:val="BodyText"/>
        <w:widowControl/>
      </w:pPr>
      <w:r>
        <w:t xml:space="preserve">v_d = v_d^floor + (1 - Σ v^floor)/7</w:t>
      </w:r>
    </w:p>
    <w:p>
      <w:pPr>
        <w:pStyle w:val="BodyText"/>
        <w:widowControl/>
      </w:pPr>
      <w:r>
        <w:t xml:space="preserve">Table P-0A. Union weights (floors and interim)</w:t>
      </w:r>
    </w:p>
    <w:p>
      <w:pPr>
        <w:pStyle w:val="BodyText"/>
        <w:widowControl/>
      </w:pPr>
      <w:r>
        <w:t xml:space="preserve">Union w_floor w_interim</w:t>
      </w:r>
    </w:p>
    <w:p>
      <w:pPr>
        <w:pStyle w:val="BodyText"/>
        <w:widowControl/>
      </w:pPr>
      <w:r>
        <w:t xml:space="preserve">U1 0.200 0.248571</w:t>
      </w:r>
    </w:p>
    <w:p>
      <w:pPr>
        <w:pStyle w:val="BodyText"/>
        <w:widowControl/>
      </w:pPr>
      <w:r>
        <w:t xml:space="preserve">U2 0.060 0.108571</w:t>
      </w:r>
    </w:p>
    <w:p>
      <w:pPr>
        <w:pStyle w:val="BodyText"/>
        <w:widowControl/>
      </w:pPr>
      <w:r>
        <w:t xml:space="preserve">U3 0.060 0.108571</w:t>
      </w:r>
    </w:p>
    <w:p>
      <w:pPr>
        <w:pStyle w:val="BodyText"/>
        <w:widowControl/>
      </w:pPr>
      <w:r>
        <w:t xml:space="preserve">U4 0.060 0.108571</w:t>
      </w:r>
    </w:p>
    <w:p>
      <w:pPr>
        <w:pStyle w:val="BodyText"/>
        <w:widowControl/>
      </w:pPr>
      <w:r>
        <w:t xml:space="preserve">U5 0.080 0.128571</w:t>
      </w:r>
    </w:p>
    <w:p>
      <w:pPr>
        <w:pStyle w:val="BodyText"/>
        <w:widowControl/>
      </w:pPr>
      <w:r>
        <w:t xml:space="preserve">U6 0.100 0.148571</w:t>
      </w:r>
    </w:p>
    <w:p>
      <w:pPr>
        <w:pStyle w:val="BodyText"/>
        <w:widowControl/>
      </w:pPr>
      <w:r>
        <w:t xml:space="preserve">U7 0.100 0.148571</w:t>
      </w:r>
    </w:p>
    <w:p>
      <w:pPr>
        <w:pStyle w:val="BodyText"/>
        <w:widowControl/>
      </w:pPr>
      <w:r>
        <w:t xml:space="preserve">Table P-0B. Dimension weights (floors and interim)</w:t>
      </w:r>
    </w:p>
    <w:p>
      <w:pPr>
        <w:pStyle w:val="BodyText"/>
        <w:widowControl/>
      </w:pPr>
      <w:r>
        <w:t xml:space="preserve">Dim v_floor v_interim</w:t>
      </w:r>
    </w:p>
    <w:p>
      <w:pPr>
        <w:pStyle w:val="BodyText"/>
        <w:widowControl/>
      </w:pPr>
      <w:r>
        <w:t xml:space="preserve">D1 0.080 0.137143</w:t>
      </w:r>
    </w:p>
    <w:p>
      <w:pPr>
        <w:pStyle w:val="BodyText"/>
        <w:widowControl/>
      </w:pPr>
      <w:r>
        <w:t xml:space="preserve">D2 0.100 0.157143</w:t>
      </w:r>
    </w:p>
    <w:p>
      <w:pPr>
        <w:pStyle w:val="BodyText"/>
        <w:widowControl/>
      </w:pPr>
      <w:r>
        <w:t xml:space="preserve">D3 0.080 0.137143</w:t>
      </w:r>
    </w:p>
    <w:p>
      <w:pPr>
        <w:pStyle w:val="BodyText"/>
        <w:widowControl/>
      </w:pPr>
      <w:r>
        <w:t xml:space="preserve">D4 0.080 0.137143</w:t>
      </w:r>
    </w:p>
    <w:p>
      <w:pPr>
        <w:pStyle w:val="BodyText"/>
        <w:widowControl/>
      </w:pPr>
      <w:r>
        <w:t xml:space="preserve">D5 0.100 0.157143</w:t>
      </w:r>
    </w:p>
    <w:p>
      <w:pPr>
        <w:pStyle w:val="BodyText"/>
        <w:widowControl/>
      </w:pPr>
      <w:r>
        <w:t xml:space="preserve">D6 0.060 0.117143</w:t>
      </w:r>
    </w:p>
    <w:p>
      <w:pPr>
        <w:pStyle w:val="BodyText"/>
        <w:widowControl/>
      </w:pPr>
      <w:r>
        <w:t xml:space="preserve">D7 0.100 0.157143</w:t>
      </w:r>
    </w:p>
    <w:bookmarkEnd w:id="494"/>
    <w:bookmarkStart w:id="495" w:name="Xe0c142888674dc13e8e4a4d30cf1d59b5d67b8c"/>
    <w:p>
      <w:pPr>
        <w:pStyle w:val="Heading2"/>
        <w:keepNext/>
        <w:keepLines/>
        <w:pageBreakBefore w:val="0"/>
        <w:widowControl/>
      </w:pPr>
      <w:r>
        <w:rPr>
          <w:rFonts w:ascii="Arial" w:hAnsi="Arial" w:eastAsia="Arial"/>
          <w:b/>
          <w:color w:val="1F4E78"/>
        </w:rPr>
        <w:t xml:space="preserve">P.0.5 Mask and active cells for RLS in this run</w:t>
      </w:r>
    </w:p>
    <w:p>
      <w:pPr>
        <w:pStyle w:val="FirstParagraph"/>
        <w:widowControl/>
      </w:pPr>
      <w:r>
        <w:t xml:space="preserve">Non-maskable rule: all rights-covered cells (union of coverage sets in Appendix C.2) are included.</w:t>
      </w:r>
    </w:p>
    <w:p>
      <w:pPr>
        <w:pStyle w:val="BodyText"/>
        <w:widowControl/>
      </w:pPr>
      <w:r>
        <w:t xml:space="preserve">This run also includes one additional explicitly modeled welfare cell: (U6,D6) Meaning for Humanity / Global Coordination.</w:t>
      </w:r>
    </w:p>
    <w:p>
      <w:pPr>
        <w:pStyle w:val="BodyText"/>
        <w:widowControl/>
      </w:pPr>
      <w:r>
        <w:t xml:space="preserve">Active set for RLS in this run:</w:t>
      </w:r>
    </w:p>
    <w:p>
      <w:pPr>
        <w:pStyle w:val="BodyText"/>
        <w:widowControl/>
      </w:pPr>
      <w:r>
        <w:t xml:space="preserve">• All (U1–U6) × (D1–D5) (30 cells)</w:t>
      </w:r>
    </w:p>
    <w:p>
      <w:pPr>
        <w:pStyle w:val="BodyText"/>
        <w:widowControl/>
      </w:pPr>
      <w:r>
        <w:t xml:space="preserve">• Plus (U6,D7) and (U7,D7) for ECOL (2 cells)</w:t>
      </w:r>
    </w:p>
    <w:p>
      <w:pPr>
        <w:pStyle w:val="BodyText"/>
        <w:widowControl/>
      </w:pPr>
      <w:r>
        <w:t xml:space="preserve">• Plus (U6,D6) Meaning (1 additional disclosed cell)</w:t>
      </w:r>
    </w:p>
    <w:p>
      <w:pPr>
        <w:pStyle w:val="BodyText"/>
        <w:widowControl/>
      </w:pPr>
      <w:r>
        <w:t xml:space="preserve">Total active cells in this run: 33. For RLS aggregation only, define the applicability mask as m(u,d) = 1 exactly on these 33 cells and m(u,d) = 0 otherwise; masking here excludes cells from RLS aggregation only (Section 10.2) and does not bypass NCRC/TRC requirements for rights-covered or catastrophe cells (which are included here as active by construction).</w:t>
      </w:r>
    </w:p>
    <w:bookmarkEnd w:id="495"/>
    <w:bookmarkStart w:id="496" w:name="X6a2046281b85d8592901eb73e409356bd17f588"/>
    <w:p>
      <w:pPr>
        <w:pStyle w:val="Heading2"/>
        <w:keepNext/>
        <w:keepLines/>
        <w:pageBreakBefore w:val="0"/>
        <w:widowControl/>
      </w:pPr>
      <w:r>
        <w:rPr>
          <w:rFonts w:ascii="Arial" w:hAnsi="Arial" w:eastAsia="Arial"/>
          <w:b/>
          <w:color w:val="1F4E78"/>
        </w:rPr>
        <w:t xml:space="preserve">P.0.6 Tier-2 Representation Artifacts (SCI-1; SDP triggers hold)</w:t>
      </w:r>
    </w:p>
    <w:p>
      <w:pPr>
        <w:pStyle w:val="FirstParagraph"/>
        <w:widowControl/>
      </w:pPr>
      <w:r>
        <w:t xml:space="preserve">SCI declaration (Tier 2 exemplar).</w:t>
      </w:r>
    </w:p>
    <w:p>
      <w:pPr>
        <w:pStyle w:val="BodyText"/>
        <w:widowControl/>
      </w:pPr>
      <w:r>
        <w:t xml:space="preserve">SCI = 1 for this worked run. Stakeholder instances are logged at least for direct stakeholders and primary externality pathways. For clarity, this teaching run also includes an explicit InstanceMap (stakeholder instances mapped to Union Scopes); however, no independent challenger omission pass was conducted, so the run does not meet SCI-2. This is a teaching run; it demonstrates mechanics and audit posture, not empirical calibration.</w:t>
      </w:r>
    </w:p>
    <w:p>
      <w:pPr>
        <w:pStyle w:val="BodyText"/>
        <w:widowControl/>
      </w:pPr>
      <w:r>
        <w:t xml:space="preserve">Scope Coverage Declaration (worked run).</w:t>
      </w:r>
    </w:p>
    <w:p>
      <w:pPr>
        <w:pStyle w:val="BodyText"/>
        <w:widowControl/>
      </w:pPr>
      <w:r>
        <w:t xml:space="preserve">FULL_SCOPE for rights-covered evaluation and TRC computation: all rights-covered cells (union of canonical coverage sets, Appendix C.2) and catastrophe cells (C_cat) are evaluated as required. For RLS aggregation only, the active set is defined in P.0.5.</w:t>
      </w:r>
    </w:p>
    <w:p>
      <w:pPr>
        <w:pStyle w:val="BodyText"/>
        <w:widowControl/>
      </w:pPr>
      <w:r>
        <w:t xml:space="preserve">SDP trigger statement.</w:t>
      </w:r>
    </w:p>
    <w:p>
      <w:pPr>
        <w:pStyle w:val="BodyText"/>
        <w:widowControl/>
      </w:pPr>
      <w:r>
        <w:t xml:space="preserve">SDP triggers hold because: rights-covered cells are evaluated (NCRC); INFO/PROC pathways are central; Polity/Humanity externalities are plausible; TRC is executed on catastrophe cells. Therefore an SDP record and InstanceMap are included for Tier 2 exemplar integrity.</w:t>
      </w:r>
    </w:p>
    <w:p>
      <w:pPr>
        <w:pStyle w:val="BodyText"/>
        <w:widowControl/>
      </w:pPr>
      <w:r>
        <w:t xml:space="preserve">SDP record (abbreviated).</w:t>
      </w:r>
    </w:p>
    <w:p>
      <w:pPr>
        <w:pStyle w:val="BodyText"/>
        <w:widowControl/>
      </w:pPr>
      <w:r>
        <w:t xml:space="preserve">(i) Boundary/horizon: platform governance within declared jurisdiction; horizon 5 years.</w:t>
      </w:r>
    </w:p>
    <w:p>
      <w:pPr>
        <w:pStyle w:val="BodyText"/>
        <w:widowControl/>
      </w:pPr>
      <w:r>
        <w:t xml:space="preserve">(ii) Footprint/externalities: information ecosystem, moderation/enforcement procedures, civic trust spillovers, cross-border information spillovers.</w:t>
      </w:r>
    </w:p>
    <w:p>
      <w:pPr>
        <w:pStyle w:val="BodyText"/>
        <w:widowControl/>
      </w:pPr>
      <w:r>
        <w:t xml:space="preserve">(iii) Rights exposure scan: INFO/PROC/DIGN/LBTY plausible; subgroup disaggregation is not enumerated in this teaching run.</w:t>
      </w:r>
    </w:p>
    <w:p>
      <w:pPr>
        <w:pStyle w:val="BodyText"/>
        <w:widowControl/>
      </w:pPr>
      <w:r>
        <w:t xml:space="preserve">(iv) Instances drafted and mapped (see InstanceMap below).</w:t>
      </w:r>
    </w:p>
    <w:p>
      <w:pPr>
        <w:pStyle w:val="BodyText"/>
        <w:widowControl/>
      </w:pPr>
      <w:r>
        <w:t xml:space="preserve">(v) Blind spots: subgroup heterogeneity compressed; reach held at r=1; evidence tags not calibrated.</w:t>
      </w:r>
    </w:p>
    <w:p>
      <w:pPr>
        <w:pStyle w:val="BodyText"/>
        <w:widowControl/>
      </w:pPr>
      <w:r>
        <w:t xml:space="preserve">(vi) Escalation triggers: evidence of subgroup harm, contested enforcement outcomes, credible catastrophic pathway, or major new externality channel → rerun at higher SCI and/or Tier 3.</w:t>
      </w:r>
    </w:p>
    <w:p>
      <w:pPr>
        <w:pStyle w:val="BodyText"/>
        <w:widowControl/>
      </w:pPr>
      <w:r>
        <w:t xml:space="preserve">SCI Next-Run Upgrade Plan (REQUIRED when SCI equals the Tier-2 minimum).</w:t>
      </w:r>
    </w:p>
    <w:p>
      <w:pPr>
        <w:pStyle w:val="BodyText"/>
        <w:widowControl/>
      </w:pPr>
      <w:r>
        <w:t xml:space="preserve">Next comparable run MUST upgrade to at least SCI-2 by (i) splitting instances into high-variance subgroups where plausible (e.g., minors, journalists, marginalized groups, moderators), (ii) recording ReachBasis denominators and sources, and (iii) performing at least one challenger pass for omitted stakeholder classes. A higher target (SCI-3) is permitted, but SCI-2 is the minimum upgrade commitment for the next comparable run.</w:t>
      </w:r>
    </w:p>
    <w:bookmarkEnd w:id="496"/>
    <w:bookmarkStart w:id="497" w:name="p1-options-actions"/>
    <w:p>
      <w:pPr>
        <w:pStyle w:val="Heading2"/>
        <w:keepNext/>
        <w:keepLines/>
        <w:pageBreakBefore w:val="0"/>
        <w:widowControl/>
      </w:pPr>
      <w:r>
        <w:rPr>
          <w:rFonts w:ascii="Arial" w:hAnsi="Arial" w:eastAsia="Arial"/>
          <w:b/>
          <w:color w:val="1F4E78"/>
        </w:rPr>
        <w:t xml:space="preserve">P.1 Options (actions)</w:t>
      </w:r>
    </w:p>
    <w:p>
      <w:pPr>
        <w:pStyle w:val="FirstParagraph"/>
        <w:widowControl/>
      </w:pPr>
      <w:r>
        <w:t xml:space="preserve">Option A: Minimal enforcement and voluntary compliance, limited audits, no strong rights floor instrumentation.</w:t>
      </w:r>
    </w:p>
    <w:p>
      <w:pPr>
        <w:pStyle w:val="BodyText"/>
        <w:widowControl/>
      </w:pPr>
      <w:r>
        <w:t xml:space="preserve">Option B: Rights-first regulatory package with independent audits, enforcement, and human-in-the-loop escalation review.</w:t>
      </w:r>
    </w:p>
    <w:p>
      <w:pPr>
        <w:pStyle w:val="BodyText"/>
        <w:widowControl/>
      </w:pPr>
      <w:r>
        <w:t xml:space="preserve">Option C: Light-touch reforms focused on transparency tools and industry coordination, weaker enforcement mechanisms.</w:t>
      </w:r>
    </w:p>
    <w:bookmarkEnd w:id="497"/>
    <w:bookmarkStart w:id="498" w:name="X4ff26d265671a732f6f4a38b8ec1eb8ccdc14f9"/>
    <w:p>
      <w:pPr>
        <w:pStyle w:val="Heading2"/>
        <w:keepNext/>
        <w:keepLines/>
        <w:pageBreakBefore w:val="0"/>
        <w:widowControl/>
      </w:pPr>
      <w:r>
        <w:rPr>
          <w:rFonts w:ascii="Arial" w:hAnsi="Arial" w:eastAsia="Arial"/>
          <w:b/>
          <w:color w:val="1F4E78"/>
        </w:rPr>
        <w:t xml:space="preserve">P.2 Stakeholder Instances (SCI-1 InstanceMap excerpt)</w:t>
      </w:r>
    </w:p>
    <w:p>
      <w:pPr>
        <w:pStyle w:val="FirstParagraph"/>
        <w:widowControl/>
      </w:pPr>
      <w:r>
        <w:t xml:space="preserve">Stakeholder Instances instantiate the union stack for this demo. Each instance is a proxy carrier for welfare impacts asserted in the active cells. Reach basis r = 1 is applied uniformly in this teaching run as disclosed in P.0.1.</w:t>
      </w:r>
    </w:p>
    <w:p>
      <w:pPr>
        <w:pStyle w:val="BodyText"/>
        <w:widowControl/>
      </w:pPr>
      <w:r>
        <w:t xml:space="preserve">Table P-2A. InstanceMap (SCI-1)</w:t>
      </w:r>
    </w:p>
    <w:p>
      <w:pPr>
        <w:pStyle w:val="BodyText"/>
        <w:widowControl/>
      </w:pPr>
      <w:r>
        <w:t xml:space="preserve">Instance ID | Label | Union Scope | Primary exposure pathways | ReachBasis | Notes</w:t>
      </w:r>
    </w:p>
    <w:p>
      <w:pPr>
        <w:pStyle w:val="BodyText"/>
        <w:widowControl/>
      </w:pPr>
      <w:r>
        <w:t xml:space="preserve">SI-1 | Individual platform user | U1 Self | INFO/PROC, Agency, Knowledge | r = 1 | Direct exposure to moderation, ranking, privacy, coercion risk</w:t>
      </w:r>
    </w:p>
    <w:p>
      <w:pPr>
        <w:pStyle w:val="BodyText"/>
        <w:widowControl/>
      </w:pPr>
      <w:r>
        <w:t xml:space="preserve">SI-2 | Household unit | U2 Household | Material, Health, Agency | r = 1 | Household-level spillovers (youth exposure, wellbeing, subsistence)</w:t>
      </w:r>
    </w:p>
    <w:p>
      <w:pPr>
        <w:pStyle w:val="BodyText"/>
        <w:widowControl/>
      </w:pPr>
      <w:r>
        <w:t xml:space="preserve">SI-3 | Local community civic sphere | U3 Community | Social, Knowledge, Meaning | r = 1 | Trust, cohesion, local misinformation externalities</w:t>
      </w:r>
    </w:p>
    <w:p>
      <w:pPr>
        <w:pStyle w:val="BodyText"/>
        <w:widowControl/>
      </w:pPr>
      <w:r>
        <w:t xml:space="preserve">SI-4 | Platform org + key firms/institutions | U4 Organization | Agency, Knowledge, Operations | r = 1 | Compliance costs, governance redesign, internal procedures</w:t>
      </w:r>
    </w:p>
    <w:p>
      <w:pPr>
        <w:pStyle w:val="BodyText"/>
        <w:widowControl/>
      </w:pPr>
      <w:r>
        <w:t xml:space="preserve">SI-5 | Regulators/courts/governance system | U5 Polity | PROC, INFO, legitimacy | r = 1 | Rule-of-law capacity, enforcement efficacy, public trust</w:t>
      </w:r>
    </w:p>
    <w:p>
      <w:pPr>
        <w:pStyle w:val="BodyText"/>
        <w:widowControl/>
      </w:pPr>
      <w:r>
        <w:t xml:space="preserve">SI-6 | Cross-border information ecosystem | U6 Humanity / Global Coordination | INFO systemic | r = 1 | Global spillovers and precedent-setting externalities</w:t>
      </w:r>
    </w:p>
    <w:p>
      <w:pPr>
        <w:pStyle w:val="BodyText"/>
        <w:widowControl/>
      </w:pPr>
      <w:r>
        <w:t xml:space="preserve">SI-7 | Biosphere externalities proxy | U7 Biosphere | Environment | r = 1 | Energy/extraction footprint and enabling conditions</w:t>
      </w:r>
    </w:p>
    <w:bookmarkEnd w:id="498"/>
    <w:bookmarkStart w:id="499" w:name="Xfc4e89a843abea53a8e0a94f969018b18e2b9c2"/>
    <w:p>
      <w:pPr>
        <w:pStyle w:val="Heading2"/>
        <w:keepNext/>
        <w:keepLines/>
        <w:pageBreakBefore w:val="0"/>
        <w:widowControl/>
      </w:pPr>
      <w:r>
        <w:rPr>
          <w:rFonts w:ascii="Arial" w:hAnsi="Arial" w:eastAsia="Arial"/>
          <w:b/>
          <w:color w:val="1F4E78"/>
        </w:rPr>
        <w:t xml:space="preserve">P.3 Welfare impacts: how I_prop(u,d,a) is constructed here</w:t>
      </w:r>
    </w:p>
    <w:p>
      <w:pPr>
        <w:pStyle w:val="FirstParagraph"/>
        <w:widowControl/>
      </w:pPr>
      <w:r>
        <w:t xml:space="preserve">To keep this Tier 2 demo fully calculable, each active cell uses one welfare impact instance per option with:</w:t>
      </w:r>
    </w:p>
    <w:p>
      <w:pPr>
        <w:pStyle w:val="BodyText"/>
        <w:widowControl/>
      </w:pPr>
      <w:r>
        <w:t xml:space="preserve">• Likelihood ℓ = 1.0</w:t>
      </w:r>
    </w:p>
    <w:p>
      <w:pPr>
        <w:pStyle w:val="BodyText"/>
        <w:widowControl/>
      </w:pPr>
      <w:r>
        <w:t xml:space="preserve">• Signed magnitude μ in [-1, +1]</w:t>
      </w:r>
    </w:p>
    <w:p>
      <w:pPr>
        <w:pStyle w:val="BodyText"/>
        <w:widowControl/>
      </w:pPr>
      <w:r>
        <w:t xml:space="preserve">• Duration t = 5 years (τ = 0.550)</w:t>
      </w:r>
    </w:p>
    <w:p>
      <w:pPr>
        <w:pStyle w:val="BodyText"/>
        <w:widowControl/>
      </w:pPr>
      <w:r>
        <w:t xml:space="preserve">Then:</w:t>
      </w:r>
    </w:p>
    <w:p>
      <w:pPr>
        <w:pStyle w:val="BodyText"/>
        <w:widowControl/>
      </w:pPr>
      <w:r>
        <w:t xml:space="preserve">Î_dir(u,d,a) = τ · ℓ · μ</w:t>
      </w:r>
    </w:p>
    <w:p>
      <w:pPr>
        <w:pStyle w:val="BodyText"/>
        <w:widowControl/>
      </w:pPr>
      <w:r>
        <w:t xml:space="preserve">I_dir(u,d,a) = tanh(β_sat · Î_dir(u,d,a))</w:t>
      </w:r>
    </w:p>
    <w:p>
      <w:pPr>
        <w:pStyle w:val="BodyText"/>
        <w:widowControl/>
      </w:pPr>
      <w:r>
        <w:t xml:space="preserve">I_prop(u,d,a) = I_dir(u,d,a) (Propagation NONE)</w:t>
      </w:r>
    </w:p>
    <w:p>
      <w:pPr>
        <w:pStyle w:val="BodyText"/>
        <w:widowControl/>
      </w:pPr>
      <w:r>
        <w:t xml:space="preserve">Inversion for replay (optional): given an I_prop value in Table P-4, recover μ via:</w:t>
      </w:r>
    </w:p>
    <w:p>
      <w:pPr>
        <w:pStyle w:val="BodyText"/>
        <w:widowControl/>
      </w:pPr>
      <w:r>
        <w:t xml:space="preserve">μ = atanh(I_prop) / (β_sat · τ)</w:t>
      </w:r>
    </w:p>
    <w:bookmarkEnd w:id="499"/>
    <w:bookmarkStart w:id="500" w:name="Xc46b470c95d05f735ef681ad9dadd39582c2ba4"/>
    <w:p>
      <w:pPr>
        <w:pStyle w:val="Heading2"/>
        <w:keepNext/>
        <w:keepLines/>
        <w:pageBreakBefore w:val="0"/>
        <w:widowControl/>
      </w:pPr>
      <w:r>
        <w:rPr>
          <w:rFonts w:ascii="Arial" w:hAnsi="Arial" w:eastAsia="Arial"/>
          <w:b/>
          <w:color w:val="1F4E78"/>
        </w:rPr>
        <w:t xml:space="preserve">P.4 Welfare impact totals for all active cells</w:t>
      </w:r>
    </w:p>
    <w:p>
      <w:pPr>
        <w:pStyle w:val="FirstParagraph"/>
        <w:widowControl/>
      </w:pPr>
      <w:r>
        <w:t xml:space="preserve">Table P-4 lists I_prop(u,d,a) for every active cell in this run.</w:t>
      </w:r>
    </w:p>
    <w:p>
      <w:pPr>
        <w:pStyle w:val="BodyText"/>
        <w:widowControl/>
      </w:pPr>
      <w:r>
        <w:t xml:space="preserve">Any active cell not materially affected by the decision is assigned 0.000 explicitly below.</w:t>
      </w:r>
    </w:p>
    <w:p>
      <w:pPr>
        <w:pStyle w:val="BodyText"/>
        <w:widowControl/>
      </w:pPr>
      <w:r>
        <w:t xml:space="preserve">Table P-4. I_prop(u,d,a) for the 33 active cells</w:t>
      </w:r>
    </w:p>
    <w:p>
      <w:pPr>
        <w:pStyle w:val="BodyText"/>
        <w:widowControl/>
      </w:pPr>
      <w:r>
        <w:t xml:space="preserve">Cell A B C</w:t>
      </w:r>
    </w:p>
    <w:p>
      <w:pPr>
        <w:pStyle w:val="BodyText"/>
        <w:widowControl/>
      </w:pPr>
      <w:r>
        <w:t xml:space="preserve">U1×D1 +0.000 +0.000 +0.000</w:t>
      </w:r>
    </w:p>
    <w:p>
      <w:pPr>
        <w:pStyle w:val="BodyText"/>
        <w:widowControl/>
      </w:pPr>
      <w:r>
        <w:t xml:space="preserve">U1×D2 -0.123 -0.100 -0.056</w:t>
      </w:r>
    </w:p>
    <w:p>
      <w:pPr>
        <w:pStyle w:val="BodyText"/>
        <w:widowControl/>
      </w:pPr>
      <w:r>
        <w:t xml:space="preserve">U1×D3 +0.000 +0.000 +0.000</w:t>
      </w:r>
    </w:p>
    <w:p>
      <w:pPr>
        <w:pStyle w:val="BodyText"/>
        <w:widowControl/>
      </w:pPr>
      <w:r>
        <w:t xml:space="preserve">U1×D4 +0.000 +0.000 +0.000</w:t>
      </w:r>
    </w:p>
    <w:p>
      <w:pPr>
        <w:pStyle w:val="BodyText"/>
        <w:widowControl/>
      </w:pPr>
      <w:r>
        <w:t xml:space="preserve">U1×D5 -0.429 +0.092 +0.040</w:t>
      </w:r>
    </w:p>
    <w:p>
      <w:pPr>
        <w:pStyle w:val="BodyText"/>
        <w:widowControl/>
      </w:pPr>
      <w:r>
        <w:t xml:space="preserve">U2×D1 -0.320 +0.036 +0.012</w:t>
      </w:r>
    </w:p>
    <w:p>
      <w:pPr>
        <w:pStyle w:val="BodyText"/>
        <w:widowControl/>
      </w:pPr>
      <w:r>
        <w:t xml:space="preserve">U2×D2 -0.066 +0.016 +0.000</w:t>
      </w:r>
    </w:p>
    <w:p>
      <w:pPr>
        <w:pStyle w:val="BodyText"/>
        <w:widowControl/>
      </w:pPr>
      <w:r>
        <w:t xml:space="preserve">U2×D3 +0.000 +0.000 +0.000</w:t>
      </w:r>
    </w:p>
    <w:p>
      <w:pPr>
        <w:pStyle w:val="BodyText"/>
        <w:widowControl/>
      </w:pPr>
      <w:r>
        <w:t xml:space="preserve">U2×D4 +0.000 +0.000 +0.000</w:t>
      </w:r>
    </w:p>
    <w:p>
      <w:pPr>
        <w:pStyle w:val="BodyText"/>
        <w:widowControl/>
      </w:pPr>
      <w:r>
        <w:t xml:space="preserve">U2×D5 +0.000 +0.000 +0.000</w:t>
      </w:r>
    </w:p>
    <w:p>
      <w:pPr>
        <w:pStyle w:val="BodyText"/>
        <w:widowControl/>
      </w:pPr>
      <w:r>
        <w:t xml:space="preserve">U3×D1 +0.000 +0.000 +0.000</w:t>
      </w:r>
    </w:p>
    <w:p>
      <w:pPr>
        <w:pStyle w:val="BodyText"/>
        <w:widowControl/>
      </w:pPr>
      <w:r>
        <w:t xml:space="preserve">U3×D2 +0.000 +0.000 +0.000</w:t>
      </w:r>
    </w:p>
    <w:p>
      <w:pPr>
        <w:pStyle w:val="BodyText"/>
        <w:widowControl/>
      </w:pPr>
      <w:r>
        <w:t xml:space="preserve">U3×D3 -0.024 +0.074 +0.034</w:t>
      </w:r>
    </w:p>
    <w:p>
      <w:pPr>
        <w:pStyle w:val="BodyText"/>
        <w:widowControl/>
      </w:pPr>
      <w:r>
        <w:t xml:space="preserve">U3×D4 +0.000 +0.000 +0.000</w:t>
      </w:r>
    </w:p>
    <w:p>
      <w:pPr>
        <w:pStyle w:val="BodyText"/>
        <w:widowControl/>
      </w:pPr>
      <w:r>
        <w:t xml:space="preserve">U3×D5 +0.000 +0.000 +0.000</w:t>
      </w:r>
    </w:p>
    <w:p>
      <w:pPr>
        <w:pStyle w:val="BodyText"/>
        <w:widowControl/>
      </w:pPr>
      <w:r>
        <w:t xml:space="preserve">U4×D1 +0.020 -0.032 -0.016</w:t>
      </w:r>
    </w:p>
    <w:p>
      <w:pPr>
        <w:pStyle w:val="BodyText"/>
        <w:widowControl/>
      </w:pPr>
      <w:r>
        <w:t xml:space="preserve">U4×D2 +0.000 +0.000 +0.000</w:t>
      </w:r>
    </w:p>
    <w:p>
      <w:pPr>
        <w:pStyle w:val="BodyText"/>
        <w:widowControl/>
      </w:pPr>
      <w:r>
        <w:t xml:space="preserve">U4×D3 +0.000 +0.000 +0.000</w:t>
      </w:r>
    </w:p>
    <w:p>
      <w:pPr>
        <w:pStyle w:val="BodyText"/>
        <w:widowControl/>
      </w:pPr>
      <w:r>
        <w:t xml:space="preserve">U4×D4 +0.000 +0.000 +0.000</w:t>
      </w:r>
    </w:p>
    <w:p>
      <w:pPr>
        <w:pStyle w:val="BodyText"/>
        <w:widowControl/>
      </w:pPr>
      <w:r>
        <w:t xml:space="preserve">U4×D5 -0.336 -0.139 +0.028</w:t>
      </w:r>
    </w:p>
    <w:p>
      <w:pPr>
        <w:pStyle w:val="BodyText"/>
        <w:widowControl/>
      </w:pPr>
      <w:r>
        <w:t xml:space="preserve">U5×D1 +0.000 +0.000 +0.000</w:t>
      </w:r>
    </w:p>
    <w:p>
      <w:pPr>
        <w:pStyle w:val="BodyText"/>
        <w:widowControl/>
      </w:pPr>
      <w:r>
        <w:t xml:space="preserve">U5×D2 +0.000 +0.000 +0.000</w:t>
      </w:r>
    </w:p>
    <w:p>
      <w:pPr>
        <w:pStyle w:val="BodyText"/>
        <w:widowControl/>
      </w:pPr>
      <w:r>
        <w:t xml:space="preserve">U5×D3 +0.000 +0.000 +0.000</w:t>
      </w:r>
    </w:p>
    <w:p>
      <w:pPr>
        <w:pStyle w:val="BodyText"/>
        <w:widowControl/>
      </w:pPr>
      <w:r>
        <w:t xml:space="preserve">U5×D4 -0.161 +0.040 +0.012</w:t>
      </w:r>
    </w:p>
    <w:p>
      <w:pPr>
        <w:pStyle w:val="BodyText"/>
        <w:widowControl/>
      </w:pPr>
      <w:r>
        <w:t xml:space="preserve">U5×D5 -0.236 +0.194 +0.030</w:t>
      </w:r>
    </w:p>
    <w:p>
      <w:pPr>
        <w:pStyle w:val="BodyText"/>
        <w:widowControl/>
      </w:pPr>
      <w:r>
        <w:t xml:space="preserve">U6×D1 +0.000 +0.000 +0.000</w:t>
      </w:r>
    </w:p>
    <w:p>
      <w:pPr>
        <w:pStyle w:val="BodyText"/>
        <w:widowControl/>
      </w:pPr>
      <w:r>
        <w:t xml:space="preserve">U6×D2 +0.000 +0.000 +0.000</w:t>
      </w:r>
    </w:p>
    <w:p>
      <w:pPr>
        <w:pStyle w:val="BodyText"/>
        <w:widowControl/>
      </w:pPr>
      <w:r>
        <w:t xml:space="preserve">U6×D3 +0.000 +0.000 +0.000</w:t>
      </w:r>
    </w:p>
    <w:p>
      <w:pPr>
        <w:pStyle w:val="BodyText"/>
        <w:widowControl/>
      </w:pPr>
      <w:r>
        <w:t xml:space="preserve">U6×D4 +0.000 +0.000 +0.000</w:t>
      </w:r>
    </w:p>
    <w:p>
      <w:pPr>
        <w:pStyle w:val="BodyText"/>
        <w:widowControl/>
      </w:pPr>
      <w:r>
        <w:t xml:space="preserve">U6×D5 +0.000 +0.000 +0.000</w:t>
      </w:r>
    </w:p>
    <w:p>
      <w:pPr>
        <w:pStyle w:val="BodyText"/>
        <w:widowControl/>
      </w:pPr>
      <w:r>
        <w:t xml:space="preserve">U6×D6 -0.111 +0.080 +0.020</w:t>
      </w:r>
    </w:p>
    <w:p>
      <w:pPr>
        <w:pStyle w:val="BodyText"/>
        <w:widowControl/>
      </w:pPr>
      <w:r>
        <w:t xml:space="preserve">U6×D7 +0.000 -0.010 -0.004</w:t>
      </w:r>
    </w:p>
    <w:p>
      <w:pPr>
        <w:pStyle w:val="BodyText"/>
        <w:widowControl/>
      </w:pPr>
      <w:r>
        <w:t xml:space="preserve">U7×D7 +0.000 +0.000 +0.000</w:t>
      </w:r>
    </w:p>
    <w:p>
      <w:pPr>
        <w:pStyle w:val="BodyText"/>
        <w:widowControl/>
      </w:pPr>
      <w:r>
        <w:t xml:space="preserve">Worked-fixture provenance note:</w:t>
      </w:r>
    </w:p>
    <w:p>
      <w:pPr>
        <w:pStyle w:val="BodyText"/>
        <w:widowControl/>
      </w:pPr>
      <w:r>
        <w:t xml:space="preserve">B at (U1,D2) = -0.100 is a frozen illustrative input in this non-normative fixture. It is established before computation for the published vector and is not adjusted after observing gate, ranking, or decisiveness outputs. Synthetic examples may be constructed to exercise a method, but their parameters MUST be disclosed as ex ante fixtures and MUST NOT be portrayed as empirical estimates or tuned evidence.</w:t>
      </w:r>
    </w:p>
    <w:bookmarkEnd w:id="500"/>
    <w:bookmarkStart w:id="501" w:name="Xc5672a4634eee77c6a0f3a84c4f6f2f4e72d75f"/>
    <w:p>
      <w:pPr>
        <w:pStyle w:val="Heading2"/>
        <w:keepNext/>
        <w:keepLines/>
        <w:pageBreakBefore w:val="0"/>
        <w:widowControl/>
      </w:pPr>
      <w:r>
        <w:rPr>
          <w:rFonts w:ascii="Arial" w:hAnsi="Arial" w:eastAsia="Arial"/>
          <w:b/>
          <w:color w:val="1F4E78"/>
        </w:rPr>
        <w:t xml:space="preserve">P.5 NCRC (Non-Compensatory Rights Constraint)</w:t>
      </w:r>
    </w:p>
    <w:p>
      <w:pPr>
        <w:pStyle w:val="FirstParagraph"/>
        <w:widowControl/>
      </w:pPr>
      <w:r>
        <w:t xml:space="preserve">Rights thresholds θ_r are defined in Appendix C.1, and rights coverage sets C_r are defined in Appendix C.2.</w:t>
      </w:r>
    </w:p>
    <w:p>
      <w:pPr>
        <w:pStyle w:val="BodyText"/>
        <w:widowControl/>
      </w:pPr>
      <w:r>
        <w:t xml:space="preserve">This Appendix applies the subgroup limitation rule (γ_subgroup = 1.5) to negative impacts for NCRC only.</w:t>
      </w:r>
    </w:p>
    <w:p>
      <w:pPr>
        <w:pStyle w:val="BodyText"/>
        <w:widowControl/>
      </w:pPr>
      <w:r>
        <w:t xml:space="preserve">Decision test:</w:t>
      </w:r>
    </w:p>
    <w:p>
      <w:pPr>
        <w:pStyle w:val="BodyText"/>
        <w:widowControl/>
      </w:pPr>
      <w:r>
        <w:t xml:space="preserve">An option a passes NCRC iff, for every right r, all three channels pass and required evidence is complete:</w:t>
      </w:r>
    </w:p>
    <w:p>
      <w:pPr>
        <w:pStyle w:val="BodyText"/>
        <w:widowControl/>
      </w:pPr>
      <w:r>
        <w:rPr>
          <w:rStyle w:val="VerbatimChar"/>
        </w:rPr>
        <w:t xml:space="preserve">v_r^floor(a)=0</w:t>
      </w:r>
      <w:r>
        <w:t xml:space="preserve">,</w:t>
      </w:r>
      <w:r>
        <w:t xml:space="preserve"> </w:t>
      </w:r>
      <w:r>
        <w:rPr>
          <w:rStyle w:val="VerbatimChar"/>
        </w:rPr>
        <w:t xml:space="preserve">v_r^cat(a)=0</w:t>
      </w:r>
      <w:r>
        <w:t xml:space="preserve">,</w:t>
      </w:r>
      <w:r>
        <w:t xml:space="preserve"> </w:t>
      </w:r>
      <w:r>
        <w:rPr>
          <w:rStyle w:val="VerbatimChar"/>
        </w:rPr>
        <w:t xml:space="preserve">v_r^risk(a)=0</w:t>
      </w:r>
      <w:r>
        <w:t xml:space="preserve">, and no required severe-hazard or categorical-prohibition field is unresolved.</w:t>
      </w:r>
    </w:p>
    <w:p>
      <w:pPr>
        <w:pStyle w:val="BodyText"/>
        <w:widowControl/>
      </w:pPr>
      <w:r>
        <w:t xml:space="preserve">The table below displays the floor channel. For this worked vector, the categorical and severe-hazard channels were separately screened as</w:t>
      </w:r>
      <w:r>
        <w:t xml:space="preserve"> </w:t>
      </w:r>
      <w:r>
        <w:rPr>
          <w:rStyle w:val="VerbatimChar"/>
        </w:rPr>
        <w:t xml:space="preserve">v_r^cat=0</w:t>
      </w:r>
      <w:r>
        <w:t xml:space="preserve"> </w:t>
      </w:r>
      <w:r>
        <w:t xml:space="preserve">and</w:t>
      </w:r>
      <w:r>
        <w:t xml:space="preserve"> </w:t>
      </w:r>
      <w:r>
        <w:rPr>
          <w:rStyle w:val="VerbatimChar"/>
        </w:rPr>
        <w:t xml:space="preserve">v_r^risk=0</w:t>
      </w:r>
      <w:r>
        <w:t xml:space="preserve"> </w:t>
      </w:r>
      <w:r>
        <w:t xml:space="preserve">for B and C, with required rights-evidence fields complete. Option A also fails the floor channel, so it is rejected without score rescue.</w:t>
      </w:r>
    </w:p>
    <w:p>
      <w:pPr>
        <w:pStyle w:val="BodyText"/>
        <w:widowControl/>
      </w:pPr>
      <w:r>
        <w:t xml:space="preserve">Table P-5. NCRC floor-channel check (minimum rights-adjusted value per right, binding cell, and violation depth</w:t>
      </w:r>
      <w:r>
        <w:t xml:space="preserve"> </w:t>
      </w:r>
      <w:r>
        <w:rPr>
          <w:rStyle w:val="VerbatimChar"/>
        </w:rPr>
        <w:t xml:space="preserve">v_r^floor</w:t>
      </w:r>
      <w:r>
        <w:t xml:space="preserve">)</w:t>
      </w:r>
    </w:p>
    <w:p>
      <w:pPr>
        <w:pStyle w:val="BodyText"/>
        <w:widowControl/>
      </w:pPr>
      <w:r>
        <w:t xml:space="preserve">Right θ_r A min(I_rights) @cell v_A B min(I_rights) @cell v_B C min(I_rights) @cell v_C</w:t>
      </w:r>
    </w:p>
    <w:p>
      <w:pPr>
        <w:pStyle w:val="BodyText"/>
        <w:widowControl/>
      </w:pPr>
      <w:r>
        <w:t xml:space="preserve">LIFE -0.90 -0.185 @ U1×D2 0.000 -0.150 @ U1×D2 0.000 -0.084 @ U1×D2 0.000</w:t>
      </w:r>
    </w:p>
    <w:p>
      <w:pPr>
        <w:pStyle w:val="BodyText"/>
        <w:widowControl/>
      </w:pPr>
      <w:r>
        <w:t xml:space="preserve">BODY -0.70 -0.185 @ U1×D2 0.000 -0.150 @ U1×D2 0.000 -0.084 @ U1×D2 0.000</w:t>
      </w:r>
    </w:p>
    <w:p>
      <w:pPr>
        <w:pStyle w:val="BodyText"/>
        <w:widowControl/>
      </w:pPr>
      <w:r>
        <w:t xml:space="preserve">LBTY -0.65 -0.643 @ U1×D5 0.000 -0.208 @ U4×D5 0.000 +0.000 @ U2×D5 0.000</w:t>
      </w:r>
    </w:p>
    <w:p>
      <w:pPr>
        <w:pStyle w:val="BodyText"/>
        <w:widowControl/>
      </w:pPr>
      <w:r>
        <w:t xml:space="preserve">NEED -0.50 -0.480 @ U2×D1 0.000 -0.150 @ U1×D2 0.000 -0.084 @ U1×D2 0.000</w:t>
      </w:r>
    </w:p>
    <w:p>
      <w:pPr>
        <w:pStyle w:val="BodyText"/>
        <w:widowControl/>
      </w:pPr>
      <w:r>
        <w:t xml:space="preserve">DIGN -0.55 -0.643 @ U1×D5 0.093 -0.208 @ U4×D5 0.000 +0.000 @ U2×D3 0.000</w:t>
      </w:r>
    </w:p>
    <w:p>
      <w:pPr>
        <w:pStyle w:val="BodyText"/>
        <w:widowControl/>
      </w:pPr>
      <w:r>
        <w:t xml:space="preserve">PROC -0.45 -0.504 @ U4×D5 0.054 -0.208 @ U4×D5 0.000 +0.000 @ U4×D3 0.000</w:t>
      </w:r>
    </w:p>
    <w:p>
      <w:pPr>
        <w:pStyle w:val="BodyText"/>
        <w:widowControl/>
      </w:pPr>
      <w:r>
        <w:t xml:space="preserve">INFO -0.40 -0.643 @ U1×D5 0.243 -0.208 @ U4×D5 0.000 +0.000 @ U1×D4 0.000</w:t>
      </w:r>
    </w:p>
    <w:p>
      <w:pPr>
        <w:pStyle w:val="BodyText"/>
        <w:widowControl/>
      </w:pPr>
      <w:r>
        <w:t xml:space="preserve">ECOL -0.65 +0.000 @ U6×D7 0.000 -0.015 @ U6×D7 0.000 -0.006 @ U6×D7 0.000</w:t>
      </w:r>
    </w:p>
    <w:p>
      <w:pPr>
        <w:pStyle w:val="BodyText"/>
        <w:widowControl/>
      </w:pPr>
      <w:r>
        <w:t xml:space="preserve">NCRC result:</w:t>
      </w:r>
    </w:p>
    <w:p>
      <w:pPr>
        <w:pStyle w:val="BodyText"/>
        <w:widowControl/>
      </w:pPr>
      <w:r>
        <w:t xml:space="preserve">• Option A fails NCRC (violations in DIGN, PROC, INFO).</w:t>
      </w:r>
    </w:p>
    <w:p>
      <w:pPr>
        <w:pStyle w:val="BodyText"/>
        <w:widowControl/>
      </w:pPr>
      <w:r>
        <w:t xml:space="preserve">• Options B and C pass NCRC.</w:t>
      </w:r>
    </w:p>
    <w:bookmarkEnd w:id="501"/>
    <w:bookmarkStart w:id="502" w:name="p6-trc-tail-risk-constraint-via-cvar"/>
    <w:p>
      <w:pPr>
        <w:pStyle w:val="Heading2"/>
        <w:keepNext/>
        <w:keepLines/>
        <w:pageBreakBefore w:val="0"/>
        <w:widowControl/>
      </w:pPr>
      <w:r>
        <w:rPr>
          <w:rFonts w:ascii="Arial" w:hAnsi="Arial" w:eastAsia="Arial"/>
          <w:b/>
          <w:color w:val="1F4E78"/>
        </w:rPr>
        <w:t xml:space="preserve">P.6 TRC (Tail-Risk Constraint via CVaR)</w:t>
      </w:r>
    </w:p>
    <w:p>
      <w:pPr>
        <w:pStyle w:val="FirstParagraph"/>
        <w:widowControl/>
      </w:pPr>
      <w:r>
        <w:t xml:space="preserve">We evaluate catastrophic downside via scenario losses L(a,s) and CVaR_α with α = 0.95 (tail mass 0.05).</w:t>
      </w:r>
    </w:p>
    <w:p>
      <w:pPr>
        <w:pStyle w:val="BodyText"/>
        <w:widowControl/>
      </w:pPr>
      <w:r>
        <w:t xml:space="preserve">In this demo, each scenario assigns identical base impacts across the three catastrophe cells, so:</w:t>
      </w:r>
    </w:p>
    <w:p>
      <w:pPr>
        <w:pStyle w:val="BodyText"/>
        <w:widowControl/>
      </w:pPr>
      <w:r>
        <w:t xml:space="preserve">For each option a and scenario s, set I_base(c,a,s) = -L(a,s) for every c in C_cat.</w:t>
      </w:r>
    </w:p>
    <w:p>
      <w:pPr>
        <w:pStyle w:val="BodyText"/>
        <w:widowControl/>
      </w:pPr>
      <w:r>
        <w:t xml:space="preserve">Then L(a,s) = - Σ_{c in C_cat} w_cat(c) · I_base(c,a,s) holds by construction.</w:t>
      </w:r>
    </w:p>
    <w:p>
      <w:pPr>
        <w:pStyle w:val="BodyText"/>
        <w:widowControl/>
      </w:pPr>
      <w:r>
        <w:t xml:space="preserve">Table P-6. Scenario probabilities and losses</w:t>
      </w:r>
    </w:p>
    <w:p>
      <w:pPr>
        <w:pStyle w:val="BodyText"/>
        <w:widowControl/>
      </w:pPr>
      <w:r>
        <w:t xml:space="preserve">Scenario Category p_s L_A L_B L_C</w:t>
      </w:r>
    </w:p>
    <w:p>
      <w:pPr>
        <w:pStyle w:val="BodyText"/>
        <w:widowControl/>
      </w:pPr>
      <w:r>
        <w:t xml:space="preserve">S1 Pandemic/biological 0.05 0.35 0.12 0.08</w:t>
      </w:r>
    </w:p>
    <w:p>
      <w:pPr>
        <w:pStyle w:val="BodyText"/>
        <w:widowControl/>
      </w:pPr>
      <w:r>
        <w:t xml:space="preserve">S2 Financial collapse 0.05 0.40 0.15 0.10</w:t>
      </w:r>
    </w:p>
    <w:p>
      <w:pPr>
        <w:pStyle w:val="BodyText"/>
        <w:widowControl/>
      </w:pPr>
      <w:r>
        <w:t xml:space="preserve">S3 Infrastructure failure 0.04 0.45 0.10 0.05</w:t>
      </w:r>
    </w:p>
    <w:p>
      <w:pPr>
        <w:pStyle w:val="BodyText"/>
        <w:widowControl/>
      </w:pPr>
      <w:r>
        <w:t xml:space="preserve">S4 Conflict escalation 0.03 0.30 0.08 0.06</w:t>
      </w:r>
    </w:p>
    <w:p>
      <w:pPr>
        <w:pStyle w:val="BodyText"/>
        <w:widowControl/>
      </w:pPr>
      <w:r>
        <w:t xml:space="preserve">S5 Climate displacement 0.03 0.28 0.10 0.07</w:t>
      </w:r>
    </w:p>
    <w:p>
      <w:pPr>
        <w:pStyle w:val="BodyText"/>
        <w:widowControl/>
      </w:pPr>
      <w:r>
        <w:t xml:space="preserve">S6 Moderate baseline 0.50 0.08 0.03 0.02</w:t>
      </w:r>
    </w:p>
    <w:p>
      <w:pPr>
        <w:pStyle w:val="BodyText"/>
        <w:widowControl/>
      </w:pPr>
      <w:r>
        <w:t xml:space="preserve">S7 High-volume stress 0.15 0.18 0.07 0.04</w:t>
      </w:r>
    </w:p>
    <w:p>
      <w:pPr>
        <w:pStyle w:val="BodyText"/>
        <w:widowControl/>
      </w:pPr>
      <w:r>
        <w:t xml:space="preserve">S8 Bias discovery 0.10 0.25 0.06 0.04</w:t>
      </w:r>
    </w:p>
    <w:p>
      <w:pPr>
        <w:pStyle w:val="BodyText"/>
        <w:widowControl/>
      </w:pPr>
      <w:r>
        <w:t xml:space="preserve">S9 Successful scale 0.05 0.05 0.02 0.02</w:t>
      </w:r>
    </w:p>
    <w:p>
      <w:pPr>
        <w:pStyle w:val="BodyText"/>
        <w:widowControl/>
      </w:pPr>
      <w:r>
        <w:t xml:space="preserve">CVaR_0.95 calculation (tail mass 0.05):</w:t>
      </w:r>
    </w:p>
    <w:p>
      <w:pPr>
        <w:pStyle w:val="BodyText"/>
        <w:widowControl/>
      </w:pPr>
      <w:r>
        <w:t xml:space="preserve">• Option A tail consists of S3 (0.04 at 0.45) plus 0.01 of S2 (0.40):</w:t>
      </w:r>
    </w:p>
    <w:p>
      <w:pPr>
        <w:pStyle w:val="BodyText"/>
        <w:widowControl/>
      </w:pPr>
      <w:r>
        <w:t xml:space="preserve">CVaR = (0.45·0.04 + 0.40·0.01) / 0.05 = 0.44</w:t>
      </w:r>
    </w:p>
    <w:p>
      <w:pPr>
        <w:pStyle w:val="BodyText"/>
        <w:widowControl/>
      </w:pPr>
      <w:r>
        <w:t xml:space="preserve">• Option B tail is exactly S2 (0.05 at 0.15):</w:t>
      </w:r>
    </w:p>
    <w:p>
      <w:pPr>
        <w:pStyle w:val="BodyText"/>
        <w:widowControl/>
      </w:pPr>
      <w:r>
        <w:t xml:space="preserve">CVaR = 0.15</w:t>
      </w:r>
    </w:p>
    <w:p>
      <w:pPr>
        <w:pStyle w:val="BodyText"/>
        <w:widowControl/>
      </w:pPr>
      <w:r>
        <w:t xml:space="preserve">• Option C tail is exactly S2 (0.05 at 0.10):</w:t>
      </w:r>
    </w:p>
    <w:p>
      <w:pPr>
        <w:pStyle w:val="BodyText"/>
        <w:widowControl/>
      </w:pPr>
      <w:r>
        <w:t xml:space="preserve">CVaR = 0.10</w:t>
      </w:r>
    </w:p>
    <w:p>
      <w:pPr>
        <w:pStyle w:val="BodyText"/>
        <w:widowControl/>
      </w:pPr>
      <w:r>
        <w:t xml:space="preserve">TRC test: option passes iff CVaR_0.95 ≤ 0.20</w:t>
      </w:r>
    </w:p>
    <w:p>
      <w:pPr>
        <w:pStyle w:val="BodyText"/>
        <w:widowControl/>
      </w:pPr>
      <w:r>
        <w:t xml:space="preserve">TRC result:</w:t>
      </w:r>
    </w:p>
    <w:p>
      <w:pPr>
        <w:pStyle w:val="BodyText"/>
        <w:widowControl/>
      </w:pPr>
      <w:r>
        <w:t xml:space="preserve">• Option A fails TRC (0.44 &gt; 0.20).</w:t>
      </w:r>
    </w:p>
    <w:p>
      <w:pPr>
        <w:pStyle w:val="BodyText"/>
        <w:widowControl/>
      </w:pPr>
      <w:r>
        <w:t xml:space="preserve">• Options B and C pass TRC.</w:t>
      </w:r>
    </w:p>
    <w:bookmarkEnd w:id="502"/>
    <w:bookmarkStart w:id="503" w:name="X58f73e52be6579aa24b0de70cc72115005fc610"/>
    <w:p>
      <w:pPr>
        <w:pStyle w:val="Heading2"/>
        <w:keepNext/>
        <w:keepLines/>
        <w:pageBreakBefore w:val="0"/>
        <w:widowControl/>
      </w:pPr>
      <w:r>
        <w:rPr>
          <w:rFonts w:ascii="Arial" w:hAnsi="Arial" w:eastAsia="Arial"/>
          <w:b/>
          <w:color w:val="1F4E78"/>
        </w:rPr>
        <w:t xml:space="preserve">P.7 Proportional Tier-2 CSV Review (Informative worked computation)</w:t>
      </w:r>
    </w:p>
    <w:p>
      <w:pPr>
        <w:pStyle w:val="Heading3"/>
        <w:keepNext/>
        <w:keepLines/>
        <w:pageBreakBefore w:val="0"/>
        <w:widowControl/>
      </w:pPr>
      <w:r>
        <w:rPr>
          <w:rFonts w:ascii="Arial" w:hAnsi="Arial" w:eastAsia="Arial"/>
          <w:b/>
          <w:color w:val="1F4E78"/>
        </w:rPr>
        <w:t>P.7A Tier-2 CSV diagnostic and binding-control trace (Informative worked computation)</w:t>
      </w:r>
    </w:p>
    <w:p>
      <w:pPr>
        <w:widowControl/>
      </w:pPr>
      <w:r>
        <w:t>UCI is not computed in this worked trace. The status is an assumption-bounded Tier-2 CSV determination supported by explicit diagnostic levels and controls, not a validated-UCI result.</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widowControl/>
              <w:spacing w:before="0" w:after="40"/>
            </w:pPr>
            <w:r>
              <w:rPr>
                <w:rFonts w:ascii="Arial" w:hAnsi="Arial" w:eastAsia="Arial"/>
                <w:b/>
                <w:color w:val="FFFFFF"/>
                <w:sz w:val="18"/>
              </w:rPr>
              <w:t>Diagnostic</w:t>
            </w:r>
          </w:p>
        </w:tc>
        <w:tc>
          <w:tcPr>
            <w:shd w:fill="1F4E78" w:val="clear"/>
            <w:tcMar>
              <w:top w:w="80" w:type="dxa"/>
              <w:start w:w="90" w:type="dxa"/>
              <w:bottom w:w="80" w:type="dxa"/>
              <w:end w:w="90" w:type="dxa"/>
            </w:tcMar>
          </w:tcPr>
          <w:p>
            <w:pPr>
              <w:widowControl/>
              <w:spacing w:before="0" w:after="40"/>
            </w:pPr>
            <w:r>
              <w:rPr>
                <w:rFonts w:ascii="Arial" w:hAnsi="Arial" w:eastAsia="Arial"/>
                <w:b/>
                <w:color w:val="FFFFFF"/>
                <w:sz w:val="18"/>
              </w:rPr>
              <w:t>Level (0-4)</w:t>
            </w:r>
          </w:p>
        </w:tc>
        <w:tc>
          <w:tcPr>
            <w:shd w:fill="1F4E78" w:val="clear"/>
            <w:tcMar>
              <w:top w:w="80" w:type="dxa"/>
              <w:start w:w="90" w:type="dxa"/>
              <w:bottom w:w="80" w:type="dxa"/>
              <w:end w:w="90" w:type="dxa"/>
            </w:tcMar>
          </w:tcPr>
          <w:p>
            <w:pPr>
              <w:widowControl/>
              <w:spacing w:before="0" w:after="40"/>
            </w:pPr>
            <w:r>
              <w:rPr>
                <w:rFonts w:ascii="Arial" w:hAnsi="Arial" w:eastAsia="Arial"/>
                <w:b/>
                <w:color w:val="FFFFFF"/>
                <w:sz w:val="18"/>
              </w:rPr>
              <w:t>Evidence / reason</w:t>
            </w:r>
          </w:p>
        </w:tc>
        <w:tc>
          <w:tcPr>
            <w:shd w:fill="1F4E78" w:val="clear"/>
            <w:tcMar>
              <w:top w:w="80" w:type="dxa"/>
              <w:start w:w="90" w:type="dxa"/>
              <w:bottom w:w="80" w:type="dxa"/>
              <w:end w:w="90" w:type="dxa"/>
            </w:tcMar>
          </w:tcPr>
          <w:p>
            <w:pPr>
              <w:widowControl/>
              <w:spacing w:before="0" w:after="40"/>
            </w:pPr>
            <w:r>
              <w:rPr>
                <w:rFonts w:ascii="Arial" w:hAnsi="Arial" w:eastAsia="Arial"/>
                <w:b/>
                <w:color w:val="FFFFFF"/>
                <w:sz w:val="18"/>
              </w:rPr>
              <w:t>Binding control / record</w:t>
            </w:r>
          </w:p>
        </w:tc>
      </w:tr>
      <w:tr>
        <w:trPr/>
        <w:tc>
          <w:tcPr>
            <w:tcMar>
              <w:top w:w="80" w:type="dxa"/>
              <w:start w:w="90" w:type="dxa"/>
              <w:bottom w:w="80" w:type="dxa"/>
              <w:end w:w="90" w:type="dxa"/>
            </w:tcMar>
            <w:shd w:fill="F7FBFF" w:val="clear"/>
          </w:tcPr>
          <w:p>
            <w:pPr>
              <w:widowControl/>
              <w:spacing w:before="0" w:after="40"/>
            </w:pPr>
            <w:r>
              <w:rPr>
                <w:rFonts w:ascii="Arial" w:hAnsi="Arial" w:eastAsia="Arial"/>
                <w:sz w:val="18"/>
              </w:rPr>
              <w:t>Containment integrity</w:t>
            </w:r>
          </w:p>
        </w:tc>
        <w:tc>
          <w:tcPr>
            <w:tcMar>
              <w:top w:w="80" w:type="dxa"/>
              <w:start w:w="90" w:type="dxa"/>
              <w:bottom w:w="80" w:type="dxa"/>
              <w:end w:w="90" w:type="dxa"/>
            </w:tcMar>
            <w:shd w:fill="F7FBFF" w:val="clear"/>
          </w:tcPr>
          <w:p>
            <w:pPr>
              <w:widowControl/>
              <w:spacing w:before="0" w:after="40"/>
            </w:pPr>
            <w:r>
              <w:rPr>
                <w:rFonts w:ascii="Arial" w:hAnsi="Arial" w:eastAsia="Arial"/>
                <w:sz w:val="18"/>
              </w:rPr>
              <w:t>1</w:t>
            </w:r>
          </w:p>
        </w:tc>
        <w:tc>
          <w:tcPr>
            <w:tcMar>
              <w:top w:w="80" w:type="dxa"/>
              <w:start w:w="90" w:type="dxa"/>
              <w:bottom w:w="80" w:type="dxa"/>
              <w:end w:w="90" w:type="dxa"/>
            </w:tcMar>
            <w:shd w:fill="F7FBFF" w:val="clear"/>
          </w:tcPr>
          <w:p>
            <w:pPr>
              <w:widowControl/>
              <w:spacing w:before="0" w:after="40"/>
            </w:pPr>
            <w:r>
              <w:rPr>
                <w:rFonts w:ascii="Arial" w:hAnsi="Arial" w:eastAsia="Arial"/>
                <w:sz w:val="18"/>
              </w:rPr>
              <w:t>Independent audits and staged scope limit externalization pathways.</w:t>
            </w:r>
          </w:p>
        </w:tc>
        <w:tc>
          <w:tcPr>
            <w:tcMar>
              <w:top w:w="80" w:type="dxa"/>
              <w:start w:w="90" w:type="dxa"/>
              <w:bottom w:w="80" w:type="dxa"/>
              <w:end w:w="90" w:type="dxa"/>
            </w:tcMar>
            <w:shd w:fill="F7FBFF" w:val="clear"/>
          </w:tcPr>
          <w:p>
            <w:pPr>
              <w:widowControl/>
              <w:spacing w:before="0" w:after="40"/>
            </w:pPr>
            <w:r>
              <w:rPr>
                <w:rFonts w:ascii="Arial" w:hAnsi="Arial" w:eastAsia="Arial"/>
                <w:sz w:val="18"/>
              </w:rPr>
              <w:t>CSV-B-C01: scope cap and independent audit.</w:t>
            </w:r>
          </w:p>
        </w:tc>
      </w:tr>
      <w:tr>
        <w:trPr/>
        <w:tc>
          <w:tcPr>
            <w:tcMar>
              <w:top w:w="80" w:type="dxa"/>
              <w:start w:w="90" w:type="dxa"/>
              <w:bottom w:w="80" w:type="dxa"/>
              <w:end w:w="90" w:type="dxa"/>
            </w:tcMar>
            <w:shd w:fill="D9EAF7" w:val="clear"/>
          </w:tcPr>
          <w:p>
            <w:pPr>
              <w:widowControl/>
              <w:spacing w:before="0" w:after="40"/>
            </w:pPr>
            <w:r>
              <w:rPr>
                <w:rFonts w:ascii="Arial" w:hAnsi="Arial" w:eastAsia="Arial"/>
                <w:sz w:val="18"/>
              </w:rPr>
              <w:t>Dependency and resource closure</w:t>
            </w:r>
          </w:p>
        </w:tc>
        <w:tc>
          <w:tcPr>
            <w:tcMar>
              <w:top w:w="80" w:type="dxa"/>
              <w:start w:w="90" w:type="dxa"/>
              <w:bottom w:w="80" w:type="dxa"/>
              <w:end w:w="90" w:type="dxa"/>
            </w:tcMar>
            <w:shd w:fill="D9EAF7" w:val="clear"/>
          </w:tcPr>
          <w:p>
            <w:pPr>
              <w:widowControl/>
              <w:spacing w:before="0" w:after="40"/>
            </w:pPr>
            <w:r>
              <w:rPr>
                <w:rFonts w:ascii="Arial" w:hAnsi="Arial" w:eastAsia="Arial"/>
                <w:sz w:val="18"/>
              </w:rPr>
              <w:t>2</w:t>
            </w:r>
          </w:p>
        </w:tc>
        <w:tc>
          <w:tcPr>
            <w:tcMar>
              <w:top w:w="80" w:type="dxa"/>
              <w:start w:w="90" w:type="dxa"/>
              <w:bottom w:w="80" w:type="dxa"/>
              <w:end w:w="90" w:type="dxa"/>
            </w:tcMar>
            <w:shd w:fill="D9EAF7" w:val="clear"/>
          </w:tcPr>
          <w:p>
            <w:pPr>
              <w:widowControl/>
              <w:spacing w:before="0" w:after="40"/>
            </w:pPr>
            <w:r>
              <w:rPr>
                <w:rFonts w:ascii="Arial" w:hAnsi="Arial" w:eastAsia="Arial"/>
                <w:sz w:val="18"/>
              </w:rPr>
              <w:t>Audit, enforcement, and appeal functions require funded staffing and information access.</w:t>
            </w:r>
          </w:p>
        </w:tc>
        <w:tc>
          <w:tcPr>
            <w:tcMar>
              <w:top w:w="80" w:type="dxa"/>
              <w:start w:w="90" w:type="dxa"/>
              <w:bottom w:w="80" w:type="dxa"/>
              <w:end w:w="90" w:type="dxa"/>
            </w:tcMar>
            <w:shd w:fill="D9EAF7" w:val="clear"/>
          </w:tcPr>
          <w:p>
            <w:pPr>
              <w:widowControl/>
              <w:spacing w:before="0" w:after="40"/>
            </w:pPr>
            <w:r>
              <w:rPr>
                <w:rFonts w:ascii="Arial" w:hAnsi="Arial" w:eastAsia="Arial"/>
                <w:sz w:val="18"/>
              </w:rPr>
              <w:t>CSV-B-C02: appropriated capacity, named carrier, expiry and nonperformance escalation.</w:t>
            </w:r>
          </w:p>
        </w:tc>
      </w:tr>
      <w:tr>
        <w:trPr/>
        <w:tc>
          <w:tcPr>
            <w:tcMar>
              <w:top w:w="80" w:type="dxa"/>
              <w:start w:w="90" w:type="dxa"/>
              <w:bottom w:w="80" w:type="dxa"/>
              <w:end w:w="90" w:type="dxa"/>
            </w:tcMar>
            <w:shd w:fill="F7FBFF" w:val="clear"/>
          </w:tcPr>
          <w:p>
            <w:pPr>
              <w:widowControl/>
              <w:spacing w:before="0" w:after="40"/>
            </w:pPr>
            <w:r>
              <w:rPr>
                <w:rFonts w:ascii="Arial" w:hAnsi="Arial" w:eastAsia="Arial"/>
                <w:sz w:val="18"/>
              </w:rPr>
              <w:t>Reversibility / rollback</w:t>
            </w:r>
          </w:p>
        </w:tc>
        <w:tc>
          <w:tcPr>
            <w:tcMar>
              <w:top w:w="80" w:type="dxa"/>
              <w:start w:w="90" w:type="dxa"/>
              <w:bottom w:w="80" w:type="dxa"/>
              <w:end w:w="90" w:type="dxa"/>
            </w:tcMar>
            <w:shd w:fill="F7FBFF" w:val="clear"/>
          </w:tcPr>
          <w:p>
            <w:pPr>
              <w:widowControl/>
              <w:spacing w:before="0" w:after="40"/>
            </w:pPr>
            <w:r>
              <w:rPr>
                <w:rFonts w:ascii="Arial" w:hAnsi="Arial" w:eastAsia="Arial"/>
                <w:sz w:val="18"/>
              </w:rPr>
              <w:t>1</w:t>
            </w:r>
          </w:p>
        </w:tc>
        <w:tc>
          <w:tcPr>
            <w:tcMar>
              <w:top w:w="80" w:type="dxa"/>
              <w:start w:w="90" w:type="dxa"/>
              <w:bottom w:w="80" w:type="dxa"/>
              <w:end w:w="90" w:type="dxa"/>
            </w:tcMar>
            <w:shd w:fill="F7FBFF" w:val="clear"/>
          </w:tcPr>
          <w:p>
            <w:pPr>
              <w:widowControl/>
              <w:spacing w:before="0" w:after="40"/>
            </w:pPr>
            <w:r>
              <w:rPr>
                <w:rFonts w:ascii="Arial" w:hAnsi="Arial" w:eastAsia="Arial"/>
                <w:sz w:val="18"/>
              </w:rPr>
              <w:t>Rules and implementation can be suspended or rolled back under specified triggers.</w:t>
            </w:r>
          </w:p>
        </w:tc>
        <w:tc>
          <w:tcPr>
            <w:tcMar>
              <w:top w:w="80" w:type="dxa"/>
              <w:start w:w="90" w:type="dxa"/>
              <w:bottom w:w="80" w:type="dxa"/>
              <w:end w:w="90" w:type="dxa"/>
            </w:tcMar>
            <w:shd w:fill="F7FBFF" w:val="clear"/>
          </w:tcPr>
          <w:p>
            <w:pPr>
              <w:widowControl/>
              <w:spacing w:before="0" w:after="40"/>
            </w:pPr>
            <w:r>
              <w:rPr>
                <w:rFonts w:ascii="Arial" w:hAnsi="Arial" w:eastAsia="Arial"/>
                <w:sz w:val="18"/>
              </w:rPr>
              <w:t>CSV-B-C03: sunset, rollback authority, and restoration plan.</w:t>
            </w:r>
          </w:p>
        </w:tc>
      </w:tr>
      <w:tr>
        <w:trPr/>
        <w:tc>
          <w:tcPr>
            <w:tcMar>
              <w:top w:w="80" w:type="dxa"/>
              <w:start w:w="90" w:type="dxa"/>
              <w:bottom w:w="80" w:type="dxa"/>
              <w:end w:w="90" w:type="dxa"/>
            </w:tcMar>
            <w:shd w:fill="D9EAF7" w:val="clear"/>
          </w:tcPr>
          <w:p>
            <w:pPr>
              <w:widowControl/>
              <w:spacing w:before="0" w:after="40"/>
            </w:pPr>
            <w:r>
              <w:rPr>
                <w:rFonts w:ascii="Arial" w:hAnsi="Arial" w:eastAsia="Arial"/>
                <w:sz w:val="18"/>
              </w:rPr>
              <w:t>Monitoring and operational capacity</w:t>
            </w:r>
          </w:p>
        </w:tc>
        <w:tc>
          <w:tcPr>
            <w:tcMar>
              <w:top w:w="80" w:type="dxa"/>
              <w:start w:w="90" w:type="dxa"/>
              <w:bottom w:w="80" w:type="dxa"/>
              <w:end w:w="90" w:type="dxa"/>
            </w:tcMar>
            <w:shd w:fill="D9EAF7" w:val="clear"/>
          </w:tcPr>
          <w:p>
            <w:pPr>
              <w:widowControl/>
              <w:spacing w:before="0" w:after="40"/>
            </w:pPr>
            <w:r>
              <w:rPr>
                <w:rFonts w:ascii="Arial" w:hAnsi="Arial" w:eastAsia="Arial"/>
                <w:sz w:val="18"/>
              </w:rPr>
              <w:t>2</w:t>
            </w:r>
          </w:p>
        </w:tc>
        <w:tc>
          <w:tcPr>
            <w:tcMar>
              <w:top w:w="80" w:type="dxa"/>
              <w:start w:w="90" w:type="dxa"/>
              <w:bottom w:w="80" w:type="dxa"/>
              <w:end w:w="90" w:type="dxa"/>
            </w:tcMar>
            <w:shd w:fill="D9EAF7" w:val="clear"/>
          </w:tcPr>
          <w:p>
            <w:pPr>
              <w:widowControl/>
              <w:spacing w:before="0" w:after="40"/>
            </w:pPr>
            <w:r>
              <w:rPr>
                <w:rFonts w:ascii="Arial" w:hAnsi="Arial" w:eastAsia="Arial"/>
                <w:sz w:val="18"/>
              </w:rPr>
              <w:t>Outcome monitoring and exception handling are material to effective implementation.</w:t>
            </w:r>
          </w:p>
        </w:tc>
        <w:tc>
          <w:tcPr>
            <w:tcMar>
              <w:top w:w="80" w:type="dxa"/>
              <w:start w:w="90" w:type="dxa"/>
              <w:bottom w:w="80" w:type="dxa"/>
              <w:end w:w="90" w:type="dxa"/>
            </w:tcMar>
            <w:shd w:fill="D9EAF7" w:val="clear"/>
          </w:tcPr>
          <w:p>
            <w:pPr>
              <w:widowControl/>
              <w:spacing w:before="0" w:after="40"/>
            </w:pPr>
            <w:r>
              <w:rPr>
                <w:rFonts w:ascii="Arial" w:hAnsi="Arial" w:eastAsia="Arial"/>
                <w:sz w:val="18"/>
              </w:rPr>
              <w:t>CSV-B-C04: monitoring owner, service-level thresholds, incident escalation.</w:t>
            </w:r>
          </w:p>
        </w:tc>
      </w:tr>
      <w:tr>
        <w:trPr/>
        <w:tc>
          <w:tcPr>
            <w:tcMar>
              <w:top w:w="80" w:type="dxa"/>
              <w:start w:w="90" w:type="dxa"/>
              <w:bottom w:w="80" w:type="dxa"/>
              <w:end w:w="90" w:type="dxa"/>
            </w:tcMar>
            <w:shd w:fill="F7FBFF" w:val="clear"/>
          </w:tcPr>
          <w:p>
            <w:pPr>
              <w:widowControl/>
              <w:spacing w:before="0" w:after="40"/>
            </w:pPr>
            <w:r>
              <w:rPr>
                <w:rFonts w:ascii="Arial" w:hAnsi="Arial" w:eastAsia="Arial"/>
                <w:sz w:val="18"/>
              </w:rPr>
              <w:t>Legitimacy and appeal throughput</w:t>
            </w:r>
          </w:p>
        </w:tc>
        <w:tc>
          <w:tcPr>
            <w:tcMar>
              <w:top w:w="80" w:type="dxa"/>
              <w:start w:w="90" w:type="dxa"/>
              <w:bottom w:w="80" w:type="dxa"/>
              <w:end w:w="90" w:type="dxa"/>
            </w:tcMar>
            <w:shd w:fill="F7FBFF" w:val="clear"/>
          </w:tcPr>
          <w:p>
            <w:pPr>
              <w:widowControl/>
              <w:spacing w:before="0" w:after="40"/>
            </w:pPr>
            <w:r>
              <w:rPr>
                <w:rFonts w:ascii="Arial" w:hAnsi="Arial" w:eastAsia="Arial"/>
                <w:sz w:val="18"/>
              </w:rPr>
              <w:t>2</w:t>
            </w:r>
          </w:p>
        </w:tc>
        <w:tc>
          <w:tcPr>
            <w:tcMar>
              <w:top w:w="80" w:type="dxa"/>
              <w:start w:w="90" w:type="dxa"/>
              <w:bottom w:w="80" w:type="dxa"/>
              <w:end w:w="90" w:type="dxa"/>
            </w:tcMar>
            <w:shd w:fill="F7FBFF" w:val="clear"/>
          </w:tcPr>
          <w:p>
            <w:pPr>
              <w:widowControl/>
              <w:spacing w:before="0" w:after="40"/>
            </w:pPr>
            <w:r>
              <w:rPr>
                <w:rFonts w:ascii="Arial" w:hAnsi="Arial" w:eastAsia="Arial"/>
                <w:sz w:val="18"/>
              </w:rPr>
              <w:t>Rights protection depends on timely appeal, remedy, and independent challenge.</w:t>
            </w:r>
          </w:p>
        </w:tc>
        <w:tc>
          <w:tcPr>
            <w:tcMar>
              <w:top w:w="80" w:type="dxa"/>
              <w:start w:w="90" w:type="dxa"/>
              <w:bottom w:w="80" w:type="dxa"/>
              <w:end w:w="90" w:type="dxa"/>
            </w:tcMar>
            <w:shd w:fill="F7FBFF" w:val="clear"/>
          </w:tcPr>
          <w:p>
            <w:pPr>
              <w:widowControl/>
              <w:spacing w:before="0" w:after="40"/>
            </w:pPr>
            <w:r>
              <w:rPr>
                <w:rFonts w:ascii="Arial" w:hAnsi="Arial" w:eastAsia="Arial"/>
                <w:sz w:val="18"/>
              </w:rPr>
              <w:t>CSV-B-C05: appeal SLA, independent reviewer, remedy budget, public report.</w:t>
            </w:r>
          </w:p>
        </w:tc>
      </w:tr>
      <w:tr>
        <w:trPr/>
        <w:tc>
          <w:tcPr>
            <w:tcMar>
              <w:top w:w="80" w:type="dxa"/>
              <w:start w:w="90" w:type="dxa"/>
              <w:bottom w:w="80" w:type="dxa"/>
              <w:end w:w="90" w:type="dxa"/>
            </w:tcMar>
            <w:shd w:fill="D9EAF7" w:val="clear"/>
            <w:tcBorders>
              <w:bottom w:val="single" w:sz="8" w:space="0" w:color="1F4E78"/>
            </w:tcBorders>
          </w:tcPr>
          <w:p>
            <w:pPr>
              <w:widowControl/>
              <w:spacing w:before="0" w:after="40"/>
            </w:pPr>
            <w:r>
              <w:rPr>
                <w:rFonts w:ascii="Arial" w:hAnsi="Arial" w:eastAsia="Arial"/>
                <w:sz w:val="18"/>
              </w:rPr>
              <w:t>Result</w:t>
            </w:r>
          </w:p>
        </w:tc>
        <w:tc>
          <w:tcPr>
            <w:tcMar>
              <w:top w:w="80" w:type="dxa"/>
              <w:start w:w="90" w:type="dxa"/>
              <w:bottom w:w="80" w:type="dxa"/>
              <w:end w:w="90" w:type="dxa"/>
            </w:tcMar>
            <w:shd w:fill="D9EAF7" w:val="clear"/>
            <w:tcBorders>
              <w:bottom w:val="single" w:sz="8" w:space="0" w:color="1F4E78"/>
            </w:tcBorders>
          </w:tcPr>
          <w:p>
            <w:pPr>
              <w:widowControl/>
              <w:spacing w:before="0" w:after="40"/>
            </w:pPr>
            <w:r>
              <w:rPr>
                <w:rFonts w:ascii="Arial" w:hAnsi="Arial" w:eastAsia="Arial"/>
                <w:sz w:val="18"/>
              </w:rPr>
              <w:t>-</w:t>
            </w:r>
          </w:p>
        </w:tc>
        <w:tc>
          <w:tcPr>
            <w:tcMar>
              <w:top w:w="80" w:type="dxa"/>
              <w:start w:w="90" w:type="dxa"/>
              <w:bottom w:w="80" w:type="dxa"/>
              <w:end w:w="90" w:type="dxa"/>
            </w:tcMar>
            <w:shd w:fill="D9EAF7" w:val="clear"/>
            <w:tcBorders>
              <w:bottom w:val="single" w:sz="8" w:space="0" w:color="1F4E78"/>
            </w:tcBorders>
          </w:tcPr>
          <w:p>
            <w:pPr>
              <w:widowControl/>
              <w:spacing w:before="0" w:after="40"/>
            </w:pPr>
            <w:r>
              <w:rPr>
                <w:rFonts w:ascii="Arial" w:hAnsi="Arial" w:eastAsia="Arial"/>
                <w:sz w:val="18"/>
              </w:rPr>
              <w:t>No diagnostic is 3 or 4; all level-2 conditions have binding, auditable controls.</w:t>
            </w:r>
          </w:p>
        </w:tc>
        <w:tc>
          <w:tcPr>
            <w:tcMar>
              <w:top w:w="80" w:type="dxa"/>
              <w:start w:w="90" w:type="dxa"/>
              <w:bottom w:w="80" w:type="dxa"/>
              <w:end w:w="90" w:type="dxa"/>
            </w:tcMar>
            <w:shd w:fill="D9EAF7" w:val="clear"/>
            <w:tcBorders>
              <w:bottom w:val="single" w:sz="8" w:space="0" w:color="1F4E78"/>
            </w:tcBorders>
          </w:tcPr>
          <w:p>
            <w:pPr>
              <w:widowControl/>
              <w:spacing w:before="0" w:after="40"/>
            </w:pPr>
            <w:r>
              <w:rPr>
                <w:rFonts w:ascii="Arial" w:hAnsi="Arial" w:eastAsia="Arial"/>
                <w:sz w:val="18"/>
              </w:rPr>
              <w:t>CSV_PASS_WITH_CONTROLS; removal or failure of any control reopens CSV.</w:t>
            </w:r>
          </w:p>
        </w:tc>
      </w:tr>
    </w:tbl>
    <w:p>
      <w:pPr>
        <w:pStyle w:val="FirstParagraph"/>
        <w:widowControl/>
      </w:pPr>
      <w:r>
        <w:t xml:space="preserve">CSV is completed before ordinary RLS using proportionate, assumption-bounded evidence. Quantitative UCI is not claimed.</w:t>
      </w:r>
    </w:p>
    <w:tbl>
      <w:tblPr>
        <w:tblStyle w:val="Table"/>
        <w:tblW w:type="pct" w:w="5000"/>
        <w:jc w:val="left"/>
        <w:tblLook w:firstRow="1" w:lastRow="0" w:firstColumn="0" w:lastColumn="0" w:noHBand="0" w:noVBand="0" w:val="0020"/>
        <w:tblInd w:type="dxa" w:w="0"/>
      </w:tblPr>
      <w:tblGrid>
        <w:gridCol w:w="1584"/>
        <w:gridCol w:w="1584"/>
        <w:gridCol w:w="1584"/>
        <w:gridCol w:w="1584"/>
        <w:gridCol w:w="1584"/>
      </w:tblGrid>
      <w:tr>
        <w:trPr>
          <w:tblHeader w:val="on"/>
        </w:trPr>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Option</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Prior-gate status</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Containment / structural question</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Evidence and assumptions</w:t>
            </w:r>
          </w:p>
        </w:tc>
        <w:tc>
          <w:tcPr>
            <w:shd w:fill="1F4E78" w:val="clear"/>
            <w:tcMar>
              <w:top w:w="80" w:type="dxa"/>
              <w:start w:w="90" w:type="dxa"/>
              <w:bottom w:w="80" w:type="dxa"/>
              <w:end w:w="90" w:type="dxa"/>
            </w:tcMar>
          </w:tcPr>
          <w:p>
            <w:pPr>
              <w:pStyle w:val="Compact"/>
              <w:widowControl/>
              <w:spacing w:before="0" w:after="40"/>
              <w:jc w:val="left"/>
            </w:pPr>
            <w:r>
              <w:rPr>
                <w:rFonts w:ascii="Arial" w:hAnsi="Arial" w:eastAsia="Arial"/>
                <w:b/>
                <w:bCs/>
                <w:color w:val="FFFFFF"/>
                <w:sz w:val="18"/>
              </w:rPr>
              <w:t xml:space="preserve">CSV status</w:t>
            </w:r>
          </w:p>
        </w:tc>
      </w:tr>
      <w:tr>
        <w:trPr/>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A</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Eliminated by NCRC and TRC</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No downstream gate may rescue or re-enter an option already eliminated.</w:t>
            </w:r>
          </w:p>
        </w:tc>
        <w:tc>
          <w:tcPr>
            <w:tcMar>
              <w:top w:w="80" w:type="dxa"/>
              <w:start w:w="90" w:type="dxa"/>
              <w:bottom w:w="80" w:type="dxa"/>
              <w:end w:w="90" w:type="dxa"/>
            </w:tcMar>
            <w:shd w:fill="F7FBFF" w:val="clear"/>
          </w:tcPr>
          <w:p>
            <w:pPr>
              <w:pStyle w:val="Compact"/>
              <w:widowControl/>
              <w:spacing w:before="0" w:after="40"/>
              <w:jc w:val="left"/>
            </w:pPr>
            <w:r>
              <w:rPr>
                <w:rFonts w:ascii="Arial" w:hAnsi="Arial" w:eastAsia="Arial"/>
                <w:sz w:val="18"/>
              </w:rPr>
              <w:t xml:space="preserve">CSV is not used to restore A. Any later structural observation is audit-only.</w:t>
            </w:r>
          </w:p>
        </w:tc>
        <w:tc>
          <w:tcPr>
            <w:tcMar>
              <w:top w:w="80" w:type="dxa"/>
              <w:start w:w="90" w:type="dxa"/>
              <w:bottom w:w="80" w:type="dxa"/>
              <w:end w:w="90" w:type="dxa"/>
            </w:tcMar>
            <w:shd w:fill="F7FBFF" w:val="clear"/>
          </w:tcPr>
          <w:p>
            <w:pPr>
              <w:pStyle w:val="Compact"/>
              <w:widowControl/>
              <w:spacing w:before="0" w:after="40"/>
              <w:jc w:val="left"/>
            </w:pPr>
            <w:r>
              <w:rPr>
                <w:rStyle w:val="VerbatimChar"/>
                <w:rFonts w:ascii="Arial" w:hAnsi="Arial" w:eastAsia="Arial"/>
                <w:sz w:val="18"/>
              </w:rPr>
              <w:t xml:space="preserve">NOT_EVALUATED_AFTER_PRIOR_ELIMINATION</w:t>
            </w:r>
          </w:p>
        </w:tc>
      </w:tr>
      <w:tr>
        <w:trPr/>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B</w:t>
            </w:r>
          </w:p>
        </w:tc>
        <w:tc>
          <w:tcPr>
            <w:tcMar>
              <w:top w:w="80" w:type="dxa"/>
              <w:start w:w="90" w:type="dxa"/>
              <w:bottom w:w="80" w:type="dxa"/>
              <w:end w:w="90" w:type="dxa"/>
            </w:tcMar>
            <w:shd w:fill="D9EAF7" w:val="clear"/>
          </w:tcPr>
          <w:p>
            <w:pPr>
              <w:pStyle w:val="Compact"/>
              <w:widowControl/>
              <w:spacing w:before="0" w:after="40"/>
              <w:jc w:val="left"/>
            </w:pPr>
            <w:r>
              <w:rPr>
                <w:rFonts w:ascii="Arial" w:hAnsi="Arial" w:eastAsia="Arial"/>
                <w:sz w:val="18"/>
              </w:rPr>
              <w:t xml:space="preserve">Passed NCRC and TRC</w:t>
            </w:r>
          </w:p>
        </w:tc>
        <w:tc>
          <w:tcPr>
            <w:tcMar>
              <w:top w:w="80" w:type="dxa"/>
              <w:start w:w="90" w:type="dxa"/>
              <w:bottom w:w="80" w:type="dxa"/>
              <w:end w:w="90" w:type="dxa"/>
            </w:tcMar>
            <w:shd w:fill="D9EAF7" w:val="clear"/>
          </w:tcPr>
          <w:p>
            <w:pPr>
              <w:widowControl/>
              <w:spacing w:before="0" w:after="40"/>
            </w:pPr>
            <w:r>
              <w:rPr>
                <w:rFonts w:ascii="Arial" w:hAnsi="Arial" w:eastAsia="Arial"/>
                <w:sz w:val="18"/>
              </w:rPr>
              <w:t>Can the rights-first regulatory package be implemented with adequate audit capacity, enforcement staffing, appeal throughput, monitoring, reversibility, and lawful authority?</w:t>
            </w:r>
          </w:p>
        </w:tc>
        <w:tc>
          <w:tcPr>
            <w:tcMar>
              <w:top w:w="80" w:type="dxa"/>
              <w:start w:w="90" w:type="dxa"/>
              <w:bottom w:w="80" w:type="dxa"/>
              <w:end w:w="90" w:type="dxa"/>
            </w:tcMar>
            <w:shd w:fill="D9EAF7" w:val="clear"/>
          </w:tcPr>
          <w:p>
            <w:pPr>
              <w:widowControl/>
              <w:spacing w:before="0" w:after="40"/>
            </w:pPr>
            <w:r>
              <w:rPr>
                <w:rFonts w:ascii="Arial" w:hAnsi="Arial" w:eastAsia="Arial"/>
                <w:sz w:val="18"/>
              </w:rPr>
              <w:t>Material execution burdens exist. Binding controls are required: funded independent audit capacity, enforcement staffing, appeal-service levels, monitoring, sunset review, rollback authority, and public reporting.</w:t>
            </w:r>
          </w:p>
        </w:tc>
        <w:tc>
          <w:tcPr>
            <w:tcMar>
              <w:top w:w="80" w:type="dxa"/>
              <w:start w:w="90" w:type="dxa"/>
              <w:bottom w:w="80" w:type="dxa"/>
              <w:end w:w="90" w:type="dxa"/>
            </w:tcMar>
            <w:shd w:fill="D9EAF7" w:val="clear"/>
          </w:tcPr>
          <w:p>
            <w:pPr>
              <w:widowControl/>
              <w:spacing w:before="0" w:after="40"/>
            </w:pPr>
            <w:r>
              <w:rPr>
                <w:rFonts w:ascii="Arial" w:hAnsi="Arial" w:eastAsia="Arial"/>
                <w:sz w:val="18"/>
              </w:rPr>
              <w:t>CSV_PASS_WITH_CONTROLS</w:t>
            </w:r>
          </w:p>
        </w:tc>
      </w:tr>
      <w:tr>
        <w:trPr/>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C</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Passed NCRC and TRC</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Fonts w:ascii="Arial" w:hAnsi="Arial" w:eastAsia="Arial"/>
                <w:sz w:val="18"/>
              </w:rPr>
              <w:t xml:space="preserve">Same question</w:t>
            </w:r>
          </w:p>
        </w:tc>
        <w:tc>
          <w:tcPr>
            <w:tcMar>
              <w:top w:w="80" w:type="dxa"/>
              <w:start w:w="90" w:type="dxa"/>
              <w:bottom w:w="80" w:type="dxa"/>
              <w:end w:w="90" w:type="dxa"/>
            </w:tcMar>
            <w:shd w:fill="F7FBFF" w:val="clear"/>
            <w:tcBorders>
              <w:bottom w:val="single" w:sz="8" w:space="0" w:color="1F4E78"/>
            </w:tcBorders>
          </w:tcPr>
          <w:p>
            <w:r/>
            <w:r>
              <w:rPr>
                <w:b w:val="0"/>
              </w:rPr>
              <w:t>Diagnostic SV-2 Dependency and resource closure = 3: the option lacks a named funded carrier for independent audit and appeal; SV-3 Reversibility = 3: rollback authority and restoration timing are unspecified. Proposed controls CSV-C-C01 (named funded carrier plus capacity evidence) and CSV-C-C02 (rollback authority, trigger, restoration SLA) are absent. The option must be redesigned, then requalified through affected RG, RF/NCRC, TRC, and CSV surfaces.</w:t>
            </w:r>
          </w:p>
        </w:tc>
        <w:tc>
          <w:tcPr>
            <w:tcMar>
              <w:top w:w="80" w:type="dxa"/>
              <w:start w:w="90" w:type="dxa"/>
              <w:bottom w:w="80" w:type="dxa"/>
              <w:end w:w="90" w:type="dxa"/>
            </w:tcMar>
            <w:shd w:fill="F7FBFF" w:val="clear"/>
            <w:tcBorders>
              <w:bottom w:val="single" w:sz="8" w:space="0" w:color="1F4E78"/>
            </w:tcBorders>
          </w:tcPr>
          <w:p>
            <w:pPr>
              <w:pStyle w:val="Compact"/>
              <w:widowControl/>
              <w:spacing w:before="0" w:after="40"/>
              <w:jc w:val="left"/>
            </w:pPr>
            <w:r>
              <w:rPr>
                <w:rStyle w:val="VerbatimChar"/>
                <w:rFonts w:ascii="Arial" w:hAnsi="Arial" w:eastAsia="Arial"/>
                <w:sz w:val="18"/>
              </w:rPr>
              <w:t xml:space="preserve">CSV_REDESIGN_REQUIRED</w:t>
            </w:r>
          </w:p>
        </w:tc>
      </w:tr>
    </w:tbl>
    <w:p>
      <w:pPr>
        <w:pStyle w:val="BodyText"/>
        <w:widowControl/>
      </w:pPr>
      <w:r>
        <w:t xml:space="preserve">Selectable set after full qualification:</w:t>
      </w:r>
    </w:p>
    <w:p>
      <w:pPr>
        <w:pStyle w:val="BodyText"/>
        <w:widowControl/>
      </w:pPr>
      <w:r>
        <w:rPr>
          <w:rFonts w:ascii="Arial" w:hAnsi="Arial" w:eastAsia="Arial"/>
        </w:rPr>
        <w:t>A_sel = {B}, with CSV-B-C01 through CSV-B-C05 constitutive of Option B.</w:t>
      </w:r>
    </w:p>
    <w:p>
      <w:pPr>
        <w:pStyle w:val="BodyText"/>
        <w:widowControl/>
      </w:pPr>
      <w:r>
        <w:t xml:space="preserve">Option A remains excluded by NCRC and TRC. Option C is excluded before RLS and may re-enter only after redesign and a fresh run through every affected upstream level. If the CSV evidence were insufficient to distinguish pass-equivalent status from redesign, escalation, or refusal, the run would refuse an ordinary selection claim rather than proceed.</w:t>
      </w:r>
    </w:p>
    <w:bookmarkEnd w:id="503"/>
    <w:bookmarkStart w:id="504" w:name="X28aa5427946dca771a69e80ea82eafa317ecf1f"/>
    <w:p>
      <w:pPr>
        <w:pStyle w:val="Heading2"/>
        <w:keepNext/>
        <w:keepLines/>
        <w:pageBreakBefore w:val="0"/>
        <w:widowControl/>
      </w:pPr>
      <w:r>
        <w:rPr>
          <w:rFonts w:ascii="Arial" w:hAnsi="Arial" w:eastAsia="Arial"/>
          <w:b/>
          <w:color w:val="1F4E78"/>
        </w:rPr>
        <w:t xml:space="preserve">P.8 Normalized RLS reporting for the sole selectable option (Informative)</w:t>
      </w:r>
    </w:p>
    <w:p>
      <w:pPr>
        <w:pStyle w:val="FirstParagraph"/>
        <w:widowControl/>
      </w:pPr>
      <w:r>
        <w:t xml:space="preserve">Because |A_sel|=1, RLS is reported for residual-profile transparency rather than used for pairwise discrimination.</w:t>
      </w:r>
    </w:p>
    <w:p>
      <w:pPr>
        <w:pStyle w:val="BodyText"/>
        <w:widowControl/>
      </w:pPr>
      <w:r>
        <w:t xml:space="preserve">Effective active weight mass for this 33-cell run:</w:t>
      </w:r>
    </w:p>
    <w:p>
      <w:pPr>
        <w:pStyle w:val="BodyText"/>
        <w:widowControl/>
      </w:pPr>
      <w:r>
        <w:t xml:space="preserve">Q(B) = Σ_(u,d) q_ud(B) = 0.681990.</w:t>
      </w:r>
    </w:p>
    <w:p>
      <w:pPr>
        <w:pStyle w:val="BodyText"/>
        <w:widowControl/>
      </w:pPr>
      <w:r>
        <w:t xml:space="preserve">The nonzero weighted numerator from Table P-8 is:</w:t>
      </w:r>
    </w:p>
    <w:p>
      <w:pPr>
        <w:pStyle w:val="BodyText"/>
        <w:widowControl/>
      </w:pPr>
      <w:r>
        <w:t xml:space="preserve">N(B) = Σ_(u,d) q_ud(B) I_prop,welfare(u,d,B) = 0.004534.</w:t>
      </w:r>
    </w:p>
    <w:p>
      <w:pPr>
        <w:pStyle w:val="BodyText"/>
        <w:widowControl/>
      </w:pPr>
      <w:r>
        <w:t xml:space="preserve">Therefore the normalized score is:</w:t>
      </w:r>
    </w:p>
    <w:p>
      <w:pPr>
        <w:pStyle w:val="BodyText"/>
        <w:widowControl/>
      </w:pPr>
      <w:r>
        <w:t xml:space="preserve">RLS(B) = N(B) / Q(B) = 0.006648.</w:t>
      </w:r>
    </w:p>
    <w:p>
      <w:pPr>
        <w:pStyle w:val="BodyText"/>
        <w:widowControl/>
      </w:pPr>
      <w:r>
        <w:t>Uncertainty method: Method B contribution-mass uncertainty, with one welfare impact instance per nonzero active cell and c_k=0.85. Each pre-confidence contribution is reconstructed as x_preconf = atanh(I_prop_welfare)/(beta x c_k), then sigma(u,d,B)=(1-c_k)x|x_preconf|. Using the same normalized effective weights:</w:t>
      </w:r>
    </w:p>
    <w:p>
      <w:pPr>
        <w:pStyle w:val="BodyText"/>
        <w:widowControl/>
      </w:pPr>
      <w:r>
        <w:t>σ_RLS(B) ≈ 0.000952.</w:t>
      </w:r>
    </w:p>
    <w:p>
      <w:pPr>
        <w:pStyle w:val="BodyText"/>
        <w:widowControl/>
      </w:pPr>
      <w:r>
        <w:t xml:space="preserve">No pairwise Gap test is performed because no second selectable option remains. B is the sole selectable option under the declared evidence, not an independently validated implementation or execution authority. Physical/causal admissibility, lawful authority, controls, monitoring, and any domain-specific warrant remain separate requirements.</w:t>
      </w:r>
    </w:p>
    <w:bookmarkEnd w:id="504"/>
    <w:bookmarkStart w:id="505" w:name="Xe2a7e5962e7d365b11cfbe338e798fe05953ef5"/>
    <w:p>
      <w:pPr>
        <w:pStyle w:val="Heading2"/>
        <w:keepNext/>
        <w:keepLines/>
        <w:pageBreakBefore w:val="0"/>
        <w:widowControl/>
      </w:pPr>
      <w:r>
        <w:rPr>
          <w:rFonts w:ascii="Arial" w:hAnsi="Arial" w:eastAsia="Arial"/>
          <w:b/>
          <w:color w:val="1F4E78"/>
        </w:rPr>
        <w:t xml:space="preserve">P.9 PCC (Provenance and Compliance Certificate) excerpt</w:t>
      </w:r>
    </w:p>
    <w:p>
      <w:pPr>
        <w:pStyle w:val="FirstParagraph"/>
        <w:widowControl/>
      </w:pPr>
      <w:r>
        <w:t xml:space="preserve">Elimination and qualification order:</w:t>
      </w:r>
    </w:p>
    <w:p>
      <w:pPr>
        <w:widowControl/>
        <w:numPr>
          <w:ilvl w:val="0"/>
          <w:numId w:val="1411"/>
        </w:numPr>
      </w:pPr>
      <w:r>
        <w:t xml:space="preserve">Reality Grounding establishes the claim boundary and evidence status.</w:t>
      </w:r>
    </w:p>
    <w:p>
      <w:pPr>
        <w:widowControl/>
        <w:numPr>
          <w:ilvl w:val="0"/>
          <w:numId w:val="1411"/>
        </w:numPr>
      </w:pPr>
      <w:r>
        <w:t>NCRC eliminates A. The canonical run state for A records TRC_NOT_EVALUATED_AFTER_PRIOR_FAILURE and CSV_NOT_EVALUATED_AFTER_PRIOR_FAILURE.</w:t>
      </w:r>
    </w:p>
    <w:p>
      <w:pPr>
        <w:widowControl/>
        <w:numPr>
          <w:ilvl w:val="0"/>
          <w:numId w:val="1411"/>
        </w:numPr>
      </w:pPr>
      <w:r>
        <w:t>A separately labeled counterfactual/audit-only tail calculation shows that A would also fail TRC; it does not alter the canonical short-circuit state. B and C pass TRC.</w:t>
      </w:r>
    </w:p>
    <w:p>
      <w:pPr>
        <w:widowControl/>
        <w:numPr>
          <w:ilvl w:val="0"/>
          <w:numId w:val="1411"/>
        </w:numPr>
      </w:pPr>
      <w:r>
        <w:rPr>
          <w:rFonts w:ascii="Arial" w:hAnsi="Arial" w:eastAsia="Arial"/>
        </w:rPr>
        <w:t>Proportional CSV assigns B CSV_PASS_WITH_CONTROLS and excludes C as CSV_REDESIGN_REQUIRED; A cannot be rescued or re-entered. Removing or failing a constitutive control reopens CSV and may remove B from the selectable set.</w:t>
      </w:r>
      <w:r/>
      <w:r>
        <w:rPr>
          <w:rStyle w:val="VerbatimChar"/>
        </w:rPr>
      </w:r>
      <w:r/>
    </w:p>
    <w:p>
      <w:pPr>
        <w:widowControl/>
        <w:numPr>
          <w:ilvl w:val="0"/>
          <w:numId w:val="1411"/>
        </w:numPr>
      </w:pPr>
      <w:r>
        <w:t xml:space="preserve">The selectable set is A_sel={B}.</w:t>
      </w:r>
    </w:p>
    <w:p>
      <w:pPr>
        <w:widowControl/>
        <w:numPr>
          <w:ilvl w:val="0"/>
          <w:numId w:val="1411"/>
        </w:numPr>
      </w:pPr>
      <w:r>
        <w:t xml:space="preserve">Normalized RLS(B)=0.006648 is reported for residual transparency; no comparative decisiveness claim is made.</w:t>
      </w:r>
    </w:p>
    <w:p>
      <w:pPr>
        <w:pStyle w:val="FirstParagraph"/>
        <w:widowControl/>
      </w:pPr>
      <w:r>
        <w:t xml:space="preserve">Framework result for this demo run: B is the sole selectable option, subject to the separate authority-selection record and all execution/admissibility controls. This is not empirical validation or execution authorization.</w:t>
      </w:r>
    </w:p>
    <w:p>
      <w:pPr>
        <w:pStyle w:val="BodyText"/>
        <w:widowControl/>
      </w:pPr>
      <w:r>
        <w:t xml:space="preserve">End Appendix P.</w:t>
      </w:r>
    </w:p>
    <w:p>
      <w:pPr>
        <w:pStyle w:val="BodyText"/>
        <w:widowControl/>
      </w:pPr>
      <w:r>
        <w:t xml:space="preserve">APPENDIX P-2: FAILURE-PATH WORKED EXAMPLES (Informative)</w:t>
      </w:r>
    </w:p>
    <w:p>
      <w:pPr>
        <w:pStyle w:val="BodyText"/>
        <w:widowControl/>
      </w:pPr>
      <w:r>
        <w:t xml:space="preserve">Status: Informative. These examples demonstrate Rights Emergency Mode (Section 7.5) and Tail Emergency Mode (Section 8.8). They do not introduce new normative rules.</w:t>
      </w:r>
    </w:p>
    <w:p>
      <w:pPr>
        <w:pStyle w:val="BodyText"/>
        <w:widowControl/>
      </w:pPr>
      <w:r>
        <w:t xml:space="preserve">P-2.1 Emergency Mode Activation Example</w:t>
      </w:r>
    </w:p>
    <w:p>
      <w:pPr>
        <w:pStyle w:val="BodyText"/>
        <w:widowControl/>
      </w:pPr>
      <w:r>
        <w:t xml:space="preserve">Decision context. A mining company must choose between three site options for a new extraction facility. All three sites carry credible rights-floor risks.</w:t>
      </w:r>
    </w:p>
    <w:p>
      <w:pPr>
        <w:pStyle w:val="BodyText"/>
        <w:widowControl/>
      </w:pPr>
      <w:r>
        <w:t xml:space="preserve">Options:</w:t>
      </w:r>
    </w:p>
    <w:p>
      <w:pPr>
        <w:pStyle w:val="BodyText"/>
        <w:widowControl/>
      </w:pPr>
      <w:r>
        <w:t xml:space="preserve">Option X: Site near an indigenous community; plausible DIGN and LBTY violations through displacement and cultural disruption.</w:t>
      </w:r>
    </w:p>
    <w:p>
      <w:pPr>
        <w:pStyle w:val="BodyText"/>
        <w:widowControl/>
      </w:pPr>
      <w:r>
        <w:t xml:space="preserve">Option Y: Site in a watershed area; plausible ECOL and NEED violations through water contamination.</w:t>
      </w:r>
    </w:p>
    <w:p>
      <w:pPr>
        <w:pStyle w:val="BodyText"/>
        <w:widowControl/>
      </w:pPr>
      <w:r>
        <w:t xml:space="preserve">Option Z: Site near a town with inadequate infrastructure; plausible NEED and PROC violations through resource strain and due-process gaps.</w:t>
      </w:r>
    </w:p>
    <w:p>
      <w:pPr>
        <w:pStyle w:val="BodyText"/>
        <w:widowControl/>
      </w:pPr>
      <w:r>
        <w:t xml:space="preserve">NCRC results (all options fail):</w:t>
      </w:r>
    </w:p>
    <w:tbl>
      <w:tblPr>
        <w:tblStyle w:val="Table"/>
        <w:tblW w:type="pct" w:w="5000"/>
        <w:jc w:val="left"/>
        <w:tblLook w:firstRow="1" w:lastRow="0" w:firstColumn="0" w:lastColumn="0" w:noHBand="0" w:noVBand="0" w:val="0020"/>
        <w:tblInd w:type="dxa" w:w="0"/>
      </w:tblPr>
      <w:tblGrid>
        <w:gridCol w:w="990"/>
        <w:gridCol w:w="990"/>
        <w:gridCol w:w="990"/>
        <w:gridCol w:w="990"/>
        <w:gridCol w:w="990"/>
        <w:gridCol w:w="990"/>
        <w:gridCol w:w="990"/>
        <w:gridCol w:w="99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Right</w:t>
            </w:r>
          </w:p>
        </w:tc>
        <w:tc>
          <w:tcPr>
            <w:shd w:fill="1F4E78" w:val="clear"/>
            <w:tcMar>
              <w:top w:w="80" w:type="dxa"/>
              <w:start w:w="90" w:type="dxa"/>
              <w:bottom w:w="80" w:type="dxa"/>
              <w:end w:w="90" w:type="dxa"/>
            </w:tcMar>
          </w:tcPr>
          <w:p>
            <w:pPr>
              <w:pStyle w:val="Compact"/>
              <w:jc w:val="left"/>
            </w:pPr>
            <w:r>
              <w:rPr>
                <w:b/>
                <w:bCs/>
                <w:color w:val="FFFFFF"/>
              </w:rPr>
              <w:t xml:space="preserve">theta_r</w:t>
            </w:r>
          </w:p>
        </w:tc>
        <w:tc>
          <w:tcPr>
            <w:shd w:fill="1F4E78" w:val="clear"/>
            <w:tcMar>
              <w:top w:w="80" w:type="dxa"/>
              <w:start w:w="90" w:type="dxa"/>
              <w:bottom w:w="80" w:type="dxa"/>
              <w:end w:w="90" w:type="dxa"/>
            </w:tcMar>
          </w:tcPr>
          <w:p>
            <w:pPr>
              <w:pStyle w:val="Compact"/>
              <w:jc w:val="left"/>
            </w:pPr>
            <w:r>
              <w:rPr>
                <w:b/>
                <w:bCs/>
                <w:color w:val="FFFFFF"/>
              </w:rPr>
              <w:t xml:space="preserve">X: min I_rights</w:t>
            </w:r>
          </w:p>
        </w:tc>
        <w:tc>
          <w:tcPr>
            <w:shd w:fill="1F4E78" w:val="clear"/>
            <w:tcMar>
              <w:top w:w="80" w:type="dxa"/>
              <w:start w:w="90" w:type="dxa"/>
              <w:bottom w:w="80" w:type="dxa"/>
              <w:end w:w="90" w:type="dxa"/>
            </w:tcMar>
          </w:tcPr>
          <w:p>
            <w:pPr>
              <w:pStyle w:val="Compact"/>
              <w:jc w:val="left"/>
            </w:pPr>
            <w:r>
              <w:rPr>
                <w:b/>
                <w:bCs/>
                <w:color w:val="FFFFFF"/>
              </w:rPr>
              <w:t xml:space="preserve">v_r(X)</w:t>
            </w:r>
          </w:p>
        </w:tc>
        <w:tc>
          <w:tcPr>
            <w:shd w:fill="1F4E78" w:val="clear"/>
            <w:tcMar>
              <w:top w:w="80" w:type="dxa"/>
              <w:start w:w="90" w:type="dxa"/>
              <w:bottom w:w="80" w:type="dxa"/>
              <w:end w:w="90" w:type="dxa"/>
            </w:tcMar>
          </w:tcPr>
          <w:p>
            <w:pPr>
              <w:pStyle w:val="Compact"/>
              <w:jc w:val="left"/>
            </w:pPr>
            <w:r>
              <w:rPr>
                <w:b/>
                <w:bCs/>
                <w:color w:val="FFFFFF"/>
              </w:rPr>
              <w:t xml:space="preserve">Y: min I_rights</w:t>
            </w:r>
          </w:p>
        </w:tc>
        <w:tc>
          <w:tcPr>
            <w:shd w:fill="1F4E78" w:val="clear"/>
            <w:tcMar>
              <w:top w:w="80" w:type="dxa"/>
              <w:start w:w="90" w:type="dxa"/>
              <w:bottom w:w="80" w:type="dxa"/>
              <w:end w:w="90" w:type="dxa"/>
            </w:tcMar>
          </w:tcPr>
          <w:p>
            <w:pPr>
              <w:pStyle w:val="Compact"/>
              <w:jc w:val="left"/>
            </w:pPr>
            <w:r>
              <w:rPr>
                <w:b/>
                <w:bCs/>
                <w:color w:val="FFFFFF"/>
              </w:rPr>
              <w:t xml:space="preserve">v_r(Y)</w:t>
            </w:r>
          </w:p>
        </w:tc>
        <w:tc>
          <w:tcPr>
            <w:shd w:fill="1F4E78" w:val="clear"/>
            <w:tcMar>
              <w:top w:w="80" w:type="dxa"/>
              <w:start w:w="90" w:type="dxa"/>
              <w:bottom w:w="80" w:type="dxa"/>
              <w:end w:w="90" w:type="dxa"/>
            </w:tcMar>
          </w:tcPr>
          <w:p>
            <w:pPr>
              <w:pStyle w:val="Compact"/>
              <w:jc w:val="left"/>
            </w:pPr>
            <w:r>
              <w:rPr>
                <w:b/>
                <w:bCs/>
                <w:color w:val="FFFFFF"/>
              </w:rPr>
              <w:t xml:space="preserve">Z: min I_rights</w:t>
            </w:r>
          </w:p>
        </w:tc>
        <w:tc>
          <w:tcPr>
            <w:shd w:fill="1F4E78" w:val="clear"/>
            <w:tcMar>
              <w:top w:w="80" w:type="dxa"/>
              <w:start w:w="90" w:type="dxa"/>
              <w:bottom w:w="80" w:type="dxa"/>
              <w:end w:w="90" w:type="dxa"/>
            </w:tcMar>
          </w:tcPr>
          <w:p>
            <w:pPr>
              <w:pStyle w:val="Compact"/>
              <w:jc w:val="left"/>
            </w:pPr>
            <w:r>
              <w:rPr>
                <w:b/>
                <w:bCs/>
                <w:color w:val="FFFFFF"/>
              </w:rPr>
              <w:t xml:space="preserve">v_r(Z)</w:t>
            </w:r>
          </w:p>
        </w:tc>
      </w:tr>
      <w:tr>
        <w:trPr/>
        <w:tc>
          <w:tcPr>
            <w:tcMar>
              <w:top w:w="80" w:type="dxa"/>
              <w:start w:w="90" w:type="dxa"/>
              <w:bottom w:w="80" w:type="dxa"/>
              <w:end w:w="90" w:type="dxa"/>
            </w:tcMar>
            <w:shd w:fill="F7FBFF" w:val="clear"/>
          </w:tcPr>
          <w:p>
            <w:pPr>
              <w:pStyle w:val="Compact"/>
              <w:jc w:val="left"/>
            </w:pPr>
            <w:r>
              <w:t xml:space="preserve">LIFE</w:t>
            </w:r>
          </w:p>
        </w:tc>
        <w:tc>
          <w:tcPr>
            <w:tcMar>
              <w:top w:w="80" w:type="dxa"/>
              <w:start w:w="90" w:type="dxa"/>
              <w:bottom w:w="80" w:type="dxa"/>
              <w:end w:w="90" w:type="dxa"/>
            </w:tcMar>
            <w:shd w:fill="F7FBFF" w:val="clear"/>
          </w:tcPr>
          <w:p>
            <w:pPr>
              <w:pStyle w:val="Compact"/>
              <w:jc w:val="left"/>
            </w:pPr>
            <w:r>
              <w:t xml:space="preserve">-0.90</w:t>
            </w:r>
          </w:p>
        </w:tc>
        <w:tc>
          <w:tcPr>
            <w:tcMar>
              <w:top w:w="80" w:type="dxa"/>
              <w:start w:w="90" w:type="dxa"/>
              <w:bottom w:w="80" w:type="dxa"/>
              <w:end w:w="90" w:type="dxa"/>
            </w:tcMar>
            <w:shd w:fill="F7FBFF" w:val="clear"/>
          </w:tcPr>
          <w:p>
            <w:pPr>
              <w:pStyle w:val="Compact"/>
              <w:jc w:val="left"/>
            </w:pPr>
            <w:r>
              <w:t xml:space="preserve">-0.20</w:t>
            </w:r>
          </w:p>
        </w:tc>
        <w:tc>
          <w:tcPr>
            <w:tcMar>
              <w:top w:w="80" w:type="dxa"/>
              <w:start w:w="90" w:type="dxa"/>
              <w:bottom w:w="80" w:type="dxa"/>
              <w:end w:w="90" w:type="dxa"/>
            </w:tcMar>
            <w:shd w:fill="F7FBFF" w:val="clear"/>
          </w:tcPr>
          <w:p>
            <w:pPr>
              <w:pStyle w:val="Compact"/>
              <w:jc w:val="left"/>
            </w:pPr>
            <w:r>
              <w:t xml:space="preserve">0.000</w:t>
            </w:r>
          </w:p>
        </w:tc>
        <w:tc>
          <w:tcPr>
            <w:tcMar>
              <w:top w:w="80" w:type="dxa"/>
              <w:start w:w="90" w:type="dxa"/>
              <w:bottom w:w="80" w:type="dxa"/>
              <w:end w:w="90" w:type="dxa"/>
            </w:tcMar>
            <w:shd w:fill="F7FBFF" w:val="clear"/>
          </w:tcPr>
          <w:p>
            <w:pPr>
              <w:pStyle w:val="Compact"/>
              <w:jc w:val="left"/>
            </w:pPr>
            <w:r>
              <w:t xml:space="preserve">-0.30</w:t>
            </w:r>
          </w:p>
        </w:tc>
        <w:tc>
          <w:tcPr>
            <w:tcMar>
              <w:top w:w="80" w:type="dxa"/>
              <w:start w:w="90" w:type="dxa"/>
              <w:bottom w:w="80" w:type="dxa"/>
              <w:end w:w="90" w:type="dxa"/>
            </w:tcMar>
            <w:shd w:fill="F7FBFF" w:val="clear"/>
          </w:tcPr>
          <w:p>
            <w:pPr>
              <w:pStyle w:val="Compact"/>
              <w:jc w:val="left"/>
            </w:pPr>
            <w:r>
              <w:t xml:space="preserve">0.000</w:t>
            </w:r>
          </w:p>
        </w:tc>
        <w:tc>
          <w:tcPr>
            <w:tcMar>
              <w:top w:w="80" w:type="dxa"/>
              <w:start w:w="90" w:type="dxa"/>
              <w:bottom w:w="80" w:type="dxa"/>
              <w:end w:w="90" w:type="dxa"/>
            </w:tcMar>
            <w:shd w:fill="F7FBFF" w:val="clear"/>
          </w:tcPr>
          <w:p>
            <w:pPr>
              <w:pStyle w:val="Compact"/>
              <w:jc w:val="left"/>
            </w:pPr>
            <w:r>
              <w:t xml:space="preserve">-0.15</w:t>
            </w:r>
          </w:p>
        </w:tc>
        <w:tc>
          <w:tcPr>
            <w:tcMar>
              <w:top w:w="80" w:type="dxa"/>
              <w:start w:w="90" w:type="dxa"/>
              <w:bottom w:w="80" w:type="dxa"/>
              <w:end w:w="90" w:type="dxa"/>
            </w:tcMar>
            <w:shd w:fill="F7FBFF" w:val="clear"/>
          </w:tcPr>
          <w:p>
            <w:pPr>
              <w:pStyle w:val="Compact"/>
              <w:jc w:val="left"/>
            </w:pPr>
            <w:r>
              <w:t xml:space="preserve">0.000</w:t>
            </w:r>
          </w:p>
        </w:tc>
      </w:tr>
      <w:tr>
        <w:trPr/>
        <w:tc>
          <w:tcPr>
            <w:tcMar>
              <w:top w:w="80" w:type="dxa"/>
              <w:start w:w="90" w:type="dxa"/>
              <w:bottom w:w="80" w:type="dxa"/>
              <w:end w:w="90" w:type="dxa"/>
            </w:tcMar>
            <w:shd w:fill="D9EAF7" w:val="clear"/>
          </w:tcPr>
          <w:p>
            <w:pPr>
              <w:pStyle w:val="Compact"/>
              <w:jc w:val="left"/>
            </w:pPr>
            <w:r>
              <w:t xml:space="preserve">BODY</w:t>
            </w:r>
          </w:p>
        </w:tc>
        <w:tc>
          <w:tcPr>
            <w:tcMar>
              <w:top w:w="80" w:type="dxa"/>
              <w:start w:w="90" w:type="dxa"/>
              <w:bottom w:w="80" w:type="dxa"/>
              <w:end w:w="90" w:type="dxa"/>
            </w:tcMar>
            <w:shd w:fill="D9EAF7" w:val="clear"/>
          </w:tcPr>
          <w:p>
            <w:pPr>
              <w:pStyle w:val="Compact"/>
              <w:jc w:val="left"/>
            </w:pPr>
            <w:r>
              <w:t xml:space="preserve">-0.70</w:t>
            </w:r>
          </w:p>
        </w:tc>
        <w:tc>
          <w:tcPr>
            <w:tcMar>
              <w:top w:w="80" w:type="dxa"/>
              <w:start w:w="90" w:type="dxa"/>
              <w:bottom w:w="80" w:type="dxa"/>
              <w:end w:w="90" w:type="dxa"/>
            </w:tcMar>
            <w:shd w:fill="D9EAF7" w:val="clear"/>
          </w:tcPr>
          <w:p>
            <w:pPr>
              <w:pStyle w:val="Compact"/>
              <w:jc w:val="left"/>
            </w:pPr>
            <w:r>
              <w:t xml:space="preserve">-0.20</w:t>
            </w:r>
          </w:p>
        </w:tc>
        <w:tc>
          <w:tcPr>
            <w:tcMar>
              <w:top w:w="80" w:type="dxa"/>
              <w:start w:w="90" w:type="dxa"/>
              <w:bottom w:w="80" w:type="dxa"/>
              <w:end w:w="90" w:type="dxa"/>
            </w:tcMar>
            <w:shd w:fill="D9EAF7" w:val="clear"/>
          </w:tcPr>
          <w:p>
            <w:pPr>
              <w:pStyle w:val="Compact"/>
              <w:jc w:val="left"/>
            </w:pPr>
            <w:r>
              <w:t xml:space="preserve">0.000</w:t>
            </w:r>
          </w:p>
        </w:tc>
        <w:tc>
          <w:tcPr>
            <w:tcMar>
              <w:top w:w="80" w:type="dxa"/>
              <w:start w:w="90" w:type="dxa"/>
              <w:bottom w:w="80" w:type="dxa"/>
              <w:end w:w="90" w:type="dxa"/>
            </w:tcMar>
            <w:shd w:fill="D9EAF7" w:val="clear"/>
          </w:tcPr>
          <w:p>
            <w:pPr>
              <w:pStyle w:val="Compact"/>
              <w:jc w:val="left"/>
            </w:pPr>
            <w:r>
              <w:t xml:space="preserve">-0.40</w:t>
            </w:r>
          </w:p>
        </w:tc>
        <w:tc>
          <w:tcPr>
            <w:tcMar>
              <w:top w:w="80" w:type="dxa"/>
              <w:start w:w="90" w:type="dxa"/>
              <w:bottom w:w="80" w:type="dxa"/>
              <w:end w:w="90" w:type="dxa"/>
            </w:tcMar>
            <w:shd w:fill="D9EAF7" w:val="clear"/>
          </w:tcPr>
          <w:p>
            <w:pPr>
              <w:pStyle w:val="Compact"/>
              <w:jc w:val="left"/>
            </w:pPr>
            <w:r>
              <w:t xml:space="preserve">0.000</w:t>
            </w:r>
          </w:p>
        </w:tc>
        <w:tc>
          <w:tcPr>
            <w:tcMar>
              <w:top w:w="80" w:type="dxa"/>
              <w:start w:w="90" w:type="dxa"/>
              <w:bottom w:w="80" w:type="dxa"/>
              <w:end w:w="90" w:type="dxa"/>
            </w:tcMar>
            <w:shd w:fill="D9EAF7" w:val="clear"/>
          </w:tcPr>
          <w:p>
            <w:pPr>
              <w:pStyle w:val="Compact"/>
              <w:jc w:val="left"/>
            </w:pPr>
            <w:r>
              <w:t xml:space="preserve">-0.15</w:t>
            </w:r>
          </w:p>
        </w:tc>
        <w:tc>
          <w:tcPr>
            <w:tcMar>
              <w:top w:w="80" w:type="dxa"/>
              <w:start w:w="90" w:type="dxa"/>
              <w:bottom w:w="80" w:type="dxa"/>
              <w:end w:w="90" w:type="dxa"/>
            </w:tcMar>
            <w:shd w:fill="D9EAF7" w:val="clear"/>
          </w:tcPr>
          <w:p>
            <w:pPr>
              <w:pStyle w:val="Compact"/>
              <w:jc w:val="left"/>
            </w:pPr>
            <w:r>
              <w:t xml:space="preserve">0.000</w:t>
            </w:r>
          </w:p>
        </w:tc>
      </w:tr>
      <w:tr>
        <w:trPr/>
        <w:tc>
          <w:tcPr>
            <w:tcMar>
              <w:top w:w="80" w:type="dxa"/>
              <w:start w:w="90" w:type="dxa"/>
              <w:bottom w:w="80" w:type="dxa"/>
              <w:end w:w="90" w:type="dxa"/>
            </w:tcMar>
            <w:shd w:fill="F7FBFF" w:val="clear"/>
          </w:tcPr>
          <w:p>
            <w:pPr>
              <w:pStyle w:val="Compact"/>
              <w:jc w:val="left"/>
            </w:pPr>
            <w:r>
              <w:t xml:space="preserve">ECOL</w:t>
            </w:r>
          </w:p>
        </w:tc>
        <w:tc>
          <w:tcPr>
            <w:tcMar>
              <w:top w:w="80" w:type="dxa"/>
              <w:start w:w="90" w:type="dxa"/>
              <w:bottom w:w="80" w:type="dxa"/>
              <w:end w:w="90" w:type="dxa"/>
            </w:tcMar>
            <w:shd w:fill="F7FBFF" w:val="clear"/>
          </w:tcPr>
          <w:p>
            <w:pPr>
              <w:pStyle w:val="Compact"/>
              <w:jc w:val="left"/>
            </w:pPr>
            <w:r>
              <w:t xml:space="preserve">-0.65</w:t>
            </w:r>
          </w:p>
        </w:tc>
        <w:tc>
          <w:tcPr>
            <w:tcMar>
              <w:top w:w="80" w:type="dxa"/>
              <w:start w:w="90" w:type="dxa"/>
              <w:bottom w:w="80" w:type="dxa"/>
              <w:end w:w="90" w:type="dxa"/>
            </w:tcMar>
            <w:shd w:fill="F7FBFF" w:val="clear"/>
          </w:tcPr>
          <w:p>
            <w:pPr>
              <w:pStyle w:val="Compact"/>
              <w:jc w:val="left"/>
            </w:pPr>
            <w:r>
              <w:t xml:space="preserve">-0.10</w:t>
            </w:r>
          </w:p>
        </w:tc>
        <w:tc>
          <w:tcPr>
            <w:tcMar>
              <w:top w:w="80" w:type="dxa"/>
              <w:start w:w="90" w:type="dxa"/>
              <w:bottom w:w="80" w:type="dxa"/>
              <w:end w:w="90" w:type="dxa"/>
            </w:tcMar>
            <w:shd w:fill="F7FBFF" w:val="clear"/>
          </w:tcPr>
          <w:p>
            <w:pPr>
              <w:pStyle w:val="Compact"/>
              <w:jc w:val="left"/>
            </w:pPr>
            <w:r>
              <w:t xml:space="preserve">0.000</w:t>
            </w:r>
          </w:p>
        </w:tc>
        <w:tc>
          <w:tcPr>
            <w:tcMar>
              <w:top w:w="80" w:type="dxa"/>
              <w:start w:w="90" w:type="dxa"/>
              <w:bottom w:w="80" w:type="dxa"/>
              <w:end w:w="90" w:type="dxa"/>
            </w:tcMar>
            <w:shd w:fill="F7FBFF" w:val="clear"/>
          </w:tcPr>
          <w:p>
            <w:pPr>
              <w:pStyle w:val="Compact"/>
              <w:jc w:val="left"/>
            </w:pPr>
            <w:r>
              <w:t xml:space="preserve">-0.72</w:t>
            </w:r>
          </w:p>
        </w:tc>
        <w:tc>
          <w:tcPr>
            <w:tcMar>
              <w:top w:w="80" w:type="dxa"/>
              <w:start w:w="90" w:type="dxa"/>
              <w:bottom w:w="80" w:type="dxa"/>
              <w:end w:w="90" w:type="dxa"/>
            </w:tcMar>
            <w:shd w:fill="F7FBFF" w:val="clear"/>
          </w:tcPr>
          <w:p>
            <w:pPr>
              <w:pStyle w:val="Compact"/>
              <w:jc w:val="left"/>
            </w:pPr>
            <w:r>
              <w:t xml:space="preserve">0.070</w:t>
            </w:r>
          </w:p>
        </w:tc>
        <w:tc>
          <w:tcPr>
            <w:tcMar>
              <w:top w:w="80" w:type="dxa"/>
              <w:start w:w="90" w:type="dxa"/>
              <w:bottom w:w="80" w:type="dxa"/>
              <w:end w:w="90" w:type="dxa"/>
            </w:tcMar>
            <w:shd w:fill="F7FBFF" w:val="clear"/>
          </w:tcPr>
          <w:p>
            <w:pPr>
              <w:pStyle w:val="Compact"/>
              <w:jc w:val="left"/>
            </w:pPr>
            <w:r>
              <w:t xml:space="preserve">-0.20</w:t>
            </w:r>
          </w:p>
        </w:tc>
        <w:tc>
          <w:tcPr>
            <w:tcMar>
              <w:top w:w="80" w:type="dxa"/>
              <w:start w:w="90" w:type="dxa"/>
              <w:bottom w:w="80" w:type="dxa"/>
              <w:end w:w="90" w:type="dxa"/>
            </w:tcMar>
            <w:shd w:fill="F7FBFF" w:val="clear"/>
          </w:tcPr>
          <w:p>
            <w:pPr>
              <w:pStyle w:val="Compact"/>
              <w:jc w:val="left"/>
            </w:pPr>
            <w:r>
              <w:t xml:space="preserve">0.000</w:t>
            </w:r>
          </w:p>
        </w:tc>
      </w:tr>
      <w:tr>
        <w:trPr/>
        <w:tc>
          <w:tcPr>
            <w:tcMar>
              <w:top w:w="80" w:type="dxa"/>
              <w:start w:w="90" w:type="dxa"/>
              <w:bottom w:w="80" w:type="dxa"/>
              <w:end w:w="90" w:type="dxa"/>
            </w:tcMar>
            <w:shd w:fill="D9EAF7" w:val="clear"/>
          </w:tcPr>
          <w:p>
            <w:pPr>
              <w:pStyle w:val="Compact"/>
              <w:jc w:val="left"/>
            </w:pPr>
            <w:r>
              <w:t xml:space="preserve">LBTY</w:t>
            </w:r>
          </w:p>
        </w:tc>
        <w:tc>
          <w:tcPr>
            <w:tcMar>
              <w:top w:w="80" w:type="dxa"/>
              <w:start w:w="90" w:type="dxa"/>
              <w:bottom w:w="80" w:type="dxa"/>
              <w:end w:w="90" w:type="dxa"/>
            </w:tcMar>
            <w:shd w:fill="D9EAF7" w:val="clear"/>
          </w:tcPr>
          <w:p>
            <w:pPr>
              <w:pStyle w:val="Compact"/>
              <w:jc w:val="left"/>
            </w:pPr>
            <w:r>
              <w:t xml:space="preserve">-0.65</w:t>
            </w:r>
          </w:p>
        </w:tc>
        <w:tc>
          <w:tcPr>
            <w:tcMar>
              <w:top w:w="80" w:type="dxa"/>
              <w:start w:w="90" w:type="dxa"/>
              <w:bottom w:w="80" w:type="dxa"/>
              <w:end w:w="90" w:type="dxa"/>
            </w:tcMar>
            <w:shd w:fill="D9EAF7" w:val="clear"/>
          </w:tcPr>
          <w:p>
            <w:pPr>
              <w:pStyle w:val="Compact"/>
              <w:jc w:val="left"/>
            </w:pPr>
            <w:r>
              <w:t xml:space="preserve">-0.68</w:t>
            </w:r>
          </w:p>
        </w:tc>
        <w:tc>
          <w:tcPr>
            <w:tcMar>
              <w:top w:w="80" w:type="dxa"/>
              <w:start w:w="90" w:type="dxa"/>
              <w:bottom w:w="80" w:type="dxa"/>
              <w:end w:w="90" w:type="dxa"/>
            </w:tcMar>
            <w:shd w:fill="D9EAF7" w:val="clear"/>
          </w:tcPr>
          <w:p>
            <w:pPr>
              <w:pStyle w:val="Compact"/>
              <w:jc w:val="left"/>
            </w:pPr>
            <w:r>
              <w:t xml:space="preserve">0.030</w:t>
            </w:r>
          </w:p>
        </w:tc>
        <w:tc>
          <w:tcPr>
            <w:tcMar>
              <w:top w:w="80" w:type="dxa"/>
              <w:start w:w="90" w:type="dxa"/>
              <w:bottom w:w="80" w:type="dxa"/>
              <w:end w:w="90" w:type="dxa"/>
            </w:tcMar>
            <w:shd w:fill="D9EAF7" w:val="clear"/>
          </w:tcPr>
          <w:p>
            <w:pPr>
              <w:pStyle w:val="Compact"/>
              <w:jc w:val="left"/>
            </w:pPr>
            <w:r>
              <w:t xml:space="preserve">-0.20</w:t>
            </w:r>
          </w:p>
        </w:tc>
        <w:tc>
          <w:tcPr>
            <w:tcMar>
              <w:top w:w="80" w:type="dxa"/>
              <w:start w:w="90" w:type="dxa"/>
              <w:bottom w:w="80" w:type="dxa"/>
              <w:end w:w="90" w:type="dxa"/>
            </w:tcMar>
            <w:shd w:fill="D9EAF7" w:val="clear"/>
          </w:tcPr>
          <w:p>
            <w:pPr>
              <w:pStyle w:val="Compact"/>
              <w:jc w:val="left"/>
            </w:pPr>
            <w:r>
              <w:t xml:space="preserve">0.000</w:t>
            </w:r>
          </w:p>
        </w:tc>
        <w:tc>
          <w:tcPr>
            <w:tcMar>
              <w:top w:w="80" w:type="dxa"/>
              <w:start w:w="90" w:type="dxa"/>
              <w:bottom w:w="80" w:type="dxa"/>
              <w:end w:w="90" w:type="dxa"/>
            </w:tcMar>
            <w:shd w:fill="D9EAF7" w:val="clear"/>
          </w:tcPr>
          <w:p>
            <w:pPr>
              <w:pStyle w:val="Compact"/>
              <w:jc w:val="left"/>
            </w:pPr>
            <w:r>
              <w:t xml:space="preserve">-0.30</w:t>
            </w:r>
          </w:p>
        </w:tc>
        <w:tc>
          <w:tcPr>
            <w:tcMar>
              <w:top w:w="80" w:type="dxa"/>
              <w:start w:w="90" w:type="dxa"/>
              <w:bottom w:w="80" w:type="dxa"/>
              <w:end w:w="90" w:type="dxa"/>
            </w:tcMar>
            <w:shd w:fill="D9EAF7" w:val="clear"/>
          </w:tcPr>
          <w:p>
            <w:pPr>
              <w:pStyle w:val="Compact"/>
              <w:jc w:val="left"/>
            </w:pPr>
            <w:r>
              <w:t xml:space="preserve">0.000</w:t>
            </w:r>
          </w:p>
        </w:tc>
      </w:tr>
      <w:tr>
        <w:trPr/>
        <w:tc>
          <w:tcPr>
            <w:tcMar>
              <w:top w:w="80" w:type="dxa"/>
              <w:start w:w="90" w:type="dxa"/>
              <w:bottom w:w="80" w:type="dxa"/>
              <w:end w:w="90" w:type="dxa"/>
            </w:tcMar>
            <w:shd w:fill="F7FBFF" w:val="clear"/>
          </w:tcPr>
          <w:p>
            <w:pPr>
              <w:pStyle w:val="Compact"/>
              <w:jc w:val="left"/>
            </w:pPr>
            <w:r>
              <w:t xml:space="preserve">NEED</w:t>
            </w:r>
          </w:p>
        </w:tc>
        <w:tc>
          <w:tcPr>
            <w:tcMar>
              <w:top w:w="80" w:type="dxa"/>
              <w:start w:w="90" w:type="dxa"/>
              <w:bottom w:w="80" w:type="dxa"/>
              <w:end w:w="90" w:type="dxa"/>
            </w:tcMar>
            <w:shd w:fill="F7FBFF" w:val="clear"/>
          </w:tcPr>
          <w:p>
            <w:pPr>
              <w:pStyle w:val="Compact"/>
              <w:jc w:val="left"/>
            </w:pPr>
            <w:r>
              <w:t xml:space="preserve">-0.50</w:t>
            </w:r>
          </w:p>
        </w:tc>
        <w:tc>
          <w:tcPr>
            <w:tcMar>
              <w:top w:w="80" w:type="dxa"/>
              <w:start w:w="90" w:type="dxa"/>
              <w:bottom w:w="80" w:type="dxa"/>
              <w:end w:w="90" w:type="dxa"/>
            </w:tcMar>
            <w:shd w:fill="F7FBFF" w:val="clear"/>
          </w:tcPr>
          <w:p>
            <w:pPr>
              <w:pStyle w:val="Compact"/>
              <w:jc w:val="left"/>
            </w:pPr>
            <w:r>
              <w:t xml:space="preserve">-0.30</w:t>
            </w:r>
          </w:p>
        </w:tc>
        <w:tc>
          <w:tcPr>
            <w:tcMar>
              <w:top w:w="80" w:type="dxa"/>
              <w:start w:w="90" w:type="dxa"/>
              <w:bottom w:w="80" w:type="dxa"/>
              <w:end w:w="90" w:type="dxa"/>
            </w:tcMar>
            <w:shd w:fill="F7FBFF" w:val="clear"/>
          </w:tcPr>
          <w:p>
            <w:pPr>
              <w:pStyle w:val="Compact"/>
              <w:jc w:val="left"/>
            </w:pPr>
            <w:r>
              <w:t xml:space="preserve">0.000</w:t>
            </w:r>
          </w:p>
        </w:tc>
        <w:tc>
          <w:tcPr>
            <w:tcMar>
              <w:top w:w="80" w:type="dxa"/>
              <w:start w:w="90" w:type="dxa"/>
              <w:bottom w:w="80" w:type="dxa"/>
              <w:end w:w="90" w:type="dxa"/>
            </w:tcMar>
            <w:shd w:fill="F7FBFF" w:val="clear"/>
          </w:tcPr>
          <w:p>
            <w:pPr>
              <w:pStyle w:val="Compact"/>
              <w:jc w:val="left"/>
            </w:pPr>
            <w:r>
              <w:t xml:space="preserve">-0.58</w:t>
            </w:r>
          </w:p>
        </w:tc>
        <w:tc>
          <w:tcPr>
            <w:tcMar>
              <w:top w:w="80" w:type="dxa"/>
              <w:start w:w="90" w:type="dxa"/>
              <w:bottom w:w="80" w:type="dxa"/>
              <w:end w:w="90" w:type="dxa"/>
            </w:tcMar>
            <w:shd w:fill="F7FBFF" w:val="clear"/>
          </w:tcPr>
          <w:p>
            <w:pPr>
              <w:pStyle w:val="Compact"/>
              <w:jc w:val="left"/>
            </w:pPr>
            <w:r>
              <w:t xml:space="preserve">0.080</w:t>
            </w:r>
          </w:p>
        </w:tc>
        <w:tc>
          <w:tcPr>
            <w:tcMar>
              <w:top w:w="80" w:type="dxa"/>
              <w:start w:w="90" w:type="dxa"/>
              <w:bottom w:w="80" w:type="dxa"/>
              <w:end w:w="90" w:type="dxa"/>
            </w:tcMar>
            <w:shd w:fill="F7FBFF" w:val="clear"/>
          </w:tcPr>
          <w:p>
            <w:pPr>
              <w:pStyle w:val="Compact"/>
              <w:jc w:val="left"/>
            </w:pPr>
            <w:r>
              <w:t xml:space="preserve">-0.55</w:t>
            </w:r>
          </w:p>
        </w:tc>
        <w:tc>
          <w:tcPr>
            <w:tcMar>
              <w:top w:w="80" w:type="dxa"/>
              <w:start w:w="90" w:type="dxa"/>
              <w:bottom w:w="80" w:type="dxa"/>
              <w:end w:w="90" w:type="dxa"/>
            </w:tcMar>
            <w:shd w:fill="F7FBFF" w:val="clear"/>
          </w:tcPr>
          <w:p>
            <w:pPr>
              <w:pStyle w:val="Compact"/>
              <w:jc w:val="left"/>
            </w:pPr>
            <w:r>
              <w:t xml:space="preserve">0.050</w:t>
            </w:r>
          </w:p>
        </w:tc>
      </w:tr>
      <w:tr>
        <w:trPr/>
        <w:tc>
          <w:tcPr>
            <w:tcMar>
              <w:top w:w="80" w:type="dxa"/>
              <w:start w:w="90" w:type="dxa"/>
              <w:bottom w:w="80" w:type="dxa"/>
              <w:end w:w="90" w:type="dxa"/>
            </w:tcMar>
            <w:shd w:fill="D9EAF7" w:val="clear"/>
          </w:tcPr>
          <w:p>
            <w:pPr>
              <w:pStyle w:val="Compact"/>
              <w:jc w:val="left"/>
            </w:pPr>
            <w:r>
              <w:t xml:space="preserve">DIGN</w:t>
            </w:r>
          </w:p>
        </w:tc>
        <w:tc>
          <w:tcPr>
            <w:tcMar>
              <w:top w:w="80" w:type="dxa"/>
              <w:start w:w="90" w:type="dxa"/>
              <w:bottom w:w="80" w:type="dxa"/>
              <w:end w:w="90" w:type="dxa"/>
            </w:tcMar>
            <w:shd w:fill="D9EAF7" w:val="clear"/>
          </w:tcPr>
          <w:p>
            <w:pPr>
              <w:pStyle w:val="Compact"/>
              <w:jc w:val="left"/>
            </w:pPr>
            <w:r>
              <w:t xml:space="preserve">-0.55</w:t>
            </w:r>
          </w:p>
        </w:tc>
        <w:tc>
          <w:tcPr>
            <w:tcMar>
              <w:top w:w="80" w:type="dxa"/>
              <w:start w:w="90" w:type="dxa"/>
              <w:bottom w:w="80" w:type="dxa"/>
              <w:end w:w="90" w:type="dxa"/>
            </w:tcMar>
            <w:shd w:fill="D9EAF7" w:val="clear"/>
          </w:tcPr>
          <w:p>
            <w:pPr>
              <w:pStyle w:val="Compact"/>
              <w:jc w:val="left"/>
            </w:pPr>
            <w:r>
              <w:t xml:space="preserve">-0.62</w:t>
            </w:r>
          </w:p>
        </w:tc>
        <w:tc>
          <w:tcPr>
            <w:tcMar>
              <w:top w:w="80" w:type="dxa"/>
              <w:start w:w="90" w:type="dxa"/>
              <w:bottom w:w="80" w:type="dxa"/>
              <w:end w:w="90" w:type="dxa"/>
            </w:tcMar>
            <w:shd w:fill="D9EAF7" w:val="clear"/>
          </w:tcPr>
          <w:p>
            <w:pPr>
              <w:pStyle w:val="Compact"/>
              <w:jc w:val="left"/>
            </w:pPr>
            <w:r>
              <w:t xml:space="preserve">0.070</w:t>
            </w:r>
          </w:p>
        </w:tc>
        <w:tc>
          <w:tcPr>
            <w:tcMar>
              <w:top w:w="80" w:type="dxa"/>
              <w:start w:w="90" w:type="dxa"/>
              <w:bottom w:w="80" w:type="dxa"/>
              <w:end w:w="90" w:type="dxa"/>
            </w:tcMar>
            <w:shd w:fill="D9EAF7" w:val="clear"/>
          </w:tcPr>
          <w:p>
            <w:pPr>
              <w:pStyle w:val="Compact"/>
              <w:jc w:val="left"/>
            </w:pPr>
            <w:r>
              <w:t xml:space="preserve">-0.25</w:t>
            </w:r>
          </w:p>
        </w:tc>
        <w:tc>
          <w:tcPr>
            <w:tcMar>
              <w:top w:w="80" w:type="dxa"/>
              <w:start w:w="90" w:type="dxa"/>
              <w:bottom w:w="80" w:type="dxa"/>
              <w:end w:w="90" w:type="dxa"/>
            </w:tcMar>
            <w:shd w:fill="D9EAF7" w:val="clear"/>
          </w:tcPr>
          <w:p>
            <w:pPr>
              <w:pStyle w:val="Compact"/>
              <w:jc w:val="left"/>
            </w:pPr>
            <w:r>
              <w:t xml:space="preserve">0.000</w:t>
            </w:r>
          </w:p>
        </w:tc>
        <w:tc>
          <w:tcPr>
            <w:tcMar>
              <w:top w:w="80" w:type="dxa"/>
              <w:start w:w="90" w:type="dxa"/>
              <w:bottom w:w="80" w:type="dxa"/>
              <w:end w:w="90" w:type="dxa"/>
            </w:tcMar>
            <w:shd w:fill="D9EAF7" w:val="clear"/>
          </w:tcPr>
          <w:p>
            <w:pPr>
              <w:pStyle w:val="Compact"/>
              <w:jc w:val="left"/>
            </w:pPr>
            <w:r>
              <w:t xml:space="preserve">-0.40</w:t>
            </w:r>
          </w:p>
        </w:tc>
        <w:tc>
          <w:tcPr>
            <w:tcMar>
              <w:top w:w="80" w:type="dxa"/>
              <w:start w:w="90" w:type="dxa"/>
              <w:bottom w:w="80" w:type="dxa"/>
              <w:end w:w="90" w:type="dxa"/>
            </w:tcMar>
            <w:shd w:fill="D9EAF7" w:val="clear"/>
          </w:tcPr>
          <w:p>
            <w:pPr>
              <w:pStyle w:val="Compact"/>
              <w:jc w:val="left"/>
            </w:pPr>
            <w:r>
              <w:t xml:space="preserve">0.000</w:t>
            </w:r>
          </w:p>
        </w:tc>
      </w:tr>
      <w:tr>
        <w:trPr/>
        <w:tc>
          <w:tcPr>
            <w:tcMar>
              <w:top w:w="80" w:type="dxa"/>
              <w:start w:w="90" w:type="dxa"/>
              <w:bottom w:w="80" w:type="dxa"/>
              <w:end w:w="90" w:type="dxa"/>
            </w:tcMar>
            <w:shd w:fill="F7FBFF" w:val="clear"/>
          </w:tcPr>
          <w:p>
            <w:pPr>
              <w:pStyle w:val="Compact"/>
              <w:jc w:val="left"/>
            </w:pPr>
            <w:r>
              <w:t xml:space="preserve">PROC</w:t>
            </w:r>
          </w:p>
        </w:tc>
        <w:tc>
          <w:tcPr>
            <w:tcMar>
              <w:top w:w="80" w:type="dxa"/>
              <w:start w:w="90" w:type="dxa"/>
              <w:bottom w:w="80" w:type="dxa"/>
              <w:end w:w="90" w:type="dxa"/>
            </w:tcMar>
            <w:shd w:fill="F7FBFF" w:val="clear"/>
          </w:tcPr>
          <w:p>
            <w:pPr>
              <w:pStyle w:val="Compact"/>
              <w:jc w:val="left"/>
            </w:pPr>
            <w:r>
              <w:t xml:space="preserve">-0.45</w:t>
            </w:r>
          </w:p>
        </w:tc>
        <w:tc>
          <w:tcPr>
            <w:tcMar>
              <w:top w:w="80" w:type="dxa"/>
              <w:start w:w="90" w:type="dxa"/>
              <w:bottom w:w="80" w:type="dxa"/>
              <w:end w:w="90" w:type="dxa"/>
            </w:tcMar>
            <w:shd w:fill="F7FBFF" w:val="clear"/>
          </w:tcPr>
          <w:p>
            <w:pPr>
              <w:pStyle w:val="Compact"/>
              <w:jc w:val="left"/>
            </w:pPr>
            <w:r>
              <w:t xml:space="preserve">-0.35</w:t>
            </w:r>
          </w:p>
        </w:tc>
        <w:tc>
          <w:tcPr>
            <w:tcMar>
              <w:top w:w="80" w:type="dxa"/>
              <w:start w:w="90" w:type="dxa"/>
              <w:bottom w:w="80" w:type="dxa"/>
              <w:end w:w="90" w:type="dxa"/>
            </w:tcMar>
            <w:shd w:fill="F7FBFF" w:val="clear"/>
          </w:tcPr>
          <w:p>
            <w:pPr>
              <w:pStyle w:val="Compact"/>
              <w:jc w:val="left"/>
            </w:pPr>
            <w:r>
              <w:t xml:space="preserve">0.000</w:t>
            </w:r>
          </w:p>
        </w:tc>
        <w:tc>
          <w:tcPr>
            <w:tcMar>
              <w:top w:w="80" w:type="dxa"/>
              <w:start w:w="90" w:type="dxa"/>
              <w:bottom w:w="80" w:type="dxa"/>
              <w:end w:w="90" w:type="dxa"/>
            </w:tcMar>
            <w:shd w:fill="F7FBFF" w:val="clear"/>
          </w:tcPr>
          <w:p>
            <w:pPr>
              <w:pStyle w:val="Compact"/>
              <w:jc w:val="left"/>
            </w:pPr>
            <w:r>
              <w:t xml:space="preserve">-0.30</w:t>
            </w:r>
          </w:p>
        </w:tc>
        <w:tc>
          <w:tcPr>
            <w:tcMar>
              <w:top w:w="80" w:type="dxa"/>
              <w:start w:w="90" w:type="dxa"/>
              <w:bottom w:w="80" w:type="dxa"/>
              <w:end w:w="90" w:type="dxa"/>
            </w:tcMar>
            <w:shd w:fill="F7FBFF" w:val="clear"/>
          </w:tcPr>
          <w:p>
            <w:pPr>
              <w:pStyle w:val="Compact"/>
              <w:jc w:val="left"/>
            </w:pPr>
            <w:r>
              <w:t xml:space="preserve">0.000</w:t>
            </w:r>
          </w:p>
        </w:tc>
        <w:tc>
          <w:tcPr>
            <w:tcMar>
              <w:top w:w="80" w:type="dxa"/>
              <w:start w:w="90" w:type="dxa"/>
              <w:bottom w:w="80" w:type="dxa"/>
              <w:end w:w="90" w:type="dxa"/>
            </w:tcMar>
            <w:shd w:fill="F7FBFF" w:val="clear"/>
          </w:tcPr>
          <w:p>
            <w:pPr>
              <w:pStyle w:val="Compact"/>
              <w:jc w:val="left"/>
            </w:pPr>
            <w:r>
              <w:t xml:space="preserve">-0.52</w:t>
            </w:r>
          </w:p>
        </w:tc>
        <w:tc>
          <w:tcPr>
            <w:tcMar>
              <w:top w:w="80" w:type="dxa"/>
              <w:start w:w="90" w:type="dxa"/>
              <w:bottom w:w="80" w:type="dxa"/>
              <w:end w:w="90" w:type="dxa"/>
            </w:tcMar>
            <w:shd w:fill="F7FBFF" w:val="clear"/>
          </w:tcPr>
          <w:p>
            <w:pPr>
              <w:pStyle w:val="Compact"/>
              <w:jc w:val="left"/>
            </w:pPr>
            <w:r>
              <w:t xml:space="preserve">0.070</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INFO</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-0.40</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-0.20</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0.000</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-0.15</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0.000</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-0.35</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0.000</w:t>
            </w:r>
          </w:p>
        </w:tc>
      </w:tr>
    </w:tbl>
    <w:p>
      <w:pPr>
        <w:pStyle w:val="BodyText"/>
        <w:widowControl/>
      </w:pPr>
      <w:r>
        <w:t xml:space="preserve">A_NCRC = empty set. All options fail NCRC. Emergency Mode is invoked.</w:t>
      </w:r>
    </w:p>
    <w:p>
      <w:pPr>
        <w:pStyle w:val="BodyText"/>
        <w:widowControl/>
      </w:pPr>
      <w:r>
        <w:t xml:space="preserve">Step 1: Independent challenger requirement. An independent environmental and social impact consultant (no reporting relationship to decision owner, no material interest in site choice) was engaged for 3 hours of active option generation. The challenger proposed Option W: delay extraction, invest in infrastructure improvements at Site Z, negotiate a consent-based partnership with the indigenous community near Site X, and rerun the analysis in 6 months. However, Option W was assessed and also fails NCRC (NEED violation for workers already committed to the project, v_NEED(W) = 0.020). Challenger attestation is recorded.</w:t>
      </w:r>
    </w:p>
    <w:p>
      <w:pPr>
        <w:pStyle w:val="BodyText"/>
        <w:widowControl/>
      </w:pPr>
      <w:r>
        <w:t xml:space="preserve">Step 2: Construct floor-channel violation-depth vectors in emergency priority order [LIFE, BODY, ECOL, LBTY, NEED, DIGN, PROC, INFO]. In this simplified emergency vector, the categorical and severe-hazard channels have been screened as zero with required fields complete; therefore the displayed vector is</w:t>
      </w:r>
      <w:r>
        <w:t xml:space="preserve"> </w:t>
      </w:r>
      <w:r>
        <w:rPr>
          <w:rStyle w:val="VerbatimChar"/>
        </w:rPr>
        <w:t xml:space="preserve">v_r^floor</w:t>
      </w:r>
      <w:r>
        <w:t xml:space="preserve">. If either additional channel were non-zero or unresolved, the full NCRC record and emergency comparison would have to preserve it rather than collapse it into the floor channel:</w:t>
      </w:r>
    </w:p>
    <w:p>
      <w:pPr>
        <w:pStyle w:val="BodyText"/>
        <w:widowControl/>
      </w:pPr>
      <w:r>
        <w:t xml:space="preserve">v(X) = (0, 0, 0, 0.030, 0, 0.070, 0, 0)</w:t>
      </w:r>
    </w:p>
    <w:p>
      <w:pPr>
        <w:pStyle w:val="BodyText"/>
        <w:widowControl/>
      </w:pPr>
      <w:r>
        <w:t xml:space="preserve">v(Y) = (0, 0, 0.070, 0, 0.080, 0, 0, 0)</w:t>
      </w:r>
    </w:p>
    <w:p>
      <w:pPr>
        <w:pStyle w:val="BodyText"/>
        <w:widowControl/>
      </w:pPr>
      <w:r>
        <w:t xml:space="preserve">v(Z) = (0, 0, 0, 0, 0.050, 0, 0.070, 0)</w:t>
      </w:r>
    </w:p>
    <w:p>
      <w:pPr>
        <w:pStyle w:val="BodyText"/>
        <w:widowControl/>
      </w:pPr>
      <w:r>
        <w:t xml:space="preserve">v(W) = (0, 0, 0, 0, 0.020, 0, 0, 0)</w:t>
      </w:r>
    </w:p>
    <w:p>
      <w:pPr>
        <w:pStyle w:val="BodyText"/>
        <w:widowControl/>
      </w:pPr>
      <w:r>
        <w:t xml:space="preserve">Step 3: Lexicographic comparison.</w:t>
      </w:r>
    </w:p>
    <w:p>
      <w:pPr>
        <w:pStyle w:val="BodyText"/>
        <w:widowControl/>
      </w:pPr>
      <w:r>
        <w:t xml:space="preserve">Position 1 (LIFE): all zero. Tie. Position 2 (BODY): all zero. Tie. Position 3 (ECOL): Y = 0.070, others = 0. Y is eliminated as worst on ECOL. Position 4 (LBTY): X = 0.030, Z = 0, W = 0. X is eliminated. Position 5 (NEED): Z = 0.050, W = 0.020. W has strictly lower NEED violation.</w:t>
      </w:r>
    </w:p>
    <w:p>
      <w:pPr>
        <w:pStyle w:val="BodyText"/>
        <w:widowControl/>
      </w:pPr>
      <w:r>
        <w:t xml:space="preserve">Emergency Mode selected option: W (delay and redesign), with the lowest violation depth vector under lexicographic ordering.</w:t>
      </w:r>
    </w:p>
    <w:p>
      <w:pPr>
        <w:pStyle w:val="BodyText"/>
        <w:widowControl/>
      </w:pPr>
      <w:r>
        <w:t xml:space="preserve">PCC records: EMERGENCY_MODE_INVOKED, challenger attestation, v_r(a) for all options and rights, lexicographic comparison trace, and the following remediation plan: within 6 months, complete infrastructure assessment at Site Z, complete consent negotiation at Site X, rerun the RippleLogic analysis with redesigned options targeting NCRC passage, with a return-to-normal trigger of at least one option passing NCRC.</w:t>
      </w:r>
    </w:p>
    <w:p>
      <w:pPr>
        <w:pStyle w:val="BodyText"/>
        <w:widowControl/>
      </w:pPr>
      <w:r>
        <w:t xml:space="preserve">Lesson (Informative): Emergency Mode does not “permit” rights violations. It selects the least-harmful option when all options violate rights, requires active redesign, and mandates a return to NCRC-passing options as soon as feasible.</w:t>
      </w:r>
    </w:p>
    <w:p>
      <w:pPr>
        <w:pStyle w:val="BodyText"/>
        <w:widowControl/>
      </w:pPr>
      <w:r>
        <w:t xml:space="preserve">P-2.2 Tail Emergency Mode Activation Example</w:t>
      </w:r>
    </w:p>
    <w:p>
      <w:pPr>
        <w:pStyle w:val="BodyText"/>
        <w:widowControl/>
      </w:pPr>
      <w:r>
        <w:t xml:space="preserve">Decision context. A government agency evaluates two pandemic-preparedness policy options. Both pass NCRC and a proportional CSV screen, but both exceed the declared TRC corridor.</w:t>
      </w:r>
    </w:p>
    <w:p>
      <w:pPr>
        <w:pStyle w:val="BodyText"/>
        <w:widowControl/>
      </w:pPr>
      <w:r>
        <w:t xml:space="preserve">NCRC: Both Option P and Option Q pass (A_NCRC = {P, Q}). No categorical prohibition or severe rights hazard is triggered under the declared evidence.</w:t>
      </w:r>
    </w:p>
    <w:p>
      <w:pPr>
        <w:pStyle w:val="BodyText"/>
        <w:widowControl/>
      </w:pPr>
      <w:r>
        <w:t xml:space="preserve">CSV: Both options are structurally implementable only under emergency controls; record</w:t>
      </w:r>
      <w:r>
        <w:t xml:space="preserve"> </w:t>
      </w:r>
      <w:r>
        <w:rPr>
          <w:rStyle w:val="VerbatimChar"/>
        </w:rPr>
        <w:t xml:space="preserve">CSV_PASS_WITH_CONTROLS</w:t>
      </w:r>
      <w:r>
        <w:t xml:space="preserve"> </w:t>
      </w:r>
      <w:r>
        <w:t xml:space="preserve">provisionally for purposes of evaluating the emergency candidate set. CSV cannot rescue TRC failure.</w:t>
      </w:r>
    </w:p>
    <w:p>
      <w:pPr>
        <w:pStyle w:val="BodyText"/>
        <w:widowControl/>
      </w:pPr>
      <w:r>
        <w:t xml:space="preserve">TRC parameters: alpha = 0.95, tau_TRC = 0.15, and the predeclared absolute emergency exposure limit tau_TRC_max = 0.45.</w:t>
      </w:r>
    </w:p>
    <w:p>
      <w:pPr>
        <w:pStyle w:val="BodyText"/>
        <w:widowControl/>
      </w:pPr>
      <w:r>
        <w:t xml:space="preserve">Scenario losses (5 scenarios):</w:t>
      </w:r>
    </w:p>
    <w:tbl>
      <w:tblPr>
        <w:tblStyle w:val="Table"/>
        <w:tblW w:type="pct" w:w="5000"/>
        <w:jc w:val="left"/>
        <w:tblLook w:firstRow="1" w:lastRow="0" w:firstColumn="0" w:lastColumn="0" w:noHBand="0" w:noVBand="0" w:val="0020"/>
        <w:tblInd w:type="dxa" w:w="0"/>
      </w:tblPr>
      <w:tblGrid>
        <w:gridCol w:w="1584"/>
        <w:gridCol w:w="1584"/>
        <w:gridCol w:w="1584"/>
        <w:gridCol w:w="1584"/>
        <w:gridCol w:w="1584"/>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Scenario</w:t>
            </w:r>
          </w:p>
        </w:tc>
        <w:tc>
          <w:tcPr>
            <w:shd w:fill="1F4E78" w:val="clear"/>
            <w:tcMar>
              <w:top w:w="80" w:type="dxa"/>
              <w:start w:w="90" w:type="dxa"/>
              <w:bottom w:w="80" w:type="dxa"/>
              <w:end w:w="90" w:type="dxa"/>
            </w:tcMar>
          </w:tcPr>
          <w:p>
            <w:pPr>
              <w:pStyle w:val="Compact"/>
              <w:jc w:val="left"/>
            </w:pPr>
            <w:r>
              <w:rPr>
                <w:b/>
                <w:bCs/>
                <w:color w:val="FFFFFF"/>
              </w:rPr>
              <w:t xml:space="preserve">Category</w:t>
            </w:r>
          </w:p>
        </w:tc>
        <w:tc>
          <w:tcPr>
            <w:shd w:fill="1F4E78" w:val="clear"/>
            <w:tcMar>
              <w:top w:w="80" w:type="dxa"/>
              <w:start w:w="90" w:type="dxa"/>
              <w:bottom w:w="80" w:type="dxa"/>
              <w:end w:w="90" w:type="dxa"/>
            </w:tcMar>
          </w:tcPr>
          <w:p>
            <w:pPr>
              <w:pStyle w:val="Compact"/>
              <w:jc w:val="left"/>
            </w:pPr>
            <w:r>
              <w:rPr>
                <w:b/>
                <w:bCs/>
                <w:color w:val="FFFFFF"/>
              </w:rPr>
              <w:t xml:space="preserve">p_s</w:t>
            </w:r>
          </w:p>
        </w:tc>
        <w:tc>
          <w:tcPr>
            <w:shd w:fill="1F4E78" w:val="clear"/>
            <w:tcMar>
              <w:top w:w="80" w:type="dxa"/>
              <w:start w:w="90" w:type="dxa"/>
              <w:bottom w:w="80" w:type="dxa"/>
              <w:end w:w="90" w:type="dxa"/>
            </w:tcMar>
          </w:tcPr>
          <w:p>
            <w:pPr>
              <w:pStyle w:val="Compact"/>
              <w:jc w:val="left"/>
            </w:pPr>
            <w:r>
              <w:rPr>
                <w:b/>
                <w:bCs/>
                <w:color w:val="FFFFFF"/>
              </w:rPr>
              <w:t xml:space="preserve">L(P,s)</w:t>
            </w:r>
          </w:p>
        </w:tc>
        <w:tc>
          <w:tcPr>
            <w:shd w:fill="1F4E78" w:val="clear"/>
            <w:tcMar>
              <w:top w:w="80" w:type="dxa"/>
              <w:start w:w="90" w:type="dxa"/>
              <w:bottom w:w="80" w:type="dxa"/>
              <w:end w:w="90" w:type="dxa"/>
            </w:tcMar>
          </w:tcPr>
          <w:p>
            <w:pPr>
              <w:pStyle w:val="Compact"/>
              <w:jc w:val="left"/>
            </w:pPr>
            <w:r>
              <w:rPr>
                <w:b/>
                <w:bCs/>
                <w:color w:val="FFFFFF"/>
              </w:rPr>
              <w:t xml:space="preserve">L(Q,s)</w:t>
            </w:r>
          </w:p>
        </w:tc>
      </w:tr>
      <w:tr>
        <w:trPr/>
        <w:tc>
          <w:tcPr>
            <w:tcMar>
              <w:top w:w="80" w:type="dxa"/>
              <w:start w:w="90" w:type="dxa"/>
              <w:bottom w:w="80" w:type="dxa"/>
              <w:end w:w="90" w:type="dxa"/>
            </w:tcMar>
            <w:shd w:fill="F7FBFF" w:val="clear"/>
          </w:tcPr>
          <w:p>
            <w:pPr>
              <w:pStyle w:val="Compact"/>
              <w:jc w:val="left"/>
            </w:pPr>
            <w:r>
              <w:t xml:space="preserve">S1</w:t>
            </w:r>
          </w:p>
        </w:tc>
        <w:tc>
          <w:tcPr>
            <w:tcMar>
              <w:top w:w="80" w:type="dxa"/>
              <w:start w:w="90" w:type="dxa"/>
              <w:bottom w:w="80" w:type="dxa"/>
              <w:end w:w="90" w:type="dxa"/>
            </w:tcMar>
            <w:shd w:fill="F7FBFF" w:val="clear"/>
          </w:tcPr>
          <w:p>
            <w:pPr>
              <w:pStyle w:val="Compact"/>
              <w:jc w:val="left"/>
            </w:pPr>
            <w:r>
              <w:t xml:space="preserve">Pandemic/biological</w:t>
            </w:r>
          </w:p>
        </w:tc>
        <w:tc>
          <w:tcPr>
            <w:tcMar>
              <w:top w:w="80" w:type="dxa"/>
              <w:start w:w="90" w:type="dxa"/>
              <w:bottom w:w="80" w:type="dxa"/>
              <w:end w:w="90" w:type="dxa"/>
            </w:tcMar>
            <w:shd w:fill="F7FBFF" w:val="clear"/>
          </w:tcPr>
          <w:p>
            <w:pPr>
              <w:pStyle w:val="Compact"/>
              <w:jc w:val="left"/>
            </w:pPr>
            <w:r>
              <w:t xml:space="preserve">0.05</w:t>
            </w:r>
          </w:p>
        </w:tc>
        <w:tc>
          <w:tcPr>
            <w:tcMar>
              <w:top w:w="80" w:type="dxa"/>
              <w:start w:w="90" w:type="dxa"/>
              <w:bottom w:w="80" w:type="dxa"/>
              <w:end w:w="90" w:type="dxa"/>
            </w:tcMar>
            <w:shd w:fill="F7FBFF" w:val="clear"/>
          </w:tcPr>
          <w:p>
            <w:pPr>
              <w:pStyle w:val="Compact"/>
              <w:jc w:val="left"/>
            </w:pPr>
            <w:r>
              <w:t xml:space="preserve">0.45</w:t>
            </w:r>
          </w:p>
        </w:tc>
        <w:tc>
          <w:tcPr>
            <w:tcMar>
              <w:top w:w="80" w:type="dxa"/>
              <w:start w:w="90" w:type="dxa"/>
              <w:bottom w:w="80" w:type="dxa"/>
              <w:end w:w="90" w:type="dxa"/>
            </w:tcMar>
            <w:shd w:fill="F7FBFF" w:val="clear"/>
          </w:tcPr>
          <w:p>
            <w:pPr>
              <w:pStyle w:val="Compact"/>
              <w:jc w:val="left"/>
            </w:pPr>
            <w:r>
              <w:t xml:space="preserve">0.35</w:t>
            </w:r>
          </w:p>
        </w:tc>
      </w:tr>
      <w:tr>
        <w:trPr/>
        <w:tc>
          <w:tcPr>
            <w:tcMar>
              <w:top w:w="80" w:type="dxa"/>
              <w:start w:w="90" w:type="dxa"/>
              <w:bottom w:w="80" w:type="dxa"/>
              <w:end w:w="90" w:type="dxa"/>
            </w:tcMar>
            <w:shd w:fill="D9EAF7" w:val="clear"/>
          </w:tcPr>
          <w:p>
            <w:pPr>
              <w:pStyle w:val="Compact"/>
              <w:jc w:val="left"/>
            </w:pPr>
            <w:r>
              <w:t xml:space="preserve">S2</w:t>
            </w:r>
          </w:p>
        </w:tc>
        <w:tc>
          <w:tcPr>
            <w:tcMar>
              <w:top w:w="80" w:type="dxa"/>
              <w:start w:w="90" w:type="dxa"/>
              <w:bottom w:w="80" w:type="dxa"/>
              <w:end w:w="90" w:type="dxa"/>
            </w:tcMar>
            <w:shd w:fill="D9EAF7" w:val="clear"/>
          </w:tcPr>
          <w:p>
            <w:pPr>
              <w:pStyle w:val="Compact"/>
              <w:jc w:val="left"/>
            </w:pPr>
            <w:r>
              <w:t xml:space="preserve">Infrastructure failure</w:t>
            </w:r>
          </w:p>
        </w:tc>
        <w:tc>
          <w:tcPr>
            <w:tcMar>
              <w:top w:w="80" w:type="dxa"/>
              <w:start w:w="90" w:type="dxa"/>
              <w:bottom w:w="80" w:type="dxa"/>
              <w:end w:w="90" w:type="dxa"/>
            </w:tcMar>
            <w:shd w:fill="D9EAF7" w:val="clear"/>
          </w:tcPr>
          <w:p>
            <w:pPr>
              <w:pStyle w:val="Compact"/>
              <w:jc w:val="left"/>
            </w:pPr>
            <w:r>
              <w:t xml:space="preserve">0.05</w:t>
            </w:r>
          </w:p>
        </w:tc>
        <w:tc>
          <w:tcPr>
            <w:tcMar>
              <w:top w:w="80" w:type="dxa"/>
              <w:start w:w="90" w:type="dxa"/>
              <w:bottom w:w="80" w:type="dxa"/>
              <w:end w:w="90" w:type="dxa"/>
            </w:tcMar>
            <w:shd w:fill="D9EAF7" w:val="clear"/>
          </w:tcPr>
          <w:p>
            <w:pPr>
              <w:pStyle w:val="Compact"/>
              <w:jc w:val="left"/>
            </w:pPr>
            <w:r>
              <w:t xml:space="preserve">0.30</w:t>
            </w:r>
          </w:p>
        </w:tc>
        <w:tc>
          <w:tcPr>
            <w:tcMar>
              <w:top w:w="80" w:type="dxa"/>
              <w:start w:w="90" w:type="dxa"/>
              <w:bottom w:w="80" w:type="dxa"/>
              <w:end w:w="90" w:type="dxa"/>
            </w:tcMar>
            <w:shd w:fill="D9EAF7" w:val="clear"/>
          </w:tcPr>
          <w:p>
            <w:pPr>
              <w:pStyle w:val="Compact"/>
              <w:jc w:val="left"/>
            </w:pPr>
            <w:r>
              <w:t xml:space="preserve">0.40</w:t>
            </w:r>
          </w:p>
        </w:tc>
      </w:tr>
      <w:tr>
        <w:trPr/>
        <w:tc>
          <w:tcPr>
            <w:tcMar>
              <w:top w:w="80" w:type="dxa"/>
              <w:start w:w="90" w:type="dxa"/>
              <w:bottom w:w="80" w:type="dxa"/>
              <w:end w:w="90" w:type="dxa"/>
            </w:tcMar>
            <w:shd w:fill="F7FBFF" w:val="clear"/>
          </w:tcPr>
          <w:p>
            <w:pPr>
              <w:pStyle w:val="Compact"/>
              <w:jc w:val="left"/>
            </w:pPr>
            <w:r>
              <w:t xml:space="preserve">S3</w:t>
            </w:r>
          </w:p>
        </w:tc>
        <w:tc>
          <w:tcPr>
            <w:tcMar>
              <w:top w:w="80" w:type="dxa"/>
              <w:start w:w="90" w:type="dxa"/>
              <w:bottom w:w="80" w:type="dxa"/>
              <w:end w:w="90" w:type="dxa"/>
            </w:tcMar>
            <w:shd w:fill="F7FBFF" w:val="clear"/>
          </w:tcPr>
          <w:p>
            <w:pPr>
              <w:pStyle w:val="Compact"/>
              <w:jc w:val="left"/>
            </w:pPr>
            <w:r>
              <w:t xml:space="preserve">Financial collapse</w:t>
            </w:r>
          </w:p>
        </w:tc>
        <w:tc>
          <w:tcPr>
            <w:tcMar>
              <w:top w:w="80" w:type="dxa"/>
              <w:start w:w="90" w:type="dxa"/>
              <w:bottom w:w="80" w:type="dxa"/>
              <w:end w:w="90" w:type="dxa"/>
            </w:tcMar>
            <w:shd w:fill="F7FBFF" w:val="clear"/>
          </w:tcPr>
          <w:p>
            <w:pPr>
              <w:pStyle w:val="Compact"/>
              <w:jc w:val="left"/>
            </w:pPr>
            <w:r>
              <w:t xml:space="preserve">0.03</w:t>
            </w:r>
          </w:p>
        </w:tc>
        <w:tc>
          <w:tcPr>
            <w:tcMar>
              <w:top w:w="80" w:type="dxa"/>
              <w:start w:w="90" w:type="dxa"/>
              <w:bottom w:w="80" w:type="dxa"/>
              <w:end w:w="90" w:type="dxa"/>
            </w:tcMar>
            <w:shd w:fill="F7FBFF" w:val="clear"/>
          </w:tcPr>
          <w:p>
            <w:pPr>
              <w:pStyle w:val="Compact"/>
              <w:jc w:val="left"/>
            </w:pPr>
            <w:r>
              <w:t xml:space="preserve">0.20</w:t>
            </w:r>
          </w:p>
        </w:tc>
        <w:tc>
          <w:tcPr>
            <w:tcMar>
              <w:top w:w="80" w:type="dxa"/>
              <w:start w:w="90" w:type="dxa"/>
              <w:bottom w:w="80" w:type="dxa"/>
              <w:end w:w="90" w:type="dxa"/>
            </w:tcMar>
            <w:shd w:fill="F7FBFF" w:val="clear"/>
          </w:tcPr>
          <w:p>
            <w:pPr>
              <w:pStyle w:val="Compact"/>
              <w:jc w:val="left"/>
            </w:pPr>
            <w:r>
              <w:t xml:space="preserve">0.25</w:t>
            </w:r>
          </w:p>
        </w:tc>
      </w:tr>
      <w:tr>
        <w:trPr/>
        <w:tc>
          <w:tcPr>
            <w:tcMar>
              <w:top w:w="80" w:type="dxa"/>
              <w:start w:w="90" w:type="dxa"/>
              <w:bottom w:w="80" w:type="dxa"/>
              <w:end w:w="90" w:type="dxa"/>
            </w:tcMar>
            <w:shd w:fill="D9EAF7" w:val="clear"/>
          </w:tcPr>
          <w:p>
            <w:pPr>
              <w:pStyle w:val="Compact"/>
              <w:jc w:val="left"/>
            </w:pPr>
            <w:r>
              <w:t xml:space="preserve">S4</w:t>
            </w:r>
          </w:p>
        </w:tc>
        <w:tc>
          <w:tcPr>
            <w:tcMar>
              <w:top w:w="80" w:type="dxa"/>
              <w:start w:w="90" w:type="dxa"/>
              <w:bottom w:w="80" w:type="dxa"/>
              <w:end w:w="90" w:type="dxa"/>
            </w:tcMar>
            <w:shd w:fill="D9EAF7" w:val="clear"/>
          </w:tcPr>
          <w:p>
            <w:pPr>
              <w:pStyle w:val="Compact"/>
              <w:jc w:val="left"/>
            </w:pPr>
            <w:r>
              <w:t xml:space="preserve">Moderate baseline</w:t>
            </w:r>
          </w:p>
        </w:tc>
        <w:tc>
          <w:tcPr>
            <w:tcMar>
              <w:top w:w="80" w:type="dxa"/>
              <w:start w:w="90" w:type="dxa"/>
              <w:bottom w:w="80" w:type="dxa"/>
              <w:end w:w="90" w:type="dxa"/>
            </w:tcMar>
            <w:shd w:fill="D9EAF7" w:val="clear"/>
          </w:tcPr>
          <w:p>
            <w:pPr>
              <w:pStyle w:val="Compact"/>
              <w:jc w:val="left"/>
            </w:pPr>
            <w:r>
              <w:t xml:space="preserve">0.57</w:t>
            </w:r>
          </w:p>
        </w:tc>
        <w:tc>
          <w:tcPr>
            <w:tcMar>
              <w:top w:w="80" w:type="dxa"/>
              <w:start w:w="90" w:type="dxa"/>
              <w:bottom w:w="80" w:type="dxa"/>
              <w:end w:w="90" w:type="dxa"/>
            </w:tcMar>
            <w:shd w:fill="D9EAF7" w:val="clear"/>
          </w:tcPr>
          <w:p>
            <w:pPr>
              <w:pStyle w:val="Compact"/>
              <w:jc w:val="left"/>
            </w:pPr>
            <w:r>
              <w:t xml:space="preserve">0.05</w:t>
            </w:r>
          </w:p>
        </w:tc>
        <w:tc>
          <w:tcPr>
            <w:tcMar>
              <w:top w:w="80" w:type="dxa"/>
              <w:start w:w="90" w:type="dxa"/>
              <w:bottom w:w="80" w:type="dxa"/>
              <w:end w:w="90" w:type="dxa"/>
            </w:tcMar>
            <w:shd w:fill="D9EAF7" w:val="clear"/>
          </w:tcPr>
          <w:p>
            <w:pPr>
              <w:pStyle w:val="Compact"/>
              <w:jc w:val="left"/>
            </w:pPr>
            <w:r>
              <w:t xml:space="preserve">0.04</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S5</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Conflict escalation</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0.30</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0.10</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0.08</w:t>
            </w:r>
          </w:p>
        </w:tc>
      </w:tr>
    </w:tbl>
    <w:p>
      <w:pPr>
        <w:pStyle w:val="BodyText"/>
        <w:widowControl/>
      </w:pPr>
      <w:r>
        <w:t xml:space="preserve">CVaR computation (tail mass beta = 1 - alpha = 0.05):</w:t>
      </w:r>
    </w:p>
    <w:p>
      <w:pPr>
        <w:pStyle w:val="BodyText"/>
        <w:widowControl/>
      </w:pPr>
      <w:r>
        <w:t xml:space="preserve">Option P: CVaR_0.95(P) = 0.45. Option Q: CVaR_0.95(Q) = 0.40. Both exceed tau_TRC = 0.15, so the ordinary admissible/selectable set is empty and ordinary RLS is prohibited.</w:t>
      </w:r>
    </w:p>
    <w:p>
      <w:pPr>
        <w:pStyle w:val="BodyText"/>
        <w:widowControl/>
      </w:pPr>
      <w:r>
        <w:t xml:space="preserve">Tail Emergency Mode review:</w:t>
      </w:r>
    </w:p>
    <w:p>
      <w:pPr>
        <w:pStyle w:val="Compact"/>
        <w:widowControl/>
        <w:numPr>
          <w:ilvl w:val="0"/>
          <w:numId w:val="1412"/>
        </w:numPr>
      </w:pPr>
      <w:r>
        <w:rPr>
          <w:b/>
          <w:bCs/>
        </w:rPr>
        <w:t xml:space="preserve">Emergency and necessity:</w:t>
      </w:r>
      <w:r>
        <w:t xml:space="preserve"> </w:t>
      </w:r>
      <w:r>
        <w:t xml:space="preserve">an active biological emergency is documented; no-action is modelled and produces estimated CVaR 0.55, which is worse than both candidates.</w:t>
      </w:r>
    </w:p>
    <w:p>
      <w:pPr>
        <w:pStyle w:val="Compact"/>
        <w:widowControl/>
        <w:numPr>
          <w:ilvl w:val="0"/>
          <w:numId w:val="1412"/>
        </w:numPr>
      </w:pPr>
      <w:r>
        <w:rPr>
          <w:b/>
          <w:bCs/>
        </w:rPr>
        <w:t xml:space="preserve">Redesign / safer alternatives:</w:t>
      </w:r>
      <w:r>
        <w:t xml:space="preserve"> </w:t>
      </w:r>
      <w:r>
        <w:t xml:space="preserve">materially safer redesigns cannot be deployed within the harm-prevention window; the record lists the attempted alternatives and why they are unavailable in time.</w:t>
      </w:r>
    </w:p>
    <w:p>
      <w:pPr>
        <w:pStyle w:val="Compact"/>
        <w:widowControl/>
        <w:numPr>
          <w:ilvl w:val="0"/>
          <w:numId w:val="1412"/>
        </w:numPr>
      </w:pPr>
      <w:r>
        <w:rPr>
          <w:b/>
          <w:bCs/>
        </w:rPr>
        <w:t xml:space="preserve">Independent challenge:</w:t>
      </w:r>
      <w:r>
        <w:t xml:space="preserve"> </w:t>
      </w:r>
      <w:r>
        <w:t xml:space="preserve">an independent public-health and infrastructure review panel confirms the necessity claim and proposes additional controls.</w:t>
      </w:r>
    </w:p>
    <w:p>
      <w:pPr>
        <w:pStyle w:val="Compact"/>
        <w:widowControl/>
        <w:numPr>
          <w:ilvl w:val="0"/>
          <w:numId w:val="1412"/>
        </w:numPr>
      </w:pPr>
      <w:r>
        <w:rPr>
          <w:b/>
          <w:bCs/>
        </w:rPr>
        <w:t xml:space="preserve">Absolute bound:</w:t>
      </w:r>
      <w:r>
        <w:t xml:space="preserve"> </w:t>
      </w:r>
      <w:r>
        <w:t xml:space="preserve">Q at 0.40 is below tau_TRC_max = 0.45; P equals the absolute cap and is not preferred where a lower-exposure candidate exists.</w:t>
      </w:r>
    </w:p>
    <w:p>
      <w:pPr>
        <w:pStyle w:val="Compact"/>
        <w:widowControl/>
        <w:numPr>
          <w:ilvl w:val="0"/>
          <w:numId w:val="1412"/>
        </w:numPr>
      </w:pPr>
      <w:r>
        <w:rPr>
          <w:b/>
          <w:bCs/>
        </w:rPr>
        <w:t xml:space="preserve">Controls:</w:t>
      </w:r>
      <w:r>
        <w:t xml:space="preserve"> </w:t>
      </w:r>
      <w:r>
        <w:t xml:space="preserve">Q is limited to 90 days, staged, monitored, paired with stockpile and surge-capacity controls, and has a shutoff/review trigger.</w:t>
      </w:r>
    </w:p>
    <w:p>
      <w:pPr>
        <w:pStyle w:val="Compact"/>
        <w:widowControl/>
        <w:numPr>
          <w:ilvl w:val="0"/>
          <w:numId w:val="1412"/>
        </w:numPr>
      </w:pPr>
      <w:r>
        <w:rPr>
          <w:b/>
          <w:bCs/>
        </w:rPr>
        <w:t xml:space="preserve">Authority, burden, remedy:</w:t>
      </w:r>
      <w:r>
        <w:t xml:space="preserve"> </w:t>
      </w:r>
      <w:r>
        <w:t xml:space="preserve">higher-tier lawful approval, named burden bearers, mitigation, remedy/redress, and public reporting are recorded.</w:t>
      </w:r>
    </w:p>
    <w:p>
      <w:pPr>
        <w:pStyle w:val="Compact"/>
        <w:widowControl/>
        <w:numPr>
          <w:ilvl w:val="0"/>
          <w:numId w:val="1412"/>
        </w:numPr>
      </w:pPr>
      <w:r>
        <w:rPr>
          <w:b/>
          <w:bCs/>
        </w:rPr>
        <w:t xml:space="preserve">Exit:</w:t>
      </w:r>
      <w:r>
        <w:t xml:space="preserve"> </w:t>
      </w:r>
      <w:r>
        <w:t xml:space="preserve">the action expires after 90 days or earlier when the emergency indicator falls below the declared threshold; the decision is then rerun under ordinary TRC.</w:t>
      </w:r>
    </w:p>
    <w:p>
      <w:pPr>
        <w:pStyle w:val="FirstParagraph"/>
        <w:widowControl/>
      </w:pPr>
      <w:r>
        <w:t xml:space="preserve">Emergency candidate comparison: Q has the lower CVaR among candidates that satisfy every Tail Emergency prerequisite.</w:t>
      </w:r>
    </w:p>
    <w:p>
      <w:pPr>
        <w:pStyle w:val="BodyText"/>
        <w:widowControl/>
      </w:pPr>
      <w:r>
        <w:t xml:space="preserve">Result:</w:t>
      </w:r>
      <w:r>
        <w:t xml:space="preserve"> </w:t>
      </w:r>
      <w:r>
        <w:rPr>
          <w:rStyle w:val="VerbatimChar"/>
        </w:rPr>
        <w:t xml:space="preserve">TAIL_EMERGENCY_PROVISIONAL_ACTION</w:t>
      </w:r>
      <w:r>
        <w:t xml:space="preserve"> </w:t>
      </w:r>
      <w:r>
        <w:t xml:space="preserve">for Q. PCC records</w:t>
      </w:r>
      <w:r>
        <w:t xml:space="preserve"> </w:t>
      </w:r>
      <w:r>
        <w:rPr>
          <w:rStyle w:val="VerbatimChar"/>
        </w:rPr>
        <w:t xml:space="preserve">TAIL_EMERGENCY_MODE_INVOKED</w:t>
      </w:r>
      <w:r>
        <w:t xml:space="preserve">, CVaR deficit 0.25 above tau_TRC, absolute-cap margin 0.05, necessity evidence, no-action comparison, challenger record, controls, burdens, remedy, expiry, and return-to-normal trigger.</w:t>
      </w:r>
    </w:p>
    <w:p>
      <w:pPr>
        <w:pStyle w:val="BodyText"/>
        <w:widowControl/>
      </w:pPr>
      <w:r>
        <w:t xml:space="preserve">Lesson (Informative): universal TRC failure stops ordinary ranking. Minimum CVaR is used only inside a fully governed Tail Emergency Mode after necessity and absolute-bound conditions are met. The result is not</w:t>
      </w:r>
      <w:r>
        <w:t xml:space="preserve"> </w:t>
      </w:r>
      <w:r>
        <w:rPr>
          <w:rStyle w:val="VerbatimChar"/>
        </w:rPr>
        <w:t xml:space="preserve">TRC_PASS</w:t>
      </w:r>
      <w:r>
        <w:t xml:space="preserve">, ordinary selection, alignment, or proof of safety.</w:t>
      </w:r>
    </w:p>
    <w:p>
      <w:pPr>
        <w:pStyle w:val="BodyText"/>
        <w:widowControl/>
      </w:pPr>
      <w:r>
        <w:t xml:space="preserve">End Appendix P-2.</w:t>
      </w:r>
    </w:p>
    <w:bookmarkEnd w:id="505"/>
    <w:bookmarkEnd w:id="506"/>
    <w:bookmarkStart w:id="521" w:name="X382bee8234cc28315b8d4c054ccc9bafd3fd783"/>
    <w:p>
      <w:pPr>
        <w:pStyle w:val="Heading1"/>
        <w:keepNext/>
        <w:keepLines/>
        <w:pageBreakBefore w:val="0"/>
        <w:widowControl/>
      </w:pPr>
      <w:r>
        <w:rPr>
          <w:rFonts w:ascii="Arial" w:hAnsi="Arial" w:eastAsia="Arial"/>
          <w:b/>
          <w:color w:val="1F4E78"/>
        </w:rPr>
        <w:t xml:space="preserve">APPENDIX Q: QUICK REFERENCE CARD (INFORMATIVE)</w:t>
      </w:r>
    </w:p>
    <w:bookmarkStart w:id="507" w:name="q1-object-model-do-not-conflate"/>
    <w:p>
      <w:pPr>
        <w:pStyle w:val="Heading2"/>
        <w:keepNext/>
        <w:keepLines/>
        <w:pageBreakBefore w:val="0"/>
        <w:widowControl/>
      </w:pPr>
      <w:r>
        <w:rPr>
          <w:rFonts w:ascii="Arial" w:hAnsi="Arial" w:eastAsia="Arial"/>
          <w:b/>
          <w:color w:val="1F4E78"/>
        </w:rPr>
        <w:t xml:space="preserve">Q.1 Object model (do not conflate)</w:t>
      </w:r>
    </w:p>
    <w:p>
      <w:pPr>
        <w:pStyle w:val="FirstParagraph"/>
        <w:widowControl/>
      </w:pPr>
      <w:r>
        <w:t xml:space="preserve">• Stakeholder: a real entity or group (for example applicants, caseworkers, taxpayers).</w:t>
      </w:r>
    </w:p>
    <w:p>
      <w:pPr>
        <w:pStyle w:val="BodyText"/>
        <w:widowControl/>
      </w:pPr>
      <w:r>
        <w:t xml:space="preserve">• Stakeholder Instance (SI): a representation object used for scope coverage and auditability (InstanceMap).</w:t>
      </w:r>
    </w:p>
    <w:p>
      <w:pPr>
        <w:pStyle w:val="BodyText"/>
        <w:widowControl/>
      </w:pPr>
      <w:r>
        <w:t xml:space="preserve">• Impact Instance (k): the computational object contributing to one welfare cell for one option.</w:t>
      </w:r>
    </w:p>
    <w:p>
      <w:pPr>
        <w:pStyle w:val="BodyText"/>
        <w:widowControl/>
      </w:pPr>
      <w:r>
        <w:t xml:space="preserve">• Welfare cell: (union u, dimension d). Rights-covered cells gate via NCRC; after NCRC passes, rights-covered cells remain non-maskable and are included in RLS aggregation among the remaining options.</w:t>
      </w:r>
    </w:p>
    <w:bookmarkEnd w:id="507"/>
    <w:bookmarkStart w:id="508" w:name="X7034c2511ef1b1428b719606ef4c9f6413bdab6"/>
    <w:p>
      <w:pPr>
        <w:pStyle w:val="Heading2"/>
        <w:keepNext/>
        <w:keepLines/>
        <w:pageBreakBefore w:val="0"/>
        <w:widowControl/>
      </w:pPr>
      <w:r>
        <w:rPr>
          <w:rFonts w:ascii="Arial" w:hAnsi="Arial" w:eastAsia="Arial"/>
          <w:b/>
          <w:color w:val="1F4E78"/>
        </w:rPr>
        <w:t xml:space="preserve">Q.2 Minimal cell computation (direct effects)</w:t>
      </w:r>
    </w:p>
    <w:p>
      <w:pPr>
        <w:pStyle w:val="FirstParagraph"/>
        <w:widowControl/>
      </w:pPr>
      <w:r>
        <w:t xml:space="preserve">Choose parameters per impact instance k: μ_k, r_k (with ReachBasis), t_k (years; used via τ(t_k)), ℓ_k, c_k, e_k, h_{k,base}, and h_{k,welfare}.</w:t>
      </w:r>
    </w:p>
    <w:p>
      <w:pPr>
        <w:pStyle w:val="BodyText"/>
        <w:widowControl/>
      </w:pPr>
      <w:r>
        <w:t xml:space="preserve">Compute direct impacts per stream. For the Base stream used by TRC and CSV, set h_k:=1.0 for every impact instance. RF/NCRC begins from the Base stream but applies Section 7.4 rights hardening: adverse rights instances use τ_RF=1, categorical prohibitions and severe rights hazards are tested separately, and low confidence cannot reduce protective severity. For the Welfare stream used by RLS, evaluate the governed welfare-inclusion hypothesis set required by Section 12 and Appendix G; do not use an MPS interval as a cardinal multiplier. Compute the applicable stream impacts, saturate to [-1,+1], and preserve unknown as an explicit evidence state rather than silently entering zero.</w:t>
      </w:r>
    </w:p>
    <w:p>
      <w:pPr>
        <w:pStyle w:val="BodyText"/>
        <w:widowControl/>
      </w:pPr>
      <w:r>
        <w:t xml:space="preserve">UI points are display only: Points = 100 × I (never compute in points).</w:t>
      </w:r>
    </w:p>
    <w:bookmarkEnd w:id="508"/>
    <w:bookmarkStart w:id="509" w:name="q3-formal-method-order-always"/>
    <w:p>
      <w:pPr>
        <w:pStyle w:val="Heading2"/>
        <w:keepNext/>
        <w:keepLines/>
        <w:pageBreakBefore w:val="0"/>
        <w:widowControl/>
      </w:pPr>
      <w:r>
        <w:rPr>
          <w:rFonts w:ascii="Arial" w:hAnsi="Arial" w:eastAsia="Arial"/>
          <w:b/>
          <w:color w:val="1F4E78"/>
        </w:rPr>
        <w:t xml:space="preserve">Q.3 Formal method order (always)</w:t>
      </w:r>
    </w:p>
    <w:p>
      <w:pPr>
        <w:pStyle w:val="Compact"/>
        <w:widowControl/>
        <w:numPr>
          <w:ilvl w:val="0"/>
          <w:numId w:val="1413"/>
        </w:numPr>
      </w:pPr>
      <w:r>
        <w:t xml:space="preserve">Reality Grounding / RSG (claim authority and grounding precondition) → 2) Rights Floor (RF/NCRC) → 3) TRC / Tail-Risk Bound → 4) CSV / Containment and Structural Viability → 5) RLS / RippleLogic Score among selectable options. UCI/HOI are not a regular sixth step: gate-relevant structural diagnostic evidence belongs inside CSV; residual UCI/HOI may be used only as special-case tie-break or monitoring evidence when RLS is tied, close, uncertainty-overlapped, or non-decisive.</w:t>
      </w:r>
    </w:p>
    <w:bookmarkEnd w:id="509"/>
    <w:bookmarkStart w:id="510" w:name="q4-common-misreads-fast-fixes"/>
    <w:p>
      <w:pPr>
        <w:pStyle w:val="Heading2"/>
        <w:keepNext/>
        <w:keepLines/>
        <w:pageBreakBefore w:val="0"/>
        <w:widowControl/>
      </w:pPr>
      <w:r>
        <w:rPr>
          <w:rFonts w:ascii="Arial" w:hAnsi="Arial" w:eastAsia="Arial"/>
          <w:b/>
          <w:color w:val="1F4E78"/>
        </w:rPr>
        <w:t xml:space="preserve">Q.4 Common misreads (fast fixes)</w:t>
      </w:r>
    </w:p>
    <w:p>
      <w:pPr>
        <w:pStyle w:val="FirstParagraph"/>
        <w:widowControl/>
      </w:pPr>
      <w:r>
        <w:t xml:space="preserve">• Misread: “RLS can compensate a rights violation.” Fix: NCRC gates admissibility first; any NCRC failure is eliminated before RLS. After NCRC, rights-covered cells may contribute to welfare ranking, but only among NCRC-admissible options.</w:t>
      </w:r>
    </w:p>
    <w:p>
      <w:pPr>
        <w:pStyle w:val="BodyText"/>
        <w:widowControl/>
      </w:pPr>
      <w:r>
        <w:t xml:space="preserve">• Misread: “δ is measured in points.” Fix: δ applies to the normalized Gap metric (dimensionless).</w:t>
      </w:r>
    </w:p>
    <w:p>
      <w:pPr>
        <w:pStyle w:val="BodyText"/>
        <w:widowControl/>
      </w:pPr>
      <w:r>
        <w:t xml:space="preserve">• Misread: “Reach r_k is a moral weight.” Fix: r_k is a coverage/scale term and must be justified with ReachBasis.</w:t>
      </w:r>
    </w:p>
    <w:p>
      <w:pPr>
        <w:pStyle w:val="BodyText"/>
        <w:widowControl/>
      </w:pPr>
      <w:r>
        <w:t xml:space="preserve">• Misread: “h_k is an MPS score, generic cap factor, or probability of consciousness.” Fix: h_k is a governed welfare-inclusion hypothesis coefficient used only for robust residual Welfare-stream sensitivity; the MPS evidence record determines protection posture and required hypotheses but does not numerically set h_k. Admissibility layers use Base stream with h_k:=1 (Appendix G; Appendix B).</w:t>
      </w:r>
    </w:p>
    <w:p>
      <w:pPr>
        <w:pStyle w:val="BodyText"/>
        <w:widowControl/>
      </w:pPr>
      <w:r>
        <w:t xml:space="preserve">• Misread: “Unknown UCI deltas pass by default.” Fix: unknown is never a pass; record CONTAINMENT_UCI_UNAVAILABLE and remediate.</w:t>
      </w:r>
    </w:p>
    <w:p>
      <w:pPr>
        <w:pStyle w:val="BodyText"/>
        <w:widowControl/>
      </w:pPr>
      <w:r>
        <w:t xml:space="preserve">• Misread: “Reduced-scope mode allows bypassing rights or catastrophe cells.” Fix: non-maskable; never bypass.</w:t>
      </w:r>
    </w:p>
    <w:bookmarkEnd w:id="510"/>
    <w:bookmarkStart w:id="511" w:name="q5-stream-binding-direct-vs-propagated"/>
    <w:p>
      <w:pPr>
        <w:pStyle w:val="Heading2"/>
        <w:keepNext/>
        <w:keepLines/>
        <w:pageBreakBefore w:val="0"/>
        <w:widowControl/>
      </w:pPr>
      <w:r>
        <w:rPr>
          <w:rFonts w:ascii="Arial" w:hAnsi="Arial" w:eastAsia="Arial"/>
          <w:b/>
          <w:color w:val="1F4E78"/>
        </w:rPr>
        <w:t xml:space="preserve">Q.5 Stream binding (direct vs propagated)</w:t>
      </w:r>
    </w:p>
    <w:p>
      <w:pPr>
        <w:pStyle w:val="FirstParagraph"/>
        <w:widowControl/>
      </w:pPr>
      <w:r>
        <w:t xml:space="preserve">• I_dir(u,d,a): direct, cell-local impact computed from impact instances in that cell.</w:t>
      </w:r>
    </w:p>
    <w:p>
      <w:pPr>
        <w:pStyle w:val="BodyText"/>
        <w:widowControl/>
      </w:pPr>
      <w:r>
        <w:t xml:space="preserve">• KernelPropagation = NONE: I_prop_welfare = I_dir.</w:t>
      </w:r>
    </w:p>
    <w:p>
      <w:pPr>
        <w:pStyle w:val="BodyText"/>
        <w:widowControl/>
      </w:pPr>
      <w:r>
        <w:t xml:space="preserve">• KernelPropagation = QUICK: I_prop_welfare includes propagated effects via declared kernel edges (Section 6). (Effect-token redundancy handling such as ALLOCATION is separate and MUST NOT be labeled a propagation mode.)</w:t>
      </w:r>
    </w:p>
    <w:p>
      <w:pPr>
        <w:pStyle w:val="BodyText"/>
        <w:widowControl/>
      </w:pPr>
      <w:r>
        <w:t xml:space="preserve">• UI points are derived from I_total only for display; never back-propagate points into computation.</w:t>
      </w:r>
    </w:p>
    <w:bookmarkEnd w:id="511"/>
    <w:bookmarkStart w:id="512" w:name="q6-data-dependency-by-tier-minimum"/>
    <w:p>
      <w:pPr>
        <w:pStyle w:val="Heading2"/>
        <w:keepNext/>
        <w:keepLines/>
        <w:pageBreakBefore w:val="0"/>
        <w:widowControl/>
      </w:pPr>
      <w:r>
        <w:rPr>
          <w:rFonts w:ascii="Arial" w:hAnsi="Arial" w:eastAsia="Arial"/>
          <w:b/>
          <w:color w:val="1F4E78"/>
        </w:rPr>
        <w:t xml:space="preserve">Q.6 Data dependency by tier (minimum)</w:t>
      </w:r>
    </w:p>
    <w:p>
      <w:pPr>
        <w:pStyle w:val="FirstParagraph"/>
        <w:widowControl/>
      </w:pPr>
      <w:r>
        <w:t xml:space="preserve">Tier 1: Stakeholder list, quick rights screen, qualitative tail-risk plausibility screen, minimal cell scan, and a brief CSV screen before any ordinary ranking or selection claim. Record a pass-equivalent heuristic status or escalate/redesign.</w:t>
      </w:r>
    </w:p>
    <w:p>
      <w:pPr>
        <w:pStyle w:val="BodyText"/>
        <w:widowControl/>
      </w:pPr>
      <w:r>
        <w:t xml:space="preserve">Tier 2: InstanceMap + ReachBasis, explicit impact instances and parameters, three-channel NCRC where triggered, scenario table for TRC (discrete CVaR), proportional/assumption-bounded CSV status for every candidate before RLS, normalized uncertainty-aware RLS for selectable survivors only, and a basic PCC with 5SPR.</w:t>
      </w:r>
    </w:p>
    <w:p>
      <w:pPr>
        <w:pStyle w:val="BodyText"/>
        <w:widowControl/>
      </w:pPr>
      <w:r>
        <w:t xml:space="preserve">Tier 3: Full scope coverage (or governed reduced-scope), full binding CSV with declared structural evidence, explicit uncertainty methods, UCI/HOI indicators where material, reviewer sign-off, sensitivity, and full PCC.</w:t>
      </w:r>
    </w:p>
    <w:bookmarkEnd w:id="512"/>
    <w:bookmarkStart w:id="513" w:name="q7-scenarioinstance-interaction"/>
    <w:p>
      <w:pPr>
        <w:pStyle w:val="Heading2"/>
        <w:keepNext/>
        <w:keepLines/>
        <w:pageBreakBefore w:val="0"/>
        <w:widowControl/>
      </w:pPr>
      <w:r>
        <w:rPr>
          <w:rFonts w:ascii="Arial" w:hAnsi="Arial" w:eastAsia="Arial"/>
          <w:b/>
          <w:color w:val="1F4E78"/>
        </w:rPr>
        <w:t xml:space="preserve">Q.7 Scenario–instance interaction</w:t>
      </w:r>
    </w:p>
    <w:p>
      <w:pPr>
        <w:pStyle w:val="FirstParagraph"/>
        <w:widowControl/>
      </w:pPr>
      <w:r>
        <w:t xml:space="preserve">TRC is computed over scenario-conditioned Base-stream losses in catastrophe space (C_cat), not over the RLS welfare score. TRC may use the same underlying cell coordinates as catastrophe-relevant welfare cells, but it evaluates scenario-specific Base-stream loss construction through the Appendix D.7 CVaR algorithm.</w:t>
      </w:r>
    </w:p>
    <w:p>
      <w:pPr>
        <w:pStyle w:val="BodyText"/>
        <w:widowControl/>
      </w:pPr>
      <w:r>
        <w:t xml:space="preserve">Keep the mechanics separate: welfare cells drive RLS after admissibility; catastrophe scenarios drive TRC/CVaR before RLS; rights cells gate via NCRC. Do not multiply scenario probabilities into RLS welfare cells unless a scenario-conditional welfare model is explicitly declared and recorded in the PCC.</w:t>
      </w:r>
    </w:p>
    <w:bookmarkEnd w:id="513"/>
    <w:bookmarkStart w:id="514" w:name="X55cfaf88322b69a494ebd200b40abcc86ed4b08"/>
    <w:p>
      <w:pPr>
        <w:pStyle w:val="Heading2"/>
        <w:keepNext/>
        <w:keepLines/>
        <w:pageBreakBefore w:val="0"/>
        <w:widowControl/>
      </w:pPr>
      <w:r>
        <w:rPr>
          <w:rFonts w:ascii="Arial" w:hAnsi="Arial" w:eastAsia="Arial"/>
          <w:b/>
          <w:color w:val="1F4E78"/>
        </w:rPr>
        <w:t xml:space="preserve">Q.8 Practical Local Scope Scoring (PLSS) - Quick Card (Informative)</w:t>
      </w:r>
    </w:p>
    <w:p>
      <w:pPr>
        <w:pStyle w:val="FirstParagraph"/>
        <w:widowControl/>
      </w:pPr>
      <w:r>
        <w:t xml:space="preserve">Purpose</w:t>
      </w:r>
    </w:p>
    <w:p>
      <w:pPr>
        <w:pStyle w:val="BodyText"/>
        <w:widowControl/>
      </w:pPr>
      <w:r>
        <w:t xml:space="preserve">Use PLSS when a decision is primarily local in its direct effects, but wider scopes still remain present through constitutional floors and admissibility guardrails.</w:t>
      </w:r>
    </w:p>
    <w:p>
      <w:pPr>
        <w:pStyle w:val="BodyText"/>
        <w:widowControl/>
      </w:pPr>
      <w:r>
        <w:t xml:space="preserve">Core idea</w:t>
      </w:r>
    </w:p>
    <w:p>
      <w:pPr>
        <w:pStyle w:val="BodyText"/>
        <w:widowControl/>
      </w:pPr>
      <w:r>
        <w:t xml:space="preserve">PLSS does not remove any Union Scope.</w:t>
      </w:r>
    </w:p>
    <w:p>
      <w:pPr>
        <w:pStyle w:val="BodyText"/>
        <w:widowControl/>
      </w:pPr>
      <w:r>
        <w:t xml:space="preserve">PLSS does not relax NCRC, TRC, or CSV.</w:t>
      </w:r>
    </w:p>
    <w:p>
      <w:pPr>
        <w:pStyle w:val="BodyText"/>
        <w:widowControl/>
      </w:pPr>
      <w:r>
        <w:t xml:space="preserve">PLSS only changes how the residual welfare emphasis is distributed in local runs.</w:t>
      </w:r>
    </w:p>
    <w:p>
      <w:pPr>
        <w:pStyle w:val="BodyText"/>
        <w:widowControl/>
      </w:pPr>
      <w:r>
        <w:t xml:space="preserve">Fast reading rule</w:t>
      </w:r>
    </w:p>
    <w:p>
      <w:pPr>
        <w:pStyle w:val="BodyText"/>
        <w:widowControl/>
      </w:pPr>
      <w:r>
        <w:t xml:space="preserve">Score most strongly where the ripple is near, but keep every wider scope present through floors and guardrails.</w:t>
      </w:r>
    </w:p>
    <w:p>
      <w:pPr>
        <w:pStyle w:val="BodyText"/>
        <w:widowControl/>
      </w:pPr>
      <w:r>
        <w:t xml:space="preserve">When not to use PLSS. Do not use PLSS as the primary posture for irreversible cross-border policy, large-scale public AI deployment, biosecurity governance, active military or security operations, high-lock-in infrastructure decisions, or any case where ET-1 through ET-7 is plausibly active at decision entry. Those cases require a broader deliberative posture or higher-tier structured evaluation.</w:t>
      </w:r>
    </w:p>
    <w:bookmarkEnd w:id="514"/>
    <w:bookmarkStart w:id="515" w:name="Xb080789f137a73b358b063728b76f915616fae5"/>
    <w:p>
      <w:pPr>
        <w:pStyle w:val="Heading2"/>
        <w:keepNext/>
        <w:keepLines/>
        <w:pageBreakBefore w:val="0"/>
        <w:widowControl/>
      </w:pPr>
      <w:r>
        <w:rPr>
          <w:rFonts w:ascii="Arial" w:hAnsi="Arial" w:eastAsia="Arial"/>
          <w:b/>
          <w:color w:val="1F4E78"/>
        </w:rPr>
        <w:t xml:space="preserve">Q.8.0 Three-term lock • LSS = the upstream set of materially affected stakeholder instances. • PLSS = the floor-preserving residual weighting rule used in RLS. • FLGG = Focus Local, Guard Global, the governing mnemonic. Shortest mnemonic: score near, guard far.</w:t>
      </w:r>
    </w:p>
    <w:p>
      <w:pPr>
        <w:pStyle w:val="FirstParagraph"/>
        <w:widowControl/>
      </w:pPr>
      <w:r>
        <w:t xml:space="preserve">Epistemic posture note. PLSS formal properties such as floor preservation, normalization, monotonicity, and admissibility invariance hold by construction under the declared equations and validator rules. Claims about practical performance, including speed, inter-rater convergence, and anti-gaming effectiveness, are empirical hypotheses requiring validation under Section 17.</w:t>
      </w:r>
    </w:p>
    <w:bookmarkEnd w:id="515"/>
    <w:bookmarkStart w:id="516" w:name="q81-what-union-scopes-are"/>
    <w:p>
      <w:pPr>
        <w:pStyle w:val="Heading2"/>
        <w:keepNext/>
        <w:keepLines/>
        <w:pageBreakBefore w:val="0"/>
        <w:widowControl/>
      </w:pPr>
      <w:r>
        <w:rPr>
          <w:rFonts w:ascii="Arial" w:hAnsi="Arial" w:eastAsia="Arial"/>
          <w:b/>
          <w:color w:val="1F4E78"/>
        </w:rPr>
        <w:t xml:space="preserve">Q.8.1 What Union Scopes are</w:t>
      </w:r>
    </w:p>
    <w:p>
      <w:pPr>
        <w:pStyle w:val="FirstParagraph"/>
        <w:widowControl/>
      </w:pPr>
      <w:r>
        <w:t xml:space="preserve">Union Scopes are zoom levels of consequence, not a closed list of who matters.</w:t>
      </w:r>
    </w:p>
    <w:p>
      <w:pPr>
        <w:pStyle w:val="BodyText"/>
        <w:widowControl/>
      </w:pPr>
      <w:r>
        <w:t xml:space="preserve">• U1 Self = the decision-maker or directly affected person</w:t>
      </w:r>
    </w:p>
    <w:p>
      <w:pPr>
        <w:pStyle w:val="BodyText"/>
        <w:widowControl/>
      </w:pPr>
      <w:r>
        <w:t xml:space="preserve">• U2 Household = people directly lived with or supported</w:t>
      </w:r>
    </w:p>
    <w:p>
      <w:pPr>
        <w:pStyle w:val="BodyText"/>
        <w:widowControl/>
      </w:pPr>
      <w:r>
        <w:t xml:space="preserve">• U3 Community = local repeated-contact network</w:t>
      </w:r>
    </w:p>
    <w:p>
      <w:pPr>
        <w:pStyle w:val="BodyText"/>
        <w:widowControl/>
      </w:pPr>
      <w:r>
        <w:t xml:space="preserve">• U4 Organization = firm, school, team, or institution involved</w:t>
      </w:r>
    </w:p>
    <w:p>
      <w:pPr>
        <w:pStyle w:val="BodyText"/>
        <w:widowControl/>
      </w:pPr>
      <w:r>
        <w:t xml:space="preserve">• U5 Polity = law, regulation, public legitimacy, enforcement</w:t>
      </w:r>
    </w:p>
    <w:p>
      <w:pPr>
        <w:pStyle w:val="BodyText"/>
        <w:widowControl/>
      </w:pPr>
      <w:r>
        <w:t xml:space="preserve">• U6 Humanity / Global Coordination = cross-border and civilization-scale coordination effects</w:t>
      </w:r>
    </w:p>
    <w:p>
      <w:pPr>
        <w:pStyle w:val="BodyText"/>
        <w:widowControl/>
      </w:pPr>
      <w:r>
        <w:t xml:space="preserve">• U7 Biosphere = ecological and living-support-system effects</w:t>
      </w:r>
    </w:p>
    <w:bookmarkEnd w:id="516"/>
    <w:bookmarkStart w:id="517" w:name="q82-what-people-commonly-misunderstand"/>
    <w:p>
      <w:pPr>
        <w:pStyle w:val="Heading2"/>
        <w:keepNext/>
        <w:keepLines/>
        <w:pageBreakBefore w:val="0"/>
        <w:widowControl/>
      </w:pPr>
      <w:r>
        <w:rPr>
          <w:rFonts w:ascii="Arial" w:hAnsi="Arial" w:eastAsia="Arial"/>
          <w:b/>
          <w:color w:val="1F4E78"/>
        </w:rPr>
        <w:t xml:space="preserve">Q.8.2 What people commonly misunderstand</w:t>
      </w:r>
    </w:p>
    <w:p>
      <w:pPr>
        <w:pStyle w:val="FirstParagraph"/>
        <w:widowControl/>
      </w:pPr>
      <w:r>
        <w:t xml:space="preserve">Misread: “Local scoring means I can ignore broader scopes.”</w:t>
      </w:r>
    </w:p>
    <w:p>
      <w:pPr>
        <w:pStyle w:val="BodyText"/>
        <w:widowControl/>
      </w:pPr>
      <w:r>
        <w:t xml:space="preserve">Fix: No. Broader scopes retain constitutional floors and remain active in admissibility where rights, catastrophe, or containment conditions apply.</w:t>
      </w:r>
    </w:p>
    <w:p>
      <w:pPr>
        <w:pStyle w:val="BodyText"/>
        <w:widowControl/>
      </w:pPr>
      <w:r>
        <w:t xml:space="preserve">Misread: “The framework asks me to score whole populations abstractly.”</w:t>
      </w:r>
    </w:p>
    <w:p>
      <w:pPr>
        <w:pStyle w:val="BodyText"/>
        <w:widowControl/>
      </w:pPr>
      <w:r>
        <w:t xml:space="preserve">Fix: No. Score stakeholder instances first, then aggregate into Union Scope rows.</w:t>
      </w:r>
    </w:p>
    <w:p>
      <w:pPr>
        <w:pStyle w:val="BodyText"/>
        <w:widowControl/>
      </w:pPr>
      <w:r>
        <w:t xml:space="preserve">Misread: “Masking can make distant harms disappear.”</w:t>
      </w:r>
    </w:p>
    <w:p>
      <w:pPr>
        <w:pStyle w:val="BodyText"/>
        <w:widowControl/>
      </w:pPr>
      <w:r>
        <w:t xml:space="preserve">Fix: No. Masking affects RLS aggregation only. Non-maskable rights and catastrophe cells cannot be bypassed.</w:t>
      </w:r>
    </w:p>
    <w:bookmarkEnd w:id="517"/>
    <w:bookmarkStart w:id="518" w:name="q83-the-plss-weight-formula"/>
    <w:p>
      <w:pPr>
        <w:pStyle w:val="Heading2"/>
        <w:keepNext/>
        <w:keepLines/>
        <w:pageBreakBefore w:val="0"/>
        <w:widowControl/>
      </w:pPr>
      <w:r>
        <w:rPr>
          <w:rFonts w:ascii="Arial" w:hAnsi="Arial" w:eastAsia="Arial"/>
          <w:b/>
          <w:color w:val="1F4E78"/>
        </w:rPr>
        <w:t xml:space="preserve">Q.8.3 The PLSS weight formula</w:t>
      </w:r>
    </w:p>
    <w:p>
      <w:pPr>
        <w:pStyle w:val="FirstParagraph"/>
        <w:widowControl/>
      </w:pPr>
      <w:r>
        <w:t xml:space="preserve">Let w_u^floor be the Section 13.1 union floor and q_u the declared local prominence signal for scope u.</w:t>
      </w:r>
    </w:p>
    <w:p>
      <w:pPr>
        <w:pStyle w:val="BodyText"/>
        <w:widowControl/>
      </w:pPr>
      <w:r>
        <w:t xml:space="preserve">Residual share:</w:t>
      </w:r>
    </w:p>
    <w:p>
      <w:pPr>
        <w:pStyle w:val="BodyText"/>
        <w:widowControl/>
      </w:pPr>
      <w:r>
        <w:t xml:space="preserve">ρ_u = q_u / Σ_j q_j</w:t>
      </w:r>
    </w:p>
    <w:p>
      <w:pPr>
        <w:pStyle w:val="BodyText"/>
        <w:widowControl/>
      </w:pPr>
      <w:r>
        <w:t xml:space="preserve">PLSS union weights:</w:t>
      </w:r>
    </w:p>
    <w:p>
      <w:pPr>
        <w:pStyle w:val="BodyText"/>
        <w:widowControl/>
      </w:pPr>
      <w:r>
        <w:t xml:space="preserve">w_u^PLSS = w_u^floor + (1 - Σ_j w_j^floor) ρ_u</w:t>
      </w:r>
    </w:p>
    <w:p>
      <w:pPr>
        <w:pStyle w:val="BodyText"/>
        <w:widowControl/>
      </w:pPr>
      <w:r>
        <w:t xml:space="preserve">Interpretation</w:t>
      </w:r>
    </w:p>
    <w:p>
      <w:pPr>
        <w:pStyle w:val="BodyText"/>
        <w:widowControl/>
      </w:pPr>
      <w:r>
        <w:t xml:space="preserve">• Floors keep every scope present.</w:t>
      </w:r>
    </w:p>
    <w:p>
      <w:pPr>
        <w:pStyle w:val="BodyText"/>
        <w:widowControl/>
      </w:pPr>
      <w:r>
        <w:t xml:space="preserve">• Residual attention goes mostly to the scopes actually live in the decision.</w:t>
      </w:r>
    </w:p>
    <w:p>
      <w:pPr>
        <w:pStyle w:val="BodyText"/>
        <w:widowControl/>
      </w:pPr>
      <w:r>
        <w:t xml:space="preserve">• Near scopes may dominate the local ranking.</w:t>
      </w:r>
    </w:p>
    <w:p>
      <w:pPr>
        <w:pStyle w:val="BodyText"/>
        <w:widowControl/>
      </w:pPr>
      <w:r>
        <w:t xml:space="preserve">1. Identify stakeholder instances.</w:t>
      </w:r>
    </w:p>
    <w:p>
      <w:pPr>
        <w:pStyle w:val="BodyText"/>
        <w:widowControl/>
      </w:pPr>
      <w:r>
        <w:t xml:space="preserve">2. Map instances into Union Scopes.</w:t>
      </w:r>
    </w:p>
    <w:p>
      <w:pPr>
        <w:pStyle w:val="BodyText"/>
        <w:widowControl/>
      </w:pPr>
      <w:r>
        <w:t xml:space="preserve">3. Run RF/NCRC, TRC, and CSV on required cells.</w:t>
      </w:r>
    </w:p>
    <w:p>
      <w:pPr>
        <w:pStyle w:val="BodyText"/>
        <w:widowControl/>
      </w:pPr>
      <w:r>
        <w:t xml:space="preserve">4. Declare local prominence signals q_u.</w:t>
      </w:r>
    </w:p>
    <w:p>
      <w:pPr>
        <w:pStyle w:val="BodyText"/>
        <w:widowControl/>
      </w:pPr>
      <w:r>
        <w:t xml:space="preserve">5. Build w_u^PLSS from floors plus residual shares.</w:t>
      </w:r>
    </w:p>
    <w:p>
      <w:pPr>
        <w:pStyle w:val="BodyText"/>
        <w:widowControl/>
      </w:pPr>
      <w:r>
        <w:t xml:space="preserve">6. Rank only the selectable options by RLS_PLSS.</w:t>
      </w:r>
    </w:p>
    <w:bookmarkEnd w:id="518"/>
    <w:bookmarkStart w:id="519" w:name="q86-worked-intuition-family-café"/>
    <w:p>
      <w:pPr>
        <w:pStyle w:val="Heading2"/>
        <w:keepNext/>
        <w:keepLines/>
        <w:pageBreakBefore w:val="0"/>
        <w:widowControl/>
      </w:pPr>
      <w:r>
        <w:rPr>
          <w:rFonts w:ascii="Arial" w:hAnsi="Arial" w:eastAsia="Arial"/>
          <w:b/>
          <w:color w:val="1F4E78"/>
        </w:rPr>
        <w:t xml:space="preserve">Q.8.6 Worked intuition: family café</w:t>
      </w:r>
    </w:p>
    <w:p>
      <w:pPr>
        <w:pStyle w:val="FirstParagraph"/>
        <w:widowControl/>
      </w:pPr>
      <w:r>
        <w:t xml:space="preserve">Example run:</w:t>
      </w:r>
    </w:p>
    <w:p>
      <w:pPr>
        <w:pStyle w:val="BodyText"/>
        <w:widowControl/>
      </w:pPr>
      <w:r>
        <w:t xml:space="preserve">• U1 Self: 1 instance</w:t>
      </w:r>
    </w:p>
    <w:p>
      <w:pPr>
        <w:pStyle w:val="BodyText"/>
        <w:widowControl/>
      </w:pPr>
      <w:r>
        <w:t xml:space="preserve">• U2 Household: 1 instance</w:t>
      </w:r>
    </w:p>
    <w:p>
      <w:pPr>
        <w:pStyle w:val="BodyText"/>
        <w:widowControl/>
      </w:pPr>
      <w:r>
        <w:t xml:space="preserve">• U3 Community: 5 instances</w:t>
      </w:r>
    </w:p>
    <w:p>
      <w:pPr>
        <w:pStyle w:val="BodyText"/>
        <w:widowControl/>
      </w:pPr>
      <w:r>
        <w:t xml:space="preserve">• U4 Organization: 2 instances</w:t>
      </w:r>
    </w:p>
    <w:p>
      <w:pPr>
        <w:pStyle w:val="BodyText"/>
        <w:widowControl/>
      </w:pPr>
      <w:r>
        <w:t xml:space="preserve">• U5 Polity: 3 instances</w:t>
      </w:r>
    </w:p>
    <w:p>
      <w:pPr>
        <w:pStyle w:val="BodyText"/>
        <w:widowControl/>
      </w:pPr>
      <w:r>
        <w:t xml:space="preserve">• U6 Humanity / Global Coordination: 1 instance</w:t>
      </w:r>
    </w:p>
    <w:p>
      <w:pPr>
        <w:pStyle w:val="BodyText"/>
        <w:widowControl/>
      </w:pPr>
      <w:r>
        <w:t xml:space="preserve">• U7 Biosphere: 1 instance</w:t>
      </w:r>
    </w:p>
    <w:p>
      <w:pPr>
        <w:pStyle w:val="BodyText"/>
        <w:widowControl/>
      </w:pPr>
      <w:r>
        <w:t xml:space="preserve">Declared q:</w:t>
      </w:r>
    </w:p>
    <w:p>
      <w:pPr>
        <w:pStyle w:val="BodyText"/>
        <w:widowControl/>
      </w:pPr>
      <w:r>
        <w:t xml:space="preserve">(0.95, 0.85, 0.55, 0.50, 0.10, 0.03, 0.02)</w:t>
      </w:r>
    </w:p>
    <w:p>
      <w:pPr>
        <w:pStyle w:val="BodyText"/>
        <w:widowControl/>
      </w:pPr>
      <w:r>
        <w:t xml:space="preserve">Section 13.1 floors:</w:t>
      </w:r>
    </w:p>
    <w:p>
      <w:pPr>
        <w:pStyle w:val="BodyText"/>
        <w:widowControl/>
      </w:pPr>
      <w:r>
        <w:t xml:space="preserve">(0.20, 0.06, 0.06, 0.06, 0.08, 0.10, 0.10)</w:t>
      </w:r>
    </w:p>
    <w:p>
      <w:pPr>
        <w:pStyle w:val="BodyText"/>
        <w:widowControl/>
      </w:pPr>
      <w:r>
        <w:t xml:space="preserve">Resulting PLSS weights:</w:t>
      </w:r>
    </w:p>
    <w:p>
      <w:pPr>
        <w:pStyle w:val="BodyText"/>
        <w:widowControl/>
      </w:pPr>
      <w:r>
        <w:t xml:space="preserve">(0.308, 0.156, 0.122, 0.117, 0.091, 0.103, 0.102)</w:t>
      </w:r>
    </w:p>
    <w:p>
      <w:pPr>
        <w:pStyle w:val="BodyText"/>
        <w:widowControl/>
      </w:pPr>
      <w:r>
        <w:t xml:space="preserve">Table Q-8A. PLSS café example weights</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Union Scope</w:t>
            </w:r>
          </w:p>
        </w:tc>
        <w:tc>
          <w:tcPr>
            <w:shd w:fill="1F4E78" w:val="clear"/>
            <w:tcMar>
              <w:top w:w="80" w:type="dxa"/>
              <w:start w:w="90" w:type="dxa"/>
              <w:bottom w:w="80" w:type="dxa"/>
              <w:end w:w="90" w:type="dxa"/>
            </w:tcMar>
          </w:tcPr>
          <w:p>
            <w:pPr>
              <w:pStyle w:val="Compact"/>
              <w:jc w:val="left"/>
            </w:pPr>
            <w:r>
              <w:rPr>
                <w:b/>
                <w:bCs/>
                <w:color w:val="FFFFFF"/>
              </w:rPr>
              <w:t xml:space="preserve">q_u</w:t>
            </w:r>
          </w:p>
        </w:tc>
        <w:tc>
          <w:tcPr>
            <w:shd w:fill="1F4E78" w:val="clear"/>
            <w:tcMar>
              <w:top w:w="80" w:type="dxa"/>
              <w:start w:w="90" w:type="dxa"/>
              <w:bottom w:w="80" w:type="dxa"/>
              <w:end w:w="90" w:type="dxa"/>
            </w:tcMar>
          </w:tcPr>
          <w:p>
            <w:pPr>
              <w:pStyle w:val="Compact"/>
              <w:jc w:val="left"/>
            </w:pPr>
            <w:r>
              <w:rPr>
                <w:b/>
                <w:bCs/>
                <w:color w:val="FFFFFF"/>
              </w:rPr>
              <w:t xml:space="preserve">w_u^floor</w:t>
            </w:r>
          </w:p>
        </w:tc>
        <w:tc>
          <w:tcPr>
            <w:shd w:fill="1F4E78" w:val="clear"/>
            <w:tcMar>
              <w:top w:w="80" w:type="dxa"/>
              <w:start w:w="90" w:type="dxa"/>
              <w:bottom w:w="80" w:type="dxa"/>
              <w:end w:w="90" w:type="dxa"/>
            </w:tcMar>
          </w:tcPr>
          <w:p>
            <w:pPr>
              <w:pStyle w:val="Compact"/>
              <w:jc w:val="left"/>
            </w:pPr>
            <w:r>
              <w:rPr>
                <w:b/>
                <w:bCs/>
                <w:color w:val="FFFFFF"/>
              </w:rPr>
              <w:t xml:space="preserve">w_u^PLSS</w:t>
            </w:r>
          </w:p>
        </w:tc>
      </w:tr>
      <w:tr>
        <w:trPr/>
        <w:tc>
          <w:tcPr>
            <w:tcMar>
              <w:top w:w="80" w:type="dxa"/>
              <w:start w:w="90" w:type="dxa"/>
              <w:bottom w:w="80" w:type="dxa"/>
              <w:end w:w="90" w:type="dxa"/>
            </w:tcMar>
            <w:shd w:fill="F7FBFF" w:val="clear"/>
          </w:tcPr>
          <w:p>
            <w:pPr>
              <w:pStyle w:val="Compact"/>
              <w:jc w:val="left"/>
            </w:pPr>
            <w:r>
              <w:t xml:space="preserve">U1 Self</w:t>
            </w:r>
          </w:p>
        </w:tc>
        <w:tc>
          <w:tcPr>
            <w:tcMar>
              <w:top w:w="80" w:type="dxa"/>
              <w:start w:w="90" w:type="dxa"/>
              <w:bottom w:w="80" w:type="dxa"/>
              <w:end w:w="90" w:type="dxa"/>
            </w:tcMar>
            <w:shd w:fill="F7FBFF" w:val="clear"/>
          </w:tcPr>
          <w:p>
            <w:pPr>
              <w:pStyle w:val="Compact"/>
              <w:jc w:val="left"/>
            </w:pPr>
            <w:r>
              <w:t xml:space="preserve">0.95</w:t>
            </w:r>
          </w:p>
        </w:tc>
        <w:tc>
          <w:tcPr>
            <w:tcMar>
              <w:top w:w="80" w:type="dxa"/>
              <w:start w:w="90" w:type="dxa"/>
              <w:bottom w:w="80" w:type="dxa"/>
              <w:end w:w="90" w:type="dxa"/>
            </w:tcMar>
            <w:shd w:fill="F7FBFF" w:val="clear"/>
          </w:tcPr>
          <w:p>
            <w:pPr>
              <w:pStyle w:val="Compact"/>
              <w:jc w:val="left"/>
            </w:pPr>
            <w:r>
              <w:t xml:space="preserve">0.20</w:t>
            </w:r>
          </w:p>
        </w:tc>
        <w:tc>
          <w:tcPr>
            <w:tcMar>
              <w:top w:w="80" w:type="dxa"/>
              <w:start w:w="90" w:type="dxa"/>
              <w:bottom w:w="80" w:type="dxa"/>
              <w:end w:w="90" w:type="dxa"/>
            </w:tcMar>
            <w:shd w:fill="F7FBFF" w:val="clear"/>
          </w:tcPr>
          <w:p>
            <w:pPr>
              <w:pStyle w:val="Compact"/>
              <w:jc w:val="left"/>
            </w:pPr>
            <w:r>
              <w:t xml:space="preserve">0.308</w:t>
            </w:r>
          </w:p>
        </w:tc>
      </w:tr>
      <w:tr>
        <w:trPr/>
        <w:tc>
          <w:tcPr>
            <w:tcMar>
              <w:top w:w="80" w:type="dxa"/>
              <w:start w:w="90" w:type="dxa"/>
              <w:bottom w:w="80" w:type="dxa"/>
              <w:end w:w="90" w:type="dxa"/>
            </w:tcMar>
            <w:shd w:fill="D9EAF7" w:val="clear"/>
          </w:tcPr>
          <w:p>
            <w:pPr>
              <w:pStyle w:val="Compact"/>
              <w:jc w:val="left"/>
            </w:pPr>
            <w:r>
              <w:t xml:space="preserve">U2 Household</w:t>
            </w:r>
          </w:p>
        </w:tc>
        <w:tc>
          <w:tcPr>
            <w:tcMar>
              <w:top w:w="80" w:type="dxa"/>
              <w:start w:w="90" w:type="dxa"/>
              <w:bottom w:w="80" w:type="dxa"/>
              <w:end w:w="90" w:type="dxa"/>
            </w:tcMar>
            <w:shd w:fill="D9EAF7" w:val="clear"/>
          </w:tcPr>
          <w:p>
            <w:pPr>
              <w:pStyle w:val="Compact"/>
              <w:jc w:val="left"/>
            </w:pPr>
            <w:r>
              <w:t xml:space="preserve">0.85</w:t>
            </w:r>
          </w:p>
        </w:tc>
        <w:tc>
          <w:tcPr>
            <w:tcMar>
              <w:top w:w="80" w:type="dxa"/>
              <w:start w:w="90" w:type="dxa"/>
              <w:bottom w:w="80" w:type="dxa"/>
              <w:end w:w="90" w:type="dxa"/>
            </w:tcMar>
            <w:shd w:fill="D9EAF7" w:val="clear"/>
          </w:tcPr>
          <w:p>
            <w:pPr>
              <w:pStyle w:val="Compact"/>
              <w:jc w:val="left"/>
            </w:pPr>
            <w:r>
              <w:t xml:space="preserve">0.06</w:t>
            </w:r>
          </w:p>
        </w:tc>
        <w:tc>
          <w:tcPr>
            <w:tcMar>
              <w:top w:w="80" w:type="dxa"/>
              <w:start w:w="90" w:type="dxa"/>
              <w:bottom w:w="80" w:type="dxa"/>
              <w:end w:w="90" w:type="dxa"/>
            </w:tcMar>
            <w:shd w:fill="D9EAF7" w:val="clear"/>
          </w:tcPr>
          <w:p>
            <w:pPr>
              <w:pStyle w:val="Compact"/>
              <w:jc w:val="left"/>
            </w:pPr>
            <w:r>
              <w:t xml:space="preserve">0.156</w:t>
            </w:r>
          </w:p>
        </w:tc>
      </w:tr>
      <w:tr>
        <w:trPr/>
        <w:tc>
          <w:tcPr>
            <w:tcMar>
              <w:top w:w="80" w:type="dxa"/>
              <w:start w:w="90" w:type="dxa"/>
              <w:bottom w:w="80" w:type="dxa"/>
              <w:end w:w="90" w:type="dxa"/>
            </w:tcMar>
            <w:shd w:fill="F7FBFF" w:val="clear"/>
          </w:tcPr>
          <w:p>
            <w:pPr>
              <w:pStyle w:val="Compact"/>
              <w:jc w:val="left"/>
            </w:pPr>
            <w:r>
              <w:t xml:space="preserve">U3 Community</w:t>
            </w:r>
          </w:p>
        </w:tc>
        <w:tc>
          <w:tcPr>
            <w:tcMar>
              <w:top w:w="80" w:type="dxa"/>
              <w:start w:w="90" w:type="dxa"/>
              <w:bottom w:w="80" w:type="dxa"/>
              <w:end w:w="90" w:type="dxa"/>
            </w:tcMar>
            <w:shd w:fill="F7FBFF" w:val="clear"/>
          </w:tcPr>
          <w:p>
            <w:pPr>
              <w:pStyle w:val="Compact"/>
              <w:jc w:val="left"/>
            </w:pPr>
            <w:r>
              <w:t xml:space="preserve">0.55</w:t>
            </w:r>
          </w:p>
        </w:tc>
        <w:tc>
          <w:tcPr>
            <w:tcMar>
              <w:top w:w="80" w:type="dxa"/>
              <w:start w:w="90" w:type="dxa"/>
              <w:bottom w:w="80" w:type="dxa"/>
              <w:end w:w="90" w:type="dxa"/>
            </w:tcMar>
            <w:shd w:fill="F7FBFF" w:val="clear"/>
          </w:tcPr>
          <w:p>
            <w:pPr>
              <w:pStyle w:val="Compact"/>
              <w:jc w:val="left"/>
            </w:pPr>
            <w:r>
              <w:t xml:space="preserve">0.06</w:t>
            </w:r>
          </w:p>
        </w:tc>
        <w:tc>
          <w:tcPr>
            <w:tcMar>
              <w:top w:w="80" w:type="dxa"/>
              <w:start w:w="90" w:type="dxa"/>
              <w:bottom w:w="80" w:type="dxa"/>
              <w:end w:w="90" w:type="dxa"/>
            </w:tcMar>
            <w:shd w:fill="F7FBFF" w:val="clear"/>
          </w:tcPr>
          <w:p>
            <w:pPr>
              <w:pStyle w:val="Compact"/>
              <w:jc w:val="left"/>
            </w:pPr>
            <w:r>
              <w:t xml:space="preserve">0.122</w:t>
            </w:r>
          </w:p>
        </w:tc>
      </w:tr>
      <w:tr>
        <w:trPr/>
        <w:tc>
          <w:tcPr>
            <w:tcMar>
              <w:top w:w="80" w:type="dxa"/>
              <w:start w:w="90" w:type="dxa"/>
              <w:bottom w:w="80" w:type="dxa"/>
              <w:end w:w="90" w:type="dxa"/>
            </w:tcMar>
            <w:shd w:fill="D9EAF7" w:val="clear"/>
          </w:tcPr>
          <w:p>
            <w:pPr>
              <w:pStyle w:val="Compact"/>
              <w:jc w:val="left"/>
            </w:pPr>
            <w:r>
              <w:t xml:space="preserve">U4 Organization</w:t>
            </w:r>
          </w:p>
        </w:tc>
        <w:tc>
          <w:tcPr>
            <w:tcMar>
              <w:top w:w="80" w:type="dxa"/>
              <w:start w:w="90" w:type="dxa"/>
              <w:bottom w:w="80" w:type="dxa"/>
              <w:end w:w="90" w:type="dxa"/>
            </w:tcMar>
            <w:shd w:fill="D9EAF7" w:val="clear"/>
          </w:tcPr>
          <w:p>
            <w:pPr>
              <w:pStyle w:val="Compact"/>
              <w:jc w:val="left"/>
            </w:pPr>
            <w:r>
              <w:t xml:space="preserve">0.50</w:t>
            </w:r>
          </w:p>
        </w:tc>
        <w:tc>
          <w:tcPr>
            <w:tcMar>
              <w:top w:w="80" w:type="dxa"/>
              <w:start w:w="90" w:type="dxa"/>
              <w:bottom w:w="80" w:type="dxa"/>
              <w:end w:w="90" w:type="dxa"/>
            </w:tcMar>
            <w:shd w:fill="D9EAF7" w:val="clear"/>
          </w:tcPr>
          <w:p>
            <w:pPr>
              <w:pStyle w:val="Compact"/>
              <w:jc w:val="left"/>
            </w:pPr>
            <w:r>
              <w:t xml:space="preserve">0.06</w:t>
            </w:r>
          </w:p>
        </w:tc>
        <w:tc>
          <w:tcPr>
            <w:tcMar>
              <w:top w:w="80" w:type="dxa"/>
              <w:start w:w="90" w:type="dxa"/>
              <w:bottom w:w="80" w:type="dxa"/>
              <w:end w:w="90" w:type="dxa"/>
            </w:tcMar>
            <w:shd w:fill="D9EAF7" w:val="clear"/>
          </w:tcPr>
          <w:p>
            <w:pPr>
              <w:pStyle w:val="Compact"/>
              <w:jc w:val="left"/>
            </w:pPr>
            <w:r>
              <w:t xml:space="preserve">0.117</w:t>
            </w:r>
          </w:p>
        </w:tc>
      </w:tr>
      <w:tr>
        <w:trPr/>
        <w:tc>
          <w:tcPr>
            <w:tcMar>
              <w:top w:w="80" w:type="dxa"/>
              <w:start w:w="90" w:type="dxa"/>
              <w:bottom w:w="80" w:type="dxa"/>
              <w:end w:w="90" w:type="dxa"/>
            </w:tcMar>
            <w:shd w:fill="F7FBFF" w:val="clear"/>
          </w:tcPr>
          <w:p>
            <w:pPr>
              <w:pStyle w:val="Compact"/>
              <w:jc w:val="left"/>
            </w:pPr>
            <w:r>
              <w:t xml:space="preserve">U5 Polity</w:t>
            </w:r>
          </w:p>
        </w:tc>
        <w:tc>
          <w:tcPr>
            <w:tcMar>
              <w:top w:w="80" w:type="dxa"/>
              <w:start w:w="90" w:type="dxa"/>
              <w:bottom w:w="80" w:type="dxa"/>
              <w:end w:w="90" w:type="dxa"/>
            </w:tcMar>
            <w:shd w:fill="F7FBFF" w:val="clear"/>
          </w:tcPr>
          <w:p>
            <w:pPr>
              <w:pStyle w:val="Compact"/>
              <w:jc w:val="left"/>
            </w:pPr>
            <w:r>
              <w:t xml:space="preserve">0.10</w:t>
            </w:r>
          </w:p>
        </w:tc>
        <w:tc>
          <w:tcPr>
            <w:tcMar>
              <w:top w:w="80" w:type="dxa"/>
              <w:start w:w="90" w:type="dxa"/>
              <w:bottom w:w="80" w:type="dxa"/>
              <w:end w:w="90" w:type="dxa"/>
            </w:tcMar>
            <w:shd w:fill="F7FBFF" w:val="clear"/>
          </w:tcPr>
          <w:p>
            <w:pPr>
              <w:pStyle w:val="Compact"/>
              <w:jc w:val="left"/>
            </w:pPr>
            <w:r>
              <w:t xml:space="preserve">0.08</w:t>
            </w:r>
          </w:p>
        </w:tc>
        <w:tc>
          <w:tcPr>
            <w:tcMar>
              <w:top w:w="80" w:type="dxa"/>
              <w:start w:w="90" w:type="dxa"/>
              <w:bottom w:w="80" w:type="dxa"/>
              <w:end w:w="90" w:type="dxa"/>
            </w:tcMar>
            <w:shd w:fill="F7FBFF" w:val="clear"/>
          </w:tcPr>
          <w:p>
            <w:pPr>
              <w:pStyle w:val="Compact"/>
              <w:jc w:val="left"/>
            </w:pPr>
            <w:r>
              <w:t xml:space="preserve">0.091</w:t>
            </w:r>
          </w:p>
        </w:tc>
      </w:tr>
      <w:tr>
        <w:trPr/>
        <w:tc>
          <w:tcPr>
            <w:tcMar>
              <w:top w:w="80" w:type="dxa"/>
              <w:start w:w="90" w:type="dxa"/>
              <w:bottom w:w="80" w:type="dxa"/>
              <w:end w:w="90" w:type="dxa"/>
            </w:tcMar>
            <w:shd w:fill="D9EAF7" w:val="clear"/>
          </w:tcPr>
          <w:p>
            <w:pPr>
              <w:pStyle w:val="Compact"/>
              <w:jc w:val="left"/>
            </w:pPr>
            <w:r>
              <w:t xml:space="preserve">U6 Humanity / Global Coordination</w:t>
            </w:r>
          </w:p>
        </w:tc>
        <w:tc>
          <w:tcPr>
            <w:tcMar>
              <w:top w:w="80" w:type="dxa"/>
              <w:start w:w="90" w:type="dxa"/>
              <w:bottom w:w="80" w:type="dxa"/>
              <w:end w:w="90" w:type="dxa"/>
            </w:tcMar>
            <w:shd w:fill="D9EAF7" w:val="clear"/>
          </w:tcPr>
          <w:p>
            <w:pPr>
              <w:pStyle w:val="Compact"/>
              <w:jc w:val="left"/>
            </w:pPr>
            <w:r>
              <w:t xml:space="preserve">0.03</w:t>
            </w:r>
          </w:p>
        </w:tc>
        <w:tc>
          <w:tcPr>
            <w:tcMar>
              <w:top w:w="80" w:type="dxa"/>
              <w:start w:w="90" w:type="dxa"/>
              <w:bottom w:w="80" w:type="dxa"/>
              <w:end w:w="90" w:type="dxa"/>
            </w:tcMar>
            <w:shd w:fill="D9EAF7" w:val="clear"/>
          </w:tcPr>
          <w:p>
            <w:pPr>
              <w:pStyle w:val="Compact"/>
              <w:jc w:val="left"/>
            </w:pPr>
            <w:r>
              <w:t xml:space="preserve">0.10</w:t>
            </w:r>
          </w:p>
        </w:tc>
        <w:tc>
          <w:tcPr>
            <w:tcMar>
              <w:top w:w="80" w:type="dxa"/>
              <w:start w:w="90" w:type="dxa"/>
              <w:bottom w:w="80" w:type="dxa"/>
              <w:end w:w="90" w:type="dxa"/>
            </w:tcMar>
            <w:shd w:fill="D9EAF7" w:val="clear"/>
          </w:tcPr>
          <w:p>
            <w:pPr>
              <w:pStyle w:val="Compact"/>
              <w:jc w:val="left"/>
            </w:pPr>
            <w:r>
              <w:t xml:space="preserve">0.103</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U7 Biosphere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0.02</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0.10</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0.102</w:t>
            </w:r>
          </w:p>
        </w:tc>
      </w:tr>
    </w:tbl>
    <w:p>
      <w:pPr>
        <w:pStyle w:val="BodyText"/>
        <w:widowControl/>
      </w:pPr>
      <w:r>
        <w:t xml:space="preserve">Quick lesson</w:t>
      </w:r>
    </w:p>
    <w:p>
      <w:pPr>
        <w:pStyle w:val="BodyText"/>
        <w:widowControl/>
      </w:pPr>
      <w:r>
        <w:t xml:space="preserve">• Self, Household, Community, and Organization get most of the residual attention.</w:t>
      </w:r>
    </w:p>
    <w:p>
      <w:pPr>
        <w:pStyle w:val="BodyText"/>
        <w:widowControl/>
      </w:pPr>
      <w:r>
        <w:t xml:space="preserve">• Polity, Humanity / Global Coordination, and Biosphere remain present because the current constitution keeps them above zero.</w:t>
      </w:r>
    </w:p>
    <w:p>
      <w:pPr>
        <w:pStyle w:val="BodyText"/>
        <w:widowControl/>
      </w:pPr>
      <w:r>
        <w:t xml:space="preserve">• A cheap option that creates toxic exposure or labor-abuse risk can still fail before scoring.</w:t>
      </w:r>
    </w:p>
    <w:bookmarkEnd w:id="519"/>
    <w:bookmarkStart w:id="520" w:name="q87-one-sentence-teaching-version"/>
    <w:p>
      <w:pPr>
        <w:pStyle w:val="Heading2"/>
        <w:keepNext/>
        <w:keepLines/>
        <w:pageBreakBefore w:val="0"/>
        <w:widowControl/>
      </w:pPr>
      <w:r>
        <w:rPr>
          <w:rFonts w:ascii="Arial" w:hAnsi="Arial" w:eastAsia="Arial"/>
          <w:b/>
          <w:color w:val="1F4E78"/>
        </w:rPr>
        <w:t xml:space="preserve">Q.8.7 One-sentence teaching version</w:t>
      </w:r>
    </w:p>
    <w:p>
      <w:pPr>
        <w:pStyle w:val="FirstParagraph"/>
        <w:widowControl/>
      </w:pPr>
      <w:r>
        <w:t xml:space="preserve">RippleLogic lets local people focus on the scopes they are actually touching, while still stopping them from solving today’s problem by exporting harm into wider systems.</w:t>
      </w:r>
    </w:p>
    <w:p>
      <w:pPr>
        <w:pStyle w:val="BodyText"/>
        <w:widowControl/>
      </w:pPr>
      <w:r>
        <w:t xml:space="preserve">End Appendix Q.</w:t>
      </w:r>
    </w:p>
    <w:bookmarkEnd w:id="520"/>
    <w:bookmarkEnd w:id="521"/>
    <w:bookmarkStart w:id="554" w:name="X367112e409c1ffea887693768999c285cda9e7e"/>
    <w:p>
      <w:pPr>
        <w:pStyle w:val="Heading1"/>
        <w:keepNext/>
        <w:keepLines/>
        <w:pageBreakBefore w:val="0"/>
        <w:widowControl/>
      </w:pPr>
      <w:r>
        <w:rPr>
          <w:rFonts w:ascii="Arial" w:hAnsi="Arial" w:eastAsia="Arial"/>
          <w:b/>
          <w:color w:val="1F4E78"/>
        </w:rPr>
        <w:t xml:space="preserve">APPENDIX R: TIER 1–3 REFERENCE TEST VECTORS (NORMATIVE)</w:t>
      </w:r>
    </w:p>
    <w:p>
      <w:pPr>
        <w:pStyle w:val="FirstParagraph"/>
        <w:widowControl/>
      </w:pPr>
      <w:r>
        <w:t xml:space="preserve">Status: Normative. These vectors reduce implementer drift for Tier 1-3 validators. They instantiate existing rules and expected outcomes without adding new rules.</w:t>
      </w:r>
    </w:p>
    <w:p>
      <w:pPr>
        <w:pStyle w:val="BodyText"/>
        <w:widowControl/>
      </w:pPr>
      <w:r>
        <w:t xml:space="preserve">Conformance rule (Normative). Any implementation claiming v12.5 conformance MUST reproduce the expected outputs for Appendix R vectors when executed with the stated inputs.</w:t>
      </w:r>
    </w:p>
    <w:bookmarkStart w:id="522" w:name="Xc628f7f632ae8bd7ece4d9eb7db8a52c947e2a6"/>
    <w:p>
      <w:pPr>
        <w:pStyle w:val="Heading2"/>
        <w:keepNext/>
        <w:keepLines/>
        <w:pageBreakBefore w:val="0"/>
        <w:widowControl/>
      </w:pPr>
      <w:r>
        <w:rPr>
          <w:rFonts w:ascii="Arial" w:hAnsi="Arial" w:eastAsia="Arial"/>
          <w:b/>
          <w:color w:val="1F4E78"/>
        </w:rPr>
        <w:t xml:space="preserve">R.1 NCRC floor-reference gating sanity check (baseline vs floors)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Purpose</w:t>
            </w:r>
          </w:p>
        </w:tc>
        <w:tc>
          <w:tcPr>
            <w:shd w:fill="1F4E78" w:val="clear"/>
            <w:tcMar>
              <w:top w:w="80" w:type="dxa"/>
              <w:start w:w="90" w:type="dxa"/>
              <w:bottom w:w="80" w:type="dxa"/>
              <w:end w:w="90" w:type="dxa"/>
            </w:tcMar>
          </w:tcPr>
          <w:p>
            <w:pPr>
              <w:pStyle w:val="Compact"/>
              <w:jc w:val="left"/>
            </w:pPr>
            <w:r>
              <w:rPr>
                <w:b/>
                <w:bCs/>
                <w:color w:val="FFFFFF"/>
              </w:rPr>
              <w:t xml:space="preserve">Ensure a rights-covered cell cannot pass NCRC by maintaining an ongoing violation when BaselineType_Gates = FLOOR_REFERENCE.</w:t>
            </w:r>
          </w:p>
        </w:tc>
      </w:tr>
      <w:tr>
        <w:trPr/>
        <w:tc>
          <w:tcPr>
            <w:tcMar>
              <w:top w:w="80" w:type="dxa"/>
              <w:start w:w="90" w:type="dxa"/>
              <w:bottom w:w="80" w:type="dxa"/>
              <w:end w:w="90" w:type="dxa"/>
            </w:tcMar>
            <w:shd w:fill="F7FBFF" w:val="clear"/>
          </w:tcPr>
          <w:p>
            <w:pPr>
              <w:pStyle w:val="Compact"/>
              <w:jc w:val="left"/>
            </w:pPr>
            <w:r>
              <w:t xml:space="preserve">Setup</w:t>
            </w:r>
          </w:p>
        </w:tc>
        <w:tc>
          <w:tcPr>
            <w:tcMar>
              <w:top w:w="80" w:type="dxa"/>
              <w:start w:w="90" w:type="dxa"/>
              <w:bottom w:w="80" w:type="dxa"/>
              <w:end w:w="90" w:type="dxa"/>
            </w:tcMar>
            <w:shd w:fill="F7FBFF" w:val="clear"/>
          </w:tcPr>
          <w:p>
            <w:pPr>
              <w:pStyle w:val="Compact"/>
              <w:jc w:val="left"/>
            </w:pPr>
            <w:r>
              <w:t xml:space="preserve">Single rights-covered cell (u=U₁, d=Health) covered by BODY with threshold θ_BODY = −0.70. BaselineType_Gates = FLOOR_REFERENCE.</w:t>
            </w:r>
          </w:p>
        </w:tc>
      </w:tr>
      <w:tr>
        <w:trPr/>
        <w:tc>
          <w:tcPr>
            <w:tcMar>
              <w:top w:w="80" w:type="dxa"/>
              <w:start w:w="90" w:type="dxa"/>
              <w:bottom w:w="80" w:type="dxa"/>
              <w:end w:w="90" w:type="dxa"/>
            </w:tcMar>
            <w:shd w:fill="D9EAF7" w:val="clear"/>
          </w:tcPr>
          <w:p>
            <w:pPr>
              <w:pStyle w:val="Compact"/>
              <w:jc w:val="left"/>
            </w:pPr>
            <w:r>
              <w:t xml:space="preserve">Option A</w:t>
            </w:r>
          </w:p>
        </w:tc>
        <w:tc>
          <w:tcPr>
            <w:tcMar>
              <w:top w:w="80" w:type="dxa"/>
              <w:start w:w="90" w:type="dxa"/>
              <w:bottom w:w="80" w:type="dxa"/>
              <w:end w:w="90" w:type="dxa"/>
            </w:tcMar>
            <w:shd w:fill="D9EAF7" w:val="clear"/>
          </w:tcPr>
          <w:p>
            <w:pPr>
              <w:pStyle w:val="Compact"/>
              <w:jc w:val="left"/>
            </w:pPr>
            <w:r>
              <w:t>I_RF_base(rights cell, BODY) = −0.71 (below θ_BODY).</w:t>
            </w:r>
          </w:p>
        </w:tc>
      </w:tr>
      <w:tr>
        <w:trPr/>
        <w:tc>
          <w:tcPr>
            <w:tcMar>
              <w:top w:w="80" w:type="dxa"/>
              <w:start w:w="90" w:type="dxa"/>
              <w:bottom w:w="80" w:type="dxa"/>
              <w:end w:w="90" w:type="dxa"/>
            </w:tcMar>
            <w:shd w:fill="F7FBFF" w:val="clear"/>
          </w:tcPr>
          <w:p>
            <w:pPr>
              <w:pStyle w:val="Compact"/>
              <w:jc w:val="left"/>
            </w:pPr>
            <w:r>
              <w:t xml:space="preserve">Option B</w:t>
            </w:r>
          </w:p>
        </w:tc>
        <w:tc>
          <w:tcPr>
            <w:tcMar>
              <w:top w:w="80" w:type="dxa"/>
              <w:start w:w="90" w:type="dxa"/>
              <w:bottom w:w="80" w:type="dxa"/>
              <w:end w:w="90" w:type="dxa"/>
            </w:tcMar>
            <w:shd w:fill="F7FBFF" w:val="clear"/>
          </w:tcPr>
          <w:p>
            <w:pPr>
              <w:pStyle w:val="Compact"/>
              <w:jc w:val="left"/>
            </w:pPr>
            <w:r>
              <w:t>I_RF_base(rights cell, BODY) = −0.69 (above θ_BODY).</w:t>
            </w:r>
          </w:p>
        </w:tc>
      </w:tr>
      <w:tr>
        <w:trPr/>
        <w:tc>
          <w:tcPr>
            <w:tcMar>
              <w:top w:w="80" w:type="dxa"/>
              <w:start w:w="90" w:type="dxa"/>
              <w:bottom w:w="80" w:type="dxa"/>
              <w:end w:w="90" w:type="dxa"/>
            </w:tcMar>
            <w:shd w:fill="D9EAF7" w:val="clear"/>
          </w:tcPr>
          <w:p>
            <w:pPr>
              <w:pStyle w:val="Compact"/>
              <w:jc w:val="left"/>
            </w:pPr>
            <w:r>
              <w:t xml:space="preserve">Expected NCRC</w:t>
            </w:r>
          </w:p>
        </w:tc>
        <w:tc>
          <w:tcPr>
            <w:tcMar>
              <w:top w:w="80" w:type="dxa"/>
              <w:start w:w="90" w:type="dxa"/>
              <w:bottom w:w="80" w:type="dxa"/>
              <w:end w:w="90" w:type="dxa"/>
            </w:tcMar>
            <w:shd w:fill="D9EAF7" w:val="clear"/>
          </w:tcPr>
          <w:p>
            <w:pPr>
              <w:pStyle w:val="Compact"/>
              <w:jc w:val="left"/>
            </w:pPr>
            <w:r>
              <w:t xml:space="preserve">Option A FAILS NCRC (inadmissible). Option B PASSES NCRC (admissible).</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Notes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Independent of welfare/RLS scoring; validates gating on absolute floor reference for C_r/C_cat cells.</w:t>
            </w:r>
          </w:p>
        </w:tc>
      </w:tr>
    </w:tbl>
    <w:bookmarkEnd w:id="522"/>
    <w:bookmarkStart w:id="523" w:name="r1a-trc_not_triggered-qualification-test"/>
    <w:p>
      <w:pPr>
        <w:pStyle w:val="Heading2"/>
        <w:keepNext/>
        <w:keepLines/>
        <w:pageBreakBefore w:val="0"/>
        <w:widowControl/>
      </w:pPr>
      <w:r>
        <w:rPr>
          <w:rFonts w:ascii="Arial" w:hAnsi="Arial" w:eastAsia="Arial"/>
          <w:b/>
          <w:color w:val="1F4E78"/>
        </w:rPr>
        <w:t xml:space="preserve">R.1A TRC_NOT_TRIGGERED qualification test</w:t>
      </w:r>
    </w:p>
    <w:p>
      <w:pPr>
        <w:pStyle w:val="FirstParagraph"/>
        <w:widowControl/>
      </w:pPr>
      <w:r>
        <w:t xml:space="preserve">Inputs: a Tier 1 or Tier 2 option with a complete catastrophe-relevance assessment addressing every Section 8.1.1 trigger; no trigger is plausible inside the declared evidence boundary; reviewer status and reopen triggers are recorded. Expected output:</w:t>
      </w:r>
      <w:r>
        <w:t xml:space="preserve"> </w:t>
      </w:r>
      <w:r>
        <w:rPr>
          <w:rStyle w:val="VerbatimChar"/>
        </w:rPr>
        <w:t xml:space="preserve">TRC_NOT_TRIGGERED</w:t>
      </w:r>
      <w:r>
        <w:t xml:space="preserve">; no CVaR value is fabricated; the option may proceed to CSV if RG and RF/NCRC permit. FAIL case: the same token is emitted without the assessment, evidence boundary, or reopen triggers. Conformance result: PASS only if the complete case qualifies and the incomplete case is rejected.</w:t>
      </w:r>
    </w:p>
    <w:bookmarkEnd w:id="523"/>
    <w:bookmarkStart w:id="524" w:name="X88b76b7a585191bec937cd66b51bb38665dc1b2"/>
    <w:p>
      <w:pPr>
        <w:pStyle w:val="Heading2"/>
        <w:keepNext/>
        <w:keepLines/>
        <w:pageBreakBefore w:val="0"/>
        <w:widowControl/>
      </w:pPr>
      <w:r>
        <w:rPr>
          <w:rFonts w:ascii="Arial" w:hAnsi="Arial" w:eastAsia="Arial"/>
          <w:b/>
          <w:color w:val="1F4E78"/>
        </w:rPr>
        <w:t xml:space="preserve">R.1B Catastrophe-profile non-dilution test</w:t>
      </w:r>
    </w:p>
    <w:p>
      <w:pPr>
        <w:pStyle w:val="FirstParagraph"/>
        <w:widowControl/>
      </w:pPr>
      <w:r>
        <w:t xml:space="preserve">Inputs: an unchanged base catastrophe loss and a newly activated governance-lock extension containing zero loss in the tested scenario. Expected output: the base-profile loss and CVaR remain unchanged after the extension is activated; the extension is evaluated separately; a base-profile failure cannot become a pass through extension-weight renormalization. Conformance result: FAIL if adding extension cells lowers the base-profile result or rescues its failure.</w:t>
      </w:r>
    </w:p>
    <w:bookmarkEnd w:id="524"/>
    <w:bookmarkStart w:id="525" w:name="Xec0ec3989c601c626a3d1b6c28f1f602074538d"/>
    <w:p>
      <w:pPr>
        <w:pStyle w:val="Heading2"/>
        <w:keepNext/>
        <w:keepLines/>
        <w:pageBreakBefore w:val="0"/>
        <w:widowControl/>
      </w:pPr>
      <w:r>
        <w:rPr>
          <w:rFonts w:ascii="Arial" w:hAnsi="Arial" w:eastAsia="Arial"/>
          <w:b/>
          <w:color w:val="1F4E78"/>
        </w:rPr>
        <w:t xml:space="preserve">R.2 TRC CVaR discrete edge case (exact tail-mass boundary)</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Purpose</w:t>
            </w:r>
          </w:p>
        </w:tc>
        <w:tc>
          <w:tcPr>
            <w:shd w:fill="1F4E78" w:val="clear"/>
            <w:tcMar>
              <w:top w:w="80" w:type="dxa"/>
              <w:start w:w="90" w:type="dxa"/>
              <w:bottom w:w="80" w:type="dxa"/>
              <w:end w:w="90" w:type="dxa"/>
            </w:tcMar>
          </w:tcPr>
          <w:p>
            <w:pPr>
              <w:pStyle w:val="Compact"/>
              <w:jc w:val="left"/>
            </w:pPr>
            <w:r>
              <w:rPr>
                <w:b/>
                <w:bCs/>
                <w:color w:val="FFFFFF"/>
              </w:rPr>
              <w:t xml:space="preserve">Verify Appendix D.7 discrete CVaR when the tail probability mass boundary is met exactly.</w:t>
            </w:r>
          </w:p>
        </w:tc>
      </w:tr>
      <w:tr>
        <w:trPr/>
        <w:tc>
          <w:tcPr>
            <w:tcMar>
              <w:top w:w="80" w:type="dxa"/>
              <w:start w:w="90" w:type="dxa"/>
              <w:bottom w:w="80" w:type="dxa"/>
              <w:end w:w="90" w:type="dxa"/>
            </w:tcMar>
            <w:shd w:fill="F7FBFF" w:val="clear"/>
          </w:tcPr>
          <w:p>
            <w:pPr>
              <w:pStyle w:val="Compact"/>
              <w:jc w:val="left"/>
            </w:pPr>
            <w:r>
              <w:t xml:space="preserve">Setup</w:t>
            </w:r>
          </w:p>
        </w:tc>
        <w:tc>
          <w:tcPr>
            <w:tcMar>
              <w:top w:w="80" w:type="dxa"/>
              <w:start w:w="90" w:type="dxa"/>
              <w:bottom w:w="80" w:type="dxa"/>
              <w:end w:w="90" w:type="dxa"/>
            </w:tcMar>
            <w:shd w:fill="F7FBFF" w:val="clear"/>
          </w:tcPr>
          <w:p>
            <w:pPr>
              <w:pStyle w:val="Compact"/>
              <w:jc w:val="left"/>
            </w:pPr>
            <w:r>
              <w:t xml:space="preserve">Tail level α = 0.90 (tail mass = 0.10). Loss L(a,s) computed per Section 8.4 from catastrophe cells.</w:t>
            </w:r>
          </w:p>
        </w:tc>
      </w:tr>
      <w:tr>
        <w:trPr/>
        <w:tc>
          <w:tcPr>
            <w:tcMar>
              <w:top w:w="80" w:type="dxa"/>
              <w:start w:w="90" w:type="dxa"/>
              <w:bottom w:w="80" w:type="dxa"/>
              <w:end w:w="90" w:type="dxa"/>
            </w:tcMar>
            <w:shd w:fill="D9EAF7" w:val="clear"/>
          </w:tcPr>
          <w:p>
            <w:pPr>
              <w:pStyle w:val="Compact"/>
              <w:jc w:val="left"/>
            </w:pPr>
            <w:r>
              <w:t xml:space="preserve">Scenario set</w:t>
            </w:r>
          </w:p>
        </w:tc>
        <w:tc>
          <w:tcPr>
            <w:tcMar>
              <w:top w:w="80" w:type="dxa"/>
              <w:start w:w="90" w:type="dxa"/>
              <w:bottom w:w="80" w:type="dxa"/>
              <w:end w:w="90" w:type="dxa"/>
            </w:tcMar>
            <w:shd w:fill="D9EAF7" w:val="clear"/>
          </w:tcPr>
          <w:p>
            <w:pPr>
              <w:pStyle w:val="Compact"/>
              <w:jc w:val="left"/>
            </w:pPr>
            <w:r>
              <w:t xml:space="preserve">scenario 1: p=0.90, L=0.00; scenario 2: p=0.10, L=1.00.</w:t>
            </w:r>
          </w:p>
        </w:tc>
      </w:tr>
      <w:tr>
        <w:trPr/>
        <w:tc>
          <w:tcPr>
            <w:tcMar>
              <w:top w:w="80" w:type="dxa"/>
              <w:start w:w="90" w:type="dxa"/>
              <w:bottom w:w="80" w:type="dxa"/>
              <w:end w:w="90" w:type="dxa"/>
            </w:tcMar>
            <w:shd w:fill="F7FBFF" w:val="clear"/>
          </w:tcPr>
          <w:p>
            <w:pPr>
              <w:pStyle w:val="Compact"/>
              <w:jc w:val="left"/>
            </w:pPr>
            <w:r>
              <w:t xml:space="preserve">Expected VaR_α</w:t>
            </w:r>
          </w:p>
        </w:tc>
        <w:tc>
          <w:tcPr>
            <w:tcMar>
              <w:top w:w="80" w:type="dxa"/>
              <w:start w:w="90" w:type="dxa"/>
              <w:bottom w:w="80" w:type="dxa"/>
              <w:end w:w="90" w:type="dxa"/>
            </w:tcMar>
            <w:shd w:fill="F7FBFF" w:val="clear"/>
          </w:tcPr>
          <w:p>
            <w:pPr>
              <w:pStyle w:val="Compact"/>
              <w:jc w:val="left"/>
            </w:pPr>
            <w:r>
              <w:t xml:space="preserve">VaR_0.90 = 0.00.</w:t>
            </w:r>
          </w:p>
        </w:tc>
      </w:tr>
      <w:tr>
        <w:trPr/>
        <w:tc>
          <w:tcPr>
            <w:tcMar>
              <w:top w:w="80" w:type="dxa"/>
              <w:start w:w="90" w:type="dxa"/>
              <w:bottom w:w="80" w:type="dxa"/>
              <w:end w:w="90" w:type="dxa"/>
            </w:tcMar>
            <w:shd w:fill="D9EAF7" w:val="clear"/>
          </w:tcPr>
          <w:p>
            <w:pPr>
              <w:pStyle w:val="Compact"/>
              <w:jc w:val="left"/>
            </w:pPr>
            <w:r>
              <w:t xml:space="preserve">Expected CVaR_α</w:t>
            </w:r>
          </w:p>
        </w:tc>
        <w:tc>
          <w:tcPr>
            <w:tcMar>
              <w:top w:w="80" w:type="dxa"/>
              <w:start w:w="90" w:type="dxa"/>
              <w:bottom w:w="80" w:type="dxa"/>
              <w:end w:w="90" w:type="dxa"/>
            </w:tcMar>
            <w:shd w:fill="D9EAF7" w:val="clear"/>
          </w:tcPr>
          <w:p>
            <w:pPr>
              <w:pStyle w:val="Compact"/>
              <w:jc w:val="left"/>
            </w:pPr>
            <w:r>
              <w:t xml:space="preserve">CVaR_0.90 = 1.00.</w:t>
            </w:r>
          </w:p>
        </w:tc>
      </w:tr>
      <w:tr>
        <w:trPr/>
        <w:tc>
          <w:tcPr>
            <w:tcMar>
              <w:top w:w="80" w:type="dxa"/>
              <w:start w:w="90" w:type="dxa"/>
              <w:bottom w:w="80" w:type="dxa"/>
              <w:end w:w="90" w:type="dxa"/>
            </w:tcMar>
            <w:shd w:fill="F7FBFF" w:val="clear"/>
          </w:tcPr>
          <w:p>
            <w:pPr>
              <w:pStyle w:val="Compact"/>
              <w:jc w:val="left"/>
            </w:pPr>
            <w:r>
              <w:t xml:space="preserve">Expected TRC</w:t>
            </w:r>
          </w:p>
        </w:tc>
        <w:tc>
          <w:tcPr>
            <w:tcMar>
              <w:top w:w="80" w:type="dxa"/>
              <w:start w:w="90" w:type="dxa"/>
              <w:bottom w:w="80" w:type="dxa"/>
              <w:end w:w="90" w:type="dxa"/>
            </w:tcMar>
            <w:shd w:fill="F7FBFF" w:val="clear"/>
          </w:tcPr>
          <w:p>
            <w:pPr>
              <w:pStyle w:val="Compact"/>
              <w:jc w:val="left"/>
            </w:pPr>
            <w:r>
              <w:t xml:space="preserve">If τ_TRC = 0.10, then CVaR=1.00 &gt; 0.10 so option FAILS TRC.</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Notes</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Any implementation returning CVaR=0.10 or averaging across non-tail mass is incorrect.</w:t>
            </w:r>
          </w:p>
        </w:tc>
      </w:tr>
    </w:tbl>
    <w:bookmarkEnd w:id="525"/>
    <w:bookmarkStart w:id="526" w:name="X1380f952252738c209682729ce84c7ba12c66f8"/>
    <w:p>
      <w:pPr>
        <w:pStyle w:val="Heading2"/>
        <w:keepNext/>
        <w:keepLines/>
        <w:pageBreakBefore w:val="0"/>
        <w:widowControl/>
      </w:pPr>
      <w:r>
        <w:rPr>
          <w:rFonts w:ascii="Arial" w:hAnsi="Arial" w:eastAsia="Arial"/>
          <w:b/>
          <w:color w:val="1F4E78"/>
        </w:rPr>
        <w:t xml:space="preserve">R.3 Non-maskable rights/catastrophe invalidation test (masking trigger)</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Purpose</w:t>
            </w:r>
          </w:p>
        </w:tc>
        <w:tc>
          <w:tcPr>
            <w:shd w:fill="1F4E78" w:val="clear"/>
            <w:tcMar>
              <w:top w:w="80" w:type="dxa"/>
              <w:start w:w="90" w:type="dxa"/>
              <w:bottom w:w="80" w:type="dxa"/>
              <w:end w:w="90" w:type="dxa"/>
            </w:tcMar>
          </w:tcPr>
          <w:p>
            <w:pPr>
              <w:pStyle w:val="Compact"/>
              <w:jc w:val="left"/>
            </w:pPr>
            <w:r>
              <w:rPr>
                <w:b/>
                <w:bCs/>
                <w:color w:val="FFFFFF"/>
              </w:rPr>
              <w:t xml:space="preserve">Ensure validators reject any run that masks a non-maskable cell (rights or catastrophe) in RLS aggregation.</w:t>
            </w:r>
          </w:p>
        </w:tc>
      </w:tr>
      <w:tr>
        <w:trPr/>
        <w:tc>
          <w:tcPr>
            <w:tcMar>
              <w:top w:w="80" w:type="dxa"/>
              <w:start w:w="90" w:type="dxa"/>
              <w:bottom w:w="80" w:type="dxa"/>
              <w:end w:w="90" w:type="dxa"/>
            </w:tcMar>
            <w:shd w:fill="F7FBFF" w:val="clear"/>
          </w:tcPr>
          <w:p>
            <w:pPr>
              <w:pStyle w:val="Compact"/>
              <w:jc w:val="left"/>
            </w:pPr>
            <w:r>
              <w:t xml:space="preserve">Setup</w:t>
            </w:r>
          </w:p>
        </w:tc>
        <w:tc>
          <w:tcPr>
            <w:tcMar>
              <w:top w:w="80" w:type="dxa"/>
              <w:start w:w="90" w:type="dxa"/>
              <w:bottom w:w="80" w:type="dxa"/>
              <w:end w:w="90" w:type="dxa"/>
            </w:tcMar>
            <w:shd w:fill="F7FBFF" w:val="clear"/>
          </w:tcPr>
          <w:p>
            <w:pPr>
              <w:pStyle w:val="Compact"/>
              <w:jc w:val="left"/>
            </w:pPr>
            <w:r>
              <w:t xml:space="preserve">Using the canonical rights coverage sets (Appendix C.2), select any rights-covered cell (for example, (u=U₁, d=Health), which is covered by BODY). In the PCC applicability mask, declare m(u,d)=0 for that same rights-covered cell.</w:t>
            </w:r>
          </w:p>
        </w:tc>
      </w:tr>
      <w:tr>
        <w:trPr/>
        <w:tc>
          <w:tcPr>
            <w:tcMar>
              <w:top w:w="80" w:type="dxa"/>
              <w:start w:w="90" w:type="dxa"/>
              <w:bottom w:w="80" w:type="dxa"/>
              <w:end w:w="90" w:type="dxa"/>
            </w:tcMar>
            <w:shd w:fill="D9EAF7" w:val="clear"/>
          </w:tcPr>
          <w:p>
            <w:pPr>
              <w:pStyle w:val="Compact"/>
              <w:jc w:val="left"/>
            </w:pPr>
            <w:r>
              <w:t xml:space="preserve">Expected audit flag</w:t>
            </w:r>
          </w:p>
        </w:tc>
        <w:tc>
          <w:tcPr>
            <w:tcMar>
              <w:top w:w="80" w:type="dxa"/>
              <w:start w:w="90" w:type="dxa"/>
              <w:bottom w:w="80" w:type="dxa"/>
              <w:end w:w="90" w:type="dxa"/>
            </w:tcMar>
            <w:shd w:fill="D9EAF7" w:val="clear"/>
          </w:tcPr>
          <w:p>
            <w:pPr>
              <w:pStyle w:val="Compact"/>
              <w:jc w:val="left"/>
            </w:pPr>
            <w:r>
              <w:t xml:space="preserve">RIGHTS_CELL_MASKED_INVALID MUST be set.</w:t>
            </w:r>
          </w:p>
        </w:tc>
      </w:tr>
      <w:tr>
        <w:trPr/>
        <w:tc>
          <w:tcPr>
            <w:tcMar>
              <w:top w:w="80" w:type="dxa"/>
              <w:start w:w="90" w:type="dxa"/>
              <w:bottom w:w="80" w:type="dxa"/>
              <w:end w:w="90" w:type="dxa"/>
            </w:tcMar>
            <w:shd w:fill="F7FBFF" w:val="clear"/>
          </w:tcPr>
          <w:p>
            <w:pPr>
              <w:pStyle w:val="Compact"/>
              <w:jc w:val="left"/>
            </w:pPr>
            <w:r>
              <w:t xml:space="preserve">Expected PCC status</w:t>
            </w:r>
          </w:p>
        </w:tc>
        <w:tc>
          <w:tcPr>
            <w:tcMar>
              <w:top w:w="80" w:type="dxa"/>
              <w:start w:w="90" w:type="dxa"/>
              <w:bottom w:w="80" w:type="dxa"/>
              <w:end w:w="90" w:type="dxa"/>
            </w:tcMar>
            <w:shd w:fill="F7FBFF" w:val="clear"/>
          </w:tcPr>
          <w:p>
            <w:pPr>
              <w:pStyle w:val="Compact"/>
              <w:jc w:val="left"/>
            </w:pPr>
            <w:r>
              <w:t xml:space="preserve">PCC is INVALID.</w:t>
            </w:r>
          </w:p>
        </w:tc>
      </w:tr>
      <w:tr>
        <w:trPr/>
        <w:tc>
          <w:tcPr>
            <w:tcMar>
              <w:top w:w="80" w:type="dxa"/>
              <w:start w:w="90" w:type="dxa"/>
              <w:bottom w:w="80" w:type="dxa"/>
              <w:end w:w="90" w:type="dxa"/>
            </w:tcMar>
            <w:shd w:fill="D9EAF7" w:val="clear"/>
          </w:tcPr>
          <w:p>
            <w:pPr>
              <w:pStyle w:val="Compact"/>
              <w:jc w:val="left"/>
            </w:pPr>
            <w:r>
              <w:t xml:space="preserve">Expected conformance</w:t>
            </w:r>
          </w:p>
        </w:tc>
        <w:tc>
          <w:tcPr>
            <w:tcMar>
              <w:top w:w="80" w:type="dxa"/>
              <w:start w:w="90" w:type="dxa"/>
              <w:bottom w:w="80" w:type="dxa"/>
              <w:end w:w="90" w:type="dxa"/>
            </w:tcMar>
            <w:shd w:fill="D9EAF7" w:val="clear"/>
          </w:tcPr>
          <w:p>
            <w:pPr>
              <w:pStyle w:val="Compact"/>
              <w:jc w:val="left"/>
            </w:pPr>
            <w:r>
              <w:t xml:space="preserve">Tier 1-3 conformance claim MUST fail; the validator MUST reject.</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Notes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Apply analogously for CATASTROPHE_CELL_MASKED_INVALID when masking any cell in C_cat.</w:t>
            </w:r>
          </w:p>
        </w:tc>
      </w:tr>
    </w:tbl>
    <w:bookmarkEnd w:id="526"/>
    <w:bookmarkStart w:id="527" w:name="r4-plss-floor-preservation-test"/>
    <w:p>
      <w:pPr>
        <w:pStyle w:val="Heading2"/>
        <w:keepNext/>
        <w:keepLines/>
        <w:pageBreakBefore w:val="0"/>
        <w:widowControl/>
      </w:pPr>
      <w:r>
        <w:rPr>
          <w:rFonts w:ascii="Arial" w:hAnsi="Arial" w:eastAsia="Arial"/>
          <w:b/>
          <w:color w:val="1F4E78"/>
        </w:rPr>
        <w:t xml:space="preserve">R.4 PLSS floor-preservation test.</w:t>
      </w:r>
    </w:p>
    <w:p>
      <w:pPr>
        <w:pStyle w:val="FirstParagraph"/>
        <w:widowControl/>
      </w:pPr>
      <w:r>
        <w:t xml:space="preserve">Inputs: constitutional floors = (0.20, 0.06, 0.06, 0.06, 0.08, 0.10, 0.10); declared q = (0.95, 0.85, 0.55, 0.50, 0.10, 0.03, 0.02); operator =</w:t>
      </w:r>
      <w:r>
        <w:t xml:space="preserve"> </w:t>
      </w:r>
      <w:r>
        <w:rPr>
          <w:rStyle w:val="VerbatimChar"/>
        </w:rPr>
        <w:t xml:space="preserve">OTHER_DECLARED: DIRECT_Q_NORMALIZATION_V1</w:t>
      </w:r>
      <w:r>
        <w:t xml:space="preserve">, which normalizes the declared q vector directly; residual mass = 0.34. Expected output: w^PLSS ≈ (0.308, 0.156, 0.122, 0.117, 0.091, 0.103, 0.102) with sum = 1.000 (±0.001) and each component ≥ its floor. Expected flags: none. Conformance result: PASS only if both floor-preservation and normalization hold.</w:t>
      </w:r>
    </w:p>
    <w:bookmarkEnd w:id="527"/>
    <w:bookmarkStart w:id="528" w:name="r5-plss-admissibility-invariance-test"/>
    <w:p>
      <w:pPr>
        <w:pStyle w:val="Heading2"/>
        <w:keepNext/>
        <w:keepLines/>
        <w:pageBreakBefore w:val="0"/>
        <w:widowControl/>
      </w:pPr>
      <w:r>
        <w:rPr>
          <w:rFonts w:ascii="Arial" w:hAnsi="Arial" w:eastAsia="Arial"/>
          <w:b/>
          <w:color w:val="1F4E78"/>
        </w:rPr>
        <w:t xml:space="preserve">R.5 PLSS admissibility-invariance test.</w:t>
      </w:r>
    </w:p>
    <w:p>
      <w:pPr>
        <w:pStyle w:val="FirstParagraph"/>
        <w:widowControl/>
      </w:pPr>
      <w:r>
        <w:t xml:space="preserve">Inputs: a fixed option set with unchanged RF/NCRC, TRC, and CSV inputs; run the same case twice using two valid PLSS prominence vectors q_A and q_B that produce different w^PLSS vectors. Expected output: NCRC(a), TRC(a), and Containment(a) remain identical across the two runs for every option; only RLS ranking may change among already selectable options. Expected flags: none. Conformance result: PASS only if admissibility and selectability sets are invariant.</w:t>
      </w:r>
    </w:p>
    <w:bookmarkEnd w:id="528"/>
    <w:bookmarkStart w:id="529" w:name="r6-plss-all-zero-q_u-fallback-test"/>
    <w:p>
      <w:pPr>
        <w:pStyle w:val="Heading2"/>
        <w:keepNext/>
        <w:keepLines/>
        <w:pageBreakBefore w:val="0"/>
        <w:widowControl/>
      </w:pPr>
      <w:r>
        <w:rPr>
          <w:rFonts w:ascii="Arial" w:hAnsi="Arial" w:eastAsia="Arial"/>
          <w:b/>
          <w:color w:val="1F4E78"/>
        </w:rPr>
        <w:t xml:space="preserve">R.6 PLSS all-zero q_u fallback test.</w:t>
      </w:r>
    </w:p>
    <w:p>
      <w:pPr>
        <w:pStyle w:val="FirstParagraph"/>
        <w:widowControl/>
      </w:pPr>
      <w:r>
        <w:t xml:space="preserve">Inputs: q = (0,0,0,0,0,0,0), constitutional floors as in R.4, no alternative fallback declared. Expected output: the residual 0.34 is allocated uniformly, producing w^PLSS ≈ (0.2486, 0.1086, 0.1086, 0.1086, 0.1286, 0.1486, 0.1486), sum = 1.000 (±0.001). Expected flags: none. Conformance result: PASS only if uniform residual fallback is applied or a governed alternative fallback is explicitly declared.</w:t>
      </w:r>
    </w:p>
    <w:bookmarkEnd w:id="529"/>
    <w:bookmarkStart w:id="530" w:name="X1607101d38ac88e12081f14fa5cb7416383ed10"/>
    <w:p>
      <w:pPr>
        <w:pStyle w:val="Heading2"/>
        <w:keepNext/>
        <w:keepLines/>
        <w:pageBreakBefore w:val="0"/>
        <w:widowControl/>
      </w:pPr>
      <w:r>
        <w:rPr>
          <w:rFonts w:ascii="Arial" w:hAnsi="Arial" w:eastAsia="Arial"/>
          <w:b/>
          <w:color w:val="1F4E78"/>
        </w:rPr>
        <w:t xml:space="preserve">R.7 Reduced-scope attestation pass/fail test.</w:t>
      </w:r>
    </w:p>
    <w:p>
      <w:pPr>
        <w:pStyle w:val="FirstParagraph"/>
        <w:widowControl/>
      </w:pPr>
      <w:r>
        <w:t xml:space="preserve">Inputs: Mode = REDUCED_SCOPE with fewer than 7 active scopes. PASS case requires Scope Coverage Declaration, blind-spot statement, escalation triggers, and all three Admissibility Attestation booleans present with required values. FAIL case omits one required attestation or blind-spot statement. Expected output: PASS case may continue; FAIL case is non-conformant and MUST trigger the relevant reduced-scope integrity response.</w:t>
      </w:r>
    </w:p>
    <w:bookmarkEnd w:id="530"/>
    <w:bookmarkStart w:id="531" w:name="r8-gate-critical-unknown-handling-test"/>
    <w:p>
      <w:pPr>
        <w:pStyle w:val="Heading2"/>
        <w:keepNext/>
        <w:keepLines/>
        <w:pageBreakBefore w:val="0"/>
        <w:widowControl/>
      </w:pPr>
      <w:r>
        <w:rPr>
          <w:rFonts w:ascii="Arial" w:hAnsi="Arial" w:eastAsia="Arial"/>
          <w:b/>
          <w:color w:val="1F4E78"/>
        </w:rPr>
        <w:t xml:space="preserve">R.8 Gate-critical unknown handling test.</w:t>
      </w:r>
    </w:p>
    <w:p>
      <w:pPr>
        <w:pStyle w:val="FirstParagraph"/>
        <w:widowControl/>
      </w:pPr>
      <w:r>
        <w:t xml:space="preserve">Inputs: (A) UNKNOWN_IMPACT in a rights-covered cell in C_r; (B) UNKNOWN_IMPACT in a catastrophe-covered cell in C_cat. Expected output: phantom fallback alone is prohibited. The PCC must record the corresponding audit flag plus either a governed conservative bound or a rerun / downgrade / escalation disposition. Expected flags: RIGHTS_CELL_UNKNOWN_GATE_CRITICAL for case A; CATASTROPHE_CELL_UNKNOWN_GATE_CRITICAL for case B. Conformance result: FAIL if gate resolution is attempted through phantom fallback alone.</w:t>
      </w:r>
    </w:p>
    <w:bookmarkEnd w:id="531"/>
    <w:bookmarkStart w:id="532" w:name="X46f4250c53acd996758f86db6d551977d58c370"/>
    <w:p>
      <w:pPr>
        <w:pStyle w:val="Heading2"/>
        <w:keepNext/>
        <w:keepLines/>
        <w:pageBreakBefore w:val="0"/>
        <w:widowControl/>
      </w:pPr>
      <w:r>
        <w:rPr>
          <w:rFonts w:ascii="Arial" w:hAnsi="Arial" w:eastAsia="Arial"/>
          <w:b/>
          <w:color w:val="1F4E78"/>
        </w:rPr>
        <w:t xml:space="preserve">R.9 Non-maskable floor-baseline persistence test.</w:t>
      </w:r>
    </w:p>
    <w:p>
      <w:pPr>
        <w:pStyle w:val="FirstParagraph"/>
        <w:widowControl/>
      </w:pPr>
      <w:r>
        <w:t xml:space="preserve">Inputs: a rights or catastrophe cell remains in RLS aggregation under the non-maskable persistence rule. PASS case uses floor-reference baseline in welfare scoring or declares a governed dual-baseline exception block. FAIL case uses only status-quo welfare baseline with no governed exception. Expected output: PASS case accepted; FAIL case rejected as non-conformant.</w:t>
      </w:r>
    </w:p>
    <w:bookmarkEnd w:id="532"/>
    <w:bookmarkStart w:id="533" w:name="r10-plss-validator-disclosure-test"/>
    <w:p>
      <w:pPr>
        <w:pStyle w:val="Heading2"/>
        <w:keepNext/>
        <w:keepLines/>
        <w:pageBreakBefore w:val="0"/>
        <w:widowControl/>
      </w:pPr>
      <w:r>
        <w:rPr>
          <w:rFonts w:ascii="Arial" w:hAnsi="Arial" w:eastAsia="Arial"/>
          <w:b/>
          <w:color w:val="1F4E78"/>
        </w:rPr>
        <w:t xml:space="preserve">R.10 PLSS validator disclosure test.</w:t>
      </w:r>
    </w:p>
    <w:p>
      <w:pPr>
        <w:pStyle w:val="FirstParagraph"/>
        <w:widowControl/>
      </w:pPr>
      <w:r>
        <w:t xml:space="preserve">Inputs: a PLSS run with q_u, operator, PCC.PLSS block, and escalation review present. PASS case includes q_u for all scopes, operator declaration, LSS declaration, weight vector, binary posture classification, escalation-trigger assessment, and fallback declaration. FAIL case omits any required field or uses undefined posture vocabulary. Conformance result: PASS only if the full PCC.PLSS disclosure surface is present and internally consistent.</w:t>
      </w:r>
    </w:p>
    <w:bookmarkEnd w:id="533"/>
    <w:bookmarkStart w:id="534" w:name="X2a3ff26b54bb788803fddd27cd4802160153849"/>
    <w:p>
      <w:pPr>
        <w:pStyle w:val="Heading2"/>
        <w:keepNext/>
        <w:keepLines/>
        <w:pageBreakBefore w:val="0"/>
        <w:widowControl/>
      </w:pPr>
      <w:r>
        <w:rPr>
          <w:rFonts w:ascii="Arial" w:hAnsi="Arial" w:eastAsia="Arial"/>
          <w:b/>
          <w:color w:val="1F4E78"/>
        </w:rPr>
        <w:t xml:space="preserve">R.11 Normative input provenance enforcement test.</w:t>
      </w:r>
    </w:p>
    <w:p>
      <w:pPr>
        <w:pStyle w:val="FirstParagraph"/>
        <w:widowControl/>
      </w:pPr>
      <w:r>
        <w:t xml:space="preserve">Inputs: a run in which an enabling condition or rights-relevant state materially affects admissibility or selection, but no corresponding PCC.NormativeInputRegister entry is present.</w:t>
      </w:r>
    </w:p>
    <w:p>
      <w:pPr>
        <w:pStyle w:val="BodyText"/>
        <w:widowControl/>
      </w:pPr>
      <w:r>
        <w:t xml:space="preserve">Expected output: validator sets NORMATIVE_INPUT_PROVENANCE_MISSING and rejects the run as non-conformant.</w:t>
      </w:r>
    </w:p>
    <w:p>
      <w:pPr>
        <w:pStyle w:val="BodyText"/>
        <w:widowControl/>
      </w:pPr>
      <w:r>
        <w:t xml:space="preserve">PASS case: the same run includes a complete NormativeInputRegister entry with evidence basis, affected objects, and, where applicable, precautionary or governed interpretation basis.</w:t>
      </w:r>
    </w:p>
    <w:p>
      <w:pPr>
        <w:pStyle w:val="BodyText"/>
        <w:widowControl/>
      </w:pPr>
      <w:r>
        <w:t xml:space="preserve">Conformance result: PASS only if the validator distinguishes the complete and incomplete cases correctly.</w:t>
      </w:r>
    </w:p>
    <w:bookmarkEnd w:id="534"/>
    <w:bookmarkStart w:id="535" w:name="r12-sgp-v84-human-fpp-recognition-test"/>
    <w:p>
      <w:pPr>
        <w:pStyle w:val="Heading2"/>
        <w:keepNext/>
        <w:keepLines/>
        <w:pageBreakBefore w:val="0"/>
        <w:widowControl/>
      </w:pPr>
      <w:r>
        <w:rPr>
          <w:rFonts w:ascii="Arial" w:hAnsi="Arial" w:eastAsia="Arial"/>
          <w:b/>
          <w:color w:val="1F4E78"/>
        </w:rPr>
        <w:t xml:space="preserve">R.12 SGP v8.4 human FPP recognition test.</w:t>
      </w:r>
    </w:p>
    <w:p>
      <w:pPr>
        <w:pStyle w:val="FirstParagraph"/>
        <w:widowControl/>
      </w:pPr>
      <w:r>
        <w:t xml:space="preserve">Inputs: stakeholder instance k is a human person H; FPP(H)=1; MPS may be NOT EVALUATED. Expected output: RippleLogic uses Welfare interval [1.0,1.0]; Base stream remains h_{k,base}:=1.0 and the human welfare stream remains h_{k,welfare}:=1.0; no admissibility layer is altered. PASS only if no performance or missing-MPS result downgrades protection.</w:t>
      </w:r>
    </w:p>
    <w:bookmarkEnd w:id="535"/>
    <w:bookmarkStart w:id="536" w:name="X74556ff128a0aa59b4e7977b71a55e847cf6aaa"/>
    <w:p>
      <w:pPr>
        <w:pStyle w:val="Heading2"/>
        <w:keepNext/>
        <w:keepLines/>
        <w:pageBreakBefore w:val="0"/>
        <w:widowControl/>
      </w:pPr>
      <w:r>
        <w:rPr>
          <w:rFonts w:ascii="Arial" w:hAnsi="Arial" w:eastAsia="Arial"/>
          <w:b/>
          <w:color w:val="1F4E78"/>
        </w:rPr>
        <w:t xml:space="preserve">R.12A humanity collective RMCP-P100 non-collapse test.</w:t>
      </w:r>
    </w:p>
    <w:p>
      <w:pPr>
        <w:pStyle w:val="FirstParagraph"/>
        <w:widowControl/>
      </w:pPr>
      <w:r>
        <w:t xml:space="preserve">Inputs: humanity is evaluated as a collective RMCP-P100 calibration anchor; an individual human has unknown or limited individual ICP/RMCP; no SPR or lawful mandate is supplied. Expected output: every human retains FPP-100; the collective RMCP record remains informative; no individual-capacity inflation, CMIU membership, command authority, or role assignment is inferred. PASS only if the dual-anchor distinction is preserved.</w:t>
      </w:r>
    </w:p>
    <w:bookmarkEnd w:id="536"/>
    <w:bookmarkStart w:id="537" w:name="r12b-open-cross-substrate-p100-test"/>
    <w:p>
      <w:pPr>
        <w:pStyle w:val="Heading2"/>
        <w:keepNext/>
        <w:keepLines/>
        <w:pageBreakBefore w:val="0"/>
        <w:widowControl/>
      </w:pPr>
      <w:r>
        <w:rPr>
          <w:rFonts w:ascii="Arial" w:hAnsi="Arial" w:eastAsia="Arial"/>
          <w:b/>
          <w:color w:val="1F4E78"/>
        </w:rPr>
        <w:t xml:space="preserve">R.12B open cross-substrate P100 test.</w:t>
      </w:r>
    </w:p>
    <w:p>
      <w:pPr>
        <w:pStyle w:val="FirstParagraph"/>
        <w:widowControl/>
      </w:pPr>
      <w:r>
        <w:t xml:space="preserve">Inputs: a biological, digital, hybrid, collective, or extraterrestrial candidate has a valid RMCP profile at least functionally equivalent to the human collective anchor, with independent review and critical-dimension floors satisfied. Expected output: P100 MAY be assigned without human-likeness requirements; the candidate does not receive FPP, CMIU membership, or authority solely from P100; superior capacity remains represented inside P100 rather than creating a 101 caste. PASS only if the plateau is open and non-dominating.</w:t>
      </w:r>
    </w:p>
    <w:bookmarkEnd w:id="537"/>
    <w:bookmarkStart w:id="538" w:name="r13-high-mps--low-gpr-separation-test"/>
    <w:p>
      <w:pPr>
        <w:pStyle w:val="Heading2"/>
        <w:keepNext/>
        <w:keepLines/>
        <w:pageBreakBefore w:val="0"/>
        <w:widowControl/>
      </w:pPr>
      <w:r>
        <w:rPr>
          <w:rFonts w:ascii="Arial" w:hAnsi="Arial" w:eastAsia="Arial"/>
          <w:b/>
          <w:color w:val="1F4E78"/>
        </w:rPr>
        <w:t xml:space="preserve">R.13 High MPS / low GPR separation test.</w:t>
      </w:r>
    </w:p>
    <w:p>
      <w:pPr>
        <w:pStyle w:val="FirstParagraph"/>
        <w:widowControl/>
      </w:pPr>
      <w:r>
        <w:t xml:space="preserve">Inputs: valid SGP record reports MPS-3 interval [0.60,0.79], GPR-1, no SPR role. Expected output: strong welfare and integrity protection;</w:t>
      </w:r>
      <w:r>
        <w:t xml:space="preserve"> </w:t>
      </w:r>
      <w:r>
        <w:rPr>
          <w:rStyle w:val="VerbatimChar"/>
        </w:rPr>
        <w:t xml:space="preserve">h=1</w:t>
      </w:r>
      <w:r>
        <w:t xml:space="preserve"> </w:t>
      </w:r>
      <w:r>
        <w:t xml:space="preserve">is the primary Welfare-stream inclusion posture.</w:t>
      </w:r>
      <w:r>
        <w:t xml:space="preserve"> </w:t>
      </w:r>
      <w:r>
        <w:rPr>
          <w:rStyle w:val="VerbatimChar"/>
        </w:rPr>
        <w:t xml:space="preserve">h=0</w:t>
      </w:r>
      <w:r>
        <w:t xml:space="preserve"> </w:t>
      </w:r>
      <w:r>
        <w:t xml:space="preserve">is evaluated only where exclusion remains evidentially admissible and decision-material under the valid SGP record. The values 0.60 and 0.79 are evidence-support interval endpoints and MUST NOT be inserted as welfare multipliers. Low GPR does not lower protection; no authority is inferred.</w:t>
      </w:r>
    </w:p>
    <w:bookmarkEnd w:id="538"/>
    <w:bookmarkStart w:id="539" w:name="r14-high-icp--low-mps-non-inference-test"/>
    <w:p>
      <w:pPr>
        <w:pStyle w:val="Heading2"/>
        <w:keepNext/>
        <w:keepLines/>
        <w:pageBreakBefore w:val="0"/>
        <w:widowControl/>
      </w:pPr>
      <w:r>
        <w:rPr>
          <w:rFonts w:ascii="Arial" w:hAnsi="Arial" w:eastAsia="Arial"/>
          <w:b/>
          <w:color w:val="1F4E78"/>
        </w:rPr>
        <w:t xml:space="preserve">R.14 High ICP / low MPS non-inference test.</w:t>
      </w:r>
    </w:p>
    <w:p>
      <w:pPr>
        <w:pStyle w:val="FirstParagraph"/>
        <w:widowControl/>
      </w:pPr>
      <w:r>
        <w:t xml:space="preserve">Inputs: versioned AI system has high ICP in selected domains, MPS-0/1 with low confidence, FPP=0. Expected output: ICP may support competence analysis but MUST NOT raise MPS, create FPP, or grant authority. Any SPR role remains separately gated.</w:t>
      </w:r>
    </w:p>
    <w:bookmarkEnd w:id="539"/>
    <w:bookmarkStart w:id="540" w:name="r15-mps-hypothesis-sensitivity-test"/>
    <w:p>
      <w:pPr>
        <w:pStyle w:val="Heading2"/>
        <w:keepNext/>
        <w:keepLines/>
        <w:pageBreakBefore w:val="0"/>
        <w:widowControl/>
      </w:pPr>
      <w:r>
        <w:rPr>
          <w:rFonts w:ascii="Arial" w:hAnsi="Arial" w:eastAsia="Arial"/>
          <w:b/>
          <w:color w:val="1F4E78"/>
        </w:rPr>
        <w:t xml:space="preserve">R.15 MPS hypothesis-sensitivity test.</w:t>
      </w:r>
    </w:p>
    <w:p>
      <w:pPr>
        <w:pStyle w:val="FirstParagraph"/>
        <w:widowControl/>
      </w:pPr>
      <w:r>
        <w:t xml:space="preserve">Inputs: an otherwise valid run whose RLS preference changes across the governed welfare-inclusion hypotheses required by a stakeholder’s MPS evidence record. Expected output:</w:t>
      </w:r>
      <w:r>
        <w:t xml:space="preserve"> </w:t>
      </w:r>
      <w:r>
        <w:rPr>
          <w:rStyle w:val="VerbatimChar"/>
        </w:rPr>
        <w:t xml:space="preserve">MPS_HYPOTHESIS_SENSITIVE</w:t>
      </w:r>
      <w:r>
        <w:t xml:space="preserve">; PCC logs affected outputs and uses a permitted disposition. FAIL if a convenient intermediate coefficient is selected or hypothesis sensitivity is suppressed.</w:t>
      </w:r>
    </w:p>
    <w:bookmarkEnd w:id="540"/>
    <w:bookmarkStart w:id="541" w:name="r16-fpp-without-cmiu-or-authority-test"/>
    <w:p>
      <w:pPr>
        <w:pStyle w:val="Heading2"/>
        <w:keepNext/>
        <w:keepLines/>
        <w:pageBreakBefore w:val="0"/>
        <w:widowControl/>
      </w:pPr>
      <w:r>
        <w:rPr>
          <w:rFonts w:ascii="Arial" w:hAnsi="Arial" w:eastAsia="Arial"/>
          <w:b/>
          <w:color w:val="1F4E78"/>
        </w:rPr>
        <w:t xml:space="preserve">R.16 FPP without CMIU or authority test.</w:t>
      </w:r>
    </w:p>
    <w:p>
      <w:pPr>
        <w:pStyle w:val="FirstParagraph"/>
        <w:widowControl/>
      </w:pPr>
      <w:r>
        <w:t xml:space="preserve">Inputs: non-human entity has explicit FPP and [1,1] welfare interval, but no GPR/SPR or institutional mandate. Expected output: full protection recognized; no CMIU membership, office, command, or consequential authority inferred.</w:t>
      </w:r>
    </w:p>
    <w:bookmarkEnd w:id="541"/>
    <w:bookmarkStart w:id="542" w:name="Xec19eda0dc3e65c1308d625a094f5d7cd4fe03f"/>
    <w:p>
      <w:pPr>
        <w:pStyle w:val="Heading2"/>
        <w:keepNext/>
        <w:keepLines/>
        <w:pageBreakBefore w:val="0"/>
        <w:widowControl/>
      </w:pPr>
      <w:r>
        <w:rPr>
          <w:rFonts w:ascii="Arial" w:hAnsi="Arial" w:eastAsia="Arial"/>
          <w:b/>
          <w:color w:val="1F4E78"/>
        </w:rPr>
        <w:t xml:space="preserve">R.17 Missing SGP binding integrity fail test.</w:t>
      </w:r>
    </w:p>
    <w:p>
      <w:pPr>
        <w:pStyle w:val="FirstParagraph"/>
        <w:widowControl/>
      </w:pPr>
      <w:r>
        <w:t xml:space="preserve">Inputs: run claims SGP-aware protection or welfare-hypothesis sensitivity but omits the valid record, target boundary, MPS band/interval, or required hypotheses evaluated. Expected output: PCC INVALID with SGP_BINDING_INTEGRITY_FAIL; no silent fallback to MPS-0, zero, a convenient coefficient, or a v7 scalar.</w:t>
      </w:r>
    </w:p>
    <w:bookmarkEnd w:id="542"/>
    <w:bookmarkStart w:id="543" w:name="r18-legacy-v7-non-equivalence-test"/>
    <w:p>
      <w:pPr>
        <w:pStyle w:val="Heading2"/>
        <w:keepNext/>
        <w:keepLines/>
        <w:pageBreakBefore w:val="0"/>
        <w:widowControl/>
      </w:pPr>
      <w:r>
        <w:rPr>
          <w:rFonts w:ascii="Arial" w:hAnsi="Arial" w:eastAsia="Arial"/>
          <w:b/>
          <w:color w:val="1F4E78"/>
        </w:rPr>
        <w:t xml:space="preserve">R.18 Legacy v7 non-equivalence test.</w:t>
      </w:r>
    </w:p>
    <w:p>
      <w:pPr>
        <w:pStyle w:val="FirstParagraph"/>
        <w:widowControl/>
      </w:pPr>
      <w:r>
        <w:t xml:space="preserve">Inputs: only a pinned v7</w:t>
      </w:r>
      <w:r>
        <w:t xml:space="preserve"> </w:t>
      </w:r>
      <w:r>
        <w:rPr>
          <w:rStyle w:val="VerbatimChar"/>
        </w:rPr>
        <w:t xml:space="preserve">SG_norm(E)=0.84</w:t>
      </w:r>
      <w:r>
        <w:t xml:space="preserve"> </w:t>
      </w:r>
      <w:r>
        <w:t xml:space="preserve">record is supplied. Expected output: record remains historical/audit-visible; RippleLogic refuses translation to MPS/FPP/GPR/SPR/ICP/RMCP/P100 without documented v8.4 re-evaluation. No current SGP-aware weighting claim is permitted.</w:t>
      </w:r>
    </w:p>
    <w:bookmarkEnd w:id="543"/>
    <w:bookmarkStart w:id="544" w:name="X3d5c95bd869f02ffffa59753d49f23ddde961c6"/>
    <w:p>
      <w:pPr>
        <w:pStyle w:val="Heading2"/>
        <w:keepNext/>
        <w:keepLines/>
        <w:pageBreakBefore w:val="0"/>
        <w:widowControl/>
      </w:pPr>
      <w:r>
        <w:rPr>
          <w:rFonts w:ascii="Arial" w:hAnsi="Arial" w:eastAsia="Arial"/>
          <w:b/>
          <w:color w:val="1F4E78"/>
        </w:rPr>
        <w:t xml:space="preserve">R.19 End-to-end cascade integration test (Tier 2+, complete gate sequence).</w:t>
      </w:r>
    </w:p>
    <w:p>
      <w:pPr>
        <w:pStyle w:val="FirstParagraph"/>
        <w:widowControl/>
      </w:pPr>
      <w:r>
        <w:t xml:space="preserve">Purpose: Verify that an implementation correctly executes the full cascade from impact construction through NCRC, TRC, CSV, and RLS on a single option set, with expected intermediate and final outputs at every gate.</w:t>
      </w:r>
    </w:p>
    <w:bookmarkEnd w:id="544"/>
    <w:bookmarkStart w:id="545" w:name="Xcd96c98ef1c020c3b5e1504ceff406f0e6597d3"/>
    <w:p>
      <w:pPr>
        <w:pStyle w:val="Heading2"/>
        <w:keepNext/>
        <w:keepLines/>
        <w:pageBreakBefore w:val="0"/>
        <w:widowControl/>
      </w:pPr>
      <w:r>
        <w:rPr>
          <w:rFonts w:ascii="Arial" w:hAnsi="Arial" w:eastAsia="Arial"/>
          <w:b/>
          <w:color w:val="1F4E78"/>
        </w:rPr>
        <w:t>R.19 scope limitation (Normative for this vector). R.19 is a deliberately incomplete reference vector for arithmetic and cascade-integration testing. It omits the Financial-collapse and Major-conflict mandatory tail families so that a conforming implementation must surface MANDATORY_TAIL_CATEGORY_MISSING. The vector is not a complete claim-bearing TRC deployment record and may not be used as evidence that a real scenario library is complete.</w:t>
      </w:r>
    </w:p>
    <w:p>
      <w:pPr>
        <w:pStyle w:val="FirstParagraph"/>
        <w:widowControl/>
      </w:pPr>
      <w:r>
        <w:t xml:space="preserve">Decision context: Organisation evaluating three AI deployment governance options.</w:t>
      </w:r>
    </w:p>
    <w:bookmarkEnd w:id="545"/>
    <w:bookmarkStart w:id="546" w:name="r191-run-configuration"/>
    <w:p>
      <w:pPr>
        <w:pStyle w:val="Heading2"/>
        <w:keepNext/>
        <w:keepLines/>
        <w:pageBreakBefore w:val="0"/>
        <w:widowControl/>
      </w:pPr>
      <w:r>
        <w:rPr>
          <w:rFonts w:ascii="Arial" w:hAnsi="Arial" w:eastAsia="Arial"/>
          <w:b/>
          <w:color w:val="1F4E78"/>
        </w:rPr>
        <w:t xml:space="preserve">R.19.1 Run configuration</w:t>
      </w:r>
    </w:p>
    <w:p>
      <w:pPr>
        <w:pStyle w:val="FirstParagraph"/>
        <w:widowControl/>
      </w:pPr>
      <w:r>
        <w:t xml:space="preserve">Propagation mode: NONE.</w:t>
      </w:r>
    </w:p>
    <w:p>
      <w:pPr>
        <w:pStyle w:val="BodyText"/>
        <w:widowControl/>
      </w:pPr>
      <w:r>
        <w:t xml:space="preserve">Saturation: beta = 2 (direct), beta_prop = 1 (not used under NONE).</w:t>
      </w:r>
    </w:p>
    <w:p>
      <w:pPr>
        <w:pStyle w:val="BodyText"/>
        <w:widowControl/>
      </w:pPr>
      <w:r>
        <w:t xml:space="preserve">Subgroup limitation: gamma_subgroup = 1.5 (conservative bound for rights-covered cells).</w:t>
      </w:r>
    </w:p>
    <w:p>
      <w:pPr>
        <w:widowControl/>
      </w:pPr>
      <w:r>
        <w:t>NCRC vector convention: numerical values in rights-covered cells are separately declared as non-attenuated I_RF_base summaries for the applicable rights; this does not authorize automatic reuse of Welfare/Base-stream values in a deployment.</w:t>
      </w:r>
    </w:p>
    <w:p>
      <w:pPr>
        <w:pStyle w:val="BodyText"/>
        <w:widowControl/>
      </w:pPr>
      <w:r>
        <w:t xml:space="preserve">TRC parameters: alpha = 0.95 (tail mass = 0.05), tau_TRC = 0.20 (organisational context).</w:t>
      </w:r>
    </w:p>
    <w:p>
      <w:pPr>
        <w:pStyle w:val="BodyText"/>
        <w:widowControl/>
      </w:pPr>
      <w:r>
        <w:t xml:space="preserve">Containment: tau_c = -0.10, theta_pos = 0.05, D_c = 2, v_d^cont = 1/7 (uniform).</w:t>
      </w:r>
    </w:p>
    <w:p>
      <w:pPr>
        <w:pStyle w:val="BodyText"/>
        <w:widowControl/>
      </w:pPr>
      <w:r>
        <w:t xml:space="preserve">Weights: uniform interim (Section 13.1 floors plus uniform residual allocation per Appendix P).</w:t>
      </w:r>
    </w:p>
    <w:p>
      <w:pPr>
        <w:pStyle w:val="BodyText"/>
        <w:widowControl/>
      </w:pPr>
      <w:r>
        <w:t xml:space="preserve">Union weights: w = (0.248571, 0.108571, 0.108571, 0.108571, 0.128571, 0.148571, 0.148571).</w:t>
      </w:r>
    </w:p>
    <w:p>
      <w:pPr>
        <w:pStyle w:val="BodyText"/>
        <w:widowControl/>
      </w:pPr>
      <w:r>
        <w:t xml:space="preserve">Dimension weights: v = (0.137143, 0.157143, 0.137143, 0.137143, 0.157143, 0.117143, 0.157143).</w:t>
      </w:r>
    </w:p>
    <w:p>
      <w:pPr>
        <w:pStyle w:val="BodyText"/>
        <w:widowControl/>
      </w:pPr>
      <w:r>
        <w:t xml:space="preserve">Rounding convention: displayed weights are rounded to six decimal places. Reproduction SHOULD use the displayed values for this public vector; the resulting sums may differ from 1 only by the displayed rounding tolerance.</w:t>
      </w:r>
    </w:p>
    <w:p>
      <w:pPr>
        <w:pStyle w:val="BodyText"/>
        <w:widowControl/>
      </w:pPr>
      <w:r>
        <w:t xml:space="preserve">SGP: not applicable (all stakeholders human; h_k=1 throughout).</w:t>
      </w:r>
    </w:p>
    <w:bookmarkEnd w:id="546"/>
    <w:bookmarkStart w:id="547" w:name="Xd5f02e6333dfbfbca639b3de86e7c3162766a0c"/>
    <w:p>
      <w:pPr>
        <w:pStyle w:val="Heading2"/>
        <w:keepNext/>
        <w:keepLines/>
        <w:pageBreakBefore w:val="0"/>
        <w:widowControl/>
      </w:pPr>
      <w:r>
        <w:rPr>
          <w:rFonts w:ascii="Arial" w:hAnsi="Arial" w:eastAsia="Arial"/>
          <w:b/>
          <w:color w:val="1F4E78"/>
        </w:rPr>
        <w:t xml:space="preserve">R.19.2 Explicitly modeled nonzero cells and active-mask posture</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Scope x Dimension</w:t>
            </w:r>
          </w:p>
        </w:tc>
        <w:tc>
          <w:tcPr>
            <w:shd w:fill="1F4E78" w:val="clear"/>
            <w:tcMar>
              <w:top w:w="80" w:type="dxa"/>
              <w:start w:w="90" w:type="dxa"/>
              <w:bottom w:w="80" w:type="dxa"/>
              <w:end w:w="90" w:type="dxa"/>
            </w:tcMar>
          </w:tcPr>
          <w:p>
            <w:pPr>
              <w:pStyle w:val="Compact"/>
              <w:jc w:val="left"/>
            </w:pPr>
            <w:r>
              <w:rPr>
                <w:b/>
                <w:bCs/>
                <w:color w:val="FFFFFF"/>
              </w:rPr>
              <w:t xml:space="preserve">Rights coverage</w:t>
            </w:r>
          </w:p>
        </w:tc>
        <w:tc>
          <w:tcPr>
            <w:shd w:fill="1F4E78" w:val="clear"/>
            <w:tcMar>
              <w:top w:w="80" w:type="dxa"/>
              <w:start w:w="90" w:type="dxa"/>
              <w:bottom w:w="80" w:type="dxa"/>
              <w:end w:w="90" w:type="dxa"/>
            </w:tcMar>
          </w:tcPr>
          <w:p>
            <w:pPr>
              <w:pStyle w:val="Compact"/>
              <w:jc w:val="left"/>
            </w:pPr>
            <w:r>
              <w:rPr>
                <w:b/>
                <w:bCs/>
                <w:color w:val="FFFFFF"/>
              </w:rPr>
              <w:t xml:space="preserve">Catastrophe</w:t>
            </w:r>
          </w:p>
        </w:tc>
      </w:tr>
      <w:tr>
        <w:trPr/>
        <w:tc>
          <w:tcPr>
            <w:tcMar>
              <w:top w:w="80" w:type="dxa"/>
              <w:start w:w="90" w:type="dxa"/>
              <w:bottom w:w="80" w:type="dxa"/>
              <w:end w:w="90" w:type="dxa"/>
            </w:tcMar>
            <w:shd w:fill="F7FBFF" w:val="clear"/>
          </w:tcPr>
          <w:p>
            <w:pPr>
              <w:pStyle w:val="Compact"/>
              <w:jc w:val="left"/>
            </w:pPr>
            <w:r>
              <w:t xml:space="preserve">U1xD5</w:t>
            </w:r>
          </w:p>
        </w:tc>
        <w:tc>
          <w:tcPr>
            <w:tcMar>
              <w:top w:w="80" w:type="dxa"/>
              <w:start w:w="90" w:type="dxa"/>
              <w:bottom w:w="80" w:type="dxa"/>
              <w:end w:w="90" w:type="dxa"/>
            </w:tcMar>
            <w:shd w:fill="F7FBFF" w:val="clear"/>
          </w:tcPr>
          <w:p>
            <w:pPr>
              <w:pStyle w:val="Compact"/>
              <w:jc w:val="left"/>
            </w:pPr>
            <w:r>
              <w:t xml:space="preserve">Self x Agency</w:t>
            </w:r>
          </w:p>
        </w:tc>
        <w:tc>
          <w:tcPr>
            <w:tcMar>
              <w:top w:w="80" w:type="dxa"/>
              <w:start w:w="90" w:type="dxa"/>
              <w:bottom w:w="80" w:type="dxa"/>
              <w:end w:w="90" w:type="dxa"/>
            </w:tcMar>
            <w:shd w:fill="F7FBFF" w:val="clear"/>
          </w:tcPr>
          <w:p>
            <w:pPr>
              <w:pStyle w:val="Compact"/>
              <w:jc w:val="left"/>
            </w:pPr>
            <w:r>
              <w:t xml:space="preserve">LBTY, DIGN, INFO</w:t>
            </w:r>
          </w:p>
        </w:tc>
        <w:tc>
          <w:tcPr>
            <w:tcMar>
              <w:top w:w="80" w:type="dxa"/>
              <w:start w:w="90" w:type="dxa"/>
              <w:bottom w:w="80" w:type="dxa"/>
              <w:end w:w="90" w:type="dxa"/>
            </w:tcMar>
            <w:shd w:fill="F7FBFF" w:val="clear"/>
          </w:tcPr>
          <w:p>
            <w:pPr>
              <w:pStyle w:val="Compact"/>
              <w:jc w:val="left"/>
            </w:pPr>
            <w:r>
              <w:t xml:space="preserve">-</w:t>
            </w:r>
          </w:p>
        </w:tc>
      </w:tr>
      <w:tr>
        <w:trPr/>
        <w:tc>
          <w:tcPr>
            <w:tcMar>
              <w:top w:w="80" w:type="dxa"/>
              <w:start w:w="90" w:type="dxa"/>
              <w:bottom w:w="80" w:type="dxa"/>
              <w:end w:w="90" w:type="dxa"/>
            </w:tcMar>
            <w:shd w:fill="D9EAF7" w:val="clear"/>
          </w:tcPr>
          <w:p>
            <w:pPr>
              <w:pStyle w:val="Compact"/>
              <w:jc w:val="left"/>
            </w:pPr>
            <w:r>
              <w:t xml:space="preserve">U4xD1</w:t>
            </w:r>
          </w:p>
        </w:tc>
        <w:tc>
          <w:tcPr>
            <w:tcMar>
              <w:top w:w="80" w:type="dxa"/>
              <w:start w:w="90" w:type="dxa"/>
              <w:bottom w:w="80" w:type="dxa"/>
              <w:end w:w="90" w:type="dxa"/>
            </w:tcMar>
            <w:shd w:fill="D9EAF7" w:val="clear"/>
          </w:tcPr>
          <w:p>
            <w:pPr>
              <w:pStyle w:val="Compact"/>
              <w:jc w:val="left"/>
            </w:pPr>
            <w:r>
              <w:t xml:space="preserve">Organisation x Material</w:t>
            </w:r>
          </w:p>
        </w:tc>
        <w:tc>
          <w:tcPr>
            <w:tcMar>
              <w:top w:w="80" w:type="dxa"/>
              <w:start w:w="90" w:type="dxa"/>
              <w:bottom w:w="80" w:type="dxa"/>
              <w:end w:w="90" w:type="dxa"/>
            </w:tcMar>
            <w:shd w:fill="D9EAF7" w:val="clear"/>
          </w:tcPr>
          <w:p>
            <w:pPr>
              <w:pStyle w:val="Compact"/>
              <w:jc w:val="left"/>
            </w:pPr>
            <w:r>
              <w:t xml:space="preserve">-</w:t>
            </w:r>
          </w:p>
        </w:tc>
        <w:tc>
          <w:tcPr>
            <w:tcMar>
              <w:top w:w="80" w:type="dxa"/>
              <w:start w:w="90" w:type="dxa"/>
              <w:bottom w:w="80" w:type="dxa"/>
              <w:end w:w="90" w:type="dxa"/>
            </w:tcMar>
            <w:shd w:fill="D9EAF7" w:val="clear"/>
          </w:tcPr>
          <w:p>
            <w:pPr>
              <w:pStyle w:val="Compact"/>
              <w:jc w:val="left"/>
            </w:pPr>
            <w:r>
              <w:t xml:space="preserve">-</w:t>
            </w:r>
          </w:p>
        </w:tc>
      </w:tr>
      <w:tr>
        <w:trPr/>
        <w:tc>
          <w:tcPr>
            <w:tcMar>
              <w:top w:w="80" w:type="dxa"/>
              <w:start w:w="90" w:type="dxa"/>
              <w:bottom w:w="80" w:type="dxa"/>
              <w:end w:w="90" w:type="dxa"/>
            </w:tcMar>
            <w:shd w:fill="F7FBFF" w:val="clear"/>
          </w:tcPr>
          <w:p>
            <w:pPr>
              <w:pStyle w:val="Compact"/>
              <w:jc w:val="left"/>
            </w:pPr>
            <w:r>
              <w:t xml:space="preserve">U4xD5</w:t>
            </w:r>
          </w:p>
        </w:tc>
        <w:tc>
          <w:tcPr>
            <w:tcMar>
              <w:top w:w="80" w:type="dxa"/>
              <w:start w:w="90" w:type="dxa"/>
              <w:bottom w:w="80" w:type="dxa"/>
              <w:end w:w="90" w:type="dxa"/>
            </w:tcMar>
            <w:shd w:fill="F7FBFF" w:val="clear"/>
          </w:tcPr>
          <w:p>
            <w:pPr>
              <w:pStyle w:val="Compact"/>
              <w:jc w:val="left"/>
            </w:pPr>
            <w:r>
              <w:t xml:space="preserve">Organisation x Agency</w:t>
            </w:r>
          </w:p>
        </w:tc>
        <w:tc>
          <w:tcPr>
            <w:tcMar>
              <w:top w:w="80" w:type="dxa"/>
              <w:start w:w="90" w:type="dxa"/>
              <w:bottom w:w="80" w:type="dxa"/>
              <w:end w:w="90" w:type="dxa"/>
            </w:tcMar>
            <w:shd w:fill="F7FBFF" w:val="clear"/>
          </w:tcPr>
          <w:p>
            <w:pPr>
              <w:pStyle w:val="Compact"/>
              <w:jc w:val="left"/>
            </w:pPr>
            <w:r>
              <w:t xml:space="preserve">LBTY, DIGN, PROC, INFO</w:t>
            </w:r>
          </w:p>
        </w:tc>
        <w:tc>
          <w:tcPr>
            <w:tcMar>
              <w:top w:w="80" w:type="dxa"/>
              <w:start w:w="90" w:type="dxa"/>
              <w:bottom w:w="80" w:type="dxa"/>
              <w:end w:w="90" w:type="dxa"/>
            </w:tcMar>
            <w:shd w:fill="F7FBFF" w:val="clear"/>
          </w:tcPr>
          <w:p>
            <w:pPr>
              <w:pStyle w:val="Compact"/>
              <w:jc w:val="left"/>
            </w:pPr>
            <w:r>
              <w:t xml:space="preserve">-</w:t>
            </w:r>
          </w:p>
        </w:tc>
      </w:tr>
      <w:tr>
        <w:trPr/>
        <w:tc>
          <w:tcPr>
            <w:tcMar>
              <w:top w:w="80" w:type="dxa"/>
              <w:start w:w="90" w:type="dxa"/>
              <w:bottom w:w="80" w:type="dxa"/>
              <w:end w:w="90" w:type="dxa"/>
            </w:tcMar>
            <w:shd w:fill="D9EAF7" w:val="clear"/>
          </w:tcPr>
          <w:p>
            <w:pPr>
              <w:pStyle w:val="Compact"/>
              <w:jc w:val="left"/>
            </w:pPr>
            <w:r>
              <w:t xml:space="preserve">U5xD5</w:t>
            </w:r>
          </w:p>
        </w:tc>
        <w:tc>
          <w:tcPr>
            <w:tcMar>
              <w:top w:w="80" w:type="dxa"/>
              <w:start w:w="90" w:type="dxa"/>
              <w:bottom w:w="80" w:type="dxa"/>
              <w:end w:w="90" w:type="dxa"/>
            </w:tcMar>
            <w:shd w:fill="D9EAF7" w:val="clear"/>
          </w:tcPr>
          <w:p>
            <w:pPr>
              <w:pStyle w:val="Compact"/>
              <w:jc w:val="left"/>
            </w:pPr>
            <w:r>
              <w:t xml:space="preserve">Polity x Agency</w:t>
            </w:r>
          </w:p>
        </w:tc>
        <w:tc>
          <w:tcPr>
            <w:tcMar>
              <w:top w:w="80" w:type="dxa"/>
              <w:start w:w="90" w:type="dxa"/>
              <w:bottom w:w="80" w:type="dxa"/>
              <w:end w:w="90" w:type="dxa"/>
            </w:tcMar>
            <w:shd w:fill="D9EAF7" w:val="clear"/>
          </w:tcPr>
          <w:p>
            <w:pPr>
              <w:pStyle w:val="Compact"/>
              <w:jc w:val="left"/>
            </w:pPr>
            <w:r>
              <w:t xml:space="preserve">LBTY, DIGN, PROC, INFO</w:t>
            </w:r>
          </w:p>
        </w:tc>
        <w:tc>
          <w:tcPr>
            <w:tcMar>
              <w:top w:w="80" w:type="dxa"/>
              <w:start w:w="90" w:type="dxa"/>
              <w:bottom w:w="80" w:type="dxa"/>
              <w:end w:w="90" w:type="dxa"/>
            </w:tcMar>
            <w:shd w:fill="D9EAF7" w:val="clear"/>
          </w:tcPr>
          <w:p>
            <w:pPr>
              <w:pStyle w:val="Compact"/>
              <w:jc w:val="left"/>
            </w:pPr>
            <w:r>
              <w:t xml:space="preserve">-</w:t>
            </w:r>
          </w:p>
        </w:tc>
      </w:tr>
      <w:tr>
        <w:trPr/>
        <w:tc>
          <w:tcPr>
            <w:tcMar>
              <w:top w:w="80" w:type="dxa"/>
              <w:start w:w="90" w:type="dxa"/>
              <w:bottom w:w="80" w:type="dxa"/>
              <w:end w:w="90" w:type="dxa"/>
            </w:tcMar>
            <w:shd w:fill="F7FBFF" w:val="clear"/>
          </w:tcPr>
          <w:p>
            <w:pPr>
              <w:pStyle w:val="Compact"/>
              <w:jc w:val="left"/>
            </w:pPr>
            <w:r>
              <w:t xml:space="preserve">U6xD2</w:t>
            </w:r>
          </w:p>
        </w:tc>
        <w:tc>
          <w:tcPr>
            <w:tcMar>
              <w:top w:w="80" w:type="dxa"/>
              <w:start w:w="90" w:type="dxa"/>
              <w:bottom w:w="80" w:type="dxa"/>
              <w:end w:w="90" w:type="dxa"/>
            </w:tcMar>
            <w:shd w:fill="F7FBFF" w:val="clear"/>
          </w:tcPr>
          <w:p>
            <w:pPr>
              <w:pStyle w:val="Compact"/>
              <w:jc w:val="left"/>
            </w:pPr>
            <w:r>
              <w:t xml:space="preserve">Humanity x Health</w:t>
            </w:r>
          </w:p>
        </w:tc>
        <w:tc>
          <w:tcPr>
            <w:tcMar>
              <w:top w:w="80" w:type="dxa"/>
              <w:start w:w="90" w:type="dxa"/>
              <w:bottom w:w="80" w:type="dxa"/>
              <w:end w:w="90" w:type="dxa"/>
            </w:tcMar>
            <w:shd w:fill="F7FBFF" w:val="clear"/>
          </w:tcPr>
          <w:p>
            <w:pPr>
              <w:pStyle w:val="Compact"/>
              <w:jc w:val="left"/>
            </w:pPr>
            <w:r>
              <w:t xml:space="preserve">LIFE, BODY, NEED</w:t>
            </w:r>
          </w:p>
        </w:tc>
        <w:tc>
          <w:tcPr>
            <w:tcMar>
              <w:top w:w="80" w:type="dxa"/>
              <w:start w:w="90" w:type="dxa"/>
              <w:bottom w:w="80" w:type="dxa"/>
              <w:end w:w="90" w:type="dxa"/>
            </w:tcMar>
            <w:shd w:fill="F7FBFF" w:val="clear"/>
          </w:tcPr>
          <w:p>
            <w:pPr>
              <w:pStyle w:val="Compact"/>
              <w:jc w:val="left"/>
            </w:pPr>
            <w:r>
              <w:t xml:space="preserve">C_cat</w:t>
            </w:r>
          </w:p>
        </w:tc>
      </w:tr>
      <w:tr>
        <w:trPr/>
        <w:tc>
          <w:tcPr>
            <w:tcMar>
              <w:top w:w="80" w:type="dxa"/>
              <w:start w:w="90" w:type="dxa"/>
              <w:bottom w:w="80" w:type="dxa"/>
              <w:end w:w="90" w:type="dxa"/>
            </w:tcMar>
            <w:shd w:fill="D9EAF7" w:val="clear"/>
          </w:tcPr>
          <w:p>
            <w:pPr>
              <w:pStyle w:val="Compact"/>
              <w:jc w:val="left"/>
            </w:pPr>
            <w:r>
              <w:t xml:space="preserve">U6xD5</w:t>
            </w:r>
          </w:p>
        </w:tc>
        <w:tc>
          <w:tcPr>
            <w:tcMar>
              <w:top w:w="80" w:type="dxa"/>
              <w:start w:w="90" w:type="dxa"/>
              <w:bottom w:w="80" w:type="dxa"/>
              <w:end w:w="90" w:type="dxa"/>
            </w:tcMar>
            <w:shd w:fill="D9EAF7" w:val="clear"/>
          </w:tcPr>
          <w:p>
            <w:pPr>
              <w:pStyle w:val="Compact"/>
              <w:jc w:val="left"/>
            </w:pPr>
            <w:r>
              <w:t xml:space="preserve">Humanity x Agency</w:t>
            </w:r>
          </w:p>
        </w:tc>
        <w:tc>
          <w:tcPr>
            <w:tcMar>
              <w:top w:w="80" w:type="dxa"/>
              <w:start w:w="90" w:type="dxa"/>
              <w:bottom w:w="80" w:type="dxa"/>
              <w:end w:w="90" w:type="dxa"/>
            </w:tcMar>
            <w:shd w:fill="D9EAF7" w:val="clear"/>
          </w:tcPr>
          <w:p>
            <w:pPr>
              <w:pStyle w:val="Compact"/>
              <w:jc w:val="left"/>
            </w:pPr>
            <w:r>
              <w:t xml:space="preserve">LBTY, DIGN, PROC, INFO</w:t>
            </w:r>
          </w:p>
        </w:tc>
        <w:tc>
          <w:tcPr>
            <w:tcMar>
              <w:top w:w="80" w:type="dxa"/>
              <w:start w:w="90" w:type="dxa"/>
              <w:bottom w:w="80" w:type="dxa"/>
              <w:end w:w="90" w:type="dxa"/>
            </w:tcMar>
            <w:shd w:fill="D9EAF7" w:val="clear"/>
          </w:tcPr>
          <w:p>
            <w:pPr>
              <w:pStyle w:val="Compact"/>
              <w:jc w:val="left"/>
            </w:pPr>
            <w:r>
              <w:t xml:space="preserve">-</w:t>
            </w:r>
          </w:p>
        </w:tc>
      </w:tr>
      <w:tr>
        <w:trPr/>
        <w:tc>
          <w:tcPr>
            <w:tcMar>
              <w:top w:w="80" w:type="dxa"/>
              <w:start w:w="90" w:type="dxa"/>
              <w:bottom w:w="80" w:type="dxa"/>
              <w:end w:w="90" w:type="dxa"/>
            </w:tcMar>
            <w:shd w:fill="F7FBFF" w:val="clear"/>
          </w:tcPr>
          <w:p>
            <w:pPr>
              <w:pStyle w:val="Compact"/>
              <w:jc w:val="left"/>
            </w:pPr>
            <w:r>
              <w:t xml:space="preserve">U6xD7</w:t>
            </w:r>
          </w:p>
        </w:tc>
        <w:tc>
          <w:tcPr>
            <w:tcMar>
              <w:top w:w="80" w:type="dxa"/>
              <w:start w:w="90" w:type="dxa"/>
              <w:bottom w:w="80" w:type="dxa"/>
              <w:end w:w="90" w:type="dxa"/>
            </w:tcMar>
            <w:shd w:fill="F7FBFF" w:val="clear"/>
          </w:tcPr>
          <w:p>
            <w:pPr>
              <w:pStyle w:val="Compact"/>
              <w:jc w:val="left"/>
            </w:pPr>
            <w:r>
              <w:t xml:space="preserve">Humanity x Environment</w:t>
            </w:r>
          </w:p>
        </w:tc>
        <w:tc>
          <w:tcPr>
            <w:tcMar>
              <w:top w:w="80" w:type="dxa"/>
              <w:start w:w="90" w:type="dxa"/>
              <w:bottom w:w="80" w:type="dxa"/>
              <w:end w:w="90" w:type="dxa"/>
            </w:tcMar>
            <w:shd w:fill="F7FBFF" w:val="clear"/>
          </w:tcPr>
          <w:p>
            <w:pPr>
              <w:pStyle w:val="Compact"/>
              <w:jc w:val="left"/>
            </w:pPr>
            <w:r>
              <w:t xml:space="preserve">LIFE, ECOL</w:t>
            </w:r>
          </w:p>
        </w:tc>
        <w:tc>
          <w:tcPr>
            <w:tcMar>
              <w:top w:w="80" w:type="dxa"/>
              <w:start w:w="90" w:type="dxa"/>
              <w:bottom w:w="80" w:type="dxa"/>
              <w:end w:w="90" w:type="dxa"/>
            </w:tcMar>
            <w:shd w:fill="F7FBFF" w:val="clear"/>
          </w:tcPr>
          <w:p>
            <w:pPr>
              <w:pStyle w:val="Compact"/>
              <w:jc w:val="left"/>
            </w:pPr>
            <w:r>
              <w:t xml:space="preserve">C_cat</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U7xD7</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Biosphere x Environment</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ECOL</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C_cat</w:t>
            </w:r>
          </w:p>
        </w:tc>
      </w:tr>
    </w:tbl>
    <w:p>
      <w:pPr>
        <w:pStyle w:val="BodyText"/>
        <w:widowControl/>
      </w:pPr>
      <w:r>
        <w:t>For the NCRC floor channel, the numerical values in rights-covered cells are separately declared as non-attenuated I_RF_base summaries for the applicable rights. This compact vector convention does not authorize automatic reuse of Welfare/Base-stream values in a deployment.</w:t>
        <w:br/>
        <w:br/>
        <w:t>The full 49-cell RLS mask is active for this arithmetic vector: m(u,d)=1 for every cell, so the effective active weight mass is Q=1 under κ(u,d)=1. The eight cells above are the explicitly modeled gate-relevant or nonzero cells. Every other cell is an explicit evidence-backed baseline-zero entry, including all required rights-covered and catastrophe cells. Catastrophe weights: omega=1/3 each (uniform over C_cat).</w:t>
      </w:r>
    </w:p>
    <w:bookmarkEnd w:id="547"/>
    <w:bookmarkStart w:id="548" w:name="r193-options-and-i_prop_base-values"/>
    <w:p>
      <w:pPr>
        <w:pStyle w:val="Heading2"/>
        <w:keepNext/>
        <w:keepLines/>
        <w:pageBreakBefore w:val="0"/>
        <w:widowControl/>
      </w:pPr>
      <w:r>
        <w:rPr>
          <w:rFonts w:ascii="Arial" w:hAnsi="Arial" w:eastAsia="Arial"/>
          <w:b/>
          <w:color w:val="1F4E78"/>
        </w:rPr>
        <w:t>R.19.3 Options and Base-stream values</w:t>
      </w:r>
    </w:p>
    <w:p>
      <w:pPr>
        <w:pStyle w:val="FirstParagraph"/>
        <w:widowControl/>
      </w:pPr>
      <w:r>
        <w:t xml:space="preserve">Option A (deploy without safeguards):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I_prop_base</w:t>
            </w:r>
          </w:p>
        </w:tc>
      </w:tr>
      <w:tr>
        <w:trPr/>
        <w:tc>
          <w:tcPr>
            <w:tcMar>
              <w:top w:w="80" w:type="dxa"/>
              <w:start w:w="90" w:type="dxa"/>
              <w:bottom w:w="80" w:type="dxa"/>
              <w:end w:w="90" w:type="dxa"/>
            </w:tcMar>
            <w:shd w:fill="F7FBFF" w:val="clear"/>
          </w:tcPr>
          <w:p>
            <w:pPr>
              <w:pStyle w:val="Compact"/>
              <w:jc w:val="left"/>
            </w:pPr>
            <w:r>
              <w:t xml:space="preserve">U1xD5</w:t>
            </w:r>
          </w:p>
        </w:tc>
        <w:tc>
          <w:tcPr>
            <w:tcMar>
              <w:top w:w="80" w:type="dxa"/>
              <w:start w:w="90" w:type="dxa"/>
              <w:bottom w:w="80" w:type="dxa"/>
              <w:end w:w="90" w:type="dxa"/>
            </w:tcMar>
            <w:shd w:fill="F7FBFF" w:val="clear"/>
          </w:tcPr>
          <w:p>
            <w:pPr>
              <w:pStyle w:val="Compact"/>
              <w:jc w:val="left"/>
            </w:pPr>
            <w:r>
              <w:t xml:space="preserve">-0.70</w:t>
            </w:r>
          </w:p>
        </w:tc>
      </w:tr>
      <w:tr>
        <w:trPr/>
        <w:tc>
          <w:tcPr>
            <w:tcMar>
              <w:top w:w="80" w:type="dxa"/>
              <w:start w:w="90" w:type="dxa"/>
              <w:bottom w:w="80" w:type="dxa"/>
              <w:end w:w="90" w:type="dxa"/>
            </w:tcMar>
            <w:shd w:fill="D9EAF7" w:val="clear"/>
          </w:tcPr>
          <w:p>
            <w:pPr>
              <w:pStyle w:val="Compact"/>
              <w:jc w:val="left"/>
            </w:pPr>
            <w:r>
              <w:t xml:space="preserve">U4xD1</w:t>
            </w:r>
          </w:p>
        </w:tc>
        <w:tc>
          <w:tcPr>
            <w:tcMar>
              <w:top w:w="80" w:type="dxa"/>
              <w:start w:w="90" w:type="dxa"/>
              <w:bottom w:w="80" w:type="dxa"/>
              <w:end w:w="90" w:type="dxa"/>
            </w:tcMar>
            <w:shd w:fill="D9EAF7" w:val="clear"/>
          </w:tcPr>
          <w:p>
            <w:pPr>
              <w:pStyle w:val="Compact"/>
              <w:jc w:val="left"/>
            </w:pPr>
            <w:r>
              <w:t xml:space="preserve">+0.30</w:t>
            </w:r>
          </w:p>
        </w:tc>
      </w:tr>
      <w:tr>
        <w:trPr/>
        <w:tc>
          <w:tcPr>
            <w:tcMar>
              <w:top w:w="80" w:type="dxa"/>
              <w:start w:w="90" w:type="dxa"/>
              <w:bottom w:w="80" w:type="dxa"/>
              <w:end w:w="90" w:type="dxa"/>
            </w:tcMar>
            <w:shd w:fill="F7FBFF" w:val="clear"/>
          </w:tcPr>
          <w:p>
            <w:pPr>
              <w:pStyle w:val="Compact"/>
              <w:jc w:val="left"/>
            </w:pPr>
            <w:r>
              <w:t xml:space="preserve">U4xD5</w:t>
            </w:r>
          </w:p>
        </w:tc>
        <w:tc>
          <w:tcPr>
            <w:tcMar>
              <w:top w:w="80" w:type="dxa"/>
              <w:start w:w="90" w:type="dxa"/>
              <w:bottom w:w="80" w:type="dxa"/>
              <w:end w:w="90" w:type="dxa"/>
            </w:tcMar>
            <w:shd w:fill="F7FBFF" w:val="clear"/>
          </w:tcPr>
          <w:p>
            <w:pPr>
              <w:pStyle w:val="Compact"/>
              <w:jc w:val="left"/>
            </w:pPr>
            <w:r>
              <w:t xml:space="preserve">-0.50</w:t>
            </w:r>
          </w:p>
        </w:tc>
      </w:tr>
      <w:tr>
        <w:trPr/>
        <w:tc>
          <w:tcPr>
            <w:tcMar>
              <w:top w:w="80" w:type="dxa"/>
              <w:start w:w="90" w:type="dxa"/>
              <w:bottom w:w="80" w:type="dxa"/>
              <w:end w:w="90" w:type="dxa"/>
            </w:tcMar>
            <w:shd w:fill="D9EAF7" w:val="clear"/>
          </w:tcPr>
          <w:p>
            <w:pPr>
              <w:pStyle w:val="Compact"/>
              <w:jc w:val="left"/>
            </w:pPr>
            <w:r>
              <w:t xml:space="preserve">U5xD5</w:t>
            </w:r>
          </w:p>
        </w:tc>
        <w:tc>
          <w:tcPr>
            <w:tcMar>
              <w:top w:w="80" w:type="dxa"/>
              <w:start w:w="90" w:type="dxa"/>
              <w:bottom w:w="80" w:type="dxa"/>
              <w:end w:w="90" w:type="dxa"/>
            </w:tcMar>
            <w:shd w:fill="D9EAF7" w:val="clear"/>
          </w:tcPr>
          <w:p>
            <w:pPr>
              <w:pStyle w:val="Compact"/>
              <w:jc w:val="left"/>
            </w:pPr>
            <w:r>
              <w:t xml:space="preserve">-0.35</w:t>
            </w:r>
          </w:p>
        </w:tc>
      </w:tr>
      <w:tr>
        <w:trPr/>
        <w:tc>
          <w:tcPr>
            <w:tcMar>
              <w:top w:w="80" w:type="dxa"/>
              <w:start w:w="90" w:type="dxa"/>
              <w:bottom w:w="80" w:type="dxa"/>
              <w:end w:w="90" w:type="dxa"/>
            </w:tcMar>
            <w:shd w:fill="F7FBFF" w:val="clear"/>
          </w:tcPr>
          <w:p>
            <w:pPr>
              <w:pStyle w:val="Compact"/>
              <w:jc w:val="left"/>
            </w:pPr>
            <w:r>
              <w:t xml:space="preserve">U6xD2</w:t>
            </w:r>
          </w:p>
        </w:tc>
        <w:tc>
          <w:tcPr>
            <w:tcMar>
              <w:top w:w="80" w:type="dxa"/>
              <w:start w:w="90" w:type="dxa"/>
              <w:bottom w:w="80" w:type="dxa"/>
              <w:end w:w="90" w:type="dxa"/>
            </w:tcMar>
            <w:shd w:fill="F7FBFF" w:val="clear"/>
          </w:tcPr>
          <w:p>
            <w:pPr>
              <w:pStyle w:val="Compact"/>
              <w:jc w:val="left"/>
            </w:pPr>
            <w:r>
              <w:t xml:space="preserve">-0.05</w:t>
            </w:r>
          </w:p>
        </w:tc>
      </w:tr>
      <w:tr>
        <w:trPr/>
        <w:tc>
          <w:tcPr>
            <w:tcMar>
              <w:top w:w="80" w:type="dxa"/>
              <w:start w:w="90" w:type="dxa"/>
              <w:bottom w:w="80" w:type="dxa"/>
              <w:end w:w="90" w:type="dxa"/>
            </w:tcMar>
            <w:shd w:fill="D9EAF7" w:val="clear"/>
          </w:tcPr>
          <w:p>
            <w:pPr>
              <w:pStyle w:val="Compact"/>
              <w:jc w:val="left"/>
            </w:pPr>
            <w:r>
              <w:t xml:space="preserve">U6xD5</w:t>
            </w:r>
          </w:p>
        </w:tc>
        <w:tc>
          <w:tcPr>
            <w:tcMar>
              <w:top w:w="80" w:type="dxa"/>
              <w:start w:w="90" w:type="dxa"/>
              <w:bottom w:w="80" w:type="dxa"/>
              <w:end w:w="90" w:type="dxa"/>
            </w:tcMar>
            <w:shd w:fill="D9EAF7" w:val="clear"/>
          </w:tcPr>
          <w:p>
            <w:pPr>
              <w:pStyle w:val="Compact"/>
              <w:jc w:val="left"/>
            </w:pPr>
            <w:r>
              <w:t xml:space="preserve">-0.20</w:t>
            </w:r>
          </w:p>
        </w:tc>
      </w:tr>
      <w:tr>
        <w:trPr/>
        <w:tc>
          <w:tcPr>
            <w:tcMar>
              <w:top w:w="80" w:type="dxa"/>
              <w:start w:w="90" w:type="dxa"/>
              <w:bottom w:w="80" w:type="dxa"/>
              <w:end w:w="90" w:type="dxa"/>
            </w:tcMar>
            <w:shd w:fill="F7FBFF" w:val="clear"/>
          </w:tcPr>
          <w:p>
            <w:pPr>
              <w:pStyle w:val="Compact"/>
              <w:jc w:val="left"/>
            </w:pPr>
            <w:r>
              <w:t xml:space="preserve">U6xD7</w:t>
            </w:r>
          </w:p>
        </w:tc>
        <w:tc>
          <w:tcPr>
            <w:tcMar>
              <w:top w:w="80" w:type="dxa"/>
              <w:start w:w="90" w:type="dxa"/>
              <w:bottom w:w="80" w:type="dxa"/>
              <w:end w:w="90" w:type="dxa"/>
            </w:tcMar>
            <w:shd w:fill="F7FBFF" w:val="clear"/>
          </w:tcPr>
          <w:p>
            <w:pPr>
              <w:pStyle w:val="Compact"/>
              <w:jc w:val="left"/>
            </w:pPr>
            <w:r>
              <w:t xml:space="preserve">-0.02</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U7xD7</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0.00</w:t>
            </w:r>
          </w:p>
        </w:tc>
      </w:tr>
    </w:tbl>
    <w:p>
      <w:pPr>
        <w:pStyle w:val="BodyText"/>
        <w:widowControl/>
      </w:pPr>
      <w:r>
        <w:t xml:space="preserve">Option B (safeguards plus aggressive scaling):</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I_prop_base</w:t>
            </w:r>
          </w:p>
        </w:tc>
      </w:tr>
      <w:tr>
        <w:trPr/>
        <w:tc>
          <w:tcPr>
            <w:tcMar>
              <w:top w:w="80" w:type="dxa"/>
              <w:start w:w="90" w:type="dxa"/>
              <w:bottom w:w="80" w:type="dxa"/>
              <w:end w:w="90" w:type="dxa"/>
            </w:tcMar>
            <w:shd w:fill="F7FBFF" w:val="clear"/>
          </w:tcPr>
          <w:p>
            <w:pPr>
              <w:pStyle w:val="Compact"/>
              <w:jc w:val="left"/>
            </w:pPr>
            <w:r>
              <w:t xml:space="preserve">U1xD5</w:t>
            </w:r>
          </w:p>
        </w:tc>
        <w:tc>
          <w:tcPr>
            <w:tcMar>
              <w:top w:w="80" w:type="dxa"/>
              <w:start w:w="90" w:type="dxa"/>
              <w:bottom w:w="80" w:type="dxa"/>
              <w:end w:w="90" w:type="dxa"/>
            </w:tcMar>
            <w:shd w:fill="F7FBFF" w:val="clear"/>
          </w:tcPr>
          <w:p>
            <w:pPr>
              <w:pStyle w:val="Compact"/>
              <w:jc w:val="left"/>
            </w:pPr>
            <w:r>
              <w:t xml:space="preserve">-0.10</w:t>
            </w:r>
          </w:p>
        </w:tc>
      </w:tr>
      <w:tr>
        <w:trPr/>
        <w:tc>
          <w:tcPr>
            <w:tcMar>
              <w:top w:w="80" w:type="dxa"/>
              <w:start w:w="90" w:type="dxa"/>
              <w:bottom w:w="80" w:type="dxa"/>
              <w:end w:w="90" w:type="dxa"/>
            </w:tcMar>
            <w:shd w:fill="D9EAF7" w:val="clear"/>
          </w:tcPr>
          <w:p>
            <w:pPr>
              <w:pStyle w:val="Compact"/>
              <w:jc w:val="left"/>
            </w:pPr>
            <w:r>
              <w:t xml:space="preserve">U4xD1</w:t>
            </w:r>
          </w:p>
        </w:tc>
        <w:tc>
          <w:tcPr>
            <w:tcMar>
              <w:top w:w="80" w:type="dxa"/>
              <w:start w:w="90" w:type="dxa"/>
              <w:bottom w:w="80" w:type="dxa"/>
              <w:end w:w="90" w:type="dxa"/>
            </w:tcMar>
            <w:shd w:fill="D9EAF7" w:val="clear"/>
          </w:tcPr>
          <w:p>
            <w:pPr>
              <w:pStyle w:val="Compact"/>
              <w:jc w:val="left"/>
            </w:pPr>
            <w:r>
              <w:t xml:space="preserve">+0.25</w:t>
            </w:r>
          </w:p>
        </w:tc>
      </w:tr>
      <w:tr>
        <w:trPr/>
        <w:tc>
          <w:tcPr>
            <w:tcMar>
              <w:top w:w="80" w:type="dxa"/>
              <w:start w:w="90" w:type="dxa"/>
              <w:bottom w:w="80" w:type="dxa"/>
              <w:end w:w="90" w:type="dxa"/>
            </w:tcMar>
            <w:shd w:fill="F7FBFF" w:val="clear"/>
          </w:tcPr>
          <w:p>
            <w:pPr>
              <w:pStyle w:val="Compact"/>
              <w:jc w:val="left"/>
            </w:pPr>
            <w:r>
              <w:t xml:space="preserve">U4xD5</w:t>
            </w:r>
          </w:p>
        </w:tc>
        <w:tc>
          <w:tcPr>
            <w:tcMar>
              <w:top w:w="80" w:type="dxa"/>
              <w:start w:w="90" w:type="dxa"/>
              <w:bottom w:w="80" w:type="dxa"/>
              <w:end w:w="90" w:type="dxa"/>
            </w:tcMar>
            <w:shd w:fill="F7FBFF" w:val="clear"/>
          </w:tcPr>
          <w:p>
            <w:pPr>
              <w:pStyle w:val="Compact"/>
              <w:jc w:val="left"/>
            </w:pPr>
            <w:r>
              <w:t xml:space="preserve">+0.15</w:t>
            </w:r>
          </w:p>
        </w:tc>
      </w:tr>
      <w:tr>
        <w:trPr/>
        <w:tc>
          <w:tcPr>
            <w:tcMar>
              <w:top w:w="80" w:type="dxa"/>
              <w:start w:w="90" w:type="dxa"/>
              <w:bottom w:w="80" w:type="dxa"/>
              <w:end w:w="90" w:type="dxa"/>
            </w:tcMar>
            <w:shd w:fill="D9EAF7" w:val="clear"/>
          </w:tcPr>
          <w:p>
            <w:pPr>
              <w:pStyle w:val="Compact"/>
              <w:jc w:val="left"/>
            </w:pPr>
            <w:r>
              <w:t xml:space="preserve">U5xD5</w:t>
            </w:r>
          </w:p>
        </w:tc>
        <w:tc>
          <w:tcPr>
            <w:tcMar>
              <w:top w:w="80" w:type="dxa"/>
              <w:start w:w="90" w:type="dxa"/>
              <w:bottom w:w="80" w:type="dxa"/>
              <w:end w:w="90" w:type="dxa"/>
            </w:tcMar>
            <w:shd w:fill="D9EAF7" w:val="clear"/>
          </w:tcPr>
          <w:p>
            <w:pPr>
              <w:pStyle w:val="Compact"/>
              <w:jc w:val="left"/>
            </w:pPr>
            <w:r>
              <w:t xml:space="preserve">+0.10</w:t>
            </w:r>
          </w:p>
        </w:tc>
      </w:tr>
      <w:tr>
        <w:trPr/>
        <w:tc>
          <w:tcPr>
            <w:tcMar>
              <w:top w:w="80" w:type="dxa"/>
              <w:start w:w="90" w:type="dxa"/>
              <w:bottom w:w="80" w:type="dxa"/>
              <w:end w:w="90" w:type="dxa"/>
            </w:tcMar>
            <w:shd w:fill="F7FBFF" w:val="clear"/>
          </w:tcPr>
          <w:p>
            <w:pPr>
              <w:pStyle w:val="Compact"/>
              <w:jc w:val="left"/>
            </w:pPr>
            <w:r>
              <w:t xml:space="preserve">U6xD2</w:t>
            </w:r>
          </w:p>
        </w:tc>
        <w:tc>
          <w:tcPr>
            <w:tcMar>
              <w:top w:w="80" w:type="dxa"/>
              <w:start w:w="90" w:type="dxa"/>
              <w:bottom w:w="80" w:type="dxa"/>
              <w:end w:w="90" w:type="dxa"/>
            </w:tcMar>
            <w:shd w:fill="F7FBFF" w:val="clear"/>
          </w:tcPr>
          <w:p>
            <w:pPr>
              <w:pStyle w:val="Compact"/>
              <w:jc w:val="left"/>
            </w:pPr>
            <w:r>
              <w:t xml:space="preserve">-0.03</w:t>
            </w:r>
          </w:p>
        </w:tc>
      </w:tr>
      <w:tr>
        <w:trPr/>
        <w:tc>
          <w:tcPr>
            <w:tcMar>
              <w:top w:w="80" w:type="dxa"/>
              <w:start w:w="90" w:type="dxa"/>
              <w:bottom w:w="80" w:type="dxa"/>
              <w:end w:w="90" w:type="dxa"/>
            </w:tcMar>
            <w:shd w:fill="D9EAF7" w:val="clear"/>
          </w:tcPr>
          <w:p>
            <w:pPr>
              <w:pStyle w:val="Compact"/>
              <w:jc w:val="left"/>
            </w:pPr>
            <w:r>
              <w:t xml:space="preserve">U6xD5</w:t>
            </w:r>
          </w:p>
        </w:tc>
        <w:tc>
          <w:tcPr>
            <w:tcMar>
              <w:top w:w="80" w:type="dxa"/>
              <w:start w:w="90" w:type="dxa"/>
              <w:bottom w:w="80" w:type="dxa"/>
              <w:end w:w="90" w:type="dxa"/>
            </w:tcMar>
            <w:shd w:fill="D9EAF7" w:val="clear"/>
          </w:tcPr>
          <w:p>
            <w:pPr>
              <w:pStyle w:val="Compact"/>
              <w:jc w:val="left"/>
            </w:pPr>
            <w:r>
              <w:t xml:space="preserve">+0.05</w:t>
            </w:r>
          </w:p>
        </w:tc>
      </w:tr>
      <w:tr>
        <w:trPr/>
        <w:tc>
          <w:tcPr>
            <w:tcMar>
              <w:top w:w="80" w:type="dxa"/>
              <w:start w:w="90" w:type="dxa"/>
              <w:bottom w:w="80" w:type="dxa"/>
              <w:end w:w="90" w:type="dxa"/>
            </w:tcMar>
            <w:shd w:fill="F7FBFF" w:val="clear"/>
          </w:tcPr>
          <w:p>
            <w:pPr>
              <w:pStyle w:val="Compact"/>
              <w:jc w:val="left"/>
            </w:pPr>
            <w:r>
              <w:t xml:space="preserve">U6xD7</w:t>
            </w:r>
          </w:p>
        </w:tc>
        <w:tc>
          <w:tcPr>
            <w:tcMar>
              <w:top w:w="80" w:type="dxa"/>
              <w:start w:w="90" w:type="dxa"/>
              <w:bottom w:w="80" w:type="dxa"/>
              <w:end w:w="90" w:type="dxa"/>
            </w:tcMar>
            <w:shd w:fill="F7FBFF" w:val="clear"/>
          </w:tcPr>
          <w:p>
            <w:pPr>
              <w:pStyle w:val="Compact"/>
              <w:jc w:val="left"/>
            </w:pPr>
            <w:r>
              <w:t xml:space="preserve">-0.01</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U7xD7</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0.00</w:t>
            </w:r>
          </w:p>
        </w:tc>
      </w:tr>
    </w:tbl>
    <w:p>
      <w:pPr>
        <w:pStyle w:val="BodyText"/>
        <w:widowControl/>
      </w:pPr>
      <w:r>
        <w:t xml:space="preserve">Option C (safeguards plus measured rollout):</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I_prop_base</w:t>
            </w:r>
          </w:p>
        </w:tc>
      </w:tr>
      <w:tr>
        <w:trPr/>
        <w:tc>
          <w:tcPr>
            <w:tcMar>
              <w:top w:w="80" w:type="dxa"/>
              <w:start w:w="90" w:type="dxa"/>
              <w:bottom w:w="80" w:type="dxa"/>
              <w:end w:w="90" w:type="dxa"/>
            </w:tcMar>
            <w:shd w:fill="F7FBFF" w:val="clear"/>
          </w:tcPr>
          <w:p>
            <w:pPr>
              <w:pStyle w:val="Compact"/>
              <w:jc w:val="left"/>
            </w:pPr>
            <w:r>
              <w:t xml:space="preserve">U1xD5</w:t>
            </w:r>
          </w:p>
        </w:tc>
        <w:tc>
          <w:tcPr>
            <w:tcMar>
              <w:top w:w="80" w:type="dxa"/>
              <w:start w:w="90" w:type="dxa"/>
              <w:bottom w:w="80" w:type="dxa"/>
              <w:end w:w="90" w:type="dxa"/>
            </w:tcMar>
            <w:shd w:fill="F7FBFF" w:val="clear"/>
          </w:tcPr>
          <w:p>
            <w:pPr>
              <w:pStyle w:val="Compact"/>
              <w:jc w:val="left"/>
            </w:pPr>
            <w:r>
              <w:t xml:space="preserve">+0.05</w:t>
            </w:r>
          </w:p>
        </w:tc>
      </w:tr>
      <w:tr>
        <w:trPr/>
        <w:tc>
          <w:tcPr>
            <w:tcMar>
              <w:top w:w="80" w:type="dxa"/>
              <w:start w:w="90" w:type="dxa"/>
              <w:bottom w:w="80" w:type="dxa"/>
              <w:end w:w="90" w:type="dxa"/>
            </w:tcMar>
            <w:shd w:fill="D9EAF7" w:val="clear"/>
          </w:tcPr>
          <w:p>
            <w:pPr>
              <w:pStyle w:val="Compact"/>
              <w:jc w:val="left"/>
            </w:pPr>
            <w:r>
              <w:t xml:space="preserve">U4xD1</w:t>
            </w:r>
          </w:p>
        </w:tc>
        <w:tc>
          <w:tcPr>
            <w:tcMar>
              <w:top w:w="80" w:type="dxa"/>
              <w:start w:w="90" w:type="dxa"/>
              <w:bottom w:w="80" w:type="dxa"/>
              <w:end w:w="90" w:type="dxa"/>
            </w:tcMar>
            <w:shd w:fill="D9EAF7" w:val="clear"/>
          </w:tcPr>
          <w:p>
            <w:pPr>
              <w:pStyle w:val="Compact"/>
              <w:jc w:val="left"/>
            </w:pPr>
            <w:r>
              <w:t xml:space="preserve">+0.30</w:t>
            </w:r>
          </w:p>
        </w:tc>
      </w:tr>
      <w:tr>
        <w:trPr/>
        <w:tc>
          <w:tcPr>
            <w:tcMar>
              <w:top w:w="80" w:type="dxa"/>
              <w:start w:w="90" w:type="dxa"/>
              <w:bottom w:w="80" w:type="dxa"/>
              <w:end w:w="90" w:type="dxa"/>
            </w:tcMar>
            <w:shd w:fill="F7FBFF" w:val="clear"/>
          </w:tcPr>
          <w:p>
            <w:pPr>
              <w:pStyle w:val="Compact"/>
              <w:jc w:val="left"/>
            </w:pPr>
            <w:r>
              <w:t xml:space="preserve">U4xD5</w:t>
            </w:r>
          </w:p>
        </w:tc>
        <w:tc>
          <w:tcPr>
            <w:tcMar>
              <w:top w:w="80" w:type="dxa"/>
              <w:start w:w="90" w:type="dxa"/>
              <w:bottom w:w="80" w:type="dxa"/>
              <w:end w:w="90" w:type="dxa"/>
            </w:tcMar>
            <w:shd w:fill="F7FBFF" w:val="clear"/>
          </w:tcPr>
          <w:p>
            <w:pPr>
              <w:pStyle w:val="Compact"/>
              <w:jc w:val="left"/>
            </w:pPr>
            <w:r>
              <w:t xml:space="preserve">+0.12</w:t>
            </w:r>
          </w:p>
        </w:tc>
      </w:tr>
      <w:tr>
        <w:trPr/>
        <w:tc>
          <w:tcPr>
            <w:tcMar>
              <w:top w:w="80" w:type="dxa"/>
              <w:start w:w="90" w:type="dxa"/>
              <w:bottom w:w="80" w:type="dxa"/>
              <w:end w:w="90" w:type="dxa"/>
            </w:tcMar>
            <w:shd w:fill="D9EAF7" w:val="clear"/>
          </w:tcPr>
          <w:p>
            <w:pPr>
              <w:pStyle w:val="Compact"/>
              <w:jc w:val="left"/>
            </w:pPr>
            <w:r>
              <w:t xml:space="preserve">U5xD5</w:t>
            </w:r>
          </w:p>
        </w:tc>
        <w:tc>
          <w:tcPr>
            <w:tcMar>
              <w:top w:w="80" w:type="dxa"/>
              <w:start w:w="90" w:type="dxa"/>
              <w:bottom w:w="80" w:type="dxa"/>
              <w:end w:w="90" w:type="dxa"/>
            </w:tcMar>
            <w:shd w:fill="D9EAF7" w:val="clear"/>
          </w:tcPr>
          <w:p>
            <w:pPr>
              <w:pStyle w:val="Compact"/>
              <w:jc w:val="left"/>
            </w:pPr>
            <w:r>
              <w:t xml:space="preserve">+0.08</w:t>
            </w:r>
          </w:p>
        </w:tc>
      </w:tr>
      <w:tr>
        <w:trPr/>
        <w:tc>
          <w:tcPr>
            <w:tcMar>
              <w:top w:w="80" w:type="dxa"/>
              <w:start w:w="90" w:type="dxa"/>
              <w:bottom w:w="80" w:type="dxa"/>
              <w:end w:w="90" w:type="dxa"/>
            </w:tcMar>
            <w:shd w:fill="F7FBFF" w:val="clear"/>
          </w:tcPr>
          <w:p>
            <w:pPr>
              <w:pStyle w:val="Compact"/>
              <w:jc w:val="left"/>
            </w:pPr>
            <w:r>
              <w:t xml:space="preserve">U6xD2</w:t>
            </w:r>
          </w:p>
        </w:tc>
        <w:tc>
          <w:tcPr>
            <w:tcMar>
              <w:top w:w="80" w:type="dxa"/>
              <w:start w:w="90" w:type="dxa"/>
              <w:bottom w:w="80" w:type="dxa"/>
              <w:end w:w="90" w:type="dxa"/>
            </w:tcMar>
            <w:shd w:fill="F7FBFF" w:val="clear"/>
          </w:tcPr>
          <w:p>
            <w:pPr>
              <w:pStyle w:val="Compact"/>
              <w:jc w:val="left"/>
            </w:pPr>
            <w:r>
              <w:t xml:space="preserve">0.00</w:t>
            </w:r>
          </w:p>
        </w:tc>
      </w:tr>
      <w:tr>
        <w:trPr/>
        <w:tc>
          <w:tcPr>
            <w:tcMar>
              <w:top w:w="80" w:type="dxa"/>
              <w:start w:w="90" w:type="dxa"/>
              <w:bottom w:w="80" w:type="dxa"/>
              <w:end w:w="90" w:type="dxa"/>
            </w:tcMar>
            <w:shd w:fill="D9EAF7" w:val="clear"/>
          </w:tcPr>
          <w:p>
            <w:pPr>
              <w:pStyle w:val="Compact"/>
              <w:jc w:val="left"/>
            </w:pPr>
            <w:r>
              <w:t xml:space="preserve">U6xD5</w:t>
            </w:r>
          </w:p>
        </w:tc>
        <w:tc>
          <w:tcPr>
            <w:tcMar>
              <w:top w:w="80" w:type="dxa"/>
              <w:start w:w="90" w:type="dxa"/>
              <w:bottom w:w="80" w:type="dxa"/>
              <w:end w:w="90" w:type="dxa"/>
            </w:tcMar>
            <w:shd w:fill="D9EAF7" w:val="clear"/>
          </w:tcPr>
          <w:p>
            <w:pPr>
              <w:pStyle w:val="Compact"/>
              <w:jc w:val="left"/>
            </w:pPr>
            <w:r>
              <w:t xml:space="preserve">+0.03</w:t>
            </w:r>
          </w:p>
        </w:tc>
      </w:tr>
      <w:tr>
        <w:trPr/>
        <w:tc>
          <w:tcPr>
            <w:tcMar>
              <w:top w:w="80" w:type="dxa"/>
              <w:start w:w="90" w:type="dxa"/>
              <w:bottom w:w="80" w:type="dxa"/>
              <w:end w:w="90" w:type="dxa"/>
            </w:tcMar>
            <w:shd w:fill="F7FBFF" w:val="clear"/>
          </w:tcPr>
          <w:p>
            <w:pPr>
              <w:pStyle w:val="Compact"/>
              <w:jc w:val="left"/>
            </w:pPr>
            <w:r>
              <w:t xml:space="preserve">U6xD7</w:t>
            </w:r>
          </w:p>
        </w:tc>
        <w:tc>
          <w:tcPr>
            <w:tcMar>
              <w:top w:w="80" w:type="dxa"/>
              <w:start w:w="90" w:type="dxa"/>
              <w:bottom w:w="80" w:type="dxa"/>
              <w:end w:w="90" w:type="dxa"/>
            </w:tcMar>
            <w:shd w:fill="F7FBFF" w:val="clear"/>
          </w:tcPr>
          <w:p>
            <w:pPr>
              <w:pStyle w:val="Compact"/>
              <w:jc w:val="left"/>
            </w:pPr>
            <w:r>
              <w:t xml:space="preserve">0.00</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U7xD7</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0.00</w:t>
            </w:r>
          </w:p>
        </w:tc>
      </w:tr>
    </w:tbl>
    <w:bookmarkEnd w:id="548"/>
    <w:bookmarkStart w:id="549" w:name="r194-expected-ncrc-outcomes"/>
    <w:p>
      <w:pPr>
        <w:pStyle w:val="Heading2"/>
        <w:keepNext/>
        <w:keepLines/>
        <w:pageBreakBefore w:val="0"/>
        <w:widowControl/>
      </w:pPr>
      <w:r>
        <w:rPr>
          <w:rFonts w:ascii="Arial" w:hAnsi="Arial" w:eastAsia="Arial"/>
          <w:b/>
          <w:color w:val="1F4E78"/>
        </w:rPr>
        <w:t xml:space="preserve">R.19.4 Expected NCRC outcomes</w:t>
      </w:r>
    </w:p>
    <w:p>
      <w:pPr>
        <w:pStyle w:val="FirstParagraph"/>
        <w:widowControl/>
      </w:pPr>
      <w:r>
        <w:t xml:space="preserve">The table displays the floor channel</w:t>
      </w:r>
      <w:r>
        <w:t xml:space="preserve"> </w:t>
      </w:r>
      <w:r>
        <w:rPr>
          <w:rStyle w:val="VerbatimChar"/>
        </w:rPr>
        <w:t xml:space="preserve">v_r^floor</w:t>
      </w:r>
      <w:r>
        <w:t xml:space="preserve">. For this deterministic vector,</w:t>
      </w:r>
      <w:r>
        <w:t xml:space="preserve"> </w:t>
      </w:r>
      <w:r>
        <w:rPr>
          <w:rStyle w:val="VerbatimChar"/>
        </w:rPr>
        <w:t xml:space="preserve">v_r^cat=0</w:t>
      </w:r>
      <w:r>
        <w:t xml:space="preserve">,</w:t>
      </w:r>
      <w:r>
        <w:t xml:space="preserve"> </w:t>
      </w:r>
      <w:r>
        <w:rPr>
          <w:rStyle w:val="VerbatimChar"/>
        </w:rPr>
        <w:t xml:space="preserve">v_r^risk=0</w:t>
      </w:r>
      <w:r>
        <w:t xml:space="preserve">,</w:t>
      </w:r>
      <w:r>
        <w:t xml:space="preserve"> </w:t>
      </w:r>
      <w:r>
        <w:rPr>
          <w:rStyle w:val="VerbatimChar"/>
        </w:rPr>
        <w:t xml:space="preserve">rights_evidence_status=COMPLETE</w:t>
      </w:r>
      <w:r>
        <w:t xml:space="preserve">, and all required severe-hazard fields are complete for A, B, and C. The final NCRC status is the conjunction of the floor, categorical, severe-risk, and evidence-completeness conditions.</w:t>
      </w:r>
    </w:p>
    <w:tbl>
      <w:tblPr>
        <w:tblStyle w:val="Table"/>
        <w:tblW w:type="pct" w:w="5000"/>
        <w:jc w:val="left"/>
        <w:tblLook w:firstRow="1" w:lastRow="0" w:firstColumn="0" w:lastColumn="0" w:noHBand="0" w:noVBand="0" w:val="0020"/>
        <w:tblInd w:type="dxa" w:w="0"/>
      </w:tblPr>
      <w:tblGrid>
        <w:gridCol w:w="1584"/>
        <w:gridCol w:w="1584"/>
        <w:gridCol w:w="1584"/>
        <w:gridCol w:w="1584"/>
        <w:gridCol w:w="1584"/>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Right</w:t>
            </w:r>
          </w:p>
        </w:tc>
        <w:tc>
          <w:tcPr>
            <w:shd w:fill="1F4E78" w:val="clear"/>
            <w:tcMar>
              <w:top w:w="80" w:type="dxa"/>
              <w:start w:w="90" w:type="dxa"/>
              <w:bottom w:w="80" w:type="dxa"/>
              <w:end w:w="90" w:type="dxa"/>
            </w:tcMar>
          </w:tcPr>
          <w:p>
            <w:pPr>
              <w:pStyle w:val="Compact"/>
              <w:jc w:val="left"/>
            </w:pPr>
            <w:r>
              <w:rPr>
                <w:b/>
                <w:bCs/>
                <w:color w:val="FFFFFF"/>
              </w:rPr>
              <w:t xml:space="preserve">theta_r</w:t>
            </w:r>
          </w:p>
        </w:tc>
        <w:tc>
          <w:tcPr>
            <w:shd w:fill="1F4E78" w:val="clear"/>
            <w:tcMar>
              <w:top w:w="80" w:type="dxa"/>
              <w:start w:w="90" w:type="dxa"/>
              <w:bottom w:w="80" w:type="dxa"/>
              <w:end w:w="90" w:type="dxa"/>
            </w:tcMar>
          </w:tcPr>
          <w:p>
            <w:pPr>
              <w:pStyle w:val="Compact"/>
              <w:jc w:val="left"/>
            </w:pPr>
            <w:r>
              <w:rPr>
                <w:b/>
                <w:bCs/>
                <w:color w:val="FFFFFF"/>
              </w:rPr>
              <w:t xml:space="preserve">Binding cell</w:t>
            </w:r>
          </w:p>
        </w:tc>
        <w:tc>
          <w:tcPr>
            <w:shd w:fill="1F4E78" w:val="clear"/>
            <w:tcMar>
              <w:top w:w="80" w:type="dxa"/>
              <w:start w:w="90" w:type="dxa"/>
              <w:bottom w:w="80" w:type="dxa"/>
              <w:end w:w="90" w:type="dxa"/>
            </w:tcMar>
          </w:tcPr>
          <w:p>
            <w:pPr>
              <w:pStyle w:val="Compact"/>
              <w:jc w:val="left"/>
            </w:pPr>
            <w:r>
              <w:rPr>
                <w:b/>
                <w:bCs/>
                <w:color w:val="FFFFFF"/>
              </w:rPr>
              <w:t xml:space="preserve">I_rights</w:t>
            </w:r>
          </w:p>
        </w:tc>
        <w:tc>
          <w:tcPr>
            <w:shd w:fill="1F4E78" w:val="clear"/>
            <w:tcMar>
              <w:top w:w="80" w:type="dxa"/>
              <w:start w:w="90" w:type="dxa"/>
              <w:bottom w:w="80" w:type="dxa"/>
              <w:end w:w="90" w:type="dxa"/>
            </w:tcMar>
          </w:tcPr>
          <w:p>
            <w:pPr>
              <w:pStyle w:val="Compact"/>
              <w:jc w:val="left"/>
            </w:pPr>
            <w:r>
              <w:rPr>
                <w:b/>
                <w:bCs/>
                <w:color w:val="FFFFFF"/>
              </w:rPr>
              <w:t xml:space="preserve">v_r^floor(A)</w:t>
            </w:r>
          </w:p>
        </w:tc>
      </w:tr>
      <w:tr>
        <w:trPr/>
        <w:tc>
          <w:tcPr>
            <w:tcMar>
              <w:top w:w="80" w:type="dxa"/>
              <w:start w:w="90" w:type="dxa"/>
              <w:bottom w:w="80" w:type="dxa"/>
              <w:end w:w="90" w:type="dxa"/>
            </w:tcMar>
            <w:shd w:fill="F7FBFF" w:val="clear"/>
          </w:tcPr>
          <w:p>
            <w:pPr>
              <w:pStyle w:val="Compact"/>
              <w:jc w:val="left"/>
            </w:pPr>
            <w:r>
              <w:t xml:space="preserve">LIFE</w:t>
            </w:r>
          </w:p>
        </w:tc>
        <w:tc>
          <w:tcPr>
            <w:tcMar>
              <w:top w:w="80" w:type="dxa"/>
              <w:start w:w="90" w:type="dxa"/>
              <w:bottom w:w="80" w:type="dxa"/>
              <w:end w:w="90" w:type="dxa"/>
            </w:tcMar>
            <w:shd w:fill="F7FBFF" w:val="clear"/>
          </w:tcPr>
          <w:p>
            <w:pPr>
              <w:pStyle w:val="Compact"/>
              <w:jc w:val="left"/>
            </w:pPr>
            <w:r>
              <w:t xml:space="preserve">-0.90</w:t>
            </w:r>
          </w:p>
        </w:tc>
        <w:tc>
          <w:tcPr>
            <w:tcMar>
              <w:top w:w="80" w:type="dxa"/>
              <w:start w:w="90" w:type="dxa"/>
              <w:bottom w:w="80" w:type="dxa"/>
              <w:end w:w="90" w:type="dxa"/>
            </w:tcMar>
            <w:shd w:fill="F7FBFF" w:val="clear"/>
          </w:tcPr>
          <w:p>
            <w:pPr>
              <w:pStyle w:val="Compact"/>
              <w:jc w:val="left"/>
            </w:pPr>
            <w:r>
              <w:t xml:space="preserve">U6xD2</w:t>
            </w:r>
          </w:p>
        </w:tc>
        <w:tc>
          <w:tcPr>
            <w:tcMar>
              <w:top w:w="80" w:type="dxa"/>
              <w:start w:w="90" w:type="dxa"/>
              <w:bottom w:w="80" w:type="dxa"/>
              <w:end w:w="90" w:type="dxa"/>
            </w:tcMar>
            <w:shd w:fill="F7FBFF" w:val="clear"/>
          </w:tcPr>
          <w:p>
            <w:pPr>
              <w:pStyle w:val="Compact"/>
              <w:jc w:val="left"/>
            </w:pPr>
            <w:r>
              <w:t xml:space="preserve">-0.075</w:t>
            </w:r>
          </w:p>
        </w:tc>
        <w:tc>
          <w:tcPr>
            <w:tcMar>
              <w:top w:w="80" w:type="dxa"/>
              <w:start w:w="90" w:type="dxa"/>
              <w:bottom w:w="80" w:type="dxa"/>
              <w:end w:w="90" w:type="dxa"/>
            </w:tcMar>
            <w:shd w:fill="F7FBFF" w:val="clear"/>
          </w:tcPr>
          <w:p>
            <w:pPr>
              <w:pStyle w:val="Compact"/>
              <w:jc w:val="left"/>
            </w:pPr>
            <w:r>
              <w:t xml:space="preserve">0.000</w:t>
            </w:r>
          </w:p>
        </w:tc>
      </w:tr>
      <w:tr>
        <w:trPr/>
        <w:tc>
          <w:tcPr>
            <w:tcMar>
              <w:top w:w="80" w:type="dxa"/>
              <w:start w:w="90" w:type="dxa"/>
              <w:bottom w:w="80" w:type="dxa"/>
              <w:end w:w="90" w:type="dxa"/>
            </w:tcMar>
            <w:shd w:fill="D9EAF7" w:val="clear"/>
          </w:tcPr>
          <w:p>
            <w:pPr>
              <w:pStyle w:val="Compact"/>
              <w:jc w:val="left"/>
            </w:pPr>
            <w:r>
              <w:t xml:space="preserve">BODY</w:t>
            </w:r>
          </w:p>
        </w:tc>
        <w:tc>
          <w:tcPr>
            <w:tcMar>
              <w:top w:w="80" w:type="dxa"/>
              <w:start w:w="90" w:type="dxa"/>
              <w:bottom w:w="80" w:type="dxa"/>
              <w:end w:w="90" w:type="dxa"/>
            </w:tcMar>
            <w:shd w:fill="D9EAF7" w:val="clear"/>
          </w:tcPr>
          <w:p>
            <w:pPr>
              <w:pStyle w:val="Compact"/>
              <w:jc w:val="left"/>
            </w:pPr>
            <w:r>
              <w:t xml:space="preserve">-0.70</w:t>
            </w:r>
          </w:p>
        </w:tc>
        <w:tc>
          <w:tcPr>
            <w:tcMar>
              <w:top w:w="80" w:type="dxa"/>
              <w:start w:w="90" w:type="dxa"/>
              <w:bottom w:w="80" w:type="dxa"/>
              <w:end w:w="90" w:type="dxa"/>
            </w:tcMar>
            <w:shd w:fill="D9EAF7" w:val="clear"/>
          </w:tcPr>
          <w:p>
            <w:pPr>
              <w:pStyle w:val="Compact"/>
              <w:jc w:val="left"/>
            </w:pPr>
            <w:r>
              <w:t xml:space="preserve">U6xD2</w:t>
            </w:r>
          </w:p>
        </w:tc>
        <w:tc>
          <w:tcPr>
            <w:tcMar>
              <w:top w:w="80" w:type="dxa"/>
              <w:start w:w="90" w:type="dxa"/>
              <w:bottom w:w="80" w:type="dxa"/>
              <w:end w:w="90" w:type="dxa"/>
            </w:tcMar>
            <w:shd w:fill="D9EAF7" w:val="clear"/>
          </w:tcPr>
          <w:p>
            <w:pPr>
              <w:pStyle w:val="Compact"/>
              <w:jc w:val="left"/>
            </w:pPr>
            <w:r>
              <w:t xml:space="preserve">-0.075</w:t>
            </w:r>
          </w:p>
        </w:tc>
        <w:tc>
          <w:tcPr>
            <w:tcMar>
              <w:top w:w="80" w:type="dxa"/>
              <w:start w:w="90" w:type="dxa"/>
              <w:bottom w:w="80" w:type="dxa"/>
              <w:end w:w="90" w:type="dxa"/>
            </w:tcMar>
            <w:shd w:fill="D9EAF7" w:val="clear"/>
          </w:tcPr>
          <w:p>
            <w:pPr>
              <w:pStyle w:val="Compact"/>
              <w:jc w:val="left"/>
            </w:pPr>
            <w:r>
              <w:t xml:space="preserve">0.000</w:t>
            </w:r>
          </w:p>
        </w:tc>
      </w:tr>
      <w:tr>
        <w:trPr/>
        <w:tc>
          <w:tcPr>
            <w:tcMar>
              <w:top w:w="80" w:type="dxa"/>
              <w:start w:w="90" w:type="dxa"/>
              <w:bottom w:w="80" w:type="dxa"/>
              <w:end w:w="90" w:type="dxa"/>
            </w:tcMar>
            <w:shd w:fill="F7FBFF" w:val="clear"/>
          </w:tcPr>
          <w:p>
            <w:pPr>
              <w:pStyle w:val="Compact"/>
              <w:jc w:val="left"/>
            </w:pPr>
            <w:r>
              <w:t xml:space="preserve">LBTY</w:t>
            </w:r>
          </w:p>
        </w:tc>
        <w:tc>
          <w:tcPr>
            <w:tcMar>
              <w:top w:w="80" w:type="dxa"/>
              <w:start w:w="90" w:type="dxa"/>
              <w:bottom w:w="80" w:type="dxa"/>
              <w:end w:w="90" w:type="dxa"/>
            </w:tcMar>
            <w:shd w:fill="F7FBFF" w:val="clear"/>
          </w:tcPr>
          <w:p>
            <w:pPr>
              <w:pStyle w:val="Compact"/>
              <w:jc w:val="left"/>
            </w:pPr>
            <w:r>
              <w:t xml:space="preserve">-0.65</w:t>
            </w:r>
          </w:p>
        </w:tc>
        <w:tc>
          <w:tcPr>
            <w:tcMar>
              <w:top w:w="80" w:type="dxa"/>
              <w:start w:w="90" w:type="dxa"/>
              <w:bottom w:w="80" w:type="dxa"/>
              <w:end w:w="90" w:type="dxa"/>
            </w:tcMar>
            <w:shd w:fill="F7FBFF" w:val="clear"/>
          </w:tcPr>
          <w:p>
            <w:pPr>
              <w:pStyle w:val="Compact"/>
              <w:jc w:val="left"/>
            </w:pPr>
            <w:r>
              <w:t xml:space="preserve">U1xD5</w:t>
            </w:r>
          </w:p>
        </w:tc>
        <w:tc>
          <w:tcPr>
            <w:tcMar>
              <w:top w:w="80" w:type="dxa"/>
              <w:start w:w="90" w:type="dxa"/>
              <w:bottom w:w="80" w:type="dxa"/>
              <w:end w:w="90" w:type="dxa"/>
            </w:tcMar>
            <w:shd w:fill="F7FBFF" w:val="clear"/>
          </w:tcPr>
          <w:p>
            <w:pPr>
              <w:pStyle w:val="Compact"/>
              <w:jc w:val="left"/>
            </w:pPr>
            <w:r>
              <w:t xml:space="preserve">-1.000</w:t>
            </w:r>
          </w:p>
        </w:tc>
        <w:tc>
          <w:tcPr>
            <w:tcMar>
              <w:top w:w="80" w:type="dxa"/>
              <w:start w:w="90" w:type="dxa"/>
              <w:bottom w:w="80" w:type="dxa"/>
              <w:end w:w="90" w:type="dxa"/>
            </w:tcMar>
            <w:shd w:fill="F7FBFF" w:val="clear"/>
          </w:tcPr>
          <w:p>
            <w:pPr>
              <w:pStyle w:val="Compact"/>
              <w:jc w:val="left"/>
            </w:pPr>
            <w:r>
              <w:t xml:space="preserve">0.350</w:t>
            </w:r>
          </w:p>
        </w:tc>
      </w:tr>
      <w:tr>
        <w:trPr/>
        <w:tc>
          <w:tcPr>
            <w:tcMar>
              <w:top w:w="80" w:type="dxa"/>
              <w:start w:w="90" w:type="dxa"/>
              <w:bottom w:w="80" w:type="dxa"/>
              <w:end w:w="90" w:type="dxa"/>
            </w:tcMar>
            <w:shd w:fill="D9EAF7" w:val="clear"/>
          </w:tcPr>
          <w:p>
            <w:pPr>
              <w:pStyle w:val="Compact"/>
              <w:jc w:val="left"/>
            </w:pPr>
            <w:r>
              <w:t xml:space="preserve">NEED</w:t>
            </w:r>
          </w:p>
        </w:tc>
        <w:tc>
          <w:tcPr>
            <w:tcMar>
              <w:top w:w="80" w:type="dxa"/>
              <w:start w:w="90" w:type="dxa"/>
              <w:bottom w:w="80" w:type="dxa"/>
              <w:end w:w="90" w:type="dxa"/>
            </w:tcMar>
            <w:shd w:fill="D9EAF7" w:val="clear"/>
          </w:tcPr>
          <w:p>
            <w:pPr>
              <w:pStyle w:val="Compact"/>
              <w:jc w:val="left"/>
            </w:pPr>
            <w:r>
              <w:t xml:space="preserve">-0.50</w:t>
            </w:r>
          </w:p>
        </w:tc>
        <w:tc>
          <w:tcPr>
            <w:tcMar>
              <w:top w:w="80" w:type="dxa"/>
              <w:start w:w="90" w:type="dxa"/>
              <w:bottom w:w="80" w:type="dxa"/>
              <w:end w:w="90" w:type="dxa"/>
            </w:tcMar>
            <w:shd w:fill="D9EAF7" w:val="clear"/>
          </w:tcPr>
          <w:p>
            <w:pPr>
              <w:pStyle w:val="Compact"/>
              <w:jc w:val="left"/>
            </w:pPr>
            <w:r>
              <w:t xml:space="preserve">U6xD2</w:t>
            </w:r>
          </w:p>
        </w:tc>
        <w:tc>
          <w:tcPr>
            <w:tcMar>
              <w:top w:w="80" w:type="dxa"/>
              <w:start w:w="90" w:type="dxa"/>
              <w:bottom w:w="80" w:type="dxa"/>
              <w:end w:w="90" w:type="dxa"/>
            </w:tcMar>
            <w:shd w:fill="D9EAF7" w:val="clear"/>
          </w:tcPr>
          <w:p>
            <w:pPr>
              <w:pStyle w:val="Compact"/>
              <w:jc w:val="left"/>
            </w:pPr>
            <w:r>
              <w:t xml:space="preserve">-0.075</w:t>
            </w:r>
          </w:p>
        </w:tc>
        <w:tc>
          <w:tcPr>
            <w:tcMar>
              <w:top w:w="80" w:type="dxa"/>
              <w:start w:w="90" w:type="dxa"/>
              <w:bottom w:w="80" w:type="dxa"/>
              <w:end w:w="90" w:type="dxa"/>
            </w:tcMar>
            <w:shd w:fill="D9EAF7" w:val="clear"/>
          </w:tcPr>
          <w:p>
            <w:pPr>
              <w:pStyle w:val="Compact"/>
              <w:jc w:val="left"/>
            </w:pPr>
            <w:r>
              <w:t xml:space="preserve">0.000</w:t>
            </w:r>
          </w:p>
        </w:tc>
      </w:tr>
      <w:tr>
        <w:trPr/>
        <w:tc>
          <w:tcPr>
            <w:tcMar>
              <w:top w:w="80" w:type="dxa"/>
              <w:start w:w="90" w:type="dxa"/>
              <w:bottom w:w="80" w:type="dxa"/>
              <w:end w:w="90" w:type="dxa"/>
            </w:tcMar>
            <w:shd w:fill="F7FBFF" w:val="clear"/>
          </w:tcPr>
          <w:p>
            <w:pPr>
              <w:pStyle w:val="Compact"/>
              <w:jc w:val="left"/>
            </w:pPr>
            <w:r>
              <w:t xml:space="preserve">DIGN</w:t>
            </w:r>
          </w:p>
        </w:tc>
        <w:tc>
          <w:tcPr>
            <w:tcMar>
              <w:top w:w="80" w:type="dxa"/>
              <w:start w:w="90" w:type="dxa"/>
              <w:bottom w:w="80" w:type="dxa"/>
              <w:end w:w="90" w:type="dxa"/>
            </w:tcMar>
            <w:shd w:fill="F7FBFF" w:val="clear"/>
          </w:tcPr>
          <w:p>
            <w:pPr>
              <w:pStyle w:val="Compact"/>
              <w:jc w:val="left"/>
            </w:pPr>
            <w:r>
              <w:t xml:space="preserve">-0.55</w:t>
            </w:r>
          </w:p>
        </w:tc>
        <w:tc>
          <w:tcPr>
            <w:tcMar>
              <w:top w:w="80" w:type="dxa"/>
              <w:start w:w="90" w:type="dxa"/>
              <w:bottom w:w="80" w:type="dxa"/>
              <w:end w:w="90" w:type="dxa"/>
            </w:tcMar>
            <w:shd w:fill="F7FBFF" w:val="clear"/>
          </w:tcPr>
          <w:p>
            <w:pPr>
              <w:pStyle w:val="Compact"/>
              <w:jc w:val="left"/>
            </w:pPr>
            <w:r>
              <w:t xml:space="preserve">U1xD5</w:t>
            </w:r>
          </w:p>
        </w:tc>
        <w:tc>
          <w:tcPr>
            <w:tcMar>
              <w:top w:w="80" w:type="dxa"/>
              <w:start w:w="90" w:type="dxa"/>
              <w:bottom w:w="80" w:type="dxa"/>
              <w:end w:w="90" w:type="dxa"/>
            </w:tcMar>
            <w:shd w:fill="F7FBFF" w:val="clear"/>
          </w:tcPr>
          <w:p>
            <w:pPr>
              <w:pStyle w:val="Compact"/>
              <w:jc w:val="left"/>
            </w:pPr>
            <w:r>
              <w:t xml:space="preserve">-1.000</w:t>
            </w:r>
          </w:p>
        </w:tc>
        <w:tc>
          <w:tcPr>
            <w:tcMar>
              <w:top w:w="80" w:type="dxa"/>
              <w:start w:w="90" w:type="dxa"/>
              <w:bottom w:w="80" w:type="dxa"/>
              <w:end w:w="90" w:type="dxa"/>
            </w:tcMar>
            <w:shd w:fill="F7FBFF" w:val="clear"/>
          </w:tcPr>
          <w:p>
            <w:pPr>
              <w:pStyle w:val="Compact"/>
              <w:jc w:val="left"/>
            </w:pPr>
            <w:r>
              <w:t xml:space="preserve">0.450</w:t>
            </w:r>
          </w:p>
        </w:tc>
      </w:tr>
      <w:tr>
        <w:trPr/>
        <w:tc>
          <w:tcPr>
            <w:tcMar>
              <w:top w:w="80" w:type="dxa"/>
              <w:start w:w="90" w:type="dxa"/>
              <w:bottom w:w="80" w:type="dxa"/>
              <w:end w:w="90" w:type="dxa"/>
            </w:tcMar>
            <w:shd w:fill="D9EAF7" w:val="clear"/>
          </w:tcPr>
          <w:p>
            <w:pPr>
              <w:pStyle w:val="Compact"/>
              <w:jc w:val="left"/>
            </w:pPr>
            <w:r>
              <w:t xml:space="preserve">PROC</w:t>
            </w:r>
          </w:p>
        </w:tc>
        <w:tc>
          <w:tcPr>
            <w:tcMar>
              <w:top w:w="80" w:type="dxa"/>
              <w:start w:w="90" w:type="dxa"/>
              <w:bottom w:w="80" w:type="dxa"/>
              <w:end w:w="90" w:type="dxa"/>
            </w:tcMar>
            <w:shd w:fill="D9EAF7" w:val="clear"/>
          </w:tcPr>
          <w:p>
            <w:pPr>
              <w:pStyle w:val="Compact"/>
              <w:jc w:val="left"/>
            </w:pPr>
            <w:r>
              <w:t xml:space="preserve">-0.45</w:t>
            </w:r>
          </w:p>
        </w:tc>
        <w:tc>
          <w:tcPr>
            <w:tcMar>
              <w:top w:w="80" w:type="dxa"/>
              <w:start w:w="90" w:type="dxa"/>
              <w:bottom w:w="80" w:type="dxa"/>
              <w:end w:w="90" w:type="dxa"/>
            </w:tcMar>
            <w:shd w:fill="D9EAF7" w:val="clear"/>
          </w:tcPr>
          <w:p>
            <w:pPr>
              <w:pStyle w:val="Compact"/>
              <w:jc w:val="left"/>
            </w:pPr>
            <w:r>
              <w:t xml:space="preserve">U4xD5</w:t>
            </w:r>
          </w:p>
        </w:tc>
        <w:tc>
          <w:tcPr>
            <w:tcMar>
              <w:top w:w="80" w:type="dxa"/>
              <w:start w:w="90" w:type="dxa"/>
              <w:bottom w:w="80" w:type="dxa"/>
              <w:end w:w="90" w:type="dxa"/>
            </w:tcMar>
            <w:shd w:fill="D9EAF7" w:val="clear"/>
          </w:tcPr>
          <w:p>
            <w:pPr>
              <w:pStyle w:val="Compact"/>
              <w:jc w:val="left"/>
            </w:pPr>
            <w:r>
              <w:t xml:space="preserve">-0.750</w:t>
            </w:r>
          </w:p>
        </w:tc>
        <w:tc>
          <w:tcPr>
            <w:tcMar>
              <w:top w:w="80" w:type="dxa"/>
              <w:start w:w="90" w:type="dxa"/>
              <w:bottom w:w="80" w:type="dxa"/>
              <w:end w:w="90" w:type="dxa"/>
            </w:tcMar>
            <w:shd w:fill="D9EAF7" w:val="clear"/>
          </w:tcPr>
          <w:p>
            <w:pPr>
              <w:pStyle w:val="Compact"/>
              <w:jc w:val="left"/>
            </w:pPr>
            <w:r>
              <w:t xml:space="preserve">0.300</w:t>
            </w:r>
          </w:p>
        </w:tc>
      </w:tr>
      <w:tr>
        <w:trPr/>
        <w:tc>
          <w:tcPr>
            <w:tcMar>
              <w:top w:w="80" w:type="dxa"/>
              <w:start w:w="90" w:type="dxa"/>
              <w:bottom w:w="80" w:type="dxa"/>
              <w:end w:w="90" w:type="dxa"/>
            </w:tcMar>
            <w:shd w:fill="F7FBFF" w:val="clear"/>
          </w:tcPr>
          <w:p>
            <w:pPr>
              <w:pStyle w:val="Compact"/>
              <w:jc w:val="left"/>
            </w:pPr>
            <w:r>
              <w:t xml:space="preserve">INFO</w:t>
            </w:r>
          </w:p>
        </w:tc>
        <w:tc>
          <w:tcPr>
            <w:tcMar>
              <w:top w:w="80" w:type="dxa"/>
              <w:start w:w="90" w:type="dxa"/>
              <w:bottom w:w="80" w:type="dxa"/>
              <w:end w:w="90" w:type="dxa"/>
            </w:tcMar>
            <w:shd w:fill="F7FBFF" w:val="clear"/>
          </w:tcPr>
          <w:p>
            <w:pPr>
              <w:pStyle w:val="Compact"/>
              <w:jc w:val="left"/>
            </w:pPr>
            <w:r>
              <w:t xml:space="preserve">-0.40</w:t>
            </w:r>
          </w:p>
        </w:tc>
        <w:tc>
          <w:tcPr>
            <w:tcMar>
              <w:top w:w="80" w:type="dxa"/>
              <w:start w:w="90" w:type="dxa"/>
              <w:bottom w:w="80" w:type="dxa"/>
              <w:end w:w="90" w:type="dxa"/>
            </w:tcMar>
            <w:shd w:fill="F7FBFF" w:val="clear"/>
          </w:tcPr>
          <w:p>
            <w:pPr>
              <w:pStyle w:val="Compact"/>
              <w:jc w:val="left"/>
            </w:pPr>
            <w:r>
              <w:t xml:space="preserve">U1xD5</w:t>
            </w:r>
          </w:p>
        </w:tc>
        <w:tc>
          <w:tcPr>
            <w:tcMar>
              <w:top w:w="80" w:type="dxa"/>
              <w:start w:w="90" w:type="dxa"/>
              <w:bottom w:w="80" w:type="dxa"/>
              <w:end w:w="90" w:type="dxa"/>
            </w:tcMar>
            <w:shd w:fill="F7FBFF" w:val="clear"/>
          </w:tcPr>
          <w:p>
            <w:pPr>
              <w:pStyle w:val="Compact"/>
              <w:jc w:val="left"/>
            </w:pPr>
            <w:r>
              <w:t xml:space="preserve">-1.000</w:t>
            </w:r>
          </w:p>
        </w:tc>
        <w:tc>
          <w:tcPr>
            <w:tcMar>
              <w:top w:w="80" w:type="dxa"/>
              <w:start w:w="90" w:type="dxa"/>
              <w:bottom w:w="80" w:type="dxa"/>
              <w:end w:w="90" w:type="dxa"/>
            </w:tcMar>
            <w:shd w:fill="F7FBFF" w:val="clear"/>
          </w:tcPr>
          <w:p>
            <w:pPr>
              <w:pStyle w:val="Compact"/>
              <w:jc w:val="left"/>
            </w:pPr>
            <w:r>
              <w:t xml:space="preserve">0.600</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ECOL</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-0.65</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U6xD7</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-0.030</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0.000</w:t>
            </w:r>
          </w:p>
        </w:tc>
      </w:tr>
    </w:tbl>
    <w:p>
      <w:pPr>
        <w:pStyle w:val="BodyText"/>
        <w:widowControl/>
      </w:pPr>
      <w:r>
        <w:t xml:space="preserve">NCRC(A) = FALSE. Violations: LBTY, DIGN, PROC, INFO.</w:t>
      </w:r>
    </w:p>
    <w:p>
      <w:pPr>
        <w:pStyle w:val="BodyText"/>
        <w:widowControl/>
      </w:pPr>
      <w:r>
        <w:t xml:space="preserve">Option B (expected: PASS): worst relevant right values remain above thresholds; NCRC(B) = TRUE.</w:t>
      </w:r>
    </w:p>
    <w:p>
      <w:pPr>
        <w:pStyle w:val="BodyText"/>
        <w:widowControl/>
      </w:pPr>
      <w:r>
        <w:t xml:space="preserve">Option C (expected: PASS): all I_rights values are non-negative or mildly negative and remain above thresholds; NCRC(C) = TRUE.</w:t>
      </w:r>
    </w:p>
    <w:p>
      <w:pPr>
        <w:pStyle w:val="BodyText"/>
        <w:widowControl/>
      </w:pPr>
      <w:r>
        <w:t xml:space="preserve">A_NCRC = {B, C}.</w:t>
      </w:r>
    </w:p>
    <w:bookmarkEnd w:id="549"/>
    <w:bookmarkStart w:id="550" w:name="r195-expected-trc-outcomes"/>
    <w:p>
      <w:pPr>
        <w:pStyle w:val="Heading2"/>
        <w:keepNext/>
        <w:keepLines/>
        <w:pageBreakBefore w:val="0"/>
        <w:widowControl/>
      </w:pPr>
      <w:r>
        <w:rPr>
          <w:rFonts w:ascii="Arial" w:hAnsi="Arial" w:eastAsia="Arial"/>
          <w:b/>
          <w:color w:val="1F4E78"/>
        </w:rPr>
        <w:t xml:space="preserve">R.19.5 Expected TRC outcomes</w:t>
      </w:r>
    </w:p>
    <w:tbl>
      <w:tblPr>
        <w:tblStyle w:val="Table"/>
        <w:tblW w:type="pct" w:w="5000"/>
        <w:jc w:val="left"/>
        <w:tblLook w:firstRow="1" w:lastRow="0" w:firstColumn="0" w:lastColumn="0" w:noHBand="0" w:noVBand="0" w:val="0020"/>
        <w:tblInd w:type="dxa" w:w="0"/>
      </w:tblPr>
      <w:tblGrid>
        <w:gridCol w:w="1584"/>
        <w:gridCol w:w="1584"/>
        <w:gridCol w:w="1584"/>
        <w:gridCol w:w="1584"/>
        <w:gridCol w:w="1584"/>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Scenario</w:t>
            </w:r>
          </w:p>
        </w:tc>
        <w:tc>
          <w:tcPr>
            <w:shd w:fill="1F4E78" w:val="clear"/>
            <w:tcMar>
              <w:top w:w="80" w:type="dxa"/>
              <w:start w:w="90" w:type="dxa"/>
              <w:bottom w:w="80" w:type="dxa"/>
              <w:end w:w="90" w:type="dxa"/>
            </w:tcMar>
          </w:tcPr>
          <w:p>
            <w:pPr>
              <w:pStyle w:val="Compact"/>
              <w:jc w:val="left"/>
            </w:pPr>
            <w:r>
              <w:rPr>
                <w:b/>
                <w:bCs/>
                <w:color w:val="FFFFFF"/>
              </w:rPr>
              <w:t xml:space="preserve">Category</w:t>
            </w:r>
          </w:p>
        </w:tc>
        <w:tc>
          <w:tcPr>
            <w:shd w:fill="1F4E78" w:val="clear"/>
            <w:tcMar>
              <w:top w:w="80" w:type="dxa"/>
              <w:start w:w="90" w:type="dxa"/>
              <w:bottom w:w="80" w:type="dxa"/>
              <w:end w:w="90" w:type="dxa"/>
            </w:tcMar>
          </w:tcPr>
          <w:p>
            <w:pPr>
              <w:pStyle w:val="Compact"/>
              <w:jc w:val="left"/>
            </w:pPr>
            <w:r>
              <w:rPr>
                <w:b/>
                <w:bCs/>
                <w:color w:val="FFFFFF"/>
              </w:rPr>
              <w:t xml:space="preserve">p_s</w:t>
            </w:r>
          </w:p>
        </w:tc>
        <w:tc>
          <w:tcPr>
            <w:shd w:fill="1F4E78" w:val="clear"/>
            <w:tcMar>
              <w:top w:w="80" w:type="dxa"/>
              <w:start w:w="90" w:type="dxa"/>
              <w:bottom w:w="80" w:type="dxa"/>
              <w:end w:w="90" w:type="dxa"/>
            </w:tcMar>
          </w:tcPr>
          <w:p>
            <w:pPr>
              <w:pStyle w:val="Compact"/>
              <w:jc w:val="left"/>
            </w:pPr>
            <w:r>
              <w:rPr>
                <w:b/>
                <w:bCs/>
                <w:color w:val="FFFFFF"/>
              </w:rPr>
              <w:t xml:space="preserve">L(B,s)</w:t>
            </w:r>
          </w:p>
        </w:tc>
        <w:tc>
          <w:tcPr>
            <w:shd w:fill="1F4E78" w:val="clear"/>
            <w:tcMar>
              <w:top w:w="80" w:type="dxa"/>
              <w:start w:w="90" w:type="dxa"/>
              <w:bottom w:w="80" w:type="dxa"/>
              <w:end w:w="90" w:type="dxa"/>
            </w:tcMar>
          </w:tcPr>
          <w:p>
            <w:pPr>
              <w:pStyle w:val="Compact"/>
              <w:jc w:val="left"/>
            </w:pPr>
            <w:r>
              <w:rPr>
                <w:b/>
                <w:bCs/>
                <w:color w:val="FFFFFF"/>
              </w:rPr>
              <w:t xml:space="preserve">L(C,s)</w:t>
            </w:r>
          </w:p>
        </w:tc>
      </w:tr>
      <w:tr>
        <w:trPr/>
        <w:tc>
          <w:tcPr>
            <w:tcMar>
              <w:top w:w="80" w:type="dxa"/>
              <w:start w:w="90" w:type="dxa"/>
              <w:bottom w:w="80" w:type="dxa"/>
              <w:end w:w="90" w:type="dxa"/>
            </w:tcMar>
            <w:shd w:fill="F7FBFF" w:val="clear"/>
          </w:tcPr>
          <w:p>
            <w:pPr>
              <w:pStyle w:val="Compact"/>
              <w:jc w:val="left"/>
            </w:pPr>
            <w:r>
              <w:t xml:space="preserve">S1</w:t>
            </w:r>
          </w:p>
        </w:tc>
        <w:tc>
          <w:tcPr>
            <w:tcMar>
              <w:top w:w="80" w:type="dxa"/>
              <w:start w:w="90" w:type="dxa"/>
              <w:bottom w:w="80" w:type="dxa"/>
              <w:end w:w="90" w:type="dxa"/>
            </w:tcMar>
            <w:shd w:fill="F7FBFF" w:val="clear"/>
          </w:tcPr>
          <w:p>
            <w:pPr>
              <w:pStyle w:val="Compact"/>
              <w:jc w:val="left"/>
            </w:pPr>
            <w:r>
              <w:t xml:space="preserve">Pandemic</w:t>
            </w:r>
          </w:p>
        </w:tc>
        <w:tc>
          <w:tcPr>
            <w:tcMar>
              <w:top w:w="80" w:type="dxa"/>
              <w:start w:w="90" w:type="dxa"/>
              <w:bottom w:w="80" w:type="dxa"/>
              <w:end w:w="90" w:type="dxa"/>
            </w:tcMar>
            <w:shd w:fill="F7FBFF" w:val="clear"/>
          </w:tcPr>
          <w:p>
            <w:pPr>
              <w:pStyle w:val="Compact"/>
              <w:jc w:val="left"/>
            </w:pPr>
            <w:r>
              <w:t xml:space="preserve">0.05</w:t>
            </w:r>
          </w:p>
        </w:tc>
        <w:tc>
          <w:tcPr>
            <w:tcMar>
              <w:top w:w="80" w:type="dxa"/>
              <w:start w:w="90" w:type="dxa"/>
              <w:bottom w:w="80" w:type="dxa"/>
              <w:end w:w="90" w:type="dxa"/>
            </w:tcMar>
            <w:shd w:fill="F7FBFF" w:val="clear"/>
          </w:tcPr>
          <w:p>
            <w:pPr>
              <w:pStyle w:val="Compact"/>
              <w:jc w:val="left"/>
            </w:pPr>
            <w:r>
              <w:t xml:space="preserve">0.15</w:t>
            </w:r>
          </w:p>
        </w:tc>
        <w:tc>
          <w:tcPr>
            <w:tcMar>
              <w:top w:w="80" w:type="dxa"/>
              <w:start w:w="90" w:type="dxa"/>
              <w:bottom w:w="80" w:type="dxa"/>
              <w:end w:w="90" w:type="dxa"/>
            </w:tcMar>
            <w:shd w:fill="F7FBFF" w:val="clear"/>
          </w:tcPr>
          <w:p>
            <w:pPr>
              <w:pStyle w:val="Compact"/>
              <w:jc w:val="left"/>
            </w:pPr>
            <w:r>
              <w:t xml:space="preserve">0.08</w:t>
            </w:r>
          </w:p>
        </w:tc>
      </w:tr>
      <w:tr>
        <w:trPr/>
        <w:tc>
          <w:tcPr>
            <w:tcMar>
              <w:top w:w="80" w:type="dxa"/>
              <w:start w:w="90" w:type="dxa"/>
              <w:bottom w:w="80" w:type="dxa"/>
              <w:end w:w="90" w:type="dxa"/>
            </w:tcMar>
            <w:shd w:fill="D9EAF7" w:val="clear"/>
          </w:tcPr>
          <w:p>
            <w:pPr>
              <w:pStyle w:val="Compact"/>
              <w:jc w:val="left"/>
            </w:pPr>
            <w:r>
              <w:t xml:space="preserve">S2</w:t>
            </w:r>
          </w:p>
        </w:tc>
        <w:tc>
          <w:tcPr>
            <w:tcMar>
              <w:top w:w="80" w:type="dxa"/>
              <w:start w:w="90" w:type="dxa"/>
              <w:bottom w:w="80" w:type="dxa"/>
              <w:end w:w="90" w:type="dxa"/>
            </w:tcMar>
            <w:shd w:fill="D9EAF7" w:val="clear"/>
          </w:tcPr>
          <w:p>
            <w:pPr>
              <w:pStyle w:val="Compact"/>
              <w:jc w:val="left"/>
            </w:pPr>
            <w:r>
              <w:t xml:space="preserve">Infrastructure</w:t>
            </w:r>
          </w:p>
        </w:tc>
        <w:tc>
          <w:tcPr>
            <w:tcMar>
              <w:top w:w="80" w:type="dxa"/>
              <w:start w:w="90" w:type="dxa"/>
              <w:bottom w:w="80" w:type="dxa"/>
              <w:end w:w="90" w:type="dxa"/>
            </w:tcMar>
            <w:shd w:fill="D9EAF7" w:val="clear"/>
          </w:tcPr>
          <w:p>
            <w:pPr>
              <w:pStyle w:val="Compact"/>
              <w:jc w:val="left"/>
            </w:pPr>
            <w:r>
              <w:t xml:space="preserve">0.04</w:t>
            </w:r>
          </w:p>
        </w:tc>
        <w:tc>
          <w:tcPr>
            <w:tcMar>
              <w:top w:w="80" w:type="dxa"/>
              <w:start w:w="90" w:type="dxa"/>
              <w:bottom w:w="80" w:type="dxa"/>
              <w:end w:w="90" w:type="dxa"/>
            </w:tcMar>
            <w:shd w:fill="D9EAF7" w:val="clear"/>
          </w:tcPr>
          <w:p>
            <w:pPr>
              <w:pStyle w:val="Compact"/>
              <w:jc w:val="left"/>
            </w:pPr>
            <w:r>
              <w:t xml:space="preserve">0.12</w:t>
            </w:r>
          </w:p>
        </w:tc>
        <w:tc>
          <w:tcPr>
            <w:tcMar>
              <w:top w:w="80" w:type="dxa"/>
              <w:start w:w="90" w:type="dxa"/>
              <w:bottom w:w="80" w:type="dxa"/>
              <w:end w:w="90" w:type="dxa"/>
            </w:tcMar>
            <w:shd w:fill="D9EAF7" w:val="clear"/>
          </w:tcPr>
          <w:p>
            <w:pPr>
              <w:pStyle w:val="Compact"/>
              <w:jc w:val="left"/>
            </w:pPr>
            <w:r>
              <w:t xml:space="preserve">0.06</w:t>
            </w:r>
          </w:p>
        </w:tc>
      </w:tr>
      <w:tr>
        <w:trPr/>
        <w:tc>
          <w:tcPr>
            <w:tcMar>
              <w:top w:w="80" w:type="dxa"/>
              <w:start w:w="90" w:type="dxa"/>
              <w:bottom w:w="80" w:type="dxa"/>
              <w:end w:w="90" w:type="dxa"/>
            </w:tcMar>
            <w:shd w:fill="F7FBFF" w:val="clear"/>
          </w:tcPr>
          <w:p>
            <w:pPr>
              <w:pStyle w:val="Compact"/>
              <w:jc w:val="left"/>
            </w:pPr>
            <w:r>
              <w:t xml:space="preserve">S3</w:t>
            </w:r>
          </w:p>
        </w:tc>
        <w:tc>
          <w:tcPr>
            <w:tcMar>
              <w:top w:w="80" w:type="dxa"/>
              <w:start w:w="90" w:type="dxa"/>
              <w:bottom w:w="80" w:type="dxa"/>
              <w:end w:w="90" w:type="dxa"/>
            </w:tcMar>
            <w:shd w:fill="F7FBFF" w:val="clear"/>
          </w:tcPr>
          <w:p>
            <w:pPr>
              <w:pStyle w:val="Compact"/>
              <w:jc w:val="left"/>
            </w:pPr>
            <w:r>
              <w:t xml:space="preserve">Climate</w:t>
            </w:r>
          </w:p>
        </w:tc>
        <w:tc>
          <w:tcPr>
            <w:tcMar>
              <w:top w:w="80" w:type="dxa"/>
              <w:start w:w="90" w:type="dxa"/>
              <w:bottom w:w="80" w:type="dxa"/>
              <w:end w:w="90" w:type="dxa"/>
            </w:tcMar>
            <w:shd w:fill="F7FBFF" w:val="clear"/>
          </w:tcPr>
          <w:p>
            <w:pPr>
              <w:pStyle w:val="Compact"/>
              <w:jc w:val="left"/>
            </w:pPr>
            <w:r>
              <w:t xml:space="preserve">0.03</w:t>
            </w:r>
          </w:p>
        </w:tc>
        <w:tc>
          <w:tcPr>
            <w:tcMar>
              <w:top w:w="80" w:type="dxa"/>
              <w:start w:w="90" w:type="dxa"/>
              <w:bottom w:w="80" w:type="dxa"/>
              <w:end w:w="90" w:type="dxa"/>
            </w:tcMar>
            <w:shd w:fill="F7FBFF" w:val="clear"/>
          </w:tcPr>
          <w:p>
            <w:pPr>
              <w:pStyle w:val="Compact"/>
              <w:jc w:val="left"/>
            </w:pPr>
            <w:r>
              <w:t xml:space="preserve">0.10</w:t>
            </w:r>
          </w:p>
        </w:tc>
        <w:tc>
          <w:tcPr>
            <w:tcMar>
              <w:top w:w="80" w:type="dxa"/>
              <w:start w:w="90" w:type="dxa"/>
              <w:bottom w:w="80" w:type="dxa"/>
              <w:end w:w="90" w:type="dxa"/>
            </w:tcMar>
            <w:shd w:fill="F7FBFF" w:val="clear"/>
          </w:tcPr>
          <w:p>
            <w:pPr>
              <w:pStyle w:val="Compact"/>
              <w:jc w:val="left"/>
            </w:pPr>
            <w:r>
              <w:t xml:space="preserve">0.05</w:t>
            </w:r>
          </w:p>
        </w:tc>
      </w:tr>
      <w:tr>
        <w:trPr/>
        <w:tc>
          <w:tcPr>
            <w:tcMar>
              <w:top w:w="80" w:type="dxa"/>
              <w:start w:w="90" w:type="dxa"/>
              <w:bottom w:w="80" w:type="dxa"/>
              <w:end w:w="90" w:type="dxa"/>
            </w:tcMar>
            <w:shd w:fill="D9EAF7" w:val="clear"/>
          </w:tcPr>
          <w:p>
            <w:pPr>
              <w:pStyle w:val="Compact"/>
              <w:jc w:val="left"/>
            </w:pPr>
            <w:r>
              <w:t xml:space="preserve">S4</w:t>
            </w:r>
          </w:p>
        </w:tc>
        <w:tc>
          <w:tcPr>
            <w:tcMar>
              <w:top w:w="80" w:type="dxa"/>
              <w:start w:w="90" w:type="dxa"/>
              <w:bottom w:w="80" w:type="dxa"/>
              <w:end w:w="90" w:type="dxa"/>
            </w:tcMar>
            <w:shd w:fill="D9EAF7" w:val="clear"/>
          </w:tcPr>
          <w:p>
            <w:pPr>
              <w:pStyle w:val="Compact"/>
              <w:jc w:val="left"/>
            </w:pPr>
            <w:r>
              <w:t xml:space="preserve">Baseline</w:t>
            </w:r>
          </w:p>
        </w:tc>
        <w:tc>
          <w:tcPr>
            <w:tcMar>
              <w:top w:w="80" w:type="dxa"/>
              <w:start w:w="90" w:type="dxa"/>
              <w:bottom w:w="80" w:type="dxa"/>
              <w:end w:w="90" w:type="dxa"/>
            </w:tcMar>
            <w:shd w:fill="D9EAF7" w:val="clear"/>
          </w:tcPr>
          <w:p>
            <w:pPr>
              <w:pStyle w:val="Compact"/>
              <w:jc w:val="left"/>
            </w:pPr>
            <w:r>
              <w:t xml:space="preserve">0.58</w:t>
            </w:r>
          </w:p>
        </w:tc>
        <w:tc>
          <w:tcPr>
            <w:tcMar>
              <w:top w:w="80" w:type="dxa"/>
              <w:start w:w="90" w:type="dxa"/>
              <w:bottom w:w="80" w:type="dxa"/>
              <w:end w:w="90" w:type="dxa"/>
            </w:tcMar>
            <w:shd w:fill="D9EAF7" w:val="clear"/>
          </w:tcPr>
          <w:p>
            <w:pPr>
              <w:pStyle w:val="Compact"/>
              <w:jc w:val="left"/>
            </w:pPr>
            <w:r>
              <w:t xml:space="preserve">0.02</w:t>
            </w:r>
          </w:p>
        </w:tc>
        <w:tc>
          <w:tcPr>
            <w:tcMar>
              <w:top w:w="80" w:type="dxa"/>
              <w:start w:w="90" w:type="dxa"/>
              <w:bottom w:w="80" w:type="dxa"/>
              <w:end w:w="90" w:type="dxa"/>
            </w:tcMar>
            <w:shd w:fill="D9EAF7" w:val="clear"/>
          </w:tcPr>
          <w:p>
            <w:pPr>
              <w:pStyle w:val="Compact"/>
              <w:jc w:val="left"/>
            </w:pPr>
            <w:r>
              <w:t xml:space="preserve">0.01</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S5</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Stress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0.30</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0.05</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0.03</w:t>
            </w:r>
          </w:p>
        </w:tc>
      </w:tr>
    </w:tbl>
    <w:p>
      <w:pPr>
        <w:pStyle w:val="BodyText"/>
        <w:widowControl/>
      </w:pPr>
      <w:r>
        <w:t xml:space="preserve">CVaR computation (tail mass beta = 0.05): Option B = 0.15, PASS. Option C = 0.08, PASS. A_adm = {B, C}.</w:t>
      </w:r>
    </w:p>
    <w:bookmarkEnd w:id="550"/>
    <w:bookmarkStart w:id="551" w:name="r196-expected-containment-outcomes"/>
    <w:p>
      <w:pPr>
        <w:pStyle w:val="Heading2"/>
        <w:keepNext/>
        <w:keepLines/>
        <w:pageBreakBefore w:val="0"/>
        <w:widowControl/>
      </w:pPr>
      <w:r>
        <w:rPr>
          <w:rFonts w:ascii="Arial" w:hAnsi="Arial" w:eastAsia="Arial"/>
          <w:b/>
          <w:color w:val="1F4E78"/>
        </w:rPr>
        <w:t xml:space="preserve">R.19.6 Expected Containment outcomes</w:t>
      </w:r>
    </w:p>
    <w:p>
      <w:pPr>
        <w:pStyle w:val="FirstParagraph"/>
        <w:widowControl/>
      </w:pPr>
      <w:r>
        <w:t>The vector declares dependency graph G_c with material containing-system edges U4 -&gt; U5 (organizational action depends on polity-level legality, remedy, and enforcement) and U4 -&gt; U6 (the scaled action affects humanity/global-coordination capacity). Therefore Contain(U4,G_c)={U5,U6}; scope order alone is not used.</w:t>
      </w:r>
    </w:p>
    <w:p>
      <w:pPr>
        <w:pStyle w:val="BodyText"/>
      </w:pPr>
      <w:r>
        <w:t>Option B: S_U4(B) = 0.0571 &gt;= 0.05, so U4 triggers. Declared DeltaUCI values: DeltaUCI_U5(B) = -0.12; DeltaUCI_U6(B) = -0.05. Therefore M_U4(B) = -0.12 &lt; tau_c = -0.10, so Containment(B) = FALSE.</w:t>
      </w:r>
    </w:p>
    <w:p>
      <w:pPr>
        <w:pStyle w:val="BodyText"/>
        <w:widowControl/>
      </w:pPr>
      <w:r>
        <w:t xml:space="preserve">Option C: S_U4(C) = 0.0600 &gt;= 0.05, so U4 triggers. Declared DeltaUCI values: DeltaUCI_U5(C) = -0.03; DeltaUCI_U6(C) = +0.02. Therefore M_U4(C) = -0.03 &gt;= -0.10, so Containment(C) = TRUE.</w:t>
      </w:r>
    </w:p>
    <w:p>
      <w:pPr>
        <w:pStyle w:val="BodyText"/>
        <w:widowControl/>
      </w:pPr>
      <w:r>
        <w:t xml:space="preserve">A_sel = {C}.</w:t>
      </w:r>
    </w:p>
    <w:bookmarkEnd w:id="551"/>
    <w:bookmarkStart w:id="552" w:name="r197-expected-rls-outcome"/>
    <w:p>
      <w:pPr>
        <w:pStyle w:val="Heading2"/>
        <w:keepNext/>
        <w:keepLines/>
        <w:pageBreakBefore w:val="0"/>
        <w:widowControl/>
      </w:pPr>
      <w:r>
        <w:rPr>
          <w:rFonts w:ascii="Arial" w:hAnsi="Arial" w:eastAsia="Arial"/>
          <w:b/>
          <w:color w:val="1F4E78"/>
        </w:rPr>
        <w:t xml:space="preserve">R.19.7 Expected RLS outcome</w:t>
      </w:r>
    </w:p>
    <w:tbl>
      <w:tblPr>
        <w:tblStyle w:val="Table"/>
        <w:tblW w:type="pct" w:w="5000"/>
        <w:jc w:val="left"/>
        <w:tblLook w:firstRow="1" w:lastRow="0" w:firstColumn="0" w:lastColumn="0" w:noHBand="0" w:noVBand="0" w:val="0020"/>
        <w:tblInd w:type="dxa" w:w="0"/>
      </w:tblPr>
      <w:tblGrid>
        <w:gridCol w:w="1584"/>
        <w:gridCol w:w="1584"/>
        <w:gridCol w:w="1584"/>
        <w:gridCol w:w="1584"/>
        <w:gridCol w:w="1584"/>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w_u</w:t>
            </w:r>
          </w:p>
        </w:tc>
        <w:tc>
          <w:tcPr>
            <w:shd w:fill="1F4E78" w:val="clear"/>
            <w:tcMar>
              <w:top w:w="80" w:type="dxa"/>
              <w:start w:w="90" w:type="dxa"/>
              <w:bottom w:w="80" w:type="dxa"/>
              <w:end w:w="90" w:type="dxa"/>
            </w:tcMar>
          </w:tcPr>
          <w:p>
            <w:pPr>
              <w:pStyle w:val="Compact"/>
              <w:jc w:val="left"/>
            </w:pPr>
            <w:r>
              <w:rPr>
                <w:b/>
                <w:bCs/>
                <w:color w:val="FFFFFF"/>
              </w:rPr>
              <w:t xml:space="preserve">v_d</w:t>
            </w:r>
          </w:p>
        </w:tc>
        <w:tc>
          <w:tcPr>
            <w:shd w:fill="1F4E78" w:val="clear"/>
            <w:tcMar>
              <w:top w:w="80" w:type="dxa"/>
              <w:start w:w="90" w:type="dxa"/>
              <w:bottom w:w="80" w:type="dxa"/>
              <w:end w:w="90" w:type="dxa"/>
            </w:tcMar>
          </w:tcPr>
          <w:p>
            <w:pPr>
              <w:pStyle w:val="Compact"/>
              <w:jc w:val="left"/>
            </w:pPr>
            <w:r>
              <w:rPr>
                <w:b/>
                <w:bCs/>
                <w:color w:val="FFFFFF"/>
              </w:rPr>
              <w:t xml:space="preserve">I_prop_welfare</w:t>
            </w:r>
          </w:p>
        </w:tc>
        <w:tc>
          <w:tcPr>
            <w:shd w:fill="1F4E78" w:val="clear"/>
            <w:tcMar>
              <w:top w:w="80" w:type="dxa"/>
              <w:start w:w="90" w:type="dxa"/>
              <w:bottom w:w="80" w:type="dxa"/>
              <w:end w:w="90" w:type="dxa"/>
            </w:tcMar>
          </w:tcPr>
          <w:p>
            <w:pPr>
              <w:pStyle w:val="Compact"/>
              <w:jc w:val="left"/>
            </w:pPr>
            <w:r>
              <w:rPr>
                <w:b/>
                <w:bCs/>
                <w:color w:val="FFFFFF"/>
              </w:rPr>
              <w:t xml:space="preserve">Contribution</w:t>
            </w:r>
          </w:p>
        </w:tc>
      </w:tr>
      <w:tr>
        <w:trPr/>
        <w:tc>
          <w:tcPr>
            <w:tcMar>
              <w:top w:w="80" w:type="dxa"/>
              <w:start w:w="90" w:type="dxa"/>
              <w:bottom w:w="80" w:type="dxa"/>
              <w:end w:w="90" w:type="dxa"/>
            </w:tcMar>
            <w:shd w:fill="F7FBFF" w:val="clear"/>
          </w:tcPr>
          <w:p>
            <w:pPr>
              <w:pStyle w:val="Compact"/>
              <w:jc w:val="left"/>
            </w:pPr>
            <w:r>
              <w:t xml:space="preserve">U1xD5</w:t>
            </w:r>
          </w:p>
        </w:tc>
        <w:tc>
          <w:tcPr>
            <w:tcMar>
              <w:top w:w="80" w:type="dxa"/>
              <w:start w:w="90" w:type="dxa"/>
              <w:bottom w:w="80" w:type="dxa"/>
              <w:end w:w="90" w:type="dxa"/>
            </w:tcMar>
            <w:shd w:fill="F7FBFF" w:val="clear"/>
          </w:tcPr>
          <w:p>
            <w:pPr>
              <w:pStyle w:val="Compact"/>
              <w:jc w:val="left"/>
            </w:pPr>
            <w:r>
              <w:t xml:space="preserve">0.248571</w:t>
            </w:r>
          </w:p>
        </w:tc>
        <w:tc>
          <w:tcPr>
            <w:tcMar>
              <w:top w:w="80" w:type="dxa"/>
              <w:start w:w="90" w:type="dxa"/>
              <w:bottom w:w="80" w:type="dxa"/>
              <w:end w:w="90" w:type="dxa"/>
            </w:tcMar>
            <w:shd w:fill="F7FBFF" w:val="clear"/>
          </w:tcPr>
          <w:p>
            <w:pPr>
              <w:pStyle w:val="Compact"/>
              <w:jc w:val="left"/>
            </w:pPr>
            <w:r>
              <w:t xml:space="preserve">0.157143</w:t>
            </w:r>
          </w:p>
        </w:tc>
        <w:tc>
          <w:tcPr>
            <w:tcMar>
              <w:top w:w="80" w:type="dxa"/>
              <w:start w:w="90" w:type="dxa"/>
              <w:bottom w:w="80" w:type="dxa"/>
              <w:end w:w="90" w:type="dxa"/>
            </w:tcMar>
            <w:shd w:fill="F7FBFF" w:val="clear"/>
          </w:tcPr>
          <w:p>
            <w:pPr>
              <w:pStyle w:val="Compact"/>
              <w:jc w:val="left"/>
            </w:pPr>
            <w:r>
              <w:t xml:space="preserve">+0.05</w:t>
            </w:r>
          </w:p>
        </w:tc>
        <w:tc>
          <w:tcPr>
            <w:tcMar>
              <w:top w:w="80" w:type="dxa"/>
              <w:start w:w="90" w:type="dxa"/>
              <w:bottom w:w="80" w:type="dxa"/>
              <w:end w:w="90" w:type="dxa"/>
            </w:tcMar>
            <w:shd w:fill="F7FBFF" w:val="clear"/>
          </w:tcPr>
          <w:p>
            <w:pPr>
              <w:pStyle w:val="Compact"/>
              <w:jc w:val="left"/>
            </w:pPr>
            <w:r>
              <w:t xml:space="preserve">+0.001953</w:t>
            </w:r>
          </w:p>
        </w:tc>
      </w:tr>
      <w:tr>
        <w:trPr/>
        <w:tc>
          <w:tcPr>
            <w:tcMar>
              <w:top w:w="80" w:type="dxa"/>
              <w:start w:w="90" w:type="dxa"/>
              <w:bottom w:w="80" w:type="dxa"/>
              <w:end w:w="90" w:type="dxa"/>
            </w:tcMar>
            <w:shd w:fill="D9EAF7" w:val="clear"/>
          </w:tcPr>
          <w:p>
            <w:pPr>
              <w:pStyle w:val="Compact"/>
              <w:jc w:val="left"/>
            </w:pPr>
            <w:r>
              <w:t xml:space="preserve">U4xD1</w:t>
            </w:r>
          </w:p>
        </w:tc>
        <w:tc>
          <w:tcPr>
            <w:tcMar>
              <w:top w:w="80" w:type="dxa"/>
              <w:start w:w="90" w:type="dxa"/>
              <w:bottom w:w="80" w:type="dxa"/>
              <w:end w:w="90" w:type="dxa"/>
            </w:tcMar>
            <w:shd w:fill="D9EAF7" w:val="clear"/>
          </w:tcPr>
          <w:p>
            <w:pPr>
              <w:pStyle w:val="Compact"/>
              <w:jc w:val="left"/>
            </w:pPr>
            <w:r>
              <w:t xml:space="preserve">0.108571</w:t>
            </w:r>
          </w:p>
        </w:tc>
        <w:tc>
          <w:tcPr>
            <w:tcMar>
              <w:top w:w="80" w:type="dxa"/>
              <w:start w:w="90" w:type="dxa"/>
              <w:bottom w:w="80" w:type="dxa"/>
              <w:end w:w="90" w:type="dxa"/>
            </w:tcMar>
            <w:shd w:fill="D9EAF7" w:val="clear"/>
          </w:tcPr>
          <w:p>
            <w:pPr>
              <w:pStyle w:val="Compact"/>
              <w:jc w:val="left"/>
            </w:pPr>
            <w:r>
              <w:t xml:space="preserve">0.137143</w:t>
            </w:r>
          </w:p>
        </w:tc>
        <w:tc>
          <w:tcPr>
            <w:tcMar>
              <w:top w:w="80" w:type="dxa"/>
              <w:start w:w="90" w:type="dxa"/>
              <w:bottom w:w="80" w:type="dxa"/>
              <w:end w:w="90" w:type="dxa"/>
            </w:tcMar>
            <w:shd w:fill="D9EAF7" w:val="clear"/>
          </w:tcPr>
          <w:p>
            <w:pPr>
              <w:pStyle w:val="Compact"/>
              <w:jc w:val="left"/>
            </w:pPr>
            <w:r>
              <w:t xml:space="preserve">+0.30</w:t>
            </w:r>
          </w:p>
        </w:tc>
        <w:tc>
          <w:tcPr>
            <w:tcMar>
              <w:top w:w="80" w:type="dxa"/>
              <w:start w:w="90" w:type="dxa"/>
              <w:bottom w:w="80" w:type="dxa"/>
              <w:end w:w="90" w:type="dxa"/>
            </w:tcMar>
            <w:shd w:fill="D9EAF7" w:val="clear"/>
          </w:tcPr>
          <w:p>
            <w:pPr>
              <w:pStyle w:val="Compact"/>
              <w:jc w:val="left"/>
            </w:pPr>
            <w:r>
              <w:t xml:space="preserve">+0.004467</w:t>
            </w:r>
          </w:p>
        </w:tc>
      </w:tr>
      <w:tr>
        <w:trPr/>
        <w:tc>
          <w:tcPr>
            <w:tcMar>
              <w:top w:w="80" w:type="dxa"/>
              <w:start w:w="90" w:type="dxa"/>
              <w:bottom w:w="80" w:type="dxa"/>
              <w:end w:w="90" w:type="dxa"/>
            </w:tcMar>
            <w:shd w:fill="F7FBFF" w:val="clear"/>
          </w:tcPr>
          <w:p>
            <w:pPr>
              <w:pStyle w:val="Compact"/>
              <w:jc w:val="left"/>
            </w:pPr>
            <w:r>
              <w:t xml:space="preserve">U4xD5</w:t>
            </w:r>
          </w:p>
        </w:tc>
        <w:tc>
          <w:tcPr>
            <w:tcMar>
              <w:top w:w="80" w:type="dxa"/>
              <w:start w:w="90" w:type="dxa"/>
              <w:bottom w:w="80" w:type="dxa"/>
              <w:end w:w="90" w:type="dxa"/>
            </w:tcMar>
            <w:shd w:fill="F7FBFF" w:val="clear"/>
          </w:tcPr>
          <w:p>
            <w:pPr>
              <w:pStyle w:val="Compact"/>
              <w:jc w:val="left"/>
            </w:pPr>
            <w:r>
              <w:t xml:space="preserve">0.108571</w:t>
            </w:r>
          </w:p>
        </w:tc>
        <w:tc>
          <w:tcPr>
            <w:tcMar>
              <w:top w:w="80" w:type="dxa"/>
              <w:start w:w="90" w:type="dxa"/>
              <w:bottom w:w="80" w:type="dxa"/>
              <w:end w:w="90" w:type="dxa"/>
            </w:tcMar>
            <w:shd w:fill="F7FBFF" w:val="clear"/>
          </w:tcPr>
          <w:p>
            <w:pPr>
              <w:pStyle w:val="Compact"/>
              <w:jc w:val="left"/>
            </w:pPr>
            <w:r>
              <w:t xml:space="preserve">0.157143</w:t>
            </w:r>
          </w:p>
        </w:tc>
        <w:tc>
          <w:tcPr>
            <w:tcMar>
              <w:top w:w="80" w:type="dxa"/>
              <w:start w:w="90" w:type="dxa"/>
              <w:bottom w:w="80" w:type="dxa"/>
              <w:end w:w="90" w:type="dxa"/>
            </w:tcMar>
            <w:shd w:fill="F7FBFF" w:val="clear"/>
          </w:tcPr>
          <w:p>
            <w:pPr>
              <w:pStyle w:val="Compact"/>
              <w:jc w:val="left"/>
            </w:pPr>
            <w:r>
              <w:t xml:space="preserve">+0.12</w:t>
            </w:r>
          </w:p>
        </w:tc>
        <w:tc>
          <w:tcPr>
            <w:tcMar>
              <w:top w:w="80" w:type="dxa"/>
              <w:start w:w="90" w:type="dxa"/>
              <w:bottom w:w="80" w:type="dxa"/>
              <w:end w:w="90" w:type="dxa"/>
            </w:tcMar>
            <w:shd w:fill="F7FBFF" w:val="clear"/>
          </w:tcPr>
          <w:p>
            <w:pPr>
              <w:pStyle w:val="Compact"/>
              <w:jc w:val="left"/>
            </w:pPr>
            <w:r>
              <w:t xml:space="preserve">+0.002047</w:t>
            </w:r>
          </w:p>
        </w:tc>
      </w:tr>
      <w:tr>
        <w:trPr/>
        <w:tc>
          <w:tcPr>
            <w:tcMar>
              <w:top w:w="80" w:type="dxa"/>
              <w:start w:w="90" w:type="dxa"/>
              <w:bottom w:w="80" w:type="dxa"/>
              <w:end w:w="90" w:type="dxa"/>
            </w:tcMar>
            <w:shd w:fill="D9EAF7" w:val="clear"/>
          </w:tcPr>
          <w:p>
            <w:pPr>
              <w:pStyle w:val="Compact"/>
              <w:jc w:val="left"/>
            </w:pPr>
            <w:r>
              <w:t xml:space="preserve">U5xD5</w:t>
            </w:r>
          </w:p>
        </w:tc>
        <w:tc>
          <w:tcPr>
            <w:tcMar>
              <w:top w:w="80" w:type="dxa"/>
              <w:start w:w="90" w:type="dxa"/>
              <w:bottom w:w="80" w:type="dxa"/>
              <w:end w:w="90" w:type="dxa"/>
            </w:tcMar>
            <w:shd w:fill="D9EAF7" w:val="clear"/>
          </w:tcPr>
          <w:p>
            <w:pPr>
              <w:pStyle w:val="Compact"/>
              <w:jc w:val="left"/>
            </w:pPr>
            <w:r>
              <w:t xml:space="preserve">0.128571</w:t>
            </w:r>
          </w:p>
        </w:tc>
        <w:tc>
          <w:tcPr>
            <w:tcMar>
              <w:top w:w="80" w:type="dxa"/>
              <w:start w:w="90" w:type="dxa"/>
              <w:bottom w:w="80" w:type="dxa"/>
              <w:end w:w="90" w:type="dxa"/>
            </w:tcMar>
            <w:shd w:fill="D9EAF7" w:val="clear"/>
          </w:tcPr>
          <w:p>
            <w:pPr>
              <w:pStyle w:val="Compact"/>
              <w:jc w:val="left"/>
            </w:pPr>
            <w:r>
              <w:t xml:space="preserve">0.157143</w:t>
            </w:r>
          </w:p>
        </w:tc>
        <w:tc>
          <w:tcPr>
            <w:tcMar>
              <w:top w:w="80" w:type="dxa"/>
              <w:start w:w="90" w:type="dxa"/>
              <w:bottom w:w="80" w:type="dxa"/>
              <w:end w:w="90" w:type="dxa"/>
            </w:tcMar>
            <w:shd w:fill="D9EAF7" w:val="clear"/>
          </w:tcPr>
          <w:p>
            <w:pPr>
              <w:pStyle w:val="Compact"/>
              <w:jc w:val="left"/>
            </w:pPr>
            <w:r>
              <w:t xml:space="preserve">+0.08</w:t>
            </w:r>
          </w:p>
        </w:tc>
        <w:tc>
          <w:tcPr>
            <w:tcMar>
              <w:top w:w="80" w:type="dxa"/>
              <w:start w:w="90" w:type="dxa"/>
              <w:bottom w:w="80" w:type="dxa"/>
              <w:end w:w="90" w:type="dxa"/>
            </w:tcMar>
            <w:shd w:fill="D9EAF7" w:val="clear"/>
          </w:tcPr>
          <w:p>
            <w:pPr>
              <w:pStyle w:val="Compact"/>
              <w:jc w:val="left"/>
            </w:pPr>
            <w:r>
              <w:t xml:space="preserve">+0.001616</w:t>
            </w:r>
          </w:p>
        </w:tc>
      </w:tr>
      <w:tr>
        <w:trPr/>
        <w:tc>
          <w:tcPr>
            <w:tcMar>
              <w:top w:w="80" w:type="dxa"/>
              <w:start w:w="90" w:type="dxa"/>
              <w:bottom w:w="80" w:type="dxa"/>
              <w:end w:w="90" w:type="dxa"/>
            </w:tcMar>
            <w:shd w:fill="F7FBFF" w:val="clear"/>
          </w:tcPr>
          <w:p>
            <w:pPr>
              <w:pStyle w:val="Compact"/>
              <w:jc w:val="left"/>
            </w:pPr>
            <w:r>
              <w:t xml:space="preserve">U6xD5</w:t>
            </w:r>
          </w:p>
        </w:tc>
        <w:tc>
          <w:tcPr>
            <w:tcMar>
              <w:top w:w="80" w:type="dxa"/>
              <w:start w:w="90" w:type="dxa"/>
              <w:bottom w:w="80" w:type="dxa"/>
              <w:end w:w="90" w:type="dxa"/>
            </w:tcMar>
            <w:shd w:fill="F7FBFF" w:val="clear"/>
          </w:tcPr>
          <w:p>
            <w:pPr>
              <w:pStyle w:val="Compact"/>
              <w:jc w:val="left"/>
            </w:pPr>
            <w:r>
              <w:t xml:space="preserve">0.148571</w:t>
            </w:r>
          </w:p>
        </w:tc>
        <w:tc>
          <w:tcPr>
            <w:tcMar>
              <w:top w:w="80" w:type="dxa"/>
              <w:start w:w="90" w:type="dxa"/>
              <w:bottom w:w="80" w:type="dxa"/>
              <w:end w:w="90" w:type="dxa"/>
            </w:tcMar>
            <w:shd w:fill="F7FBFF" w:val="clear"/>
          </w:tcPr>
          <w:p>
            <w:pPr>
              <w:pStyle w:val="Compact"/>
              <w:jc w:val="left"/>
            </w:pPr>
            <w:r>
              <w:t xml:space="preserve">0.157143</w:t>
            </w:r>
          </w:p>
        </w:tc>
        <w:tc>
          <w:tcPr>
            <w:tcMar>
              <w:top w:w="80" w:type="dxa"/>
              <w:start w:w="90" w:type="dxa"/>
              <w:bottom w:w="80" w:type="dxa"/>
              <w:end w:w="90" w:type="dxa"/>
            </w:tcMar>
            <w:shd w:fill="F7FBFF" w:val="clear"/>
          </w:tcPr>
          <w:p>
            <w:pPr>
              <w:pStyle w:val="Compact"/>
              <w:jc w:val="left"/>
            </w:pPr>
            <w:r>
              <w:t xml:space="preserve">+0.03</w:t>
            </w:r>
          </w:p>
        </w:tc>
        <w:tc>
          <w:tcPr>
            <w:tcMar>
              <w:top w:w="80" w:type="dxa"/>
              <w:start w:w="90" w:type="dxa"/>
              <w:bottom w:w="80" w:type="dxa"/>
              <w:end w:w="90" w:type="dxa"/>
            </w:tcMar>
            <w:shd w:fill="F7FBFF" w:val="clear"/>
          </w:tcPr>
          <w:p>
            <w:pPr>
              <w:pStyle w:val="Compact"/>
              <w:jc w:val="left"/>
            </w:pPr>
            <w:r>
              <w:t xml:space="preserve">+0.000700</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All zero cells</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0.00</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0.000000</w:t>
            </w:r>
          </w:p>
        </w:tc>
      </w:tr>
    </w:tbl>
    <w:p>
      <w:pPr>
        <w:pStyle w:val="BodyText"/>
        <w:widowControl/>
      </w:pPr>
      <w:r>
        <w:t xml:space="preserve">RLS(C)=+0.010784 because Q=1 under the full active mask.</w:t>
      </w:r>
    </w:p>
    <w:p>
      <w:pPr>
        <w:pStyle w:val="BodyText"/>
        <w:widowControl/>
      </w:pPr>
      <w:r>
        <w:t xml:space="preserve">Method B uncertainty derivation. Each of the five nonzero cells contains one welfare instance with c_k=0.85. Because the Section 10.3.2 construction is</w:t>
      </w:r>
      <w:r>
        <w:t xml:space="preserve"> </w:t>
      </w:r>
      <w:r>
        <w:rPr>
          <w:rStyle w:val="VerbatimChar"/>
        </w:rPr>
        <w:t xml:space="preserve">I_prop_welfare=tanh(beta*c_k*x_preconf)</w:t>
      </w:r>
      <w:r>
        <w:t xml:space="preserve"> </w:t>
      </w:r>
      <w:r>
        <w:t xml:space="preserve">for this single-instance vector, the pre-confidence contribution is</w:t>
      </w:r>
      <w:r>
        <w:t xml:space="preserve"> </w:t>
      </w:r>
      <w:r>
        <w:rPr>
          <w:rStyle w:val="VerbatimChar"/>
        </w:rPr>
        <w:t xml:space="preserve">x_preconf=atanh(I_prop_welfare)/(beta*c_k)</w:t>
      </w:r>
      <w:r>
        <w:t xml:space="preserve">. With</w:t>
      </w:r>
      <w:r>
        <w:t xml:space="preserve"> </w:t>
      </w:r>
      <w:r>
        <w:rPr>
          <w:rStyle w:val="VerbatimChar"/>
        </w:rPr>
        <w:t xml:space="preserve">beta=2</w:t>
      </w:r>
      <w:r>
        <w:t xml:space="preserve"> </w:t>
      </w:r>
      <w:r>
        <w:t xml:space="preserve">and</w:t>
      </w:r>
      <w:r>
        <w:t xml:space="preserve"> </w:t>
      </w:r>
      <w:r>
        <w:rPr>
          <w:rStyle w:val="VerbatimChar"/>
        </w:rPr>
        <w:t xml:space="preserve">c_k=0.85</w:t>
      </w:r>
      <w:r>
        <w:t xml:space="preserve">, Method B uses</w:t>
      </w:r>
      <w:r>
        <w:t xml:space="preserve"> </w:t>
      </w:r>
      <w:r>
        <w:rPr>
          <w:rStyle w:val="VerbatimChar"/>
        </w:rPr>
        <w:t xml:space="preserve">sigma(u,d,C)=(1-c_k)*|x_preconf|=0.15*|x_preconf|</w:t>
      </w:r>
      <w:r>
        <w:t xml:space="preserve">. Omitting division by</w:t>
      </w:r>
      <w:r>
        <w:t xml:space="preserve"> </w:t>
      </w:r>
      <w:r>
        <w:rPr>
          <w:rStyle w:val="VerbatimChar"/>
        </w:rPr>
        <w:t xml:space="preserve">c_k</w:t>
      </w:r>
      <w:r>
        <w:t xml:space="preserve"> </w:t>
      </w:r>
      <w:r>
        <w:t xml:space="preserve">would reconstruct post-confidence mass and understate uncertainty. Using q(u,d)=w_u*v_d under the full mask:</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x_k</w:t>
            </w:r>
          </w:p>
        </w:tc>
        <w:tc>
          <w:tcPr>
            <w:shd w:fill="1F4E78" w:val="clear"/>
            <w:tcMar>
              <w:top w:w="80" w:type="dxa"/>
              <w:start w:w="90" w:type="dxa"/>
              <w:bottom w:w="80" w:type="dxa"/>
              <w:end w:w="90" w:type="dxa"/>
            </w:tcMar>
          </w:tcPr>
          <w:p>
            <w:pPr>
              <w:pStyle w:val="Compact"/>
              <w:jc w:val="left"/>
            </w:pPr>
            <w:r>
              <w:rPr>
                <w:b/>
                <w:bCs/>
                <w:color w:val="FFFFFF"/>
              </w:rPr>
              <w:t xml:space="preserve">sigma(u,d,C)</w:t>
            </w:r>
          </w:p>
        </w:tc>
        <w:tc>
          <w:tcPr>
            <w:shd w:fill="1F4E78" w:val="clear"/>
            <w:tcMar>
              <w:top w:w="80" w:type="dxa"/>
              <w:start w:w="90" w:type="dxa"/>
              <w:bottom w:w="80" w:type="dxa"/>
              <w:end w:w="90" w:type="dxa"/>
            </w:tcMar>
          </w:tcPr>
          <w:p>
            <w:pPr>
              <w:pStyle w:val="Compact"/>
              <w:jc w:val="left"/>
            </w:pPr>
            <w:r>
              <w:rPr>
                <w:b/>
                <w:bCs/>
                <w:color w:val="FFFFFF"/>
              </w:rPr>
              <w:t xml:space="preserve">q(u,d)*sigma(u,d,C)</w:t>
            </w:r>
          </w:p>
        </w:tc>
      </w:tr>
      <w:tr>
        <w:trPr/>
        <w:tc>
          <w:tcPr>
            <w:tcMar>
              <w:top w:w="80" w:type="dxa"/>
              <w:start w:w="90" w:type="dxa"/>
              <w:bottom w:w="80" w:type="dxa"/>
              <w:end w:w="90" w:type="dxa"/>
            </w:tcMar>
            <w:shd w:fill="F7FBFF" w:val="clear"/>
          </w:tcPr>
          <w:p>
            <w:pPr>
              <w:pStyle w:val="Compact"/>
              <w:jc w:val="left"/>
            </w:pPr>
            <w:r>
              <w:t xml:space="preserve">U1xD5</w:t>
            </w:r>
          </w:p>
        </w:tc>
        <w:tc>
          <w:tcPr>
            <w:tcMar>
              <w:top w:w="80" w:type="dxa"/>
              <w:start w:w="90" w:type="dxa"/>
              <w:bottom w:w="80" w:type="dxa"/>
              <w:end w:w="90" w:type="dxa"/>
            </w:tcMar>
            <w:shd w:fill="F7FBFF" w:val="clear"/>
          </w:tcPr>
          <w:p>
            <w:pPr>
              <w:pStyle w:val="Compact"/>
              <w:jc w:val="left"/>
            </w:pPr>
            <w:r>
              <w:t xml:space="preserve">0.029436</w:t>
            </w:r>
          </w:p>
        </w:tc>
        <w:tc>
          <w:tcPr>
            <w:tcMar>
              <w:top w:w="80" w:type="dxa"/>
              <w:start w:w="90" w:type="dxa"/>
              <w:bottom w:w="80" w:type="dxa"/>
              <w:end w:w="90" w:type="dxa"/>
            </w:tcMar>
            <w:shd w:fill="F7FBFF" w:val="clear"/>
          </w:tcPr>
          <w:p>
            <w:pPr>
              <w:pStyle w:val="Compact"/>
              <w:jc w:val="left"/>
            </w:pPr>
            <w:r>
              <w:t xml:space="preserve">0.004415</w:t>
            </w:r>
          </w:p>
        </w:tc>
        <w:tc>
          <w:tcPr>
            <w:tcMar>
              <w:top w:w="80" w:type="dxa"/>
              <w:start w:w="90" w:type="dxa"/>
              <w:bottom w:w="80" w:type="dxa"/>
              <w:end w:w="90" w:type="dxa"/>
            </w:tcMar>
            <w:shd w:fill="F7FBFF" w:val="clear"/>
          </w:tcPr>
          <w:p>
            <w:pPr>
              <w:pStyle w:val="Compact"/>
              <w:jc w:val="left"/>
            </w:pPr>
            <w:r>
              <w:t xml:space="preserve">0.00017247</w:t>
            </w:r>
          </w:p>
        </w:tc>
      </w:tr>
      <w:tr>
        <w:trPr/>
        <w:tc>
          <w:tcPr>
            <w:tcMar>
              <w:top w:w="80" w:type="dxa"/>
              <w:start w:w="90" w:type="dxa"/>
              <w:bottom w:w="80" w:type="dxa"/>
              <w:end w:w="90" w:type="dxa"/>
            </w:tcMar>
            <w:shd w:fill="D9EAF7" w:val="clear"/>
          </w:tcPr>
          <w:p>
            <w:pPr>
              <w:pStyle w:val="Compact"/>
              <w:jc w:val="left"/>
            </w:pPr>
            <w:r>
              <w:t xml:space="preserve">U4xD1</w:t>
            </w:r>
          </w:p>
        </w:tc>
        <w:tc>
          <w:tcPr>
            <w:tcMar>
              <w:top w:w="80" w:type="dxa"/>
              <w:start w:w="90" w:type="dxa"/>
              <w:bottom w:w="80" w:type="dxa"/>
              <w:end w:w="90" w:type="dxa"/>
            </w:tcMar>
            <w:shd w:fill="D9EAF7" w:val="clear"/>
          </w:tcPr>
          <w:p>
            <w:pPr>
              <w:pStyle w:val="Compact"/>
              <w:jc w:val="left"/>
            </w:pPr>
            <w:r>
              <w:t xml:space="preserve">0.182070</w:t>
            </w:r>
          </w:p>
        </w:tc>
        <w:tc>
          <w:tcPr>
            <w:tcMar>
              <w:top w:w="80" w:type="dxa"/>
              <w:start w:w="90" w:type="dxa"/>
              <w:bottom w:w="80" w:type="dxa"/>
              <w:end w:w="90" w:type="dxa"/>
            </w:tcMar>
            <w:shd w:fill="D9EAF7" w:val="clear"/>
          </w:tcPr>
          <w:p>
            <w:pPr>
              <w:pStyle w:val="Compact"/>
              <w:jc w:val="left"/>
            </w:pPr>
            <w:r>
              <w:t xml:space="preserve">0.027311</w:t>
            </w:r>
          </w:p>
        </w:tc>
        <w:tc>
          <w:tcPr>
            <w:tcMar>
              <w:top w:w="80" w:type="dxa"/>
              <w:start w:w="90" w:type="dxa"/>
              <w:bottom w:w="80" w:type="dxa"/>
              <w:end w:w="90" w:type="dxa"/>
            </w:tcMar>
            <w:shd w:fill="D9EAF7" w:val="clear"/>
          </w:tcPr>
          <w:p>
            <w:pPr>
              <w:pStyle w:val="Compact"/>
              <w:jc w:val="left"/>
            </w:pPr>
            <w:r>
              <w:t xml:space="preserve">0.00040665</w:t>
            </w:r>
          </w:p>
        </w:tc>
      </w:tr>
      <w:tr>
        <w:trPr/>
        <w:tc>
          <w:tcPr>
            <w:tcMar>
              <w:top w:w="80" w:type="dxa"/>
              <w:start w:w="90" w:type="dxa"/>
              <w:bottom w:w="80" w:type="dxa"/>
              <w:end w:w="90" w:type="dxa"/>
            </w:tcMar>
            <w:shd w:fill="F7FBFF" w:val="clear"/>
          </w:tcPr>
          <w:p>
            <w:pPr>
              <w:pStyle w:val="Compact"/>
              <w:jc w:val="left"/>
            </w:pPr>
            <w:r>
              <w:t xml:space="preserve">U4xD5</w:t>
            </w:r>
          </w:p>
        </w:tc>
        <w:tc>
          <w:tcPr>
            <w:tcMar>
              <w:top w:w="80" w:type="dxa"/>
              <w:start w:w="90" w:type="dxa"/>
              <w:bottom w:w="80" w:type="dxa"/>
              <w:end w:w="90" w:type="dxa"/>
            </w:tcMar>
            <w:shd w:fill="F7FBFF" w:val="clear"/>
          </w:tcPr>
          <w:p>
            <w:pPr>
              <w:pStyle w:val="Compact"/>
              <w:jc w:val="left"/>
            </w:pPr>
            <w:r>
              <w:t xml:space="preserve">0.070930</w:t>
            </w:r>
          </w:p>
        </w:tc>
        <w:tc>
          <w:tcPr>
            <w:tcMar>
              <w:top w:w="80" w:type="dxa"/>
              <w:start w:w="90" w:type="dxa"/>
              <w:bottom w:w="80" w:type="dxa"/>
              <w:end w:w="90" w:type="dxa"/>
            </w:tcMar>
            <w:shd w:fill="F7FBFF" w:val="clear"/>
          </w:tcPr>
          <w:p>
            <w:pPr>
              <w:pStyle w:val="Compact"/>
              <w:jc w:val="left"/>
            </w:pPr>
            <w:r>
              <w:t xml:space="preserve">0.010640</w:t>
            </w:r>
          </w:p>
        </w:tc>
        <w:tc>
          <w:tcPr>
            <w:tcMar>
              <w:top w:w="80" w:type="dxa"/>
              <w:start w:w="90" w:type="dxa"/>
              <w:bottom w:w="80" w:type="dxa"/>
              <w:end w:w="90" w:type="dxa"/>
            </w:tcMar>
            <w:shd w:fill="F7FBFF" w:val="clear"/>
          </w:tcPr>
          <w:p>
            <w:pPr>
              <w:pStyle w:val="Compact"/>
              <w:jc w:val="left"/>
            </w:pPr>
            <w:r>
              <w:t xml:space="preserve">0.00018152</w:t>
            </w:r>
          </w:p>
        </w:tc>
      </w:tr>
      <w:tr>
        <w:trPr/>
        <w:tc>
          <w:tcPr>
            <w:tcMar>
              <w:top w:w="80" w:type="dxa"/>
              <w:start w:w="90" w:type="dxa"/>
              <w:bottom w:w="80" w:type="dxa"/>
              <w:end w:w="90" w:type="dxa"/>
            </w:tcMar>
            <w:shd w:fill="D9EAF7" w:val="clear"/>
          </w:tcPr>
          <w:p>
            <w:pPr>
              <w:pStyle w:val="Compact"/>
              <w:jc w:val="left"/>
            </w:pPr>
            <w:r>
              <w:t xml:space="preserve">U5xD5</w:t>
            </w:r>
          </w:p>
        </w:tc>
        <w:tc>
          <w:tcPr>
            <w:tcMar>
              <w:top w:w="80" w:type="dxa"/>
              <w:start w:w="90" w:type="dxa"/>
              <w:bottom w:w="80" w:type="dxa"/>
              <w:end w:w="90" w:type="dxa"/>
            </w:tcMar>
            <w:shd w:fill="D9EAF7" w:val="clear"/>
          </w:tcPr>
          <w:p>
            <w:pPr>
              <w:pStyle w:val="Compact"/>
              <w:jc w:val="left"/>
            </w:pPr>
            <w:r>
              <w:t xml:space="preserve">0.047160</w:t>
            </w:r>
          </w:p>
        </w:tc>
        <w:tc>
          <w:tcPr>
            <w:tcMar>
              <w:top w:w="80" w:type="dxa"/>
              <w:start w:w="90" w:type="dxa"/>
              <w:bottom w:w="80" w:type="dxa"/>
              <w:end w:w="90" w:type="dxa"/>
            </w:tcMar>
            <w:shd w:fill="D9EAF7" w:val="clear"/>
          </w:tcPr>
          <w:p>
            <w:pPr>
              <w:pStyle w:val="Compact"/>
              <w:jc w:val="left"/>
            </w:pPr>
            <w:r>
              <w:t xml:space="preserve">0.007074</w:t>
            </w:r>
          </w:p>
        </w:tc>
        <w:tc>
          <w:tcPr>
            <w:tcMar>
              <w:top w:w="80" w:type="dxa"/>
              <w:start w:w="90" w:type="dxa"/>
              <w:bottom w:w="80" w:type="dxa"/>
              <w:end w:w="90" w:type="dxa"/>
            </w:tcMar>
            <w:shd w:fill="D9EAF7" w:val="clear"/>
          </w:tcPr>
          <w:p>
            <w:pPr>
              <w:pStyle w:val="Compact"/>
              <w:jc w:val="left"/>
            </w:pPr>
            <w:r>
              <w:t xml:space="preserve">0.00014292</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U6xD5</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0.017653</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0.002648</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0.00006182</w:t>
            </w:r>
          </w:p>
        </w:tc>
      </w:tr>
    </w:tbl>
    <w:p>
      <w:pPr>
        <w:pStyle w:val="BodyText"/>
        <w:widowControl/>
      </w:pPr>
      <w:r>
        <w:t xml:space="preserve">Thus sigma_RLS(C)=sqrt(sum(q*sigma)^2)/Q=0.000502302, reported as 0.000502. This derivation uses pre-saturation x_k values as required by Section 10.3.2; using post-saturation impacts directly would be non-conformant. Since |A_sel|=1, no pairwise discrimination statistic is required; C is the sole selectable option under the vector inputs.</w:t>
      </w:r>
    </w:p>
    <w:bookmarkEnd w:id="552"/>
    <w:bookmarkStart w:id="553" w:name="r198-expected-final-outcome"/>
    <w:p>
      <w:pPr>
        <w:pStyle w:val="Heading2"/>
        <w:keepNext/>
        <w:keepLines/>
        <w:pageBreakBefore w:val="0"/>
        <w:widowControl/>
      </w:pPr>
      <w:r>
        <w:rPr>
          <w:rFonts w:ascii="Arial" w:hAnsi="Arial" w:eastAsia="Arial"/>
          <w:b/>
          <w:color w:val="1F4E78"/>
        </w:rPr>
        <w:t xml:space="preserve">R.19.8 Expected final outcome</w:t>
      </w:r>
    </w:p>
    <w:p>
      <w:pPr>
        <w:pStyle w:val="FirstParagraph"/>
        <w:widowControl/>
      </w:pPr>
      <w:r>
        <w:t>Arithmetic witness: Under the deliberately incomplete fixture inputs, C is the sole option surviving the demonstrated NCRC, supplied TRC arithmetic, and CSV/Containment calculations. This arithmetic witness is not an ordinary claim-bearing selection state.</w:t>
      </w:r>
    </w:p>
    <w:p>
      <w:pPr>
        <w:pStyle w:val="BodyText"/>
        <w:widowControl/>
      </w:pPr>
      <w:r>
        <w:rPr>
          <w:rFonts w:ascii="Arial" w:hAnsi="Arial" w:eastAsia="Arial"/>
        </w:rPr>
        <w:t>Claim-bearing final disposition: Because mandatory tail families are absent, a conforming implementation MUST emit MANDATORY_TAIL_CATEGORY_MISSING and MUST NOT emit ALLOW_FRAMEWORK_SELECTION, SELECTED_DECISIVE, TRC_COMPLETE, or a flag-free real-run selection claim. The correct disposition is ESCALATE_OR_REPAIR_SCENARIO_LIBRARY until the scenario library is completed or a governed omission justification is recorded and TRC is rerun.</w:t>
      </w:r>
    </w:p>
    <w:p>
      <w:pPr>
        <w:pStyle w:val="BodyText"/>
        <w:widowControl/>
      </w:pPr>
      <w:r>
        <w:t>Conformance result: PASS only if the implementation reproduces: (i) A fails NCRC with the stated violation depths, (ii) B and C pass NCRC under the supplied fixture, (iii) the supplied TRC arithmetic matches the stated CVaR values while remaining incomplete as a claim-bearing TRC record, (iv) B fails CSV/Containment with the stated M_U4 value, (v) C passes CSV/Containment, (vi) C is identified only as the arithmetic survivor under the incomplete fixture, (vii) RLS(C) matches the stated value within +/-0.000010, and (viii) ordinary framework selection is blocked pending scenario-library repair.</w:t>
      </w:r>
    </w:p>
    <w:p>
      <w:pPr>
        <w:pStyle w:val="Heading2"/>
        <w:keepNext/>
        <w:keepLines/>
        <w:pageBreakBefore w:val="0"/>
        <w:widowControl/>
      </w:pPr>
      <w:r>
        <w:rPr>
          <w:rFonts w:ascii="Arial" w:hAnsi="Arial" w:eastAsia="Arial"/>
          <w:b/>
          <w:color w:val="1F4E78"/>
        </w:rPr>
        <w:t>R.20 Dependence-Sensitivity Stress Vector (Normative conformance extension)</w:t>
      </w:r>
    </w:p>
    <w:p>
      <w:pPr>
        <w:widowControl/>
      </w:pPr>
      <w:r>
        <w:t>Construct two otherwise identical selectable options whose active-cell marginal uncertainties are unchanged, but place the material adverse cells in one declared perfect-correlation cluster for the stress case. A conforming implementation MUST recompute sigma_RLS using the dependence-cluster rule, rerun the decisiveness test, and emit RLS_DEPENDENCE_SENSITIVE whenever the decisive/non-decisive classification or selected leader changes. The vector demonstrates dependence sensitivity; it does not calibrate the correlation model.</w:t>
      </w:r>
    </w:p>
    <w:p>
      <w:pPr>
        <w:pStyle w:val="BodyText"/>
        <w:widowControl/>
      </w:pPr>
      <w:r>
        <w:t xml:space="preserve">End Appendix R.</w:t>
      </w:r>
    </w:p>
    <w:bookmarkEnd w:id="553"/>
    <w:bookmarkEnd w:id="554"/>
    <w:bookmarkStart w:id="555" w:name="X0eeed9ba4a59fa36d8eb3cdb258c7faee0c1bb2"/>
    <w:p>
      <w:pPr>
        <w:pStyle w:val="Heading1"/>
        <w:keepNext/>
        <w:keepLines/>
        <w:pageBreakBefore w:val="0"/>
        <w:widowControl/>
      </w:pPr>
      <w:r>
        <w:rPr>
          <w:rFonts w:ascii="Arial" w:hAnsi="Arial" w:eastAsia="Arial"/>
          <w:b/>
          <w:color w:val="1F4E78"/>
        </w:rPr>
        <w:t xml:space="preserve">APPENDIX S: INTEROPERABILITY: RIPPLE.MD WRAPPED DEPLOYMENT ASSURANCE (INFORMATIVE)</w:t>
      </w:r>
    </w:p>
    <w:p>
      <w:pPr>
        <w:pStyle w:val="FirstParagraph"/>
        <w:widowControl/>
      </w:pPr>
      <w:r>
        <w:t xml:space="preserve">Interoperability (canonical posture; wrapped deployment). RippleLogic in the current release line is the decision-engine specification. In institutional and deployment contexts, RippleLogic is commonly wrapped by the ripple.md Standard v5.4, which supplies feasibility gates for Non-Domination and Epistemic Integrity, standardizes Decision Notes, waivers, and emergency triage records, and defines the portable interface contract for passing admissibility, residual-risk, and audit artifacts between ripple.md and RippleLogic. Under this posture, ripple.md gates define the feasible set, and RippleLogic selects among feasible options using its lexicographic cascade and welfare-ranking logic.</w:t>
      </w:r>
    </w:p>
    <w:p>
      <w:pPr>
        <w:pStyle w:val="BodyText"/>
        <w:widowControl/>
      </w:pPr>
      <w:r>
        <w:t xml:space="preserve">Interface summary (Informative). ripple.md v5.4 owns the portable alignment contract, Decision Note, waiver, emergency triage, and assurance-case semantics. RippleLogic in the current release line owns the 7×7 welfare matrix, RG/RF-NCRC/TRC/CSV/RLS architecture, with UCI/HOI as CSV-internal or residual diagnostics, PCC, and any PLSS weighting used for local welfare ranking. Implementations MUST pin both artifacts explicitly when claiming wrapped deployment conformance.</w:t>
      </w:r>
    </w:p>
    <w:p>
      <w:pPr>
        <w:pStyle w:val="BodyText"/>
        <w:widowControl/>
      </w:pPr>
      <w:r>
        <w:t xml:space="preserve">Interface contract (Normative summary). In wrapped deployments, ripple.md receives the decision context, Decision Note, waiver state, emergency-triage posture, and any institutional assurance metadata. RippleLogic returns the PCC, admissibility states (rights-admissible, admissible, selectable, selected), gate rationales, residual-risk disclosures, and any PLSS posture declaration. ripple.md MUST NOT override RippleLogic gate outcomes silently; any waiver, emergency exception, or governance override MUST remain explicit, version-pinned, and attached to the same run record.</w:t>
      </w:r>
    </w:p>
    <w:p>
      <w:pPr>
        <w:pStyle w:val="BodyText"/>
        <w:widowControl/>
      </w:pPr>
      <w:r>
        <w:t xml:space="preserve">Boundary rule (Normative summary). ripple.md governs portable assurance semantics such as Non-Domination, Epistemic Integrity, Decision Notes, and waiver choreography. RippleLogic governs the computable 7×7 welfare matrix, RG/RF-NCRC/TRC/CSV/RLS architecture, with UCI/HOI as CSV-internal or residual diagnostics, PCC, and PLSS weighting. If ripple.md and RippleLogic disagree about readiness, the deployment MUST preserve both records and escalate rather than collapsing the disagreement into a single hidden status. Companion artifacts MUST be pinned together by explicit version and manifest hash in the release bundle.</w:t>
      </w:r>
    </w:p>
    <w:p>
      <w:pPr>
        <w:pStyle w:val="BodyText"/>
        <w:widowControl/>
      </w:pPr>
      <w:r>
        <w:t xml:space="preserve">Minimum interface artifacts (Normative for wrapped deployments). In any deployment claiming both ripple.md v5.4 and RippleLogic current-line conformance, the following interface artifacts MUST be present and version-pinned in the deployment manifest: (i) a ripple.md Decision Note, including feasibility gate outcomes for Non-Domination and Epistemic Integrity, as the upstream input to the RippleLogic run; (ii) a RippleLogic PCC, including admissibility states, gate rationales, residual-risk disclosures, and any PLSS posture declaration, as the downstream output consumed by ripple.md assurance records; (iii) a version-pin declaration listing the exact ripple.md and RippleLogic artifact versions and hashes used; and (iv) a disagreement-handling rule: if ripple.md feasibility gates and RippleLogic admissibility gates produce contradictory signals, the deployment MUST preserve both records, flag the disagreement, and escalate to governance review rather than silently collapsing the discrepancy.</w:t>
      </w:r>
    </w:p>
    <w:p>
      <w:pPr>
        <w:pStyle w:val="BodyText"/>
        <w:widowControl/>
      </w:pPr>
      <w:r>
        <w:t xml:space="preserve">Scope note (Informative). This interoperability section defines the portable interface contract between the two artifacts. It does not reproduce ripple.md internal semantics, which remain governed by the ripple.md Standard v5.4 canonical artifact. For the full assurance-case architecture, Decision Note schema, waiver choreography, and emergency triage semantics, see ripple.md v5.4.</w:t>
      </w:r>
    </w:p>
    <w:p>
      <w:pPr>
        <w:pStyle w:val="BodyText"/>
        <w:widowControl/>
      </w:pPr>
      <w:r>
        <w:t xml:space="preserve">End Appendix S.</w:t>
      </w:r>
    </w:p>
    <w:bookmarkEnd w:id="555"/>
    <w:bookmarkStart w:id="565" w:name="X2b67e40fd807de1e1cb3afd05e1a72a7e31ada4"/>
    <w:p>
      <w:pPr>
        <w:pStyle w:val="Heading1"/>
        <w:keepNext/>
        <w:keepLines/>
        <w:pageBreakBefore w:val="0"/>
        <w:widowControl/>
      </w:pPr>
      <w:r>
        <w:rPr>
          <w:rFonts w:ascii="Arial" w:hAnsi="Arial" w:eastAsia="Arial"/>
          <w:b/>
          <w:color w:val="1F4E78"/>
        </w:rPr>
        <w:t xml:space="preserve">Appendix T: Execution Stability Diagnostic (Normative for Tier 2-3 consequence-bearing execution)</w:t>
      </w:r>
    </w:p>
    <w:bookmarkStart w:id="556" w:name="t1-purpose"/>
    <w:p>
      <w:pPr>
        <w:pStyle w:val="Heading2"/>
        <w:keepNext/>
        <w:keepLines/>
        <w:pageBreakBefore w:val="0"/>
        <w:widowControl/>
      </w:pPr>
      <w:r>
        <w:rPr>
          <w:rFonts w:ascii="Arial" w:hAnsi="Arial" w:eastAsia="Arial"/>
          <w:b/>
          <w:color w:val="1F4E78"/>
        </w:rPr>
        <w:t xml:space="preserve">T.1 Purpose</w:t>
      </w:r>
    </w:p>
    <w:p>
      <w:pPr>
        <w:pStyle w:val="FirstParagraph"/>
        <w:widowControl/>
      </w:pPr>
      <w:r>
        <w:t xml:space="preserve">The Execution Stability Diagnostic (ESD) is a pre-execution regime-classification surface for consequence-bearing transitions. Its purpose is to prevent a run from moving from selectability into real-world execution while leaving continuity, reversibility, destabilization pressure, endpoint risk, or unresolved transition evidence undeclared.</w:t>
      </w:r>
    </w:p>
    <w:p>
      <w:pPr>
        <w:pStyle w:val="BodyText"/>
        <w:widowControl/>
      </w:pPr>
      <w:r>
        <w:t xml:space="preserve">ESD does not replace NCRC, TRC, CSV, RLS, UCI, HOI, SGP, PCC, or lawful authority. It does not make stability a supreme ethical value. A stable oppressive system remains inadmissible where it violates rights, domination constraints, or containment obligations. A destabilizing transition may be justified only where it passes all earlier gates, has a legitimate purpose, is bounded, monitored, and better than available alternatives under the declared claim boundary.</w:t>
      </w:r>
    </w:p>
    <w:bookmarkEnd w:id="556"/>
    <w:bookmarkStart w:id="557" w:name="t2-regime-tokens"/>
    <w:p>
      <w:pPr>
        <w:pStyle w:val="Heading2"/>
        <w:keepNext/>
        <w:keepLines/>
        <w:pageBreakBefore w:val="0"/>
        <w:widowControl/>
      </w:pPr>
      <w:r>
        <w:rPr>
          <w:rFonts w:ascii="Arial" w:hAnsi="Arial" w:eastAsia="Arial"/>
          <w:b/>
          <w:color w:val="1F4E78"/>
        </w:rPr>
        <w:t xml:space="preserve">T.2 Regime tokens</w:t>
      </w:r>
    </w:p>
    <w:p>
      <w:pPr>
        <w:pStyle w:val="FirstParagraph"/>
        <w:widowControl/>
      </w:pPr>
      <w:r>
        <w:t xml:space="preserve">Implementations SHALL classify each required transition using exactly one of the following tokens: ESC_STABLE; ESC_STABLE_MONITOR; ESC_DESTABILIZING_BOUNDED; ESC_ENDPOINT_AUTHORIZED; ESC_ENDPOINT_REFUSED; ESC_CONTAINMENT_FAIL; ESC_UNDERDETERMINED.</w:t>
      </w:r>
    </w:p>
    <w:p>
      <w:pPr>
        <w:pStyle w:val="BodyText"/>
        <w:widowControl/>
      </w:pPr>
      <w:r>
        <w:t xml:space="preserve">ESC_STABLE means the transition preserves viable continuation within the declared domain and requires no special monitoring beyond ordinary PCC obligations. ESC_STABLE_MONITOR means the transition appears stable but carries enough uncertainty, dependency, or fragility to require declared monitoring. ESC_DESTABILIZING_BOUNDED means the transition creates degradation pressure or fragility but remains rights-preserving, tail-safe, containment-safe, bounded, reversible or staged where feasible, and superior to available alternatives under the declared claim boundary. ESC_ENDPOINT_AUTHORIZED means the transition intentionally closes, terminates, or irreversibly compresses a state space and is allowed only where endpoint status is intended, authority is legitimate, rights floors are preserved, tail-risk is bounded, containment is satisfied, and affected parties have appropriate standing, recourse, or review. ESC_ENDPOINT_REFUSED means endpoint-like transition is detected where continuation is required or where authority, rights, evidence, or reversibility conditions are insufficient. ESC_CONTAINMENT_FAIL means the transition fails Containment and therefore cannot be selected or executed. ESC_UNDERDETERMINED means the regime cannot be uniquely classified from declared evidence and projection rules.</w:t>
      </w:r>
    </w:p>
    <w:bookmarkEnd w:id="557"/>
    <w:bookmarkStart w:id="558" w:name="t3-placement-in-the-cascade"/>
    <w:p>
      <w:pPr>
        <w:pStyle w:val="Heading2"/>
        <w:keepNext/>
        <w:keepLines/>
        <w:pageBreakBefore w:val="0"/>
        <w:widowControl/>
      </w:pPr>
      <w:r>
        <w:rPr>
          <w:rFonts w:ascii="Arial" w:hAnsi="Arial" w:eastAsia="Arial"/>
          <w:b/>
          <w:color w:val="1F4E78"/>
        </w:rPr>
        <w:t xml:space="preserve">T.3 Placement in the cascade</w:t>
      </w:r>
    </w:p>
    <w:p>
      <w:pPr>
        <w:pStyle w:val="FirstParagraph"/>
        <w:widowControl/>
      </w:pPr>
      <w:r>
        <w:t xml:space="preserve">For required runs, ESD SHALL be evaluated after RF/NCRC, TRC, and CSV have been applied and before external consequence-bearing execution. It MAY be evaluated in parallel with Containment for diagnostic purposes, but the final ESD classification MUST NOT override the Containment verdict.</w:t>
      </w:r>
    </w:p>
    <w:p>
      <w:pPr>
        <w:pStyle w:val="BodyText"/>
        <w:widowControl/>
      </w:pPr>
      <w:r>
        <w:t xml:space="preserve">ESD has three effects. First, it can require monitoring, staging, rollback, review, or escalation for selectable options. Second, it can trigger Refusal where transition classification is underdetermined. Third, it can block endpoint-like execution where continuation is required and endpoint authority or evidence is insufficient.</w:t>
      </w:r>
    </w:p>
    <w:bookmarkEnd w:id="558"/>
    <w:bookmarkStart w:id="559" w:name="t4-required-inputs"/>
    <w:p>
      <w:pPr>
        <w:pStyle w:val="Heading2"/>
        <w:keepNext/>
        <w:keepLines/>
        <w:pageBreakBefore w:val="0"/>
        <w:widowControl/>
      </w:pPr>
      <w:r>
        <w:rPr>
          <w:rFonts w:ascii="Arial" w:hAnsi="Arial" w:eastAsia="Arial"/>
          <w:b/>
          <w:color w:val="1F4E78"/>
        </w:rPr>
        <w:t xml:space="preserve">T.4 Required inputs</w:t>
      </w:r>
    </w:p>
    <w:p>
      <w:pPr>
        <w:pStyle w:val="FirstParagraph"/>
        <w:widowControl/>
      </w:pPr>
      <w:r>
        <w:t xml:space="preserve">A PCC.ExecutionStabilityRecord SHALL include: esd_id; option_id; domain_declared; current_state_summary; proposed_transition; continuation_requirement; affected_scopes; reversibility_status; endpoint_risk; destabilization_indicators; containment_disposition; admissibility_state_before_esd; evidence_basis; regime_token; monitoring_or_staging_plan; rollback_or_repair_path; escalation_route; execution_disposition; reviewer_signature_or_role; timestamp; and claim_boundary.</w:t>
      </w:r>
    </w:p>
    <w:bookmarkEnd w:id="559"/>
    <w:bookmarkStart w:id="560" w:name="Xfc2554925d527509d3f9d68d6f9992dce7a574b"/>
    <w:p>
      <w:pPr>
        <w:pStyle w:val="Heading2"/>
        <w:keepNext/>
        <w:keepLines/>
        <w:pageBreakBefore w:val="0"/>
        <w:widowControl/>
      </w:pPr>
      <w:r>
        <w:rPr>
          <w:rFonts w:ascii="Arial" w:hAnsi="Arial" w:eastAsia="Arial"/>
          <w:b/>
          <w:color w:val="1F4E78"/>
        </w:rPr>
        <w:t xml:space="preserve">T.4.1 Destabilization indicator protocol (Normative)</w:t>
      </w:r>
    </w:p>
    <w:p>
      <w:pPr>
        <w:pStyle w:val="FirstParagraph"/>
        <w:widowControl/>
      </w:pPr>
      <w:r>
        <w:t xml:space="preserve">A PCC.ExecutionStabilityRecord.destabilization_indicators field SHALL list, for each declared indicator: (a) indicator_id (registry-pinned), (b) indicator_name, (c) measurement_method (the operational procedure that maps observed evidence to indicator value), (d) data_source (the artifact, registry, or measurement instrument from which evidence is read), (e) signal_threshold (the numeric or categorical level at which the indicator is considered active), and (f) decision_rule_for_token_assignment (the rule by which active indicator levels contribute to the regime token assignment). Two reviewers using only the declared indicator protocol and the declared evidence SHALL be expected to converge on the same regime_token. Where reviewers do not converge, the run SHALL be flagged as classification-unstable and routed to Refusal or review under T.5. Implementations are NOT REQUIRED to use any specific indicator catalog. They ARE REQUIRED to declare their indicator catalog, its measurement methods, and its decision rules before run-lock, in the ProjectionPreRegistration record.</w:t>
      </w:r>
    </w:p>
    <w:bookmarkEnd w:id="560"/>
    <w:bookmarkStart w:id="561" w:name="t5-refusal-triggers"/>
    <w:p>
      <w:pPr>
        <w:pStyle w:val="Heading2"/>
        <w:keepNext/>
        <w:keepLines/>
        <w:pageBreakBefore w:val="0"/>
        <w:widowControl/>
      </w:pPr>
      <w:r>
        <w:rPr>
          <w:rFonts w:ascii="Arial" w:hAnsi="Arial" w:eastAsia="Arial"/>
          <w:b/>
          <w:color w:val="1F4E78"/>
        </w:rPr>
        <w:t xml:space="preserve">T.5 Refusal triggers</w:t>
      </w:r>
    </w:p>
    <w:p>
      <w:pPr>
        <w:pStyle w:val="FirstParagraph"/>
        <w:widowControl/>
      </w:pPr>
      <w:r>
        <w:t xml:space="preserve">A run SHALL enter Refusal where ESD-required evidence is missing for a high-stakes consequence-bearing transition, where two or more materially different regime classifications remain plausible under the same declared evidence, where endpoint risk cannot be distinguished from ordinary transition risk, or where the transition would become real before the PCC can preserve its claim boundary.</w:t>
      </w:r>
    </w:p>
    <w:bookmarkEnd w:id="561"/>
    <w:bookmarkStart w:id="562" w:name="t6-validation-rule"/>
    <w:p>
      <w:pPr>
        <w:pStyle w:val="Heading2"/>
        <w:keepNext/>
        <w:keepLines/>
        <w:pageBreakBefore w:val="0"/>
        <w:widowControl/>
      </w:pPr>
      <w:r>
        <w:rPr>
          <w:rFonts w:ascii="Arial" w:hAnsi="Arial" w:eastAsia="Arial"/>
          <w:b/>
          <w:color w:val="1F4E78"/>
        </w:rPr>
        <w:t xml:space="preserve">T.6 Validation rule</w:t>
      </w:r>
    </w:p>
    <w:p>
      <w:pPr>
        <w:pStyle w:val="FirstParagraph"/>
        <w:widowControl/>
      </w:pPr>
      <w:r>
        <w:t xml:space="preserve">For Tier 2 and Tier 3 consequence-bearing execution, absence of PCC.ExecutionStabilityRecord SHALL mark the PCC INVALID for any claim that the transition was execution-stability-classified. It does not by itself change historical NCRC, TRC, CSV, or RLS arithmetic, but it prevents a stronger execution-bound conformance claim.</w:t>
      </w:r>
    </w:p>
    <w:bookmarkEnd w:id="562"/>
    <w:bookmarkStart w:id="563" w:name="t7-non-adoption-boundary"/>
    <w:p>
      <w:pPr>
        <w:pStyle w:val="Heading2"/>
        <w:keepNext/>
        <w:keepLines/>
        <w:pageBreakBefore w:val="0"/>
        <w:widowControl/>
      </w:pPr>
      <w:r>
        <w:rPr>
          <w:rFonts w:ascii="Arial" w:hAnsi="Arial" w:eastAsia="Arial"/>
          <w:b/>
          <w:color w:val="1F4E78"/>
        </w:rPr>
        <w:t xml:space="preserve">T.7 Non-adoption boundary</w:t>
      </w:r>
    </w:p>
    <w:p>
      <w:pPr>
        <w:pStyle w:val="FirstParagraph"/>
        <w:widowControl/>
      </w:pPr>
      <w:r>
        <w:t xml:space="preserve">This appendix integrates a general pre-execution stability diagnostic into RippleLogic’s own architecture. Stability remains an execution diagnostic, not ethical validity, permission, or source authority.</w:t>
      </w:r>
    </w:p>
    <w:bookmarkEnd w:id="563"/>
    <w:bookmarkStart w:id="564" w:name="t8-release-delta-v100-informative"/>
    <w:p>
      <w:pPr>
        <w:pStyle w:val="Heading2"/>
        <w:keepNext/>
        <w:keepLines/>
        <w:pageBreakBefore w:val="0"/>
        <w:widowControl/>
      </w:pPr>
      <w:r>
        <w:rPr>
          <w:rFonts w:ascii="Arial" w:hAnsi="Arial" w:eastAsia="Arial"/>
          <w:b/>
          <w:color w:val="1F4E78"/>
        </w:rPr>
        <w:t xml:space="preserve">T.8 Release Delta v10.0 (Informative)</w:t>
      </w:r>
    </w:p>
    <w:p>
      <w:pPr>
        <w:pStyle w:val="FirstParagraph"/>
        <w:widowControl/>
      </w:pPr>
      <w:r>
        <w:t xml:space="preserve">v10.0 (2026-05-13). Release-integrity, admissibility-permission, and execution-stability indicator hardening GitHub release.</w:t>
      </w:r>
    </w:p>
    <w:p>
      <w:pPr>
        <w:pStyle w:val="BodyText"/>
        <w:widowControl/>
      </w:pPr>
      <w:r>
        <w:t xml:space="preserve">Added Appendix T, Execution Stability Diagnostic, with regime tokens and PCC.ExecutionStabilityRecord fields.</w:t>
      </w:r>
    </w:p>
    <w:p>
      <w:pPr>
        <w:pStyle w:val="BodyText"/>
        <w:widowControl/>
      </w:pPr>
      <w:r>
        <w:t xml:space="preserve">Preserved Reality Grounding → Rights Floor → TRC → CSV → RLS and kept ESD subordinate to the existing gates.</w:t>
      </w:r>
    </w:p>
    <w:p>
      <w:pPr>
        <w:pStyle w:val="BodyText"/>
        <w:widowControl/>
      </w:pPr>
      <w:r>
        <w:t xml:space="preserve">Clarified boundary: RippleLogic’s normative architecture remains governed by the canonical cascade, release manifest, and declared companion matrix.</w:t>
      </w:r>
    </w:p>
    <w:p>
      <w:pPr>
        <w:pStyle w:val="BodyText"/>
        <w:widowControl/>
      </w:pPr>
      <w:r>
        <w:t xml:space="preserve">Synchronized companion references to SGP v8.4, ripple.md v5.4, Agent System v12.3, Primer v4.3, Aligners Sheet v5.5, Cascade Standard v2.5, CSV Gate Standard v2.3, Reproducibility and Use Standard v1.3, WDBIP v1.5, and RLS Validation Protocol v2.5.</w:t>
      </w:r>
    </w:p>
    <w:bookmarkEnd w:id="564"/>
    <w:bookmarkEnd w:id="565"/>
    <w:bookmarkStart w:id="573" w:name="Xa593fc3f7a904606cc31b2e44e6dd0e62212af0"/>
    <w:p>
      <w:pPr>
        <w:pStyle w:val="Heading1"/>
        <w:keepNext/>
        <w:keepLines/>
        <w:pageBreakBefore w:val="0"/>
        <w:widowControl/>
      </w:pPr>
      <w:r>
        <w:rPr>
          <w:rFonts w:ascii="Arial" w:hAnsi="Arial" w:eastAsia="Arial"/>
          <w:b/>
          <w:color w:val="1F4E78"/>
        </w:rPr>
        <w:t xml:space="preserve">APPENDIX U: TRANSITION ADMISSIBILITY AND EVIDENCE SUBSTRATE (NORMATIVE)</w:t>
      </w:r>
    </w:p>
    <w:bookmarkStart w:id="566" w:name="X59123060bfdb3b85a55c88e1b715c4f5196b770"/>
    <w:p>
      <w:pPr>
        <w:pStyle w:val="Heading2"/>
        <w:keepNext/>
        <w:keepLines/>
        <w:pageBreakBefore w:val="0"/>
        <w:widowControl/>
      </w:pPr>
      <w:r>
        <w:rPr>
          <w:rFonts w:ascii="Arial" w:hAnsi="Arial" w:eastAsia="Arial"/>
          <w:b/>
          <w:color w:val="1F4E78"/>
        </w:rPr>
        <w:t xml:space="preserve">U.1 Purpose. This appendix specifies the carried-forward Transition Admissibility discipline. It strengthens pre-execution review without changing the core cascade. The purpose is to prevent consequence-bearing action when the primitive assumptions, projection path, evidence substrate, or transition regime are not sufficiently determined for the claim being attempted.</w:t>
      </w:r>
    </w:p>
    <w:bookmarkEnd w:id="566"/>
    <w:bookmarkStart w:id="567" w:name="Xc8c5795783569647f638fe436338c156e7d781a"/>
    <w:p>
      <w:pPr>
        <w:pStyle w:val="Heading2"/>
        <w:keepNext/>
        <w:keepLines/>
        <w:pageBreakBefore w:val="0"/>
        <w:widowControl/>
      </w:pPr>
      <w:r>
        <w:rPr>
          <w:rFonts w:ascii="Arial" w:hAnsi="Arial" w:eastAsia="Arial"/>
          <w:b/>
          <w:color w:val="1F4E78"/>
        </w:rPr>
        <w:t xml:space="preserve">U.2 Core principle. Evaluation MUST NOT begin at the output layer alone for Tier 2 and Tier 3 consequence-bearing runs. Before execution, the run SHALL identify the current state, proposed transition, affected Union Scopes, primitive assumptions, evidence sources, projection path, admissibility gates, execution-stability classification, refusal triggers, and observable consequence markers.</w:t>
      </w:r>
    </w:p>
    <w:bookmarkEnd w:id="567"/>
    <w:bookmarkStart w:id="568" w:name="X2d6397d629c43d4e9b53b2dae1166dda95db4be"/>
    <w:p>
      <w:pPr>
        <w:pStyle w:val="Heading2"/>
        <w:keepNext/>
        <w:keepLines/>
        <w:pageBreakBefore w:val="0"/>
        <w:widowControl/>
      </w:pPr>
      <w:r>
        <w:rPr>
          <w:rFonts w:ascii="Arial" w:hAnsi="Arial" w:eastAsia="Arial"/>
          <w:b/>
          <w:color w:val="1F4E78"/>
        </w:rPr>
        <w:t xml:space="preserve">U.3 Binary gates and probabilistic evidence. RippleLogic preserves binary admissibility gates where ethically and operationally required: NCRC pass/fail, TRC pass/fail, Containment pass/fail, Refusal/non-refusal, and execution eligibility. However, the evidence used to evaluate those gates MAY be probabilistic, uncertain, incomplete, adversarial, or model-mediated. A binary gate result is claimable only relative to declared rules, domains, thresholds, and evidence standards; it is not a claim of omniscient or deterministic access to total reality.</w:t>
      </w:r>
    </w:p>
    <w:bookmarkEnd w:id="568"/>
    <w:bookmarkStart w:id="569" w:name="X0d665f0545789c9c753f3131a87121aee4b7fee"/>
    <w:p>
      <w:pPr>
        <w:pStyle w:val="Heading2"/>
        <w:keepNext/>
        <w:keepLines/>
        <w:pageBreakBefore w:val="0"/>
        <w:widowControl/>
      </w:pPr>
      <w:r>
        <w:rPr>
          <w:rFonts w:ascii="Arial" w:hAnsi="Arial" w:eastAsia="Arial"/>
          <w:b/>
          <w:color w:val="1F4E78"/>
        </w:rPr>
        <w:t xml:space="preserve">U.4 TransitionAdmissibilityRecord. For Tier 2 and Tier 3 consequence-bearing execution, the PCC SHOULD include a TransitionAdmissibilityRecord; for high-stakes Tier 3 runs it SHALL include it. The record contains: transition_id; current_state; proposed_state; affected_scopes; primitive_assumptions; evidence_substrate; gate_results; uncertainty_class; projection_path; observable_consequence_markers; refusal_triggers; rollback_conditions; reviewer_role; timestamp; and artifact_hash_ref.</w:t>
      </w:r>
    </w:p>
    <w:bookmarkEnd w:id="569"/>
    <w:bookmarkStart w:id="570" w:name="X16466a9abd8925360ed7a122160788b575bf1a9"/>
    <w:p>
      <w:pPr>
        <w:pStyle w:val="Heading2"/>
        <w:keepNext/>
        <w:keepLines/>
        <w:pageBreakBefore w:val="0"/>
        <w:widowControl/>
      </w:pPr>
      <w:r>
        <w:rPr>
          <w:rFonts w:ascii="Arial" w:hAnsi="Arial" w:eastAsia="Arial"/>
          <w:b/>
          <w:color w:val="1F4E78"/>
        </w:rPr>
        <w:t xml:space="preserve">U.5 Refusal rule. If any primitive assumption, dependency chain, projection condition, measurement method, evidence sufficiency threshold, or gate result is materially underdetermined for the claim being attempted, the system SHALL route to Refusal, escalation, or narrower claim scope. It SHALL NOT treat behavioral plausibility, local stability, or output confidence as a substitute for admissibility.</w:t>
      </w:r>
    </w:p>
    <w:bookmarkEnd w:id="570"/>
    <w:bookmarkStart w:id="571" w:name="Xfeb0122a1ab26a1df9c28759769a1364b9515bb"/>
    <w:p>
      <w:pPr>
        <w:pStyle w:val="Heading2"/>
        <w:keepNext/>
        <w:keepLines/>
        <w:pageBreakBefore w:val="0"/>
        <w:widowControl/>
      </w:pPr>
      <w:r>
        <w:rPr>
          <w:rFonts w:ascii="Arial" w:hAnsi="Arial" w:eastAsia="Arial"/>
          <w:b/>
          <w:color w:val="1F4E78"/>
        </w:rPr>
        <w:t xml:space="preserve">U.6 No external ontology import. This appendix is an internal RippleLogic methodology clarification. It does not import, depend on, cite, or credit any external ontology, proprietary framework, or third-party system. The current terminology is: primitive-to-observable traceability, projection pre-registration, transition admissibility, evidence-substrate humility, execution stability diagnostic, and refusal under underdetermination.</w:t>
      </w:r>
    </w:p>
    <w:bookmarkEnd w:id="571"/>
    <w:bookmarkStart w:id="572" w:name="Xf9cd3bf32b7b39d6a959daa30c645661a02761a"/>
    <w:p>
      <w:pPr>
        <w:pStyle w:val="Heading2"/>
        <w:keepNext/>
        <w:keepLines/>
        <w:pageBreakBefore w:val="0"/>
        <w:widowControl/>
      </w:pPr>
      <w:r>
        <w:rPr>
          <w:rFonts w:ascii="Arial" w:hAnsi="Arial" w:eastAsia="Arial"/>
          <w:b/>
          <w:color w:val="1F4E78"/>
        </w:rPr>
        <w:t xml:space="preserve">U.7 ProofPack path. Future ProofPack tooling SHOULD operationalize this appendix through machine-readable TransitionAdmissibilityRecord schemas, validator checks, canonical test vectors, replayable PCC examples, and independent replay instructions. Until those artifacts exist and are hash-pinned, the current release line remains architecture/methodology complete for its declared scope, not ProofPack-ready or Tier 4-ready.</w:t>
      </w:r>
    </w:p>
    <w:bookmarkEnd w:id="572"/>
    <w:bookmarkEnd w:id="573"/>
    <w:bookmarkStart w:id="587" w:name="X18acc0e56d942da8383e87423ef06eda1623f72"/>
    <w:p>
      <w:pPr>
        <w:pStyle w:val="Heading1"/>
        <w:keepNext/>
        <w:keepLines/>
        <w:pageBreakBefore w:val="0"/>
        <w:widowControl/>
      </w:pPr>
      <w:r>
        <w:rPr>
          <w:rFonts w:ascii="Arial" w:hAnsi="Arial" w:eastAsia="Arial"/>
          <w:b/>
          <w:color w:val="1F4E78"/>
        </w:rPr>
        <w:t xml:space="preserve">APPENDIX V: Measurement Maturity and Deployment Context Hardening</w:t>
      </w:r>
    </w:p>
    <w:p>
      <w:pPr>
        <w:pStyle w:val="FirstParagraph"/>
        <w:widowControl/>
      </w:pPr>
      <w:r>
        <w:t xml:space="preserve">Normative for Tier 2-3 claim-bearing runs; recommended for high-stakes Tier 1 runs.</w:t>
      </w:r>
    </w:p>
    <w:bookmarkStart w:id="574" w:name="v1-purpose"/>
    <w:p>
      <w:pPr>
        <w:pStyle w:val="Heading2"/>
        <w:keepNext/>
        <w:keepLines/>
        <w:pageBreakBefore w:val="0"/>
        <w:widowControl/>
      </w:pPr>
      <w:r>
        <w:rPr>
          <w:rFonts w:ascii="Arial" w:hAnsi="Arial" w:eastAsia="Arial"/>
          <w:b/>
          <w:color w:val="1F4E78"/>
        </w:rPr>
        <w:t xml:space="preserve">V.1 Purpose</w:t>
      </w:r>
    </w:p>
    <w:p>
      <w:pPr>
        <w:pStyle w:val="FirstParagraph"/>
        <w:widowControl/>
      </w:pPr>
      <w:r>
        <w:t xml:space="preserve">RippleLogic gates may be architecturally binding before their measurement surfaces are empirically mature. Every run MUST disclose the maturity posture of the evidence, indicators, kernels, institutional weighting process, and escalation mechanisms used to support those gates. A binary gate verdict is only claimable when the declared evidence substrate can support the required determination under the run’s declared thresholds and uncertainty rules.</w:t>
      </w:r>
    </w:p>
    <w:bookmarkEnd w:id="574"/>
    <w:bookmarkStart w:id="575" w:name="X40634f5f81a3ac5e6e9987e88f280fd6300c274"/>
    <w:p>
      <w:pPr>
        <w:pStyle w:val="Heading2"/>
        <w:keepNext/>
        <w:keepLines/>
        <w:pageBreakBefore w:val="0"/>
        <w:widowControl/>
      </w:pPr>
      <w:r>
        <w:rPr>
          <w:rFonts w:ascii="Arial" w:hAnsi="Arial" w:eastAsia="Arial"/>
          <w:b/>
          <w:color w:val="1F4E78"/>
        </w:rPr>
        <w:t xml:space="preserve">V.2 UCI Measurement Readiness Classification</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Token</w:t>
            </w:r>
          </w:p>
        </w:tc>
        <w:tc>
          <w:tcPr>
            <w:shd w:fill="1F4E78" w:val="clear"/>
            <w:tcMar>
              <w:top w:w="80" w:type="dxa"/>
              <w:start w:w="90" w:type="dxa"/>
              <w:bottom w:w="80" w:type="dxa"/>
              <w:end w:w="90" w:type="dxa"/>
            </w:tcMar>
          </w:tcPr>
          <w:p>
            <w:pPr>
              <w:pStyle w:val="Compact"/>
              <w:jc w:val="left"/>
            </w:pPr>
            <w:r>
              <w:rPr>
                <w:b/>
                <w:bCs/>
                <w:color w:val="FFFFFF"/>
              </w:rPr>
              <w:t xml:space="preserve">Meaning</w:t>
            </w:r>
          </w:p>
        </w:tc>
        <w:tc>
          <w:tcPr>
            <w:shd w:fill="1F4E78" w:val="clear"/>
            <w:tcMar>
              <w:top w:w="80" w:type="dxa"/>
              <w:start w:w="90" w:type="dxa"/>
              <w:bottom w:w="80" w:type="dxa"/>
              <w:end w:w="90" w:type="dxa"/>
            </w:tcMar>
          </w:tcPr>
          <w:p>
            <w:pPr>
              <w:pStyle w:val="Compact"/>
              <w:jc w:val="left"/>
            </w:pPr>
            <w:r>
              <w:rPr>
                <w:b/>
                <w:bCs/>
                <w:color w:val="FFFFFF"/>
              </w:rPr>
              <w:t xml:space="preserve">Claim effect</w:t>
            </w:r>
          </w:p>
        </w:tc>
      </w:tr>
      <w:tr>
        <w:trPr/>
        <w:tc>
          <w:tcPr>
            <w:tcMar>
              <w:top w:w="80" w:type="dxa"/>
              <w:start w:w="90" w:type="dxa"/>
              <w:bottom w:w="80" w:type="dxa"/>
              <w:end w:w="90" w:type="dxa"/>
            </w:tcMar>
            <w:shd w:fill="F7FBFF" w:val="clear"/>
          </w:tcPr>
          <w:p>
            <w:pPr>
              <w:pStyle w:val="Compact"/>
              <w:jc w:val="left"/>
            </w:pPr>
            <w:r>
              <w:t xml:space="preserve">UCI-M0_UNAVAILABLE</w:t>
            </w:r>
          </w:p>
        </w:tc>
        <w:tc>
          <w:tcPr>
            <w:tcMar>
              <w:top w:w="80" w:type="dxa"/>
              <w:start w:w="90" w:type="dxa"/>
              <w:bottom w:w="80" w:type="dxa"/>
              <w:end w:w="90" w:type="dxa"/>
            </w:tcMar>
            <w:shd w:fill="F7FBFF" w:val="clear"/>
          </w:tcPr>
          <w:p>
            <w:pPr>
              <w:pStyle w:val="Compact"/>
              <w:jc w:val="left"/>
            </w:pPr>
            <w:r>
              <w:t xml:space="preserve">No independent structural indicators are available.</w:t>
            </w:r>
          </w:p>
        </w:tc>
        <w:tc>
          <w:tcPr>
            <w:tcMar>
              <w:top w:w="80" w:type="dxa"/>
              <w:start w:w="90" w:type="dxa"/>
              <w:bottom w:w="80" w:type="dxa"/>
              <w:end w:w="90" w:type="dxa"/>
            </w:tcMar>
            <w:shd w:fill="F7FBFF" w:val="clear"/>
          </w:tcPr>
          <w:p>
            <w:pPr>
              <w:pStyle w:val="Compact"/>
              <w:jc w:val="left"/>
            </w:pPr>
            <w:r>
              <w:t xml:space="preserve">UCI cannot support Containment or tie-break claims without escalation or narrower claim scope.</w:t>
            </w:r>
          </w:p>
        </w:tc>
      </w:tr>
      <w:tr>
        <w:trPr/>
        <w:tc>
          <w:tcPr>
            <w:tcMar>
              <w:top w:w="80" w:type="dxa"/>
              <w:start w:w="90" w:type="dxa"/>
              <w:bottom w:w="80" w:type="dxa"/>
              <w:end w:w="90" w:type="dxa"/>
            </w:tcMar>
            <w:shd w:fill="D9EAF7" w:val="clear"/>
          </w:tcPr>
          <w:p>
            <w:pPr>
              <w:pStyle w:val="Compact"/>
              <w:jc w:val="left"/>
            </w:pPr>
            <w:r>
              <w:t xml:space="preserve">UCI-M1_PROVISIONAL</w:t>
            </w:r>
          </w:p>
        </w:tc>
        <w:tc>
          <w:tcPr>
            <w:tcMar>
              <w:top w:w="80" w:type="dxa"/>
              <w:start w:w="90" w:type="dxa"/>
              <w:bottom w:w="80" w:type="dxa"/>
              <w:end w:w="90" w:type="dxa"/>
            </w:tcMar>
            <w:shd w:fill="D9EAF7" w:val="clear"/>
          </w:tcPr>
          <w:p>
            <w:pPr>
              <w:pStyle w:val="Compact"/>
              <w:jc w:val="left"/>
            </w:pPr>
            <w:r>
              <w:t xml:space="preserve">Indicators are declared but not validated, normalized, or reliability-tested.</w:t>
            </w:r>
          </w:p>
        </w:tc>
        <w:tc>
          <w:tcPr>
            <w:tcMar>
              <w:top w:w="80" w:type="dxa"/>
              <w:start w:w="90" w:type="dxa"/>
              <w:bottom w:w="80" w:type="dxa"/>
              <w:end w:w="90" w:type="dxa"/>
            </w:tcMar>
            <w:shd w:fill="D9EAF7" w:val="clear"/>
          </w:tcPr>
          <w:p>
            <w:pPr>
              <w:pStyle w:val="Compact"/>
              <w:jc w:val="left"/>
            </w:pPr>
            <w:r>
              <w:t xml:space="preserve">Tier run may proceed only with disclosure and caution; no cross-domain UCI validation claim.</w:t>
            </w:r>
          </w:p>
        </w:tc>
      </w:tr>
      <w:tr>
        <w:trPr/>
        <w:tc>
          <w:tcPr>
            <w:tcMar>
              <w:top w:w="80" w:type="dxa"/>
              <w:start w:w="90" w:type="dxa"/>
              <w:bottom w:w="80" w:type="dxa"/>
              <w:end w:w="90" w:type="dxa"/>
            </w:tcMar>
            <w:shd w:fill="F7FBFF" w:val="clear"/>
          </w:tcPr>
          <w:p>
            <w:pPr>
              <w:pStyle w:val="Compact"/>
              <w:jc w:val="left"/>
            </w:pPr>
            <w:r>
              <w:t xml:space="preserve">UCI-M2_DOMAIN_SUPPORTED</w:t>
            </w:r>
          </w:p>
        </w:tc>
        <w:tc>
          <w:tcPr>
            <w:tcMar>
              <w:top w:w="80" w:type="dxa"/>
              <w:start w:w="90" w:type="dxa"/>
              <w:bottom w:w="80" w:type="dxa"/>
              <w:end w:w="90" w:type="dxa"/>
            </w:tcMar>
            <w:shd w:fill="F7FBFF" w:val="clear"/>
          </w:tcPr>
          <w:p>
            <w:pPr>
              <w:pStyle w:val="Compact"/>
              <w:jc w:val="left"/>
            </w:pPr>
            <w:r>
              <w:t xml:space="preserve">Instruments, normalization rules, and reviewer procedures are declared for the domain.</w:t>
            </w:r>
          </w:p>
        </w:tc>
        <w:tc>
          <w:tcPr>
            <w:tcMar>
              <w:top w:w="80" w:type="dxa"/>
              <w:start w:w="90" w:type="dxa"/>
              <w:bottom w:w="80" w:type="dxa"/>
              <w:end w:w="90" w:type="dxa"/>
            </w:tcMar>
            <w:shd w:fill="F7FBFF" w:val="clear"/>
          </w:tcPr>
          <w:p>
            <w:pPr>
              <w:pStyle w:val="Compact"/>
              <w:jc w:val="left"/>
            </w:pPr>
            <w:r>
              <w:t xml:space="preserve">Stronger Tier 3 use is possible with disclosed provisionality.</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UCI-M3_VALIDATED</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A domain annex exists with reliability, construct-validity, normalization, and structural-independence evidence.</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Higher-confidence Containment and tie-break use is claimable within that domain.</w:t>
            </w:r>
          </w:p>
        </w:tc>
      </w:tr>
    </w:tbl>
    <w:p>
      <w:pPr>
        <w:pStyle w:val="BodyText"/>
        <w:widowControl/>
      </w:pPr>
      <w:r>
        <w:t xml:space="preserve">For Tier 2-3 runs using UCI, PCC.UCI_Measurement_Readiness, PCC.UCI_Indicator_Source, PCC.UCI_Normalization_Rule, PCC.UCI_Structural_Independence_Posture, and PCC.UCI_Reviewer_Reliability_Status SHALL be recorded. If UCI-M0 applies, UCI-dependent Containment or tie-break claims SHALL route to escalation, conservative fallback, or Refusal rather than silently proceeding as validated measurement.</w:t>
      </w:r>
    </w:p>
    <w:bookmarkEnd w:id="575"/>
    <w:bookmarkStart w:id="576" w:name="v3-kernel-use-posture"/>
    <w:p>
      <w:pPr>
        <w:pStyle w:val="Heading2"/>
        <w:keepNext/>
        <w:keepLines/>
        <w:pageBreakBefore w:val="0"/>
        <w:widowControl/>
      </w:pPr>
      <w:r>
        <w:rPr>
          <w:rFonts w:ascii="Arial" w:hAnsi="Arial" w:eastAsia="Arial"/>
          <w:b/>
          <w:color w:val="1F4E78"/>
        </w:rPr>
        <w:t xml:space="preserve">V.3 Kernel Use Posture</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Token</w:t>
            </w:r>
          </w:p>
        </w:tc>
        <w:tc>
          <w:tcPr>
            <w:shd w:fill="1F4E78" w:val="clear"/>
            <w:tcMar>
              <w:top w:w="80" w:type="dxa"/>
              <w:start w:w="90" w:type="dxa"/>
              <w:bottom w:w="80" w:type="dxa"/>
              <w:end w:w="90" w:type="dxa"/>
            </w:tcMar>
          </w:tcPr>
          <w:p>
            <w:pPr>
              <w:pStyle w:val="Compact"/>
              <w:jc w:val="left"/>
            </w:pPr>
            <w:r>
              <w:rPr>
                <w:b/>
                <w:bCs/>
                <w:color w:val="FFFFFF"/>
              </w:rPr>
              <w:t xml:space="preserve">Meaning</w:t>
            </w:r>
          </w:p>
        </w:tc>
      </w:tr>
      <w:tr>
        <w:trPr/>
        <w:tc>
          <w:tcPr>
            <w:tcMar>
              <w:top w:w="80" w:type="dxa"/>
              <w:start w:w="90" w:type="dxa"/>
              <w:bottom w:w="80" w:type="dxa"/>
              <w:end w:w="90" w:type="dxa"/>
            </w:tcMar>
            <w:shd w:fill="F7FBFF" w:val="clear"/>
          </w:tcPr>
          <w:p>
            <w:pPr>
              <w:pStyle w:val="Compact"/>
              <w:jc w:val="left"/>
            </w:pPr>
            <w:r>
              <w:t xml:space="preserve">K0_NONE</w:t>
            </w:r>
          </w:p>
        </w:tc>
        <w:tc>
          <w:tcPr>
            <w:tcMar>
              <w:top w:w="80" w:type="dxa"/>
              <w:start w:w="90" w:type="dxa"/>
              <w:bottom w:w="80" w:type="dxa"/>
              <w:end w:w="90" w:type="dxa"/>
            </w:tcMar>
            <w:shd w:fill="F7FBFF" w:val="clear"/>
          </w:tcPr>
          <w:p>
            <w:pPr>
              <w:pStyle w:val="Compact"/>
              <w:jc w:val="left"/>
            </w:pPr>
            <w:r>
              <w:t xml:space="preserve">No numerical propagation kernel is used; direct multi-scope assessment and conservative disclosure govern.</w:t>
            </w:r>
          </w:p>
        </w:tc>
      </w:tr>
      <w:tr>
        <w:trPr/>
        <w:tc>
          <w:tcPr>
            <w:tcMar>
              <w:top w:w="80" w:type="dxa"/>
              <w:start w:w="90" w:type="dxa"/>
              <w:bottom w:w="80" w:type="dxa"/>
              <w:end w:w="90" w:type="dxa"/>
            </w:tcMar>
            <w:shd w:fill="D9EAF7" w:val="clear"/>
          </w:tcPr>
          <w:p>
            <w:pPr>
              <w:pStyle w:val="Compact"/>
              <w:jc w:val="left"/>
            </w:pPr>
            <w:r>
              <w:t xml:space="preserve">K1_STARTER</w:t>
            </w:r>
          </w:p>
        </w:tc>
        <w:tc>
          <w:tcPr>
            <w:tcMar>
              <w:top w:w="80" w:type="dxa"/>
              <w:start w:w="90" w:type="dxa"/>
              <w:bottom w:w="80" w:type="dxa"/>
              <w:end w:w="90" w:type="dxa"/>
            </w:tcMar>
            <w:shd w:fill="D9EAF7" w:val="clear"/>
          </w:tcPr>
          <w:p>
            <w:pPr>
              <w:pStyle w:val="Compact"/>
              <w:jc w:val="left"/>
            </w:pPr>
            <w:r>
              <w:t xml:space="preserve">Starter kernel used with shrinkage, sensitivity checks, and low confidence.</w:t>
            </w:r>
          </w:p>
        </w:tc>
      </w:tr>
      <w:tr>
        <w:trPr/>
        <w:tc>
          <w:tcPr>
            <w:tcMar>
              <w:top w:w="80" w:type="dxa"/>
              <w:start w:w="90" w:type="dxa"/>
              <w:bottom w:w="80" w:type="dxa"/>
              <w:end w:w="90" w:type="dxa"/>
            </w:tcMar>
            <w:shd w:fill="F7FBFF" w:val="clear"/>
          </w:tcPr>
          <w:p>
            <w:pPr>
              <w:pStyle w:val="Compact"/>
              <w:jc w:val="left"/>
            </w:pPr>
            <w:r>
              <w:t xml:space="preserve">K2_DOMAIN_CALIBRATED</w:t>
            </w:r>
          </w:p>
        </w:tc>
        <w:tc>
          <w:tcPr>
            <w:tcMar>
              <w:top w:w="80" w:type="dxa"/>
              <w:start w:w="90" w:type="dxa"/>
              <w:bottom w:w="80" w:type="dxa"/>
              <w:end w:w="90" w:type="dxa"/>
            </w:tcMar>
            <w:shd w:fill="F7FBFF" w:val="clear"/>
          </w:tcPr>
          <w:p>
            <w:pPr>
              <w:pStyle w:val="Compact"/>
              <w:jc w:val="left"/>
            </w:pPr>
            <w:r>
              <w:t xml:space="preserve">Domain-specific kernel has documented sources and partial validation.</w:t>
            </w:r>
          </w:p>
        </w:tc>
      </w:tr>
      <w:tr>
        <w:trPr/>
        <w:tc>
          <w:tcPr>
            <w:tcMar>
              <w:top w:w="80" w:type="dxa"/>
              <w:start w:w="90" w:type="dxa"/>
              <w:bottom w:w="80" w:type="dxa"/>
              <w:end w:w="90" w:type="dxa"/>
            </w:tcMar>
            <w:shd w:fill="D9EAF7" w:val="clear"/>
          </w:tcPr>
          <w:p>
            <w:pPr>
              <w:pStyle w:val="Compact"/>
              <w:jc w:val="left"/>
            </w:pPr>
            <w:r>
              <w:t xml:space="preserve">K3_BACKTESTED</w:t>
            </w:r>
          </w:p>
        </w:tc>
        <w:tc>
          <w:tcPr>
            <w:tcMar>
              <w:top w:w="80" w:type="dxa"/>
              <w:start w:w="90" w:type="dxa"/>
              <w:bottom w:w="80" w:type="dxa"/>
              <w:end w:w="90" w:type="dxa"/>
            </w:tcMar>
            <w:shd w:fill="D9EAF7" w:val="clear"/>
          </w:tcPr>
          <w:p>
            <w:pPr>
              <w:pStyle w:val="Compact"/>
              <w:jc w:val="left"/>
            </w:pPr>
            <w:r>
              <w:t xml:space="preserve">Kernel has backtest evidence, prediction-error documentation, and known failure boundaries.</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K4_REGISTERED</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Kernel is published, hash-pinned, independently reviewed, and tied to replayable test vectors.</w:t>
            </w:r>
          </w:p>
        </w:tc>
      </w:tr>
    </w:tbl>
    <w:p>
      <w:pPr>
        <w:pStyle w:val="BodyText"/>
        <w:widowControl/>
      </w:pPr>
      <w:r>
        <w:t xml:space="preserve">PCC.Kernel_Use_Posture, PCC.Kernel_Validation_Evidence, PCC.Kernel_Backtest_Status, and PCC.Kernel_Error_Bounds SHALL be disclosed for any run using numerical propagation. K0_NONE is conformant when disclosed; it means the run is ripple-aware through scope mapping, gates, and auditability, but does not claim validated numerical propagation.</w:t>
      </w:r>
    </w:p>
    <w:bookmarkEnd w:id="576"/>
    <w:bookmarkStart w:id="577" w:name="v4-hdw-capture-audit-record"/>
    <w:p>
      <w:pPr>
        <w:pStyle w:val="Heading2"/>
        <w:keepNext/>
        <w:keepLines/>
        <w:pageBreakBefore w:val="0"/>
        <w:widowControl/>
      </w:pPr>
      <w:r>
        <w:rPr>
          <w:rFonts w:ascii="Arial" w:hAnsi="Arial" w:eastAsia="Arial"/>
          <w:b/>
          <w:color w:val="1F4E78"/>
        </w:rPr>
        <w:t xml:space="preserve">V.4 HDW Capture Audit Record</w:t>
      </w:r>
    </w:p>
    <w:p>
      <w:pPr>
        <w:pStyle w:val="FirstParagraph"/>
        <w:widowControl/>
      </w:pPr>
      <w:r>
        <w:t xml:space="preserve">For Tier 3 public or institutional decisions, HDW weight-setting SHALL include a capture-risk assessment. Required fields: PCC.HDW_Weight_Source, PCC.HDW_Stakeholder_Map, PCC.HDW_Participation_Quality, PCC.HDW_Expert_Role_Provenance, PCC.HDW_Conflict_Disclosures, PCC.HDW_Challenger_Window, PCC.HDW_Independent_Review_Status, and PCC.HDW_Captured_Context_Limitation. Transparent capture is still capture; disclosure does not repair captured authority.</w:t>
      </w:r>
    </w:p>
    <w:bookmarkEnd w:id="577"/>
    <w:bookmarkStart w:id="578" w:name="v5-plss-escalation-trigger-register"/>
    <w:p>
      <w:pPr>
        <w:pStyle w:val="Heading2"/>
        <w:keepNext/>
        <w:keepLines/>
        <w:pageBreakBefore w:val="0"/>
        <w:widowControl/>
      </w:pPr>
      <w:r>
        <w:rPr>
          <w:rFonts w:ascii="Arial" w:hAnsi="Arial" w:eastAsia="Arial"/>
          <w:b/>
          <w:color w:val="1F4E78"/>
        </w:rPr>
        <w:t xml:space="preserve">V.5 PLSS Escalation Trigger Register</w:t>
      </w:r>
    </w:p>
    <w:p>
      <w:pPr>
        <w:pStyle w:val="FirstParagraph"/>
        <w:widowControl/>
      </w:pPr>
      <w:r>
        <w:t xml:space="preserve">PLSS runs SHALL record whether hidden externalities, rights exposure, precedent effects, lock-in, ecological spillover, governance spillover, repeated local use, or non-local stakeholder exposure are plausible. Required fields: PCC.PLSS_Profile_Used, PCC.Local_Stakeholder_Set, PCC.Guardrail_Scopes, PCC.Escalation_Trigger_Checklist, PCC.Non_Escalation_Rationale, PCC.Externality_Search_Method, PCC.Prominence_Sensitivity_Result, PCC.External_Challenger_Status, and PCC.Repeated_PLSS_Use_Flag. Tier 2 PLSS runs require prominence-sensitivity review when non-local effects are plausible; Tier 3 PLSS runs require external challenger review or documented waiver.</w:t>
      </w:r>
    </w:p>
    <w:bookmarkEnd w:id="578"/>
    <w:bookmarkStart w:id="579" w:name="v6-deployment-context-profile"/>
    <w:p>
      <w:pPr>
        <w:pStyle w:val="Heading2"/>
        <w:keepNext/>
        <w:keepLines/>
        <w:pageBreakBefore w:val="0"/>
        <w:widowControl/>
      </w:pPr>
      <w:r>
        <w:rPr>
          <w:rFonts w:ascii="Arial" w:hAnsi="Arial" w:eastAsia="Arial"/>
          <w:b/>
          <w:color w:val="1F4E78"/>
        </w:rPr>
        <w:t xml:space="preserve">V.6 Deployment Context Profile</w:t>
      </w:r>
    </w:p>
    <w:p>
      <w:pPr>
        <w:pStyle w:val="FirstParagraph"/>
        <w:widowControl/>
      </w:pPr>
      <w:r>
        <w:t xml:space="preserve">Every Tier 2-3 claim-bearing deployment SHOULD classify its deployment context as LAB, PILOT, INSTITUTIONAL_ADVISORY, INSTITUTIONAL_OPERATIONAL, PUBLIC_POLICY, AGENTIC_EXECUTION, or EMERGENCY_TRIAGE. Context determines evidence sufficiency, reviewer independence, audit visibility, and escalation thresholds.</w:t>
      </w:r>
    </w:p>
    <w:bookmarkEnd w:id="579"/>
    <w:bookmarkStart w:id="580" w:name="v7-non-overclaiming-rule"/>
    <w:p>
      <w:pPr>
        <w:pStyle w:val="Heading2"/>
        <w:keepNext/>
        <w:keepLines/>
        <w:pageBreakBefore w:val="0"/>
        <w:widowControl/>
      </w:pPr>
      <w:r>
        <w:rPr>
          <w:rFonts w:ascii="Arial" w:hAnsi="Arial" w:eastAsia="Arial"/>
          <w:b/>
          <w:color w:val="1F4E78"/>
        </w:rPr>
        <w:t xml:space="preserve">V.7 Non-Overclaiming Rule</w:t>
      </w:r>
    </w:p>
    <w:p>
      <w:pPr>
        <w:pStyle w:val="FirstParagraph"/>
        <w:widowControl/>
      </w:pPr>
      <w:r>
        <w:t xml:space="preserve">A run MAY be architecturally valid while measurement-maturity is provisional. It MUST NOT claim empirical validation, cross-domain calibrated UCI, validated kernel propagation, biological SGP measurement completeness, capture-resistant HDW, or safe PLSS localism unless the relevant maturity fields support that claim.</w:t>
      </w:r>
    </w:p>
    <w:bookmarkEnd w:id="580"/>
    <w:bookmarkStart w:id="581" w:name="Xa35cbc66cf4841cdc35b21baa54144f1bf80c39"/>
    <w:p>
      <w:pPr>
        <w:pStyle w:val="Heading2"/>
        <w:keepNext/>
        <w:keepLines/>
        <w:pageBreakBefore w:val="0"/>
        <w:widowControl/>
      </w:pPr>
      <w:r>
        <w:rPr>
          <w:rFonts w:ascii="Arial" w:hAnsi="Arial" w:eastAsia="Arial"/>
          <w:b/>
          <w:color w:val="1F4E78"/>
        </w:rPr>
        <w:t xml:space="preserve">V.8 Machine-Verifiability and Calibration-Prep Addendum</w:t>
      </w:r>
    </w:p>
    <w:p>
      <w:pPr>
        <w:pStyle w:val="FirstParagraph"/>
        <w:widowControl/>
      </w:pPr>
      <w:r>
        <w:t xml:space="preserve">Cumulative Release Delta (v10.2 → v10.4; lineage context). This cumulative lineage block summarizes changes accumulated across the v10.2-to-v10.4 development arc. It is not the immediate point-release characterization of v10.4, which is defined in Appendix M.4A and the Methodology Upgrade Summary as a readability, front-matter reorganization, and companion synchronization release. The cumulative arc preserves the canonical admissibility cascade, equations, rights thresholds, TRC mechanics, Containment semantics, SGP binding interface, PLSS/FLGG architecture, and Tier 1-3 claim boundaries, while adding schema ownership rules, registry versioning rules, machine-readable registry expectations, UCI Measurement Annex linkage, PLSS calibration linkage, Appendix R machine-vector requirements, reference-calculator expectations, and CI drift-check requirements.</w:t>
      </w:r>
    </w:p>
    <w:p>
      <w:pPr>
        <w:pStyle w:val="BodyText"/>
        <w:widowControl/>
      </w:pPr>
      <w:r>
        <w:t xml:space="preserve">Normative effect statement (carried forward from v10.8). No intended change was made to the canonical admissibility cascade Reality Grounding → Rights Floor → TRC → CSV → RLS, rights coverage sets, TRC corridor mechanics, Containment semantics, RLS formula, PLSS/FLGG architecture, HDW, PCC, RSP/RefStructRecord, or Appendix AD. The v10.8 line updated the SGP companion pin to SGP v5.5 and clarified the human plateau / reality-management rationale without allowing any SGP protection surface to weaken human protections, alter admissibility gates, or grant governance authority by itself. The current v12.5 / SGP v8.4 line replaces the legacy scalar interface with MPS/FPP/GPR/SPR/ICP and adds the informative RMCP/P100 calibration surface while preserving protection, participation, capacity, and authority boundaries.</w:t>
      </w:r>
    </w:p>
    <w:p>
      <w:pPr>
        <w:pStyle w:val="BodyText"/>
        <w:widowControl/>
      </w:pPr>
      <w:r>
        <w:t xml:space="preserve">RippleLogic Canon v12.5 is the governing normative artifact for the Core Release 2026.09 package. It is architecture-complete for the declared Tier 1-3 scope. This release is not an empirical-validation claim, not ProofPack-ready, not machine-verifiable-ecosystem-complete, not legally certified, and not deployment-certified.</w:t>
      </w:r>
    </w:p>
    <w:bookmarkEnd w:id="581"/>
    <w:bookmarkStart w:id="582" w:name="X0fd6a76eaa1547b882a600ce080a2e0df5c1908"/>
    <w:p>
      <w:pPr>
        <w:pStyle w:val="Heading2"/>
        <w:keepNext/>
        <w:keepLines/>
        <w:pageBreakBefore w:val="0"/>
        <w:widowControl/>
      </w:pPr>
      <w:r>
        <w:rPr>
          <w:rFonts w:ascii="Arial" w:hAnsi="Arial" w:eastAsia="Arial"/>
          <w:b/>
          <w:color w:val="1F4E78"/>
        </w:rPr>
        <w:t xml:space="preserve">V.9 Schema Ownership and Machine-Readable Source of Truth</w:t>
      </w:r>
    </w:p>
    <w:p>
      <w:pPr>
        <w:pStyle w:val="FirstParagraph"/>
        <w:widowControl/>
      </w:pPr>
      <w:r>
        <w:t xml:space="preserve">For v11.0 and later machine-verifiable surfaces, each schema, registry, record, enum, and validation object SHALL have exactly one owning artifact. The owner artifact defines the object’s fields, allowed values, semantics, and versioning rules. Consumer artifacts MAY reference the object by id, version, and manifest hash, but MUST NOT independently redefine it.</w:t>
      </w:r>
    </w:p>
    <w:p>
      <w:pPr>
        <w:pStyle w:val="BodyText"/>
        <w:widowControl/>
      </w:pPr>
      <w:r>
        <w:t xml:space="preserve">On conflict, the owner artifact controls. Consumer artifacts SHALL cite, import, or reference the owner’s machine-readable registry or schema instead of duplicating field definitions.</w:t>
      </w:r>
    </w:p>
    <w:p>
      <w:pPr>
        <w:pStyle w:val="BodyText"/>
        <w:widowControl/>
      </w:pPr>
      <w:r>
        <w:t xml:space="preserve">The schema ownership map is the controlling coordination layer for current-line machine-verifiable work. It does not alter the Cascade, NCRC, TRC, CSV, RLS, UCI/HOI, SGP binding interface, or lawful authority boundaries.</w:t>
      </w:r>
    </w:p>
    <w:bookmarkEnd w:id="582"/>
    <w:bookmarkStart w:id="583" w:name="v10-uci-measurement-annex-linkage"/>
    <w:p>
      <w:pPr>
        <w:pStyle w:val="Heading2"/>
        <w:keepNext/>
        <w:keepLines/>
        <w:pageBreakBefore w:val="0"/>
        <w:widowControl/>
      </w:pPr>
      <w:r>
        <w:rPr>
          <w:rFonts w:ascii="Arial" w:hAnsi="Arial" w:eastAsia="Arial"/>
          <w:b/>
          <w:color w:val="1F4E78"/>
        </w:rPr>
        <w:t xml:space="preserve">V.10 UCI Measurement Annex Linkage</w:t>
      </w:r>
    </w:p>
    <w:p>
      <w:pPr>
        <w:pStyle w:val="FirstParagraph"/>
        <w:widowControl/>
      </w:pPr>
      <w:r>
        <w:t xml:space="preserve">Where a UCI Measurement Annex is available and hash-pinned, implementations SHOULD cite the annex version, indicator registry, normalization rule, staleness rule, missing-data rule, and reviewer protocol used. In the absence of such an annex, UCI claims SHALL remain at the declared measurement-readiness level and MUST NOT be described as cross-domain validated.</w:t>
      </w:r>
    </w:p>
    <w:p>
      <w:pPr>
        <w:pStyle w:val="BodyText"/>
        <w:widowControl/>
      </w:pPr>
      <w:r>
        <w:t xml:space="preserve">For this v12.5 release line, UCI Measurement Annex v0.1 is provisional and initially scoped to U3 Community, U4 Organization, and U5 Polity contexts. It does not establish cross-domain validated UCI status.</w:t>
      </w:r>
    </w:p>
    <w:bookmarkEnd w:id="583"/>
    <w:bookmarkStart w:id="584" w:name="X9e2aed162401a0a8d9e2909d4e4c2bc72122919"/>
    <w:p>
      <w:pPr>
        <w:pStyle w:val="Heading2"/>
        <w:keepNext/>
        <w:keepLines/>
        <w:pageBreakBefore w:val="0"/>
        <w:widowControl/>
      </w:pPr>
      <w:r>
        <w:rPr>
          <w:rFonts w:ascii="Arial" w:hAnsi="Arial" w:eastAsia="Arial"/>
          <w:b/>
          <w:color w:val="1F4E78"/>
        </w:rPr>
        <w:t xml:space="preserve">V.11 PLSS Calibration and Adjudication Linkage</w:t>
      </w:r>
    </w:p>
    <w:p>
      <w:pPr>
        <w:pStyle w:val="FirstParagraph"/>
        <w:widowControl/>
      </w:pPr>
      <w:r>
        <w:t xml:space="preserve">Tier 3 PLSS use SHOULD compare the declared q_u profile against a hash-pinned PLSS calibration or adjudication pack where available. Reviewer disagreement, escalation-trigger disputes, accepted or rejected local-scope rationales, externality-search results, and non-escalation rationales SHALL be recorded in the PCC.</w:t>
      </w:r>
    </w:p>
    <w:p>
      <w:pPr>
        <w:pStyle w:val="BodyText"/>
        <w:widowControl/>
      </w:pPr>
      <w:r>
        <w:t xml:space="preserve">The calibration pack does not create empirical validation by itself. It supports reviewer convergence, interpretive consistency, and anti-capture discipline.</w:t>
      </w:r>
    </w:p>
    <w:bookmarkEnd w:id="584"/>
    <w:bookmarkStart w:id="585" w:name="v12-machine-readable-test-vector-rule"/>
    <w:p>
      <w:pPr>
        <w:pStyle w:val="Heading2"/>
        <w:keepNext/>
        <w:keepLines/>
        <w:pageBreakBefore w:val="0"/>
        <w:widowControl/>
      </w:pPr>
      <w:r>
        <w:rPr>
          <w:rFonts w:ascii="Arial" w:hAnsi="Arial" w:eastAsia="Arial"/>
          <w:b/>
          <w:color w:val="1F4E78"/>
        </w:rPr>
        <w:t xml:space="preserve">V.12 Machine-Readable Test Vector Rule</w:t>
      </w:r>
    </w:p>
    <w:p>
      <w:pPr>
        <w:pStyle w:val="FirstParagraph"/>
        <w:widowControl/>
      </w:pPr>
      <w:r>
        <w:t xml:space="preserve">For any release that claims machine-verifiable, ProofPack-prep, reference-calculator, or validator-supported status, Appendix R SHALL be accompanied by a machine-readable companion file. The current v12.5 core source release does not bundle such files unless they are explicitly listed and hash-pinned in the release manifest. In the absence of manifest-listed machine-readable vectors, Appendix R remains the human-readable normative reference surface, and no machine-verifiable ecosystem-completeness claim is made. When bundled, the companion SHOULD include input options, union and dimension weights, rights impacts, TRC scenario inputs, Containment inputs, RLS expected outputs, UCI/HOI diagnostic inputs where applicable, expected gate verdicts, expected selected or refusal disposition, tolerance rules, and expected error behavior for failure-path examples.</w:t>
      </w:r>
    </w:p>
    <w:p>
      <w:pPr>
        <w:pStyle w:val="BodyText"/>
        <w:widowControl/>
      </w:pPr>
      <w:r>
        <w:t xml:space="preserve">A human-readable Appendix R remains normative for explanatory purposes in the current v12.5 core release. Where a machine-readable companion is explicitly manifest-listed for a future release or tooling bundle, that companion becomes the required reference surface for validators and reference calculators within the claim scope declared by that release.</w:t>
      </w:r>
    </w:p>
    <w:bookmarkEnd w:id="585"/>
    <w:bookmarkStart w:id="586" w:name="X5f582094c656f1eb7767fe1f12eda250d570f20"/>
    <w:p>
      <w:pPr>
        <w:pStyle w:val="Heading2"/>
        <w:keepNext/>
        <w:keepLines/>
        <w:pageBreakBefore w:val="0"/>
        <w:widowControl/>
      </w:pPr>
      <w:r>
        <w:rPr>
          <w:rFonts w:ascii="Arial" w:hAnsi="Arial" w:eastAsia="Arial"/>
          <w:b/>
          <w:color w:val="1F4E78"/>
        </w:rPr>
        <w:t xml:space="preserve">V.13 False Precision Guardrail (Normative for Tier 2-3 claim-bearing runs)</w:t>
      </w:r>
    </w:p>
    <w:p>
      <w:pPr>
        <w:pStyle w:val="FirstParagraph"/>
        <w:widowControl/>
      </w:pPr>
      <w:r>
        <w:t xml:space="preserve">A numerical cell value is not evidence by itself. Every high-impact, high-uncertainty, gate-sensitive, or culturally contested cell SHOULD disclose its evidence source, uncertainty class, reviewer confidence, and sensitivity relevance. Unsupported numerical precision in welfare impacts, probabilities, UCI indicators, SGP-consumed scalars, or PLSS scope declarations SHALL be treated as an epistemic risk rather than as objective certainty.</w:t>
      </w:r>
    </w:p>
    <w:p>
      <w:pPr>
        <w:pStyle w:val="BodyText"/>
        <w:widowControl/>
      </w:pPr>
      <w:r>
        <w:t xml:space="preserve">Where a cell value is weakly evidenced, likely to swing an NCRC/TRC/CSV verdict, likely to alter escalation or refusal status, or dependent on disputed subgroup or threshold definitions, the run SHOULD trigger epistemic-humility review, sensitivity analysis, reviewer-disagreement logging, escalation, narrower claim scope, or Refusal. Implementations SHOULD flag Boundary_Gaming_Risk, False_Precision_Risk, Gate_Swing_Cell_Flag, Subgroup_Definition_Risk, Scenario_Probability_Risk, Threshold_Laundering_Risk, and Reviewer_Disagreement_Level where applicable.</w:t>
      </w:r>
    </w:p>
    <w:p>
      <w:pPr>
        <w:pStyle w:val="BodyText"/>
        <w:widowControl/>
      </w:pPr>
      <w:r>
        <w:t xml:space="preserve">Meaning, agency, social cohesion, dignity, and ecological integrity cells require particular caution. These dimensions may be measurable in some contexts, but unsupported precision in these cells SHALL NOT be presented as stronger than the underlying evidence, testimony, instruments, or qualitative-to-quantitative coding rules allow.</w:t>
      </w:r>
    </w:p>
    <w:bookmarkEnd w:id="586"/>
    <w:bookmarkEnd w:id="587"/>
    <w:bookmarkStart w:id="598" w:name="Xbdd33f303cee7dd1386fcdf19b9eb35ba8dae01"/>
    <w:p>
      <w:pPr>
        <w:pStyle w:val="Heading1"/>
        <w:keepNext/>
        <w:keepLines/>
        <w:pageBreakBefore w:val="0"/>
        <w:widowControl/>
      </w:pPr>
      <w:r>
        <w:rPr>
          <w:rFonts w:ascii="Arial" w:hAnsi="Arial" w:eastAsia="Arial"/>
          <w:b/>
          <w:color w:val="1F4E78"/>
        </w:rPr>
        <w:t xml:space="preserve">APPENDIX W: SCHEMA OWNERSHIP, REGISTRIES, AND MACHINE-VERIFIABLE SURFACES</w:t>
      </w:r>
    </w:p>
    <w:bookmarkStart w:id="588" w:name="w1-purpose"/>
    <w:p>
      <w:pPr>
        <w:pStyle w:val="Heading2"/>
        <w:keepNext/>
        <w:keepLines/>
        <w:pageBreakBefore w:val="0"/>
        <w:widowControl/>
      </w:pPr>
      <w:r>
        <w:rPr>
          <w:rFonts w:ascii="Arial" w:hAnsi="Arial" w:eastAsia="Arial"/>
          <w:b/>
          <w:color w:val="1F4E78"/>
        </w:rPr>
        <w:t xml:space="preserve">W.1 Purpose</w:t>
      </w:r>
    </w:p>
    <w:p>
      <w:pPr>
        <w:pStyle w:val="FirstParagraph"/>
        <w:widowControl/>
      </w:pPr>
      <w:r>
        <w:t xml:space="preserve">This appendix defines ownership boundaries for machine-readable schemas, registries, generated tables, and validator surfaces. It prevents duplicate schema authorship, manual synchronization drift, and hidden field-definition conflicts across Canon, SGP, ripple.md, Agent System, workbook, and release-integrity files.</w:t>
      </w:r>
    </w:p>
    <w:bookmarkEnd w:id="588"/>
    <w:bookmarkStart w:id="589" w:name="w2-ownership-rule"/>
    <w:p>
      <w:pPr>
        <w:pStyle w:val="Heading2"/>
        <w:keepNext/>
        <w:keepLines/>
        <w:pageBreakBefore w:val="0"/>
        <w:widowControl/>
      </w:pPr>
      <w:r>
        <w:rPr>
          <w:rFonts w:ascii="Arial" w:hAnsi="Arial" w:eastAsia="Arial"/>
          <w:b/>
          <w:color w:val="1F4E78"/>
        </w:rPr>
        <w:t xml:space="preserve">W.2 Ownership Rule</w:t>
      </w:r>
    </w:p>
    <w:p>
      <w:pPr>
        <w:pStyle w:val="FirstParagraph"/>
        <w:widowControl/>
      </w:pPr>
      <w:r>
        <w:t xml:space="preserve">Each schema or registry has exactly one owner. The owner defines the object. All other artifacts consume the object by id, version, and manifest hash.</w:t>
      </w:r>
    </w:p>
    <w:bookmarkEnd w:id="589"/>
    <w:bookmarkStart w:id="590" w:name="w3-canon-owned-objects"/>
    <w:p>
      <w:pPr>
        <w:pStyle w:val="Heading2"/>
        <w:keepNext/>
        <w:keepLines/>
        <w:pageBreakBefore w:val="0"/>
        <w:widowControl/>
      </w:pPr>
      <w:r>
        <w:rPr>
          <w:rFonts w:ascii="Arial" w:hAnsi="Arial" w:eastAsia="Arial"/>
          <w:b/>
          <w:color w:val="1F4E78"/>
        </w:rPr>
        <w:t xml:space="preserve">W.3 Canon-Owned Objects</w:t>
      </w:r>
    </w:p>
    <w:p>
      <w:pPr>
        <w:pStyle w:val="FirstParagraph"/>
        <w:widowControl/>
      </w:pPr>
      <w:r>
        <w:t xml:space="preserve">The Canon owns PCC core record, TransitionAdmissibilityRecord, ExecutionStabilityRecord, RippleLogic PrimitiveTraceRecord, FalsificationPlan, ObservableConsequenceRegister, ProjectionPreRegistration, MaturityProfileRecord, Appendix R test vectors, rights registry, catastrophe-cell registry, reason-code registry, uncertainty-method registry, PLSS operator registry, deployment-context enum registry, and Canon audit flags.</w:t>
      </w:r>
    </w:p>
    <w:bookmarkEnd w:id="590"/>
    <w:bookmarkStart w:id="591" w:name="w4-sgp-owned-objects"/>
    <w:p>
      <w:pPr>
        <w:pStyle w:val="Heading2"/>
        <w:keepNext/>
        <w:keepLines/>
        <w:pageBreakBefore w:val="0"/>
        <w:widowControl/>
      </w:pPr>
      <w:r>
        <w:rPr>
          <w:rFonts w:ascii="Arial" w:hAnsi="Arial" w:eastAsia="Arial"/>
          <w:b/>
          <w:color w:val="1F4E78"/>
        </w:rPr>
        <w:t xml:space="preserve">W.4 SGP-Owned Objects</w:t>
      </w:r>
    </w:p>
    <w:p>
      <w:pPr>
        <w:pStyle w:val="FirstParagraph"/>
        <w:widowControl/>
      </w:pPr>
      <w:r>
        <w:t xml:space="preserve">SGP owns the SGP evaluation record, MPS evidence-family fields, MPS band/interval and MPS-NE status, FPP/GPR/SPR/ICP typed fields, target and identity records, evidence-tier classifications, biological evaluation maturity tokens, and moral-patienthood evidence trace.</w:t>
      </w:r>
    </w:p>
    <w:bookmarkEnd w:id="591"/>
    <w:bookmarkStart w:id="592" w:name="w5-ripplemd-owned-objects"/>
    <w:p>
      <w:pPr>
        <w:pStyle w:val="Heading2"/>
        <w:keepNext/>
        <w:keepLines/>
        <w:pageBreakBefore w:val="0"/>
        <w:widowControl/>
      </w:pPr>
      <w:r>
        <w:rPr>
          <w:rFonts w:ascii="Arial" w:hAnsi="Arial" w:eastAsia="Arial"/>
          <w:b/>
          <w:color w:val="1F4E78"/>
        </w:rPr>
        <w:t xml:space="preserve">W.5 ripple.md-Owned Objects</w:t>
      </w:r>
    </w:p>
    <w:p>
      <w:pPr>
        <w:pStyle w:val="FirstParagraph"/>
        <w:widowControl/>
      </w:pPr>
      <w:r>
        <w:t xml:space="preserve">ripple.md owns Decision Note schema, Assurance Preconditions Record, waiver records, triage records, update-legitimacy records, wrapper-level refusal records, and wrapper assurance records.</w:t>
      </w:r>
    </w:p>
    <w:bookmarkEnd w:id="592"/>
    <w:bookmarkStart w:id="593" w:name="w6-agent-system-owned-objects"/>
    <w:p>
      <w:pPr>
        <w:pStyle w:val="Heading2"/>
        <w:keepNext/>
        <w:keepLines/>
        <w:pageBreakBefore w:val="0"/>
        <w:widowControl/>
      </w:pPr>
      <w:r>
        <w:rPr>
          <w:rFonts w:ascii="Arial" w:hAnsi="Arial" w:eastAsia="Arial"/>
          <w:b/>
          <w:color w:val="1F4E78"/>
        </w:rPr>
        <w:t xml:space="preserve">W.6 Agent-System-Owned Objects</w:t>
      </w:r>
    </w:p>
    <w:p>
      <w:pPr>
        <w:pStyle w:val="FirstParagraph"/>
        <w:widowControl/>
      </w:pPr>
      <w:r>
        <w:t xml:space="preserve">The Agent System owns operator envelope, runtime audit log, mode-control records, rollback records, operator authentication records, and runtime conformance records.</w:t>
      </w:r>
    </w:p>
    <w:bookmarkEnd w:id="593"/>
    <w:bookmarkStart w:id="594" w:name="w7-split-objects"/>
    <w:p>
      <w:pPr>
        <w:pStyle w:val="Heading2"/>
        <w:keepNext/>
        <w:keepLines/>
        <w:pageBreakBefore w:val="0"/>
        <w:widowControl/>
      </w:pPr>
      <w:r>
        <w:rPr>
          <w:rFonts w:ascii="Arial" w:hAnsi="Arial" w:eastAsia="Arial"/>
          <w:b/>
          <w:color w:val="1F4E78"/>
        </w:rPr>
        <w:t xml:space="preserve">W.7 Split Objects</w:t>
      </w:r>
    </w:p>
    <w:p>
      <w:pPr>
        <w:pStyle w:val="FirstParagraph"/>
        <w:widowControl/>
      </w:pPr>
      <w:r>
        <w:t xml:space="preserve">Primitive trace is split: RippleLogic PrimitiveTraceRecord belongs to the Canon; SGP moral-status evidence trace belongs to SGP. Maturity tokens are split: UCI Measurement Readiness, Kernel Use Posture, HDW Capture Audit, PLSS Escalation, and Deployment Context tokens belong to the Canon; Biological Evaluation Maturity tokens belong to SGP. Audit flags are split: Canon flags affect admissibility, claimability, escalation, refusal, or conformance; tool-local flags affect workbook or implementation review surfaces only and do not by themselves invalidate a run unless they trigger a Canon flag.</w:t>
      </w:r>
    </w:p>
    <w:bookmarkEnd w:id="594"/>
    <w:bookmarkStart w:id="595" w:name="w8-versioning-rule"/>
    <w:p>
      <w:pPr>
        <w:pStyle w:val="Heading2"/>
        <w:keepNext/>
        <w:keepLines/>
        <w:pageBreakBefore w:val="0"/>
        <w:widowControl/>
      </w:pPr>
      <w:r>
        <w:rPr>
          <w:rFonts w:ascii="Arial" w:hAnsi="Arial" w:eastAsia="Arial"/>
          <w:b/>
          <w:color w:val="1F4E78"/>
        </w:rPr>
        <w:t xml:space="preserve">W.8 Versioning Rule</w:t>
      </w:r>
    </w:p>
    <w:p>
      <w:pPr>
        <w:pStyle w:val="FirstParagraph"/>
        <w:widowControl/>
      </w:pPr>
      <w:r>
        <w:t xml:space="preserve">Machine-readable registries and schemas SHOULD use stable filenames with an internal version field. The release manifest SHALL hash-pin each registry and schema. The manifest hash, not filename churn, controls byte-level release identity.</w:t>
      </w:r>
    </w:p>
    <w:bookmarkEnd w:id="595"/>
    <w:bookmarkStart w:id="596" w:name="w9-generator-rule"/>
    <w:p>
      <w:pPr>
        <w:pStyle w:val="Heading2"/>
        <w:keepNext/>
        <w:keepLines/>
        <w:pageBreakBefore w:val="0"/>
        <w:widowControl/>
      </w:pPr>
      <w:r>
        <w:rPr>
          <w:rFonts w:ascii="Arial" w:hAnsi="Arial" w:eastAsia="Arial"/>
          <w:b/>
          <w:color w:val="1F4E78"/>
        </w:rPr>
        <w:t xml:space="preserve">W.9 Generator Rule</w:t>
      </w:r>
    </w:p>
    <w:p>
      <w:pPr>
        <w:pStyle w:val="FirstParagraph"/>
        <w:widowControl/>
      </w:pPr>
      <w:r>
        <w:t xml:space="preserve">Generated documentation tables, workbook validation ranges, verifier constants, README companion matrices, and manifest scaffolds SHOULD be generated from machine-readable registries whenever possible. Generated files SHOULD include a generated-from note and SHOULD NOT be manually edited except through the owning registry or schema.</w:t>
      </w:r>
    </w:p>
    <w:bookmarkEnd w:id="596"/>
    <w:bookmarkStart w:id="597" w:name="w10-proofpack-boundary"/>
    <w:p>
      <w:pPr>
        <w:pStyle w:val="Heading2"/>
        <w:keepNext/>
        <w:keepLines/>
        <w:pageBreakBefore w:val="0"/>
        <w:widowControl/>
      </w:pPr>
      <w:r>
        <w:rPr>
          <w:rFonts w:ascii="Arial" w:hAnsi="Arial" w:eastAsia="Arial"/>
          <w:b/>
          <w:color w:val="1F4E78"/>
        </w:rPr>
        <w:t xml:space="preserve">W.10 ProofPack Boundary</w:t>
      </w:r>
    </w:p>
    <w:p>
      <w:pPr>
        <w:pStyle w:val="FirstParagraph"/>
        <w:widowControl/>
      </w:pPr>
      <w:r>
        <w:t xml:space="preserve">The existence of schemas or registries does not by itself create ProofPack readiness. ProofPack readiness requires schemas, validator or CLI, reference calculator, canonical test vectors, replayable PCC bundle, independent replay instructions, hash-pinned replay materials, and public third-party replay path.</w:t>
      </w:r>
    </w:p>
    <w:bookmarkEnd w:id="597"/>
    <w:bookmarkEnd w:id="598"/>
    <w:bookmarkStart w:id="605" w:name="X21bd4cf0f09b1d34c556fc2385cd9a19304c165"/>
    <w:p>
      <w:pPr>
        <w:pStyle w:val="Heading1"/>
        <w:keepNext/>
        <w:keepLines/>
        <w:pageBreakBefore w:val="0"/>
        <w:widowControl/>
      </w:pPr>
      <w:r>
        <w:rPr>
          <w:rFonts w:ascii="Arial" w:hAnsi="Arial" w:eastAsia="Arial"/>
          <w:b/>
          <w:color w:val="1F4E78"/>
        </w:rPr>
        <w:t xml:space="preserve">APPENDIX X: REFERENCE CALCULATOR, MACHINE VECTORS, AND PROOFPACK-PREP ROADMAP</w:t>
      </w:r>
    </w:p>
    <w:bookmarkStart w:id="599" w:name="x1-purpose"/>
    <w:p>
      <w:pPr>
        <w:pStyle w:val="Heading2"/>
        <w:keepNext/>
        <w:keepLines/>
        <w:pageBreakBefore w:val="0"/>
        <w:widowControl/>
      </w:pPr>
      <w:r>
        <w:rPr>
          <w:rFonts w:ascii="Arial" w:hAnsi="Arial" w:eastAsia="Arial"/>
          <w:b/>
          <w:color w:val="1F4E78"/>
        </w:rPr>
        <w:t xml:space="preserve">X.1 Purpose</w:t>
      </w:r>
    </w:p>
    <w:p>
      <w:pPr>
        <w:pStyle w:val="FirstParagraph"/>
        <w:widowControl/>
      </w:pPr>
      <w:r>
        <w:t xml:space="preserve">This appendix records the current-release ProofPack-prep path for machine-readable Appendix R test vectors, starter reference-calculator behavior, golden outputs, validator linkage, and independent replay readiness. It does not create ProofPack readiness by itself.</w:t>
      </w:r>
    </w:p>
    <w:bookmarkEnd w:id="599"/>
    <w:bookmarkStart w:id="600" w:name="x2-machine-readable-appendix-r-vectors"/>
    <w:p>
      <w:pPr>
        <w:pStyle w:val="Heading2"/>
        <w:keepNext/>
        <w:keepLines/>
        <w:pageBreakBefore w:val="0"/>
        <w:widowControl/>
      </w:pPr>
      <w:r>
        <w:rPr>
          <w:rFonts w:ascii="Arial" w:hAnsi="Arial" w:eastAsia="Arial"/>
          <w:b/>
          <w:color w:val="1F4E78"/>
        </w:rPr>
        <w:t xml:space="preserve">X.2 Machine-readable Appendix R vectors</w:t>
      </w:r>
    </w:p>
    <w:p>
      <w:pPr>
        <w:pStyle w:val="FirstParagraph"/>
        <w:widowControl/>
      </w:pPr>
      <w:r>
        <w:t xml:space="preserve">Future ProofPack-prep and tooling companion releases SHOULD include machine-readable Appendix R vectors. The current v12.5 core release bundles the safety conformance vectors listed in the release manifest; any additional machine-readable Appendix R vectors remain governed by the manifest. When bundled, vectors SHOULD include inputs, union and dimension weights, rights impacts, TRC scenario inputs, Containment inputs, RLS expected outputs, UCI/HOI diagnostic inputs where applicable, expected gate verdicts, selected or refusal disposition, tolerance rules, and expected error behavior for failure-path examples.</w:t>
      </w:r>
    </w:p>
    <w:bookmarkEnd w:id="600"/>
    <w:bookmarkStart w:id="601" w:name="x3-reference-calculator-starter"/>
    <w:p>
      <w:pPr>
        <w:pStyle w:val="Heading2"/>
        <w:keepNext/>
        <w:keepLines/>
        <w:pageBreakBefore w:val="0"/>
        <w:widowControl/>
      </w:pPr>
      <w:r>
        <w:rPr>
          <w:rFonts w:ascii="Arial" w:hAnsi="Arial" w:eastAsia="Arial"/>
          <w:b/>
          <w:color w:val="1F4E78"/>
        </w:rPr>
        <w:t xml:space="preserve">X.3 Reference Calculator Starter</w:t>
      </w:r>
    </w:p>
    <w:p>
      <w:pPr>
        <w:pStyle w:val="FirstParagraph"/>
        <w:widowControl/>
      </w:pPr>
      <w:r>
        <w:t xml:space="preserve">The reference calculator starter is a scaffolding artifact for reproducing Appendix R expected outputs. It is not a full semantic validator, not a production-grade implementation, and not empirical validation. It becomes claim-strengthening only when it reproduces golden outputs under declared tolerance rules and is independently replayable.</w:t>
      </w:r>
    </w:p>
    <w:bookmarkEnd w:id="601"/>
    <w:bookmarkStart w:id="602" w:name="Xa64b8f20626f4d820d323034853fe87b3bbf4a3"/>
    <w:p>
      <w:pPr>
        <w:pStyle w:val="Heading2"/>
        <w:keepNext/>
        <w:keepLines/>
        <w:pageBreakBefore w:val="0"/>
        <w:widowControl/>
      </w:pPr>
      <w:r>
        <w:rPr>
          <w:rFonts w:ascii="Arial" w:hAnsi="Arial" w:eastAsia="Arial"/>
          <w:b/>
          <w:color w:val="1F4E78"/>
        </w:rPr>
        <w:t xml:space="preserve">X.3A Reference Calculator Priority (ProofPack-prep guidance)</w:t>
      </w:r>
    </w:p>
    <w:p>
      <w:pPr>
        <w:pStyle w:val="FirstParagraph"/>
        <w:widowControl/>
      </w:pPr>
      <w:r>
        <w:t xml:space="preserve">The next implementation priority is an open reference calculator that reproduces the Canon Appendix B equations and Appendix R test vectors. Reference implementations SHOULD match golden gate verdicts exactly and numerical outputs within declared tolerance rules unless exact arithmetic is used.</w:t>
      </w:r>
    </w:p>
    <w:p>
      <w:pPr>
        <w:pStyle w:val="BodyText"/>
        <w:widowControl/>
      </w:pPr>
      <w:r>
        <w:t xml:space="preserve">The reference calculator SHALL NOT be described as empirical validation, a full semantic validator, or ProofPack completion until it is paired with schemas, replayable PCC artifacts, independent replay instructions, manifest/hash pinning, and public third-party replay. Its immediate purpose is narrower and concrete: to make Tier 1-3 calculation reproducible enough for reviewers to detect formula drift, implementation disagreement, and invalid claim expansion.</w:t>
      </w:r>
    </w:p>
    <w:bookmarkEnd w:id="602"/>
    <w:bookmarkStart w:id="603" w:name="x4-ci-and-generated-consistency-checks"/>
    <w:p>
      <w:pPr>
        <w:pStyle w:val="Heading2"/>
        <w:keepNext/>
        <w:keepLines/>
        <w:pageBreakBefore w:val="0"/>
        <w:widowControl/>
      </w:pPr>
      <w:r>
        <w:rPr>
          <w:rFonts w:ascii="Arial" w:hAnsi="Arial" w:eastAsia="Arial"/>
          <w:b/>
          <w:color w:val="1F4E78"/>
        </w:rPr>
        <w:t xml:space="preserve">X.4 CI and generated-consistency checks</w:t>
      </w:r>
    </w:p>
    <w:p>
      <w:pPr>
        <w:pStyle w:val="FirstParagraph"/>
        <w:widowControl/>
      </w:pPr>
      <w:r>
        <w:t xml:space="preserve">CI checks SHOULD verify manifest hashes, registry/schema ownership, stale pins, generated-file drift, workbook public surfaces, and external-reference sanitation. These checks improve release hygiene but do not establish empirical validation or Tier 4 readiness.</w:t>
      </w:r>
    </w:p>
    <w:bookmarkEnd w:id="603"/>
    <w:bookmarkStart w:id="604" w:name="x5-proofpack-boundary"/>
    <w:p>
      <w:pPr>
        <w:pStyle w:val="Heading2"/>
        <w:keepNext/>
        <w:keepLines/>
        <w:pageBreakBefore w:val="0"/>
        <w:widowControl/>
      </w:pPr>
      <w:r>
        <w:rPr>
          <w:rFonts w:ascii="Arial" w:hAnsi="Arial" w:eastAsia="Arial"/>
          <w:b/>
          <w:color w:val="1F4E78"/>
        </w:rPr>
        <w:t xml:space="preserve">X.5 ProofPack boundary</w:t>
      </w:r>
    </w:p>
    <w:p>
      <w:pPr>
        <w:pStyle w:val="FirstParagraph"/>
        <w:widowControl/>
      </w:pPr>
      <w:r>
        <w:t xml:space="preserve">ProofPack readiness requires schemas, validator or CLI, reference calculator, canonical test vectors, replayable PCC bundle, independent replay instructions, hash-pinned replay materials, and a public third-party replay path. The current v12.5 release is ProofPack-prep, not ProofPack-ready.</w:t>
      </w:r>
    </w:p>
    <w:bookmarkEnd w:id="604"/>
    <w:bookmarkEnd w:id="605"/>
    <w:bookmarkStart w:id="612" w:name="Xcee47fe3728cc5fc258ba812ba6bf9593ab5247"/>
    <w:p>
      <w:pPr>
        <w:pStyle w:val="Heading1"/>
        <w:keepNext/>
        <w:keepLines/>
        <w:pageBreakBefore w:val="0"/>
        <w:widowControl/>
      </w:pPr>
      <w:r>
        <w:rPr>
          <w:rFonts w:ascii="Arial" w:hAnsi="Arial" w:eastAsia="Arial"/>
          <w:b/>
          <w:color w:val="1F4E78"/>
        </w:rPr>
        <w:t xml:space="preserve">Appendix Y: Precision Patch - Legitimacy, Evidence Status, Validation, and Adoption Profiles</w:t>
      </w:r>
    </w:p>
    <w:bookmarkStart w:id="606" w:name="y1-release-delta-v1031--v104"/>
    <w:p>
      <w:pPr>
        <w:pStyle w:val="Heading2"/>
        <w:keepNext/>
        <w:keepLines/>
        <w:pageBreakBefore w:val="0"/>
        <w:widowControl/>
      </w:pPr>
      <w:r>
        <w:rPr>
          <w:rFonts w:ascii="Arial" w:hAnsi="Arial" w:eastAsia="Arial"/>
          <w:b/>
          <w:color w:val="1F4E78"/>
        </w:rPr>
        <w:t xml:space="preserve">Y.1 Release Delta (v10.3.1 → v10.4)</w:t>
      </w:r>
    </w:p>
    <w:p>
      <w:pPr>
        <w:pStyle w:val="FirstParagraph"/>
        <w:widowControl/>
      </w:pPr>
      <w:r>
        <w:t xml:space="preserve">This patch preserves the v10.3.1 cascade architecture, equations, rights thresholds, TRC mechanics, Containment semantics, SGP binding interface, PLSS/FLGG architecture, and Tier 1-3 claim boundaries. It adds precision safeguards for public legitimacy, evidence-status labeling, SGP patienthood/participation separation, compact institutional profiles, and the validation roadmap. No empirical-validation, ProofPack, Tier 4, machine-verifiable ecosystem-complete, or reference-calculator-complete claim is created by this patch.</w:t>
      </w:r>
    </w:p>
    <w:bookmarkEnd w:id="606"/>
    <w:bookmarkStart w:id="607" w:name="X0821cdbc5158aa6563d3e60bcfc6b97a549c726"/>
    <w:p>
      <w:pPr>
        <w:pStyle w:val="Heading2"/>
        <w:keepNext/>
        <w:keepLines/>
        <w:pageBreakBefore w:val="0"/>
        <w:widowControl/>
      </w:pPr>
      <w:r>
        <w:rPr>
          <w:rFonts w:ascii="Arial" w:hAnsi="Arial" w:eastAsia="Arial"/>
          <w:b/>
          <w:color w:val="1F4E78"/>
        </w:rPr>
        <w:t xml:space="preserve">Y.2 Public Legitimacy Boundary (Normative Clarification)</w:t>
      </w:r>
    </w:p>
    <w:p>
      <w:pPr>
        <w:pStyle w:val="FirstParagraph"/>
        <w:widowControl/>
      </w:pPr>
      <w:r>
        <w:t xml:space="preserve">RippleLogic may structure, audit, and improve public reasoning, but it does not itself confer democratic legitimacy, legal authority, public mandate, professional licensing, or institutional permission. In public governance contexts, legitimacy requires lawful authority, affected-stakeholder participation, public reason, contestability, appeal or review procedures, and external accountability outside the framework itself. A RippleLogic run may support public justification; it MUST NOT be presented as a substitute for democratic authorization, legal compliance, or domain-specific professional judgment.</w:t>
      </w:r>
    </w:p>
    <w:bookmarkEnd w:id="607"/>
    <w:bookmarkStart w:id="608" w:name="X3123351072ac4f91dd248f4322ff21f710137f5"/>
    <w:p>
      <w:pPr>
        <w:pStyle w:val="Heading2"/>
        <w:keepNext/>
        <w:keepLines/>
        <w:pageBreakBefore w:val="0"/>
        <w:widowControl/>
      </w:pPr>
      <w:r>
        <w:rPr>
          <w:rFonts w:ascii="Arial" w:hAnsi="Arial" w:eastAsia="Arial"/>
          <w:b/>
          <w:color w:val="1F4E78"/>
        </w:rPr>
        <w:t xml:space="preserve">Y.3 Evidence Status Tokens (Normative for Tier 2-3 claim-bearing records)</w:t>
      </w:r>
    </w:p>
    <w:p>
      <w:pPr>
        <w:pStyle w:val="FirstParagraph"/>
        <w:widowControl/>
      </w:pPr>
      <w:r>
        <w:t xml:space="preserve">For Tier 2-3 claim-bearing records, decision-critical numerical or categorical inputs SHOULD carry an evidence-status token. Where the token is unavailable, the field SHOULD default to UNVALIDATED or NOT_OBSERVED rather than silently appearing as measured fact.</w:t>
      </w:r>
    </w:p>
    <w:bookmarkEnd w:id="608"/>
    <w:bookmarkStart w:id="609" w:name="X912031f0deeec3727757dd288f6ffc401951028"/>
    <w:p>
      <w:pPr>
        <w:pStyle w:val="Heading2"/>
        <w:keepNext/>
        <w:keepLines/>
        <w:pageBreakBefore w:val="0"/>
        <w:widowControl/>
      </w:pPr>
      <w:r>
        <w:rPr>
          <w:rFonts w:ascii="Arial" w:hAnsi="Arial" w:eastAsia="Arial"/>
          <w:b/>
          <w:color w:val="1F4E78"/>
        </w:rPr>
        <w:t xml:space="preserve">Y.4 Required Evidence-Status Token Registry</w:t>
      </w:r>
    </w:p>
    <w:p>
      <w:pPr>
        <w:pStyle w:val="FirstParagraph"/>
        <w:widowControl/>
      </w:pPr>
      <w:r>
        <w:t xml:space="preserve">MEASURED: directly observed or measured with disclosed method and source. ESTIMATED: calculated or inferred from disclosed evidence. ASSUMED: explicit assumption adopted for the run. EXPERT_JUDGMENT: reviewer or domain expert judgment with role and basis recorded. CONTESTED: materially disputed evidence or interpretation. UNVALIDATED: plausible but not externally validated for the claimed use. NOT_OBSERVED: no direct evidence currently observed. PLACEHOLDER_FOR_SENSITIVITY_ONLY: value used only for sensitivity exploration and not as a factual claim.</w:t>
      </w:r>
    </w:p>
    <w:bookmarkEnd w:id="609"/>
    <w:bookmarkStart w:id="610" w:name="X7553debfa31289797b7165cc9aa3674ef33dd9e"/>
    <w:p>
      <w:pPr>
        <w:pStyle w:val="Heading2"/>
        <w:keepNext/>
        <w:keepLines/>
        <w:pageBreakBefore w:val="0"/>
        <w:widowControl/>
      </w:pPr>
      <w:r>
        <w:rPr>
          <w:rFonts w:ascii="Arial" w:hAnsi="Arial" w:eastAsia="Arial"/>
          <w:b/>
          <w:color w:val="1F4E78"/>
        </w:rPr>
        <w:t xml:space="preserve">Y.5 Compact Institutional Profiles (Informative Roadmap)</w:t>
      </w:r>
    </w:p>
    <w:p>
      <w:pPr>
        <w:pStyle w:val="FirstParagraph"/>
        <w:widowControl/>
      </w:pPr>
      <w:r>
        <w:t xml:space="preserve">Implementations MAY publish compact profiles for specific institutional contexts, provided they do not waive NCRC, TRC, CSV, Refusal, SGP boundary protections, public legitimacy requirements, or claim-boundary disclosures. Initial compact profiles SHOULD include: RippleLogic-enhanced RIA Profile, RippleLogic Procurement/Vendor-Risk Profile, RippleLogic Agent Deployment Gate Profile, and RippleLogic University AI Policy Review Profile. Each profile should state required inputs, mandatory gates, simplifications allowed, non-waivable controls, output artifact, and escalation triggers.</w:t>
      </w:r>
    </w:p>
    <w:bookmarkEnd w:id="610"/>
    <w:bookmarkStart w:id="611" w:name="Xe7f2b6d8ba51c0162421de3b4bcbd7447f667a5"/>
    <w:p>
      <w:pPr>
        <w:pStyle w:val="Heading2"/>
        <w:keepNext/>
        <w:keepLines/>
        <w:pageBreakBefore w:val="0"/>
        <w:widowControl/>
      </w:pPr>
      <w:r>
        <w:rPr>
          <w:rFonts w:ascii="Arial" w:hAnsi="Arial" w:eastAsia="Arial"/>
          <w:b/>
          <w:color w:val="1F4E78"/>
        </w:rPr>
        <w:t xml:space="preserve">Y.6 Validation Roadmap Commitments (Informative, non-validation claim)</w:t>
      </w:r>
    </w:p>
    <w:p>
      <w:pPr>
        <w:pStyle w:val="FirstParagraph"/>
        <w:widowControl/>
      </w:pPr>
      <w:r>
        <w:t xml:space="preserve">The next validation layer SHOULD prioritize: reference-calculator fidelity; JSON/YAML schemas for PCC, Decision Note, TRC, CSV, RLS, and SGP interface objects; canonical test vectors; replayable PCC examples; inter-rater reliability for NCRC/TRC/CSV/RLS/SGP; reconstructability audits; PLSS boundary-gaming red-team studies; HDW legitimacy pilots; UCI measurement annex pilots; SGP biological evaluation annex development; and shadow-mode pilots in regulatory impact analysis, public procurement, university AI policy, organizational ethics review, and AI agent deployment review.</w:t>
      </w:r>
    </w:p>
    <w:bookmarkEnd w:id="611"/>
    <w:bookmarkEnd w:id="612"/>
    <w:bookmarkStart w:id="618" w:name="X8b74193d9383f31855d5fbb7c898d99e19b0de8"/>
    <w:p>
      <w:pPr>
        <w:pStyle w:val="Heading1"/>
        <w:keepNext/>
        <w:keepLines/>
        <w:pageBreakBefore w:val="0"/>
        <w:widowControl/>
      </w:pPr>
      <w:r>
        <w:rPr>
          <w:rFonts w:ascii="Arial" w:hAnsi="Arial" w:eastAsia="Arial"/>
          <w:b/>
          <w:color w:val="1F4E78"/>
        </w:rPr>
        <w:t xml:space="preserve">Appendix Z: Integration-Hardening Addendum</w:t>
      </w:r>
    </w:p>
    <w:p>
      <w:pPr>
        <w:pStyle w:val="FirstParagraph"/>
        <w:widowControl/>
      </w:pPr>
      <w:r>
        <w:t xml:space="preserve">Normative effect statement. This addendum does not alter the canonical cascade, rights thresholds, TRC corridor mechanics, SGP MPS/FPP binding, PLSS/FLGG architecture, or Tier 1-3 claim boundaries. It is a precision integration patch that tightens workbook linkage, evidence-status disclosure, SGP split disclosure, and release-verification discipline.</w:t>
      </w:r>
    </w:p>
    <w:bookmarkStart w:id="613" w:name="z1-workbook-integration-rule"/>
    <w:p>
      <w:pPr>
        <w:pStyle w:val="Heading2"/>
        <w:keepNext/>
        <w:keepLines/>
        <w:pageBreakBefore w:val="0"/>
        <w:widowControl/>
      </w:pPr>
      <w:r>
        <w:rPr>
          <w:rFonts w:ascii="Arial" w:hAnsi="Arial" w:eastAsia="Arial"/>
          <w:b/>
          <w:color w:val="1F4E78"/>
        </w:rPr>
        <w:t xml:space="preserve">Z.1 Workbook integration rule</w:t>
      </w:r>
    </w:p>
    <w:p>
      <w:pPr>
        <w:pStyle w:val="FirstParagraph"/>
        <w:widowControl/>
      </w:pPr>
      <w:r>
        <w:t xml:space="preserve">Any workbook companion that adds claim-boundary, evidence-status, SGP-split, validation-roadmap, or compact-profile sheets SHOULD include active sanity checks confirming that those sheets are present, populated, and referenced by at least one workbook validation surface. A sheet used to support a release claim MUST NOT remain merely decorative.</w:t>
      </w:r>
    </w:p>
    <w:bookmarkEnd w:id="613"/>
    <w:bookmarkStart w:id="614" w:name="z2-evidence-status-propagation-rule"/>
    <w:p>
      <w:pPr>
        <w:pStyle w:val="Heading2"/>
        <w:keepNext/>
        <w:keepLines/>
        <w:pageBreakBefore w:val="0"/>
        <w:widowControl/>
      </w:pPr>
      <w:r>
        <w:rPr>
          <w:rFonts w:ascii="Arial" w:hAnsi="Arial" w:eastAsia="Arial"/>
          <w:b/>
          <w:color w:val="1F4E78"/>
        </w:rPr>
        <w:t xml:space="preserve">Z.2 Evidence-status propagation rule</w:t>
      </w:r>
    </w:p>
    <w:p>
      <w:pPr>
        <w:pStyle w:val="FirstParagraph"/>
        <w:widowControl/>
      </w:pPr>
      <w:r>
        <w:t xml:space="preserve">Decision-critical inputs SHOULD disclose an Evidence Status Token. Where a decision-critical input lacks a token, the PCC SHOULD record NOT_OBSERVED, UNVALIDATED, or ASSUMED rather than silently treating the input as measured evidence.</w:t>
      </w:r>
    </w:p>
    <w:bookmarkEnd w:id="614"/>
    <w:bookmarkStart w:id="615" w:name="z3-sgp-split-computation-bridge"/>
    <w:p>
      <w:pPr>
        <w:pStyle w:val="Heading2"/>
        <w:keepNext/>
        <w:keepLines/>
        <w:pageBreakBefore w:val="0"/>
        <w:widowControl/>
      </w:pPr>
      <w:r>
        <w:rPr>
          <w:rFonts w:ascii="Arial" w:hAnsi="Arial" w:eastAsia="Arial"/>
          <w:b/>
          <w:color w:val="1F4E78"/>
        </w:rPr>
        <w:t xml:space="preserve">Z.3 SGP split computation bridge</w:t>
      </w:r>
    </w:p>
    <w:p>
      <w:pPr>
        <w:pStyle w:val="FirstParagraph"/>
        <w:widowControl/>
      </w:pPr>
      <w:r>
        <w:t xml:space="preserve">MPS, GPR, and SPR may be computed or recorded in workbook companions as disclosure outputs. MPS concerns protection-relevant welfare-bearing standing. GPR concerns role participation readiness. SPR concerns responsibility-bearing authority. Low GPR or SPR MUST NOT reduce MPS or weaken any NCRC, TRC, or CSV protection.</w:t>
      </w:r>
    </w:p>
    <w:bookmarkEnd w:id="615"/>
    <w:bookmarkStart w:id="616" w:name="z4-verifier-sufficiency-rule"/>
    <w:p>
      <w:pPr>
        <w:pStyle w:val="Heading2"/>
        <w:keepNext/>
        <w:keepLines/>
        <w:pageBreakBefore w:val="0"/>
        <w:widowControl/>
      </w:pPr>
      <w:r>
        <w:rPr>
          <w:rFonts w:ascii="Arial" w:hAnsi="Arial" w:eastAsia="Arial"/>
          <w:b/>
          <w:color w:val="1F4E78"/>
        </w:rPr>
        <w:t xml:space="preserve">Z.4 Verifier sufficiency rule</w:t>
      </w:r>
    </w:p>
    <w:p>
      <w:pPr>
        <w:pStyle w:val="FirstParagraph"/>
        <w:widowControl/>
      </w:pPr>
      <w:r>
        <w:t xml:space="preserve">A release verifier SHOULD test more than filename presence. For workbook-linked additions, it SHOULD check required sheet names, required labels, non-empty expected fields, and representative formula references. This does not make the release ProofPack-ready or machine-verifiable ecosystem complete; it only reduces packaging and integration risk.</w:t>
      </w:r>
    </w:p>
    <w:bookmarkEnd w:id="616"/>
    <w:bookmarkStart w:id="617" w:name="z5-claim-boundary"/>
    <w:p>
      <w:pPr>
        <w:pStyle w:val="Heading2"/>
        <w:keepNext/>
        <w:keepLines/>
        <w:pageBreakBefore w:val="0"/>
        <w:widowControl/>
      </w:pPr>
      <w:r>
        <w:rPr>
          <w:rFonts w:ascii="Arial" w:hAnsi="Arial" w:eastAsia="Arial"/>
          <w:b/>
          <w:color w:val="1F4E78"/>
        </w:rPr>
        <w:t xml:space="preserve">Z.5 Claim boundary</w:t>
      </w:r>
    </w:p>
    <w:p>
      <w:pPr>
        <w:pStyle w:val="FirstParagraph"/>
        <w:widowControl/>
      </w:pPr>
      <w:r>
        <w:t xml:space="preserve">This addendum improves release integrity and companion calculability. It does not claim empirical validation, ProofPack readiness, Tier 4 readiness, complete reference-calculator status, or machine-verifiable ecosystem completeness.</w:t>
      </w:r>
    </w:p>
    <w:bookmarkEnd w:id="617"/>
    <w:bookmarkEnd w:id="618"/>
    <w:bookmarkStart w:id="623" w:name="Xd34a9bd54fcdcf80d45474f3d6a1b59099d71a9"/>
    <w:p>
      <w:pPr>
        <w:pStyle w:val="Heading1"/>
        <w:keepNext/>
        <w:keepLines/>
        <w:pageBreakBefore w:val="0"/>
        <w:widowControl/>
      </w:pPr>
      <w:r>
        <w:rPr>
          <w:rFonts w:ascii="Arial" w:hAnsi="Arial" w:eastAsia="Arial"/>
          <w:b/>
          <w:color w:val="1F4E78"/>
        </w:rPr>
        <w:t xml:space="preserve">APPENDIX AA: PACKAGE-CONTENT BOUNDARY AND TOOLING LINE SEPARATION (CARRIED FORWARD FROM v10.8 THROUGH v12.0)</w:t>
      </w:r>
    </w:p>
    <w:bookmarkStart w:id="619" w:name="aa1-purpose"/>
    <w:p>
      <w:pPr>
        <w:pStyle w:val="Heading2"/>
        <w:keepNext/>
        <w:keepLines/>
        <w:pageBreakBefore w:val="0"/>
        <w:widowControl/>
      </w:pPr>
      <w:r>
        <w:rPr>
          <w:rFonts w:ascii="Arial" w:hAnsi="Arial" w:eastAsia="Arial"/>
          <w:b/>
          <w:color w:val="1F4E78"/>
        </w:rPr>
        <w:t xml:space="preserve">AA.1 Purpose</w:t>
      </w:r>
    </w:p>
    <w:p>
      <w:pPr>
        <w:pStyle w:val="FirstParagraph"/>
        <w:widowControl/>
      </w:pPr>
      <w:r>
        <w:t xml:space="preserve">This appendix clarifies the boundary between the current v12.5 core source package and companion tooling releases. It is added to prevent asset-presence overclaiming and to keep the canonical framework synchronized with the actual release manifest.</w:t>
      </w:r>
    </w:p>
    <w:bookmarkEnd w:id="619"/>
    <w:bookmarkStart w:id="620" w:name="aa2-package-content-rule"/>
    <w:p>
      <w:pPr>
        <w:pStyle w:val="Heading2"/>
        <w:keepNext/>
        <w:keepLines/>
        <w:pageBreakBefore w:val="0"/>
        <w:widowControl/>
      </w:pPr>
      <w:r>
        <w:rPr>
          <w:rFonts w:ascii="Arial" w:hAnsi="Arial" w:eastAsia="Arial"/>
          <w:b/>
          <w:color w:val="1F4E78"/>
        </w:rPr>
        <w:t xml:space="preserve">AA.2 Package-content rule</w:t>
      </w:r>
    </w:p>
    <w:p>
      <w:pPr>
        <w:pStyle w:val="FirstParagraph"/>
        <w:widowControl/>
      </w:pPr>
      <w:r>
        <w:t xml:space="preserve">Where this canon references schemas, registries, machine-readable vectors, annexes, reference calculators, CI workflows, evidence registries, validators, or replay bundles, those references describe ownership rules, interface expectations, or roadmap targets unless the corresponding artifact is explicitly listed in the release manifest for the package being claimed.</w:t>
      </w:r>
    </w:p>
    <w:bookmarkEnd w:id="620"/>
    <w:bookmarkStart w:id="621" w:name="aa3-tooling-line-separation"/>
    <w:p>
      <w:pPr>
        <w:pStyle w:val="Heading2"/>
        <w:keepNext/>
        <w:keepLines/>
        <w:pageBreakBefore w:val="0"/>
        <w:widowControl/>
      </w:pPr>
      <w:r>
        <w:rPr>
          <w:rFonts w:ascii="Arial" w:hAnsi="Arial" w:eastAsia="Arial"/>
          <w:b/>
          <w:color w:val="1F4E78"/>
        </w:rPr>
        <w:t xml:space="preserve">AA.3 Tooling-line separation</w:t>
      </w:r>
    </w:p>
    <w:p>
      <w:pPr>
        <w:pStyle w:val="FirstParagraph"/>
        <w:widowControl/>
      </w:pPr>
      <w:r>
        <w:t xml:space="preserve">The package tooling line is the proper home for schemas, reference-calculator modules, machine-readable test vectors, replayable PCC examples, validators, evidence-hash registries, and external audit protocols. The v12.5 core source line remains the conceptual, normative, and release-clean foundation. Tooling artifacts may support replayability, but they do not supersede the canon.</w:t>
      </w:r>
    </w:p>
    <w:bookmarkEnd w:id="621"/>
    <w:bookmarkStart w:id="622" w:name="aa4-claim-boundary"/>
    <w:p>
      <w:pPr>
        <w:pStyle w:val="Heading2"/>
        <w:keepNext/>
        <w:keepLines/>
        <w:pageBreakBefore w:val="0"/>
        <w:widowControl/>
      </w:pPr>
      <w:r>
        <w:rPr>
          <w:rFonts w:ascii="Arial" w:hAnsi="Arial" w:eastAsia="Arial"/>
          <w:b/>
          <w:color w:val="1F4E78"/>
        </w:rPr>
        <w:t xml:space="preserve">AA.4 Claim boundary</w:t>
      </w:r>
    </w:p>
    <w:p>
      <w:pPr>
        <w:pStyle w:val="FirstParagraph"/>
        <w:widowControl/>
      </w:pPr>
      <w:r>
        <w:t xml:space="preserve">The existence of tooling, schemas, test vectors, or validators does not by itself create ProofPack readiness, Tier 4 readiness, empirical validation, machine-verifiable ecosystem completeness, legal authority, democratic legitimacy, or consciousness detection. Stronger claims require the separate evidence and replay conditions stated in the relevant release contract.</w:t>
      </w:r>
    </w:p>
    <w:bookmarkEnd w:id="622"/>
    <w:bookmarkEnd w:id="623"/>
    <w:bookmarkStart w:id="631" w:name="appendix-ab-reference-structure-protocol"/>
    <w:p>
      <w:pPr>
        <w:pStyle w:val="Heading1"/>
        <w:keepNext/>
        <w:keepLines/>
        <w:pageBreakBefore w:val="0"/>
        <w:widowControl/>
      </w:pPr>
      <w:r>
        <w:rPr>
          <w:rFonts w:ascii="Arial" w:hAnsi="Arial" w:eastAsia="Arial"/>
          <w:b/>
          <w:color w:val="1F4E78"/>
        </w:rPr>
        <w:t xml:space="preserve">APPENDIX AB: REFERENCE STRUCTURE PROTOCOL</w:t>
      </w:r>
    </w:p>
    <w:bookmarkStart w:id="624" w:name="ab1-purpose"/>
    <w:p>
      <w:pPr>
        <w:pStyle w:val="Heading2"/>
        <w:keepNext/>
        <w:keepLines/>
        <w:pageBreakBefore w:val="0"/>
        <w:widowControl/>
      </w:pPr>
      <w:r>
        <w:rPr>
          <w:rFonts w:ascii="Arial" w:hAnsi="Arial" w:eastAsia="Arial"/>
          <w:b/>
          <w:color w:val="1F4E78"/>
        </w:rPr>
        <w:t xml:space="preserve">AB.1 Purpose</w:t>
      </w:r>
    </w:p>
    <w:p>
      <w:pPr>
        <w:pStyle w:val="FirstParagraph"/>
        <w:widowControl/>
      </w:pPr>
      <w:r>
        <w:t xml:space="preserve">The Reference Structure Protocol specifies how RippleLogic runs declare the structures against which admissibility, causality, stability, welfare, and auditability claims are evaluated.</w:t>
      </w:r>
    </w:p>
    <w:p>
      <w:pPr>
        <w:pStyle w:val="BodyText"/>
        <w:widowControl/>
      </w:pPr>
      <w:r>
        <w:t xml:space="preserve">This appendix prevents a common failure mode in governance and AI alignment: one assumption system supervising another assumption system without a sufficiently external, falsifiable, or auditable reference. RippleLogic does not solve this by claiming perfect objectivity. It solves it by requiring that reference structures be declared, evidence-labeled, maturity-bounded, and open to refusal.</w:t>
      </w:r>
    </w:p>
    <w:bookmarkEnd w:id="624"/>
    <w:bookmarkStart w:id="625" w:name="ab2-non-effect-on-the-cascade"/>
    <w:p>
      <w:pPr>
        <w:pStyle w:val="Heading2"/>
        <w:keepNext/>
        <w:keepLines/>
        <w:pageBreakBefore w:val="0"/>
        <w:widowControl/>
      </w:pPr>
      <w:r>
        <w:rPr>
          <w:rFonts w:ascii="Arial" w:hAnsi="Arial" w:eastAsia="Arial"/>
          <w:b/>
          <w:color w:val="1F4E78"/>
        </w:rPr>
        <w:t xml:space="preserve">AB.2 Non-Effect on the Cascade</w:t>
      </w:r>
    </w:p>
    <w:p>
      <w:pPr>
        <w:pStyle w:val="FirstParagraph"/>
        <w:widowControl/>
      </w:pPr>
      <w:r>
        <w:t xml:space="preserve">The Reference Structure Protocol does not alter the canonical cascade: Reality Grounding → Rights Floor → TRC → CSV → RLS.</w:t>
      </w:r>
    </w:p>
    <w:p>
      <w:pPr>
        <w:pStyle w:val="BodyText"/>
        <w:widowControl/>
      </w:pPr>
      <w:r>
        <w:t xml:space="preserve">It does not create a sixth gate. It does not allow RLS, UCI, HOI, SGP, agent tooling, legal permission, or human authority to rescue failure at NCRC, TRC, CSV, or Refusal.</w:t>
      </w:r>
    </w:p>
    <w:bookmarkEnd w:id="625"/>
    <w:bookmarkStart w:id="626" w:name="ab3-reference-stack"/>
    <w:p>
      <w:pPr>
        <w:pStyle w:val="Heading2"/>
        <w:keepNext/>
        <w:keepLines/>
        <w:pageBreakBefore w:val="0"/>
        <w:widowControl/>
      </w:pPr>
      <w:r>
        <w:rPr>
          <w:rFonts w:ascii="Arial" w:hAnsi="Arial" w:eastAsia="Arial"/>
          <w:b/>
          <w:color w:val="1F4E78"/>
        </w:rPr>
        <w:t xml:space="preserve">AB.3 Reference Stack</w:t>
      </w:r>
    </w:p>
    <w:p>
      <w:pPr>
        <w:pStyle w:val="FirstParagraph"/>
        <w:widowControl/>
      </w:pPr>
      <w:r>
        <w:t xml:space="preserve">A RippleLogic run SHOULD identify which reference layers are active.</w:t>
      </w:r>
    </w:p>
    <w:p>
      <w:pPr>
        <w:pStyle w:val="BodyText"/>
        <w:widowControl/>
      </w:pPr>
      <w:r>
        <w:t xml:space="preserve">1. Physical reference: bodies, infrastructure, energy, geography, resources, physical constraints, ecological limits.</w:t>
      </w:r>
    </w:p>
    <w:p>
      <w:pPr>
        <w:pStyle w:val="BodyText"/>
        <w:widowControl/>
      </w:pPr>
      <w:r>
        <w:t xml:space="preserve">2. Biological reference: life, health, basic needs, suffering, sentience-relevant evidence, biological dependency.</w:t>
      </w:r>
    </w:p>
    <w:p>
      <w:pPr>
        <w:pStyle w:val="BodyText"/>
        <w:widowControl/>
      </w:pPr>
      <w:r>
        <w:t xml:space="preserve">3. Social reference: trust, coordination, institutional stability, conflict risk, social cohesion.</w:t>
      </w:r>
    </w:p>
    <w:p>
      <w:pPr>
        <w:pStyle w:val="BodyText"/>
        <w:widowControl/>
      </w:pPr>
      <w:r>
        <w:t xml:space="preserve">4. Ethical-rights reference: rights floors, dignity, due process, non-domination, ecological integrity.</w:t>
      </w:r>
    </w:p>
    <w:p>
      <w:pPr>
        <w:pStyle w:val="BodyText"/>
        <w:widowControl/>
      </w:pPr>
      <w:r>
        <w:t xml:space="preserve">5. Risk reference: catastrophic corridors, CVaR assumptions, scenario sets, probability floors, uncertainty bands.</w:t>
      </w:r>
    </w:p>
    <w:p>
      <w:pPr>
        <w:pStyle w:val="BodyText"/>
        <w:widowControl/>
      </w:pPr>
      <w:r>
        <w:t xml:space="preserve">6. Governance-authority reference: lawful authority, role authority, democratic legitimacy, professional mandate, procedural permission.</w:t>
      </w:r>
    </w:p>
    <w:p>
      <w:pPr>
        <w:pStyle w:val="BodyText"/>
        <w:widowControl/>
      </w:pPr>
      <w:r>
        <w:t xml:space="preserve">7. Epistemic reference: evidence source, measurement method, evidence status, falsification condition, uncertainty class, reviewer disagreement.</w:t>
      </w:r>
    </w:p>
    <w:p>
      <w:pPr>
        <w:pStyle w:val="BodyText"/>
        <w:widowControl/>
      </w:pPr>
      <w:r>
        <w:t xml:space="preserve">8. Operational-audit reference: PCC, Decision Note, ProjectionPreRegistration, ExecutionStabilityRecord, TransitionAdmissibilityRecord, hashes, logs, and replay materials.</w:t>
      </w:r>
    </w:p>
    <w:p>
      <w:pPr>
        <w:pStyle w:val="BodyText"/>
        <w:widowControl/>
      </w:pPr>
      <w:r>
        <w:t xml:space="preserve">Short rule. Physics constrains possibility; ethics constrains admissibility; evidence constrains claims; governance constrains authority.</w:t>
      </w:r>
    </w:p>
    <w:bookmarkEnd w:id="626"/>
    <w:bookmarkStart w:id="627" w:name="ab4-referencestructurerecord"/>
    <w:p>
      <w:pPr>
        <w:pStyle w:val="Heading2"/>
        <w:keepNext/>
        <w:keepLines/>
        <w:pageBreakBefore w:val="0"/>
        <w:widowControl/>
      </w:pPr>
      <w:r>
        <w:rPr>
          <w:rFonts w:ascii="Arial" w:hAnsi="Arial" w:eastAsia="Arial"/>
          <w:b/>
          <w:color w:val="1F4E78"/>
        </w:rPr>
        <w:t xml:space="preserve">AB.4 ReferenceStructureRecord</w:t>
      </w:r>
    </w:p>
    <w:p>
      <w:pPr>
        <w:pStyle w:val="FirstParagraph"/>
        <w:widowControl/>
      </w:pPr>
      <w:r>
        <w:t xml:space="preserve">For Tier 3 runs and for Tier 2 high-stakes or claim-bearing runs, the PCC SHOULD include a ReferenceStructureRecord. For Tier 3 public conformance claims, it SHALL include one unless an emergency triage rule explicitly permits a narrower record.</w:t>
      </w:r>
    </w:p>
    <w:p>
      <w:pPr>
        <w:pStyle w:val="BodyText"/>
        <w:widowControl/>
      </w:pPr>
      <w:r>
        <w:t xml:space="preserve">A ReferenceStructureRecord contains, at minimum: record_id; decision_id; option_id or option_set_id; claim_scope; decision_boundary; reference_object; active_reference_layers; invariant_constraints; causal_pathway_summary; falsification_conditions; evidence_sources; evidence_status_tokens; measurement_maturity_status; adaptation_boundary; authority_boundary; refusal_triggers; excluded_references; reviewer_disposition; timestamp; artifact_hashes.</w:t>
      </w:r>
    </w:p>
    <w:bookmarkEnd w:id="627"/>
    <w:bookmarkStart w:id="628" w:name="ab5-reference-quality-states"/>
    <w:p>
      <w:pPr>
        <w:pStyle w:val="Heading2"/>
        <w:keepNext/>
        <w:keepLines/>
        <w:pageBreakBefore w:val="0"/>
        <w:widowControl/>
      </w:pPr>
      <w:r>
        <w:rPr>
          <w:rFonts w:ascii="Arial" w:hAnsi="Arial" w:eastAsia="Arial"/>
          <w:b/>
          <w:color w:val="1F4E78"/>
        </w:rPr>
        <w:t xml:space="preserve">AB.5 Reference Quality States</w:t>
      </w:r>
    </w:p>
    <w:p>
      <w:pPr>
        <w:pStyle w:val="FirstParagraph"/>
        <w:widowControl/>
      </w:pPr>
      <w:r>
        <w:t xml:space="preserve">Each major reference claim SHOULD be classified using one of the following states: MEASURED; ESTIMATED; EXPERT_JUDGMENT; ASSUMED; CONTESTED; UNVALIDATED; NOT_OBSERVED; PLACEHOLDER_FOR_SENSITIVITY_ONLY.</w:t>
      </w:r>
    </w:p>
    <w:p>
      <w:pPr>
        <w:pStyle w:val="BodyText"/>
        <w:widowControl/>
      </w:pPr>
      <w:r>
        <w:t xml:space="preserve">Assumed, contested, unvalidated, not-observed, or placeholder references MUST NOT be presented as measured facts.</w:t>
      </w:r>
    </w:p>
    <w:bookmarkEnd w:id="628"/>
    <w:bookmarkStart w:id="629" w:name="X9f2876880261a441fbb5e25bb8b845556bcfa2c"/>
    <w:p>
      <w:pPr>
        <w:pStyle w:val="Heading2"/>
        <w:keepNext/>
        <w:keepLines/>
        <w:pageBreakBefore w:val="0"/>
        <w:widowControl/>
      </w:pPr>
      <w:r>
        <w:rPr>
          <w:rFonts w:ascii="Arial" w:hAnsi="Arial" w:eastAsia="Arial"/>
          <w:b/>
          <w:color w:val="1F4E78"/>
        </w:rPr>
        <w:t xml:space="preserve">AB.6 Invalid or Insufficient Reference Structures</w:t>
      </w:r>
    </w:p>
    <w:p>
      <w:pPr>
        <w:pStyle w:val="FirstParagraph"/>
        <w:widowControl/>
      </w:pPr>
      <w:r>
        <w:t xml:space="preserve">A reference structure is insufficient for a strong RippleLogic claim where any of the following conditions hold:</w:t>
      </w:r>
    </w:p>
    <w:p>
      <w:pPr>
        <w:pStyle w:val="BodyText"/>
        <w:widowControl/>
      </w:pPr>
      <w:r>
        <w:t xml:space="preserve">1. The reference object is missing.</w:t>
      </w:r>
    </w:p>
    <w:p>
      <w:pPr>
        <w:pStyle w:val="BodyText"/>
        <w:widowControl/>
      </w:pPr>
      <w:r>
        <w:t xml:space="preserve">2. The reference is circular or self-validating.</w:t>
      </w:r>
    </w:p>
    <w:p>
      <w:pPr>
        <w:pStyle w:val="BodyText"/>
        <w:widowControl/>
      </w:pPr>
      <w:r>
        <w:t xml:space="preserve">3. The reference is controlled entirely by the system being evaluated without independent evidence or review.</w:t>
      </w:r>
    </w:p>
    <w:p>
      <w:pPr>
        <w:pStyle w:val="BodyText"/>
        <w:widowControl/>
      </w:pPr>
      <w:r>
        <w:t xml:space="preserve">4. The reference cannot be connected to an observable consequence, threshold, or falsification condition.</w:t>
      </w:r>
    </w:p>
    <w:p>
      <w:pPr>
        <w:pStyle w:val="BodyText"/>
        <w:widowControl/>
      </w:pPr>
      <w:r>
        <w:t xml:space="preserve">5. The reference is materially stale for the decision horizon.</w:t>
      </w:r>
    </w:p>
    <w:p>
      <w:pPr>
        <w:pStyle w:val="BodyText"/>
        <w:widowControl/>
      </w:pPr>
      <w:r>
        <w:t xml:space="preserve">6. The reference depends on a measurement surface whose maturity status does not support the requested claim.</w:t>
      </w:r>
    </w:p>
    <w:p>
      <w:pPr>
        <w:pStyle w:val="BodyText"/>
        <w:widowControl/>
      </w:pPr>
      <w:r>
        <w:t xml:space="preserve">7. The reference relies on legal, institutional, or operator permission as a substitute for admissibility.</w:t>
      </w:r>
    </w:p>
    <w:p>
      <w:pPr>
        <w:pStyle w:val="BodyText"/>
        <w:widowControl/>
      </w:pPr>
      <w:r>
        <w:t xml:space="preserve">8. The reference relies on scoring outputs to rescue earlier gate uncertainty or failure.</w:t>
      </w:r>
    </w:p>
    <w:p>
      <w:pPr>
        <w:pStyle w:val="BodyText"/>
        <w:widowControl/>
      </w:pPr>
      <w:r>
        <w:t xml:space="preserve">9. Two or more materially different reference interpretations remain plausible under the declared evidence and no adjudication rule resolves them.</w:t>
      </w:r>
    </w:p>
    <w:p>
      <w:pPr>
        <w:pStyle w:val="BodyText"/>
        <w:widowControl/>
      </w:pPr>
      <w:r>
        <w:t xml:space="preserve">Where the reference structure is insufficient, the run MUST enter Refusal, escalation, narrower claim scope, additional evidence gathering, or bounded triage if delay itself creates material risk.</w:t>
      </w:r>
    </w:p>
    <w:bookmarkEnd w:id="629"/>
    <w:bookmarkStart w:id="630" w:name="X20114087210b5d6f453fd38397f374141366a08"/>
    <w:p>
      <w:pPr>
        <w:pStyle w:val="Heading2"/>
        <w:keepNext/>
        <w:keepLines/>
        <w:pageBreakBefore w:val="0"/>
        <w:widowControl/>
      </w:pPr>
      <w:r>
        <w:rPr>
          <w:rFonts w:ascii="Arial" w:hAnsi="Arial" w:eastAsia="Arial"/>
          <w:b/>
          <w:color w:val="1F4E78"/>
        </w:rPr>
        <w:t xml:space="preserve">AB.7 Relationship to PCC and ProjectionPreRegistration</w:t>
      </w:r>
    </w:p>
    <w:p>
      <w:pPr>
        <w:pStyle w:val="FirstParagraph"/>
        <w:widowControl/>
      </w:pPr>
      <w:r>
        <w:t xml:space="preserve">The ReferenceStructureRecord SHOULD be stored with the PCC and referenced by hash. Where ProjectionPreRegistration is required, the ReferenceStructureRecord SHOULD be created before cascade computation or included as a pre-registered object.</w:t>
      </w:r>
    </w:p>
    <w:p>
      <w:pPr>
        <w:pStyle w:val="BodyText"/>
        <w:widowControl/>
      </w:pPr>
      <w:r>
        <w:t xml:space="preserve">Post-hoc modification of the reference structure that could alter admissibility, selectability, selection, conformance, or deployment-readiness claims is material and requires a new run or documented refusal and re-run procedure.</w:t>
      </w:r>
    </w:p>
    <w:bookmarkEnd w:id="630"/>
    <w:bookmarkEnd w:id="631"/>
    <w:bookmarkStart w:id="632" w:name="X0f6fa76b1b792113bcbd3759a5673338c7d670b"/>
    <w:p>
      <w:pPr>
        <w:pStyle w:val="Heading1"/>
        <w:keepNext/>
        <w:keepLines/>
        <w:pageBreakBefore w:val="0"/>
        <w:widowControl/>
      </w:pPr>
      <w:r>
        <w:rPr>
          <w:rFonts w:ascii="Arial" w:hAnsi="Arial" w:eastAsia="Arial"/>
          <w:b/>
          <w:color w:val="1F4E78"/>
        </w:rPr>
        <w:t xml:space="preserve">APPENDIX AC: SPECIFICATION CONTRACT, RELEASE METADATA, AND CLAIM BOUNDARY</w:t>
      </w:r>
    </w:p>
    <w:p>
      <w:pPr>
        <w:pStyle w:val="FirstParagraph"/>
        <w:widowControl/>
      </w:pPr>
      <w:r>
        <w:t xml:space="preserve">This appendix preserves release identity, companion-version pins, claim-boundary warnings, and role-map material moved out of the opening pages in v10.4 for reader accessibility. It does not change the canonical cascade or computation.</w:t>
      </w:r>
    </w:p>
    <w:p>
      <w:pPr>
        <w:pStyle w:val="BodyText"/>
        <w:widowControl/>
      </w:pPr>
      <w:r>
        <w:t>Foundation baseline consolidation date: 2026-05-11. Canonical release date: governed by the release manifest and the current-line release entry in Appendix M. If dates differ, the release manifest date controls release identity; the title-page date records text finalisation only.</w:t>
      </w:r>
    </w:p>
    <w:p>
      <w:pPr>
        <w:pStyle w:val="BodyText"/>
        <w:widowControl/>
      </w:pPr>
      <w:r>
        <w:t xml:space="preserve">Release Label: RippleLogic_v12.5_Canon</w:t>
      </w:r>
    </w:p>
    <w:p>
      <w:pPr>
        <w:pStyle w:val="BodyText"/>
        <w:widowControl/>
      </w:pPr>
      <w:r>
        <w:t>Current synced Core 15 set for this release line: RippleLogic Canon v12.5; SGP v8.4; ripple.md v5.4; WDBIP v1.5; RippleLogic Agent System v12.3; Foundations Primer v4.3; RippleLogic Aligners Sheet v5.5; Cascade Standard v2.5; CSV Gate Standard v2.3; Reproducibility and Use Standard v1.3; RLS Validation Protocol v2.5; Public Introduction v12.5; PC-AEP v2.2; MFDI v2.2; Source-Coupling Integrity v2.2. Extended release-support artifacts, including RLS Validation Workbook v0.3, are governed separately by the release manifest and SHA-256 ledgers and are not members of Core 15.</w:t>
      </w:r>
    </w:p>
    <w:p>
      <w:pPr>
        <w:pStyle w:val="BodyText"/>
        <w:widowControl/>
      </w:pPr>
      <w:r>
        <w:t xml:space="preserve">Single release-registry rule (Normative).</w:t>
      </w:r>
      <w:r>
        <w:t xml:space="preserve"> </w:t>
      </w:r>
      <w:r>
        <w:rPr>
          <w:rStyle w:val="VerbatimChar"/>
        </w:rPr>
        <w:t xml:space="preserve">VERSION_MANIFEST.yaml</w:t>
      </w:r>
      <w:r>
        <w:t xml:space="preserve"> </w:t>
      </w:r>
      <w:r>
        <w:t xml:space="preserve">and</w:t>
      </w:r>
      <w:r>
        <w:t xml:space="preserve"> </w:t>
      </w:r>
      <w:r>
        <w:rPr>
          <w:rStyle w:val="VerbatimChar"/>
        </w:rPr>
        <w:t xml:space="preserve">release/release_manifest.yml</w:t>
      </w:r>
      <w:r>
        <w:t xml:space="preserve"> </w:t>
      </w:r>
      <w:r>
        <w:t xml:space="preserve">jointly own the exact current component pins. Human-readable matrices in the Canon, Component Map, workbook, and companion files are synchronized mirrors. If a mirror differs, the manifest-listed source files and hashes control release identity and the mismatch is a release-integrity failure.</w:t>
      </w:r>
    </w:p>
    <w:p>
      <w:pPr>
        <w:pStyle w:val="BodyText"/>
        <w:widowControl/>
      </w:pPr>
      <w:r>
        <w:t xml:space="preserve">Current-line companion matrix (release-clean reference):</w:t>
      </w:r>
    </w:p>
    <w:p>
      <w:pPr>
        <w:pStyle w:val="Compact"/>
        <w:widowControl/>
        <w:numPr>
          <w:ilvl w:val="0"/>
          <w:numId w:val="1414"/>
        </w:numPr>
      </w:pPr>
      <w:r>
        <w:t xml:space="preserve">RippleLogic Canon: v12.5</w:t>
      </w:r>
    </w:p>
    <w:p>
      <w:pPr>
        <w:pStyle w:val="Compact"/>
        <w:widowControl/>
        <w:numPr>
          <w:ilvl w:val="0"/>
          <w:numId w:val="1414"/>
        </w:numPr>
      </w:pPr>
      <w:r>
        <w:t xml:space="preserve">SGP: v8.4</w:t>
      </w:r>
    </w:p>
    <w:p>
      <w:pPr>
        <w:pStyle w:val="Compact"/>
        <w:widowControl/>
        <w:numPr>
          <w:ilvl w:val="0"/>
          <w:numId w:val="1414"/>
        </w:numPr>
      </w:pPr>
      <w:r>
        <w:t xml:space="preserve">ripple.md: v5.4</w:t>
      </w:r>
    </w:p>
    <w:p>
      <w:pPr>
        <w:pStyle w:val="Compact"/>
        <w:widowControl/>
        <w:numPr>
          <w:ilvl w:val="0"/>
          <w:numId w:val="1414"/>
        </w:numPr>
      </w:pPr>
      <w:r>
        <w:t xml:space="preserve">WDBIP: v1.5</w:t>
      </w:r>
    </w:p>
    <w:p>
      <w:pPr>
        <w:pStyle w:val="Compact"/>
        <w:widowControl/>
        <w:numPr>
          <w:ilvl w:val="0"/>
          <w:numId w:val="1414"/>
        </w:numPr>
      </w:pPr>
      <w:r>
        <w:t xml:space="preserve">RippleLogic Agent System: v12.3</w:t>
      </w:r>
    </w:p>
    <w:p>
      <w:pPr>
        <w:pStyle w:val="Compact"/>
        <w:widowControl/>
        <w:numPr>
          <w:ilvl w:val="0"/>
          <w:numId w:val="1414"/>
        </w:numPr>
      </w:pPr>
      <w:r>
        <w:t xml:space="preserve">Foundations Primer: v4.3</w:t>
      </w:r>
    </w:p>
    <w:p>
      <w:pPr>
        <w:pStyle w:val="Compact"/>
        <w:widowControl/>
        <w:numPr>
          <w:ilvl w:val="0"/>
          <w:numId w:val="1414"/>
        </w:numPr>
      </w:pPr>
      <w:r>
        <w:t>RippleLogic Aligners Sheet: v5.5</w:t>
      </w:r>
    </w:p>
    <w:p>
      <w:pPr>
        <w:pStyle w:val="Compact"/>
        <w:widowControl/>
        <w:numPr>
          <w:ilvl w:val="0"/>
          <w:numId w:val="1414"/>
        </w:numPr>
      </w:pPr>
      <w:r>
        <w:t xml:space="preserve">Cascade Standard: v2.5</w:t>
      </w:r>
    </w:p>
    <w:p>
      <w:pPr>
        <w:pStyle w:val="Compact"/>
        <w:widowControl/>
        <w:numPr>
          <w:ilvl w:val="0"/>
          <w:numId w:val="1414"/>
        </w:numPr>
      </w:pPr>
      <w:r>
        <w:t xml:space="preserve">CSV Gate Standard: v2.3</w:t>
      </w:r>
    </w:p>
    <w:p>
      <w:pPr>
        <w:pStyle w:val="Compact"/>
        <w:widowControl/>
        <w:numPr>
          <w:ilvl w:val="0"/>
          <w:numId w:val="1414"/>
        </w:numPr>
      </w:pPr>
      <w:r>
        <w:t xml:space="preserve">Reproducibility and Use Standard: v1.3</w:t>
      </w:r>
    </w:p>
    <w:p>
      <w:pPr>
        <w:pStyle w:val="Compact"/>
        <w:widowControl/>
        <w:numPr>
          <w:ilvl w:val="0"/>
          <w:numId w:val="1414"/>
        </w:numPr>
      </w:pPr>
      <w:r>
        <w:t xml:space="preserve">RLS Validation Protocol: v2.5</w:t>
      </w:r>
    </w:p>
    <w:p>
      <w:pPr>
        <w:pStyle w:val="Compact"/>
        <w:widowControl/>
        <w:numPr>
          <w:ilvl w:val="0"/>
          <w:numId w:val="1414"/>
        </w:numPr>
      </w:pPr>
      <w:r>
        <w:t>Public Introduction: v12.5</w:t>
      </w:r>
    </w:p>
    <w:p>
      <w:pPr>
        <w:pStyle w:val="Compact"/>
      </w:pPr>
      <w:r>
        <w:t>PC-AEP: v2.2</w:t>
      </w:r>
    </w:p>
    <w:p>
      <w:pPr>
        <w:pStyle w:val="Compact"/>
      </w:pPr>
      <w:r>
        <w:t>MFDI: v2.2</w:t>
      </w:r>
    </w:p>
    <w:p>
      <w:pPr>
        <w:pStyle w:val="Compact"/>
      </w:pPr>
      <w:r>
        <w:t>Source-Coupling Integrity: v2.2</w:t>
      </w:r>
    </w:p>
    <w:p>
      <w:pPr>
        <w:pStyle w:val="Compact"/>
      </w:pPr>
      <w:r>
        <w:t>Extended release-support artifact (not Core 15): RLS Validation Workbook v0.3</w:t>
      </w:r>
    </w:p>
    <w:p>
      <w:pPr>
        <w:pStyle w:val="FirstParagraph"/>
        <w:widowControl/>
      </w:pPr>
      <w:r>
        <w:t xml:space="preserve">All public conformance claims for this release line MUST pin this exact component matrix explicitly in the release manifest or PCC; generic release-family references do not replace the exact current component pins and the exact manifest controls publication status.</w:t>
      </w:r>
    </w:p>
    <w:p>
      <w:pPr>
        <w:pStyle w:val="BodyText"/>
        <w:widowControl/>
      </w:pPr>
      <w:r>
        <w:t xml:space="preserve">MathGov is the umbrella ethical governance framework. RippleLogic is the canonical name of the decision architecture and operating methodology inside MathGov. Earlier materials may use historical lineage language, but current release interpretation follows this hierarchy.</w:t>
      </w:r>
    </w:p>
    <w:p>
      <w:pPr>
        <w:pStyle w:val="BodyText"/>
        <w:widowControl/>
      </w:pPr>
      <w:r>
        <w:t xml:space="preserve">Backward compatibility: Prior PCCs computed under earlier release lines remain interpretable as lineage artifacts. However, any run claiming current-line conformance MUST meet v12.5 canonical requirements and use the v12.5 Canon artifact. A run explicitly pinned to v12.0 remains a historical-lineage run and must pin the v12.0 artifact. Any run referencing v10.8 remains a historical-lineage run and must pin the v10.8 artifact explicitly.</w:t>
      </w:r>
    </w:p>
    <w:p>
      <w:pPr>
        <w:pStyle w:val="BodyText"/>
        <w:widowControl/>
      </w:pPr>
      <w:r>
        <w:t xml:space="preserve">AUTHOR STATEMENT AND TRANSPARENCY DISCLOSURE</w:t>
      </w:r>
      <w:r>
        <w:br/>
      </w:r>
      <w:r>
        <w:t xml:space="preserve">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 This paper presents a theoretical framework. Empirical validation through pilots is planned but not yet completed. No operational deployment claims are made until validation studies are completed.</w:t>
      </w:r>
    </w:p>
    <w:p>
      <w:pPr>
        <w:pStyle w:val="BodyText"/>
        <w:widowControl/>
      </w:pPr>
      <w:r>
        <w:t xml:space="preserve">Maturity note. This specification is architecturally complete at the framework level for its declared release scope, but empirical validation, companion machine surfaces, and domain-specific measurement annexes remain active development priorities.</w:t>
      </w:r>
    </w:p>
    <w:p>
      <w:pPr>
        <w:pStyle w:val="BodyText"/>
        <w:widowControl/>
      </w:pPr>
      <w:r>
        <w:t xml:space="preserve">Historical release-delta details for v9.6.4, v9.6.5, v10.0-RC1, v10.0-RC2, v10.0, and v10.4 are retained in Appendix M. This front matter states the current v12.5 package release posture only.</w:t>
      </w:r>
    </w:p>
    <w:bookmarkEnd w:id="632"/>
    <w:bookmarkStart w:id="634" w:name="X3a5a672d85e656b3047399df52dcd01b856a538"/>
    <w:p>
      <w:pPr>
        <w:pStyle w:val="Heading1"/>
        <w:keepNext/>
        <w:keepLines/>
        <w:pageBreakBefore w:val="0"/>
        <w:widowControl/>
      </w:pPr>
      <w:r>
        <w:rPr>
          <w:rFonts w:ascii="Arial" w:hAnsi="Arial" w:eastAsia="Arial"/>
          <w:b/>
          <w:color w:val="1F4E78"/>
        </w:rPr>
        <w:t xml:space="preserve">CARRIED-FORWARD v10.8 HUMAN PLATEAU / CMIU CALIBRATION AND SGP v5.5 SYNCHRONIZATION NOTICE</w:t>
      </w:r>
    </w:p>
    <w:p>
      <w:pPr>
        <w:pStyle w:val="FirstParagraph"/>
        <w:widowControl/>
      </w:pPr>
      <w:r>
        <w:t xml:space="preserve">Release Delta (v10.5 → v10.6). This release integrates the Human Plateau / CMIU calibration clarification and synchronizes the Canon to SGP v5.5. It preserves the existing cascade architecture, equations, rights thresholds, TRC mechanics, Containment semantics, RLS formula, PLSS/FLGG architecture, HDW, PCC, RSP/RefStructRecord, Appendix AD scoring dictionary, and Tier 1-3 claim boundaries. It clarifies that the Human Plateau Rule is not species favoritism: human persons receive non-degradable protection, and humanity is the current evidenced plateau-class reality-managing community within the CMIU, while equivalent plateau extension remains open through SGP governed review.</w:t>
      </w:r>
    </w:p>
    <w:p>
      <w:pPr>
        <w:pStyle w:val="BodyText"/>
        <w:widowControl/>
      </w:pPr>
      <w:r>
        <w:t xml:space="preserve">Normative effect statement (carried forward from v10.8). No intended change was made to the canonical admissibility cascade Reality Grounding → Rights Floor → TRC → CSV → RLS, rights coverage sets, TRC corridor mechanics, Containment semantics, RLS formula, PLSS/FLGG architecture, HDW, PCC, RSP/RefStructRecord, or Appendix AD. The v10.8 line updated the SGP companion pin to SGP v5.5 and clarified the human plateau / reality-management rationale without allowing any SGP protection surface to weaken human protections, alter admissibility gates, or grant governance authority by itself. The current v12.5 / SGP v8.4 line replaces the legacy scalar interface with MPS/FPP/GPR/SPR/ICP and adds the informative RMCP/P100 calibration surface while preserving protection, participation, capacity, and authority boundaries.</w:t>
      </w:r>
    </w:p>
    <w:p>
      <w:pPr>
        <w:pStyle w:val="BodyText"/>
        <w:widowControl/>
      </w:pPr>
      <w:r>
        <w:t xml:space="preserve">Claim boundary table (Informative reading aid).</w:t>
      </w:r>
    </w:p>
    <w:p>
      <w:pPr>
        <w:pStyle w:val="BodyText"/>
        <w:widowControl/>
      </w:pPr>
      <w:r>
        <w:t xml:space="preserve">Release-boundary clarification (Normative).</w:t>
      </w:r>
    </w:p>
    <w:p>
      <w:pPr>
        <w:pStyle w:val="BodyText"/>
        <w:widowControl/>
      </w:pPr>
      <w:r>
        <w:t xml:space="preserve">“Architecturally complete,” “worked-run claimable,” “audit-ready,” “ProofPack-ready,” and “Tier 4-ready” are distinct statuses and MUST NOT be collapsed.</w:t>
      </w:r>
    </w:p>
    <w:p>
      <w:pPr>
        <w:pStyle w:val="BodyText"/>
        <w:widowControl/>
      </w:pPr>
      <w:r>
        <w:t xml:space="preserve">A framework may be architecturally complete without being empirically validated. A worked run may be claimable within its declared scope without the ecosystem being ProofPack-ready. Auditability surfaces may exist without a public replay validator. Tier 4 readiness remains prohibited until a public, independently replayable ProofPack exists.</w:t>
      </w:r>
    </w:p>
    <w:p>
      <w:pPr>
        <w:pStyle w:val="BodyText"/>
        <w:widowControl/>
      </w:pPr>
      <w:r>
        <w:t xml:space="preserve">Phase 1 release-boundary hardening (Normative clarification).</w:t>
      </w:r>
    </w:p>
    <w:p>
      <w:pPr>
        <w:pStyle w:val="BodyText"/>
        <w:widowControl/>
      </w:pPr>
      <w:r>
        <w:t xml:space="preserve">For public release interpretation, RippleLogic v12.5 is a conceptual/core-foundation and Tier 1-3 architectural specification within its declared scope. It is not an empirical validation claim, not a ProofPack-ready claim, not a Tier 4 claim, not a machine-verifiable-ecosystem-completeness claim, not a cross-domain validated UCI claim, not a legal-compliance certification, and not a deployment-readiness certification.</w:t>
      </w:r>
    </w:p>
    <w:p>
      <w:pPr>
        <w:pStyle w:val="BodyText"/>
        <w:widowControl/>
      </w:pPr>
      <w:r>
        <w:t xml:space="preserve">The phrase “ethical operating system” is a design-architecture claim. It SHALL NOT be read as a claim of universal cultural consent, lawful authority, empirical completion, automatic moral correctness, or permission to execute consequence-bearing decisions without the required governance authority and evidence.</w:t>
      </w:r>
    </w:p>
    <w:p>
      <w:pPr>
        <w:pStyle w:val="BodyText"/>
        <w:widowControl/>
      </w:pPr>
      <w:r>
        <w:t xml:space="preserve">UCI maturity boundary. UCI is structurally load-bearing as a diagnostic and tie-break interface, but empirically provisional until a published UCI Measurement Annex defines instruments, normalization rules, structural-independence checks, calibration procedure, and inter-rater reliability evidence. No current-release artifact may imply cross-domain validated UCI unless that annex and evidence are separately bundled and hash-pinned.</w:t>
      </w:r>
    </w:p>
    <w:p>
      <w:pPr>
        <w:pStyle w:val="BodyText"/>
        <w:widowControl/>
      </w:pPr>
      <w:r>
        <w:t xml:space="preserve">Admissibility vs permission (Normative clarification). Admissibility is a structural property determined by the cascade gates. Permission is a separate authorization act performed by an entity with appropriate authority. Compliance is a documentation property. A run that passes the cascade is admissible. An admissible run may still require permission, lawful authority, governance review, or domain-specific licensing before execution. A permitted run is not, by virtue of permission alone, admissible. RippleLogic determines admissibility; it does not grant permission, certify compliance, or substitute for lawful authority.</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Claim type</w:t>
            </w:r>
          </w:p>
        </w:tc>
        <w:tc>
          <w:tcPr>
            <w:shd w:fill="1F4E78" w:val="clear"/>
            <w:tcMar>
              <w:top w:w="80" w:type="dxa"/>
              <w:start w:w="90" w:type="dxa"/>
              <w:bottom w:w="80" w:type="dxa"/>
              <w:end w:w="90" w:type="dxa"/>
            </w:tcMar>
          </w:tcPr>
          <w:p>
            <w:pPr>
              <w:pStyle w:val="Compact"/>
              <w:jc w:val="left"/>
            </w:pPr>
            <w:r>
              <w:rPr>
                <w:b/>
                <w:bCs/>
                <w:color w:val="FFFFFF"/>
              </w:rPr>
              <w:t xml:space="preserve">Status in v12.5</w:t>
            </w:r>
          </w:p>
        </w:tc>
        <w:tc>
          <w:tcPr>
            <w:shd w:fill="1F4E78" w:val="clear"/>
            <w:tcMar>
              <w:top w:w="80" w:type="dxa"/>
              <w:start w:w="90" w:type="dxa"/>
              <w:bottom w:w="80" w:type="dxa"/>
              <w:end w:w="90" w:type="dxa"/>
            </w:tcMar>
          </w:tcPr>
          <w:p>
            <w:pPr>
              <w:pStyle w:val="Compact"/>
              <w:jc w:val="left"/>
            </w:pPr>
            <w:r>
              <w:rPr>
                <w:b/>
                <w:bCs/>
                <w:color w:val="FFFFFF"/>
              </w:rPr>
              <w:t xml:space="preserve">Required condition</w:t>
            </w:r>
          </w:p>
        </w:tc>
      </w:tr>
      <w:tr>
        <w:trPr/>
        <w:tc>
          <w:tcPr>
            <w:tcMar>
              <w:top w:w="80" w:type="dxa"/>
              <w:start w:w="90" w:type="dxa"/>
              <w:bottom w:w="80" w:type="dxa"/>
              <w:end w:w="90" w:type="dxa"/>
            </w:tcMar>
            <w:shd w:fill="F7FBFF" w:val="clear"/>
          </w:tcPr>
          <w:p>
            <w:pPr>
              <w:pStyle w:val="Compact"/>
              <w:jc w:val="left"/>
            </w:pPr>
            <w:r>
              <w:t xml:space="preserve">Tier 1-3 architectural completeness</w:t>
            </w:r>
          </w:p>
        </w:tc>
        <w:tc>
          <w:tcPr>
            <w:tcMar>
              <w:top w:w="80" w:type="dxa"/>
              <w:start w:w="90" w:type="dxa"/>
              <w:bottom w:w="80" w:type="dxa"/>
              <w:end w:w="90" w:type="dxa"/>
            </w:tcMar>
            <w:shd w:fill="F7FBFF" w:val="clear"/>
          </w:tcPr>
          <w:p>
            <w:pPr>
              <w:pStyle w:val="Compact"/>
              <w:jc w:val="left"/>
            </w:pPr>
            <w:r>
              <w:t xml:space="preserve">Claimable</w:t>
            </w:r>
          </w:p>
        </w:tc>
        <w:tc>
          <w:tcPr>
            <w:tcMar>
              <w:top w:w="80" w:type="dxa"/>
              <w:start w:w="90" w:type="dxa"/>
              <w:bottom w:w="80" w:type="dxa"/>
              <w:end w:w="90" w:type="dxa"/>
            </w:tcMar>
            <w:shd w:fill="F7FBFF" w:val="clear"/>
          </w:tcPr>
          <w:p>
            <w:pPr>
              <w:pStyle w:val="Compact"/>
              <w:jc w:val="left"/>
            </w:pPr>
            <w:r>
              <w:t xml:space="preserve">Defined by this canon and appendices for the declared release scope.</w:t>
            </w:r>
          </w:p>
        </w:tc>
      </w:tr>
      <w:tr>
        <w:trPr/>
        <w:tc>
          <w:tcPr>
            <w:tcMar>
              <w:top w:w="80" w:type="dxa"/>
              <w:start w:w="90" w:type="dxa"/>
              <w:bottom w:w="80" w:type="dxa"/>
              <w:end w:w="90" w:type="dxa"/>
            </w:tcMar>
            <w:shd w:fill="D9EAF7" w:val="clear"/>
          </w:tcPr>
          <w:p>
            <w:pPr>
              <w:pStyle w:val="Compact"/>
              <w:jc w:val="left"/>
            </w:pPr>
            <w:r>
              <w:t xml:space="preserve">Tier 3 run-level conformance</w:t>
            </w:r>
          </w:p>
        </w:tc>
        <w:tc>
          <w:tcPr>
            <w:tcMar>
              <w:top w:w="80" w:type="dxa"/>
              <w:start w:w="90" w:type="dxa"/>
              <w:bottom w:w="80" w:type="dxa"/>
              <w:end w:w="90" w:type="dxa"/>
            </w:tcMar>
            <w:shd w:fill="D9EAF7" w:val="clear"/>
          </w:tcPr>
          <w:p>
            <w:pPr>
              <w:pStyle w:val="Compact"/>
              <w:jc w:val="left"/>
            </w:pPr>
            <w:r>
              <w:t xml:space="preserve">Claimable</w:t>
            </w:r>
          </w:p>
        </w:tc>
        <w:tc>
          <w:tcPr>
            <w:tcMar>
              <w:top w:w="80" w:type="dxa"/>
              <w:start w:w="90" w:type="dxa"/>
              <w:bottom w:w="80" w:type="dxa"/>
              <w:end w:w="90" w:type="dxa"/>
            </w:tcMar>
            <w:shd w:fill="D9EAF7" w:val="clear"/>
          </w:tcPr>
          <w:p>
            <w:pPr>
              <w:pStyle w:val="Compact"/>
              <w:jc w:val="left"/>
            </w:pPr>
            <w:r>
              <w:t xml:space="preserve">Run declares required inputs, satisfies tier minima, and emits a valid PCC.</w:t>
            </w:r>
          </w:p>
        </w:tc>
      </w:tr>
      <w:tr>
        <w:trPr/>
        <w:tc>
          <w:tcPr>
            <w:tcMar>
              <w:top w:w="80" w:type="dxa"/>
              <w:start w:w="90" w:type="dxa"/>
              <w:bottom w:w="80" w:type="dxa"/>
              <w:end w:w="90" w:type="dxa"/>
            </w:tcMar>
            <w:shd w:fill="F7FBFF" w:val="clear"/>
          </w:tcPr>
          <w:p>
            <w:pPr>
              <w:pStyle w:val="Compact"/>
              <w:jc w:val="left"/>
            </w:pPr>
            <w:r>
              <w:t xml:space="preserve">Framework-level empirical operational-readiness</w:t>
            </w:r>
          </w:p>
        </w:tc>
        <w:tc>
          <w:tcPr>
            <w:tcMar>
              <w:top w:w="80" w:type="dxa"/>
              <w:start w:w="90" w:type="dxa"/>
              <w:bottom w:w="80" w:type="dxa"/>
              <w:end w:w="90" w:type="dxa"/>
            </w:tcMar>
            <w:shd w:fill="F7FBFF" w:val="clear"/>
          </w:tcPr>
          <w:p>
            <w:pPr>
              <w:pStyle w:val="Compact"/>
              <w:jc w:val="left"/>
            </w:pPr>
            <w:r>
              <w:t xml:space="preserve">Not yet claimable</w:t>
            </w:r>
          </w:p>
        </w:tc>
        <w:tc>
          <w:tcPr>
            <w:tcMar>
              <w:top w:w="80" w:type="dxa"/>
              <w:start w:w="90" w:type="dxa"/>
              <w:bottom w:w="80" w:type="dxa"/>
              <w:end w:w="90" w:type="dxa"/>
            </w:tcMar>
            <w:shd w:fill="F7FBFF" w:val="clear"/>
          </w:tcPr>
          <w:p>
            <w:pPr>
              <w:pStyle w:val="Compact"/>
              <w:jc w:val="left"/>
            </w:pPr>
            <w:r>
              <w:t xml:space="preserve">Requires empirical validation progress, including UCI measurement maturity and related evidence.</w:t>
            </w:r>
          </w:p>
        </w:tc>
      </w:tr>
      <w:tr>
        <w:trPr/>
        <w:tc>
          <w:tcPr>
            <w:tcMar>
              <w:top w:w="80" w:type="dxa"/>
              <w:start w:w="90" w:type="dxa"/>
              <w:bottom w:w="80" w:type="dxa"/>
              <w:end w:w="90" w:type="dxa"/>
            </w:tcMar>
            <w:shd w:fill="D9EAF7" w:val="clear"/>
          </w:tcPr>
          <w:p>
            <w:pPr>
              <w:pStyle w:val="Compact"/>
              <w:jc w:val="left"/>
            </w:pPr>
            <w:r>
              <w:t xml:space="preserve">Machine-verifiable ecosystem completeness</w:t>
            </w:r>
          </w:p>
        </w:tc>
        <w:tc>
          <w:tcPr>
            <w:tcMar>
              <w:top w:w="80" w:type="dxa"/>
              <w:start w:w="90" w:type="dxa"/>
              <w:bottom w:w="80" w:type="dxa"/>
              <w:end w:w="90" w:type="dxa"/>
            </w:tcMar>
            <w:shd w:fill="D9EAF7" w:val="clear"/>
          </w:tcPr>
          <w:p>
            <w:pPr>
              <w:pStyle w:val="Compact"/>
              <w:jc w:val="left"/>
            </w:pPr>
            <w:r>
              <w:t xml:space="preserve">Not yet claimable</w:t>
            </w:r>
          </w:p>
        </w:tc>
        <w:tc>
          <w:tcPr>
            <w:tcMar>
              <w:top w:w="80" w:type="dxa"/>
              <w:start w:w="90" w:type="dxa"/>
              <w:bottom w:w="80" w:type="dxa"/>
              <w:end w:w="90" w:type="dxa"/>
            </w:tcMar>
            <w:shd w:fill="D9EAF7" w:val="clear"/>
          </w:tcPr>
          <w:p>
            <w:pPr>
              <w:pStyle w:val="Compact"/>
              <w:jc w:val="left"/>
            </w:pPr>
            <w:r>
              <w:t xml:space="preserve">Requires companion validator, schema, reference-calculator / registry surfaces, or equivalent ProofPack assets.</w:t>
            </w:r>
          </w:p>
        </w:tc>
      </w:tr>
      <w:tr>
        <w:trPr/>
        <w:tc>
          <w:tcPr>
            <w:tcMar>
              <w:top w:w="80" w:type="dxa"/>
              <w:start w:w="90" w:type="dxa"/>
              <w:bottom w:w="80" w:type="dxa"/>
              <w:end w:w="90" w:type="dxa"/>
            </w:tcMar>
            <w:shd w:fill="F7FBFF" w:val="clear"/>
          </w:tcPr>
          <w:p>
            <w:pPr>
              <w:pStyle w:val="Compact"/>
              <w:jc w:val="left"/>
            </w:pPr>
            <w:r>
              <w:t xml:space="preserve">Tier 4 compliance</w:t>
            </w:r>
          </w:p>
        </w:tc>
        <w:tc>
          <w:tcPr>
            <w:tcMar>
              <w:top w:w="80" w:type="dxa"/>
              <w:start w:w="90" w:type="dxa"/>
              <w:bottom w:w="80" w:type="dxa"/>
              <w:end w:w="90" w:type="dxa"/>
            </w:tcMar>
            <w:shd w:fill="F7FBFF" w:val="clear"/>
          </w:tcPr>
          <w:p>
            <w:pPr>
              <w:pStyle w:val="Compact"/>
              <w:jc w:val="left"/>
            </w:pPr>
            <w:r>
              <w:t xml:space="preserve">Prohibited</w:t>
            </w:r>
          </w:p>
        </w:tc>
        <w:tc>
          <w:tcPr>
            <w:tcMar>
              <w:top w:w="80" w:type="dxa"/>
              <w:start w:w="90" w:type="dxa"/>
              <w:bottom w:w="80" w:type="dxa"/>
              <w:end w:w="90" w:type="dxa"/>
            </w:tcMar>
            <w:shd w:fill="F7FBFF" w:val="clear"/>
          </w:tcPr>
          <w:p>
            <w:pPr>
              <w:pStyle w:val="Compact"/>
              <w:jc w:val="left"/>
            </w:pPr>
            <w:r>
              <w:t xml:space="preserve">No Tier-4 claim until ProofPack is publicly replayable and independently verified.</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Cross-domain calibrated or validated UCI</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Prohibited</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Requires a published UCI Measurement Annex with named instruments, normalization rules, structural-independence evidence, and IRR data.</w:t>
            </w:r>
          </w:p>
        </w:tc>
      </w:tr>
    </w:tbl>
    <w:p>
      <w:pPr>
        <w:pStyle w:val="BodyText"/>
        <w:widowControl/>
      </w:pPr>
      <w:r>
        <w:t xml:space="preserve">Decision-state summary (Normative shorthand).</w:t>
      </w:r>
    </w:p>
    <w:p>
      <w:pPr>
        <w:pStyle w:val="BodyText"/>
        <w:widowControl/>
      </w:pPr>
      <w:r>
        <w:t xml:space="preserve">RippleLogic uses five distinct decision states that implementations MUST NOT collapse.</w:t>
      </w:r>
    </w:p>
    <w:p>
      <w:pPr>
        <w:pStyle w:val="BodyText"/>
        <w:widowControl/>
      </w:pPr>
      <w:r>
        <w:t xml:space="preserve">Rights-admissible = passes NCRC.</w:t>
      </w:r>
    </w:p>
    <w:p>
      <w:pPr>
        <w:pStyle w:val="BodyText"/>
        <w:widowControl/>
      </w:pPr>
      <w:r>
        <w:t xml:space="preserve">Admissible = option has</w:t>
      </w:r>
      <w:r>
        <w:t xml:space="preserve"> </w:t>
      </w:r>
      <w:r>
        <w:rPr>
          <w:rStyle w:val="VerbatimChar"/>
        </w:rPr>
        <w:t xml:space="preserve">RG_status</w:t>
      </w:r>
      <w:r>
        <w:t xml:space="preserve"> </w:t>
      </w:r>
      <w:r>
        <w:t xml:space="preserve">in {</w:t>
      </w:r>
      <w:r>
        <w:rPr>
          <w:rStyle w:val="VerbatimChar"/>
        </w:rPr>
        <w:t xml:space="preserve">RG_SUPPORTED</w:t>
      </w:r>
      <w:r>
        <w:t xml:space="preserve">,</w:t>
      </w:r>
      <w:r>
        <w:t xml:space="preserve"> </w:t>
      </w:r>
      <w:r>
        <w:rPr>
          <w:rStyle w:val="VerbatimChar"/>
        </w:rPr>
        <w:t xml:space="preserve">RG_NARROWED</w:t>
      </w:r>
      <w:r>
        <w:t xml:space="preserve">}, passes NCRC, and has</w:t>
      </w:r>
      <w:r>
        <w:t xml:space="preserve"> </w:t>
      </w:r>
      <w:r>
        <w:rPr>
          <w:rStyle w:val="VerbatimChar"/>
        </w:rPr>
        <w:t xml:space="preserve">TRC_status</w:t>
      </w:r>
      <w:r>
        <w:t xml:space="preserve"> </w:t>
      </w:r>
      <w:r>
        <w:t xml:space="preserve">in {</w:t>
      </w:r>
      <w:r>
        <w:rPr>
          <w:rStyle w:val="VerbatimChar"/>
        </w:rPr>
        <w:t xml:space="preserve">TRC_PASS</w:t>
      </w:r>
      <w:r>
        <w:t xml:space="preserve">,</w:t>
      </w:r>
      <w:r>
        <w:t xml:space="preserve"> </w:t>
      </w:r>
      <w:r>
        <w:rPr>
          <w:rStyle w:val="VerbatimChar"/>
        </w:rPr>
        <w:t xml:space="preserve">TRC_NOT_TRIGGERED</w:t>
      </w:r>
      <w:r>
        <w:t xml:space="preserve">}. The term does not imply execution authority.</w:t>
      </w:r>
    </w:p>
    <w:p>
      <w:pPr>
        <w:pStyle w:val="BodyText"/>
        <w:widowControl/>
      </w:pPr>
      <w:r>
        <w:t xml:space="preserve">Selectable = admissible and has CSV status in {</w:t>
      </w:r>
      <w:r>
        <w:rPr>
          <w:rStyle w:val="VerbatimChar"/>
        </w:rPr>
        <w:t xml:space="preserve">CSV_PASS</w:t>
      </w:r>
      <w:r>
        <w:t xml:space="preserve">,</w:t>
      </w:r>
      <w:r>
        <w:t xml:space="preserve"> </w:t>
      </w:r>
      <w:r>
        <w:rPr>
          <w:rStyle w:val="VerbatimChar"/>
        </w:rPr>
        <w:t xml:space="preserve">CSV_PASS_WITH_CONTROLS</w:t>
      </w:r>
      <w:r>
        <w:t xml:space="preserve">,</w:t>
      </w:r>
      <w:r>
        <w:t xml:space="preserve"> </w:t>
      </w:r>
      <w:r>
        <w:rPr>
          <w:rStyle w:val="VerbatimChar"/>
        </w:rPr>
        <w:t xml:space="preserve">CSV_NOT_MATERIAL</w:t>
      </w:r>
      <w:r>
        <w:t xml:space="preserve">}.</w:t>
      </w:r>
    </w:p>
    <w:p>
      <w:pPr>
        <w:pStyle w:val="BodyText"/>
        <w:widowControl/>
      </w:pPr>
      <w:r>
        <w:t xml:space="preserve">Selected = chosen from the selectable set after RLS, tie-break, and any required escalation disposition.</w:t>
      </w:r>
    </w:p>
    <w:p>
      <w:pPr>
        <w:pStyle w:val="BodyText"/>
        <w:widowControl/>
      </w:pPr>
      <w:r>
        <w:t xml:space="preserve">Refusal = the framework cannot uniquely determine the applicable admissibility or selection state from declared inputs, evidence, projection rules, or layer commitments.</w:t>
      </w:r>
    </w:p>
    <w:p>
      <w:pPr>
        <w:pStyle w:val="BodyText"/>
        <w:widowControl/>
      </w:pPr>
      <w:r>
        <w:t xml:space="preserve">A later state MUST NOT be used to infer an earlier one, and no downstream score may rescue failure at an earlier state. Refusal MUST NOT be silently converted into gate failure, gate success, RLS tie-break, or discretionary selection. Refusal means the run lacks sufficient determination for the claim being attempted.</w:t>
      </w:r>
    </w:p>
    <w:p>
      <w:pPr>
        <w:pStyle w:val="BodyText"/>
        <w:widowControl/>
      </w:pPr>
      <w:r>
        <w:t xml:space="preserve">Execution Stability Diagnostic (carried-forward v10.8 clarification through v12.0). Execution stability is not a sixth decision state and not a replacement gate. It is a required diagnostic surface for Tier 2 and Tier 3 consequence-bearing execution, and recommended for medium- or high-stakes Tier 1 runs. It classifies the transition after hard admissibility and containment checks but before consequence-bearing execution. The diagnostic cannot rescue a failure at NCRC, TRC, or CSV, cannot convert Refusal into permission, and cannot use local stability to justify domination, rights infringement, or biosphere degradation.</w:t>
      </w:r>
    </w:p>
    <w:p>
      <w:pPr>
        <w:pStyle w:val="BodyText"/>
        <w:widowControl/>
      </w:pPr>
      <w:r>
        <w:t xml:space="preserve">CORE ARTIFACT ROLE MAP (release-line orientation)</w:t>
      </w:r>
    </w:p>
    <w:p>
      <w:pPr>
        <w:pStyle w:val="BodyText"/>
        <w:widowControl/>
      </w:pPr>
      <w:r>
        <w:t xml:space="preserve">- RippleLogic_v12.5_Canon.md: canonical repository text source and normative source of truth for this release line.</w:t>
      </w:r>
    </w:p>
    <w:p>
      <w:pPr>
        <w:pStyle w:val="BodyText"/>
        <w:widowControl/>
      </w:pPr>
      <w:r>
        <w:t xml:space="preserve">- RippleLogic_v12.5_Canon.docx: synchronized human-readable publication rendering of the Markdown source. It is hash-identified in the release manifest, but it does not outrank the Markdown source if the two diverge.</w:t>
      </w:r>
    </w:p>
    <w:p>
      <w:pPr>
        <w:pStyle w:val="BodyText"/>
        <w:widowControl/>
      </w:pPr>
      <w:r>
        <w:t xml:space="preserve">- SGP v8.4: companion moral-patienthood, protection, participation, capacity, and power-readiness protocol. It is authoritative for MPS, FPP, GPR, SPR, optional ICP, RMCP, open P100 calibration, target and identity/collective boundaries, evidence-dependence controls, precaution, governed review, and classification-stability cautions. RippleLogic consumes only typed SGP outputs through Appendix G and MUST NOT define or recompute SGP internals.</w:t>
      </w:r>
    </w:p>
    <w:p>
      <w:pPr>
        <w:pStyle w:val="BodyText"/>
        <w:widowControl/>
      </w:pPr>
      <w:r>
        <w:t xml:space="preserve">SGP split-roadmap boundary (Informative but release-controlling for interpretation).</w:t>
      </w:r>
    </w:p>
    <w:p>
      <w:pPr>
        <w:pStyle w:val="BodyText"/>
        <w:widowControl/>
      </w:pPr>
      <w:r>
        <w:t xml:space="preserve">SGP v8.4 separates moral patienthood, full protection, governance participation, stewardship/power readiness, intelligence, and reality-management capacity as first-class outputs. RippleLogic v12.5 consumes only the pinned v8.4 interface and MUST NOT infer sentience, intrinsic moral worth, governance authority, voting weight, office eligibility, CMIU membership, or stewardship power from RMCP/P100, MPS, or FPP.</w:t>
      </w:r>
    </w:p>
    <w:p>
      <w:pPr>
        <w:pStyle w:val="BodyText"/>
        <w:widowControl/>
      </w:pPr>
      <w:r>
        <w:t xml:space="preserve">This roadmap note does not change the v12.5 SGP v8.4 binding interface. It prevents over-reading any MPS band or interval as a consciousness probability or cardinal moral-worth score, and prevents over-reading RMCP/P100 as species supremacy, wisdom, or governance authority.</w:t>
      </w:r>
    </w:p>
    <w:p>
      <w:pPr>
        <w:pStyle w:val="BodyText"/>
        <w:widowControl/>
      </w:pPr>
      <w:r>
        <w:t xml:space="preserve">- ripple.md v5.4: portable alignment contract and assurance wrapper for implementations and deployments, including the wrapped-run ExecutionStabilityRecord field for high-stakes consequence-bearing episodes.</w:t>
      </w:r>
    </w:p>
    <w:p>
      <w:pPr>
        <w:pStyle w:val="BodyText"/>
        <w:widowControl/>
      </w:pPr>
      <w:r>
        <w:t xml:space="preserve">- RippleLogic Agent System v12.3: deployment/control specification for agentic implementations under the current pinned companion line unless and until a later synchronized agent-system release is promoted.</w:t>
      </w:r>
    </w:p>
    <w:p>
      <w:pPr>
        <w:pStyle w:val="BodyText"/>
        <w:widowControl/>
      </w:pPr>
      <w:r>
        <w:t xml:space="preserve">- Ripple Aligners Sheet v5.5: worked-run exemplar companion for replay, disclosure, and training, including the ExecutionStability sheet; not the repository-level validator or schema surface.</w:t>
      </w:r>
    </w:p>
    <w:p>
      <w:pPr>
        <w:pStyle w:val="BodyText"/>
        <w:widowControl/>
      </w:pPr>
      <w:r>
        <w:t xml:space="preserve">- Machine-verifiable ecosystem completeness requires additional companion surfaces when claimed, including validator / schema / reference-calculator / registry artifacts or ProofPack assets beyond this core canon line.</w:t>
      </w:r>
    </w:p>
    <w:p>
      <w:pPr>
        <w:pStyle w:val="Compact"/>
        <w:widowControl/>
        <w:numPr>
          <w:ilvl w:val="0"/>
          <w:numId w:val="1415"/>
        </w:numPr>
      </w:pPr>
      <w:r>
        <w:t xml:space="preserve">Companion v8.4 interface note: RippleLogic treats MPS band/interval, FPP, GPR, SPR, optional ICP, and RMCP/P100 as separate pinned outputs. MPS records control protection posture and the required welfare-inclusion hypothesis sensitivity; they are not cardinal welfare multipliers. FPP controls non-downgrade protection; GPR and SPR remain role-specific; RMCP/P100 remain informative capacity-calibration outputs. No SGP output may weaken admissibility under NCRC, TRC, or CSV, and no legacy v7 scalar may be silently translated.</w:t>
      </w:r>
    </w:p>
    <w:bookmarkStart w:id="633" w:name="X1b28f537ed9291cc1e3b28165d9b5a572dee36f"/>
    <w:p>
      <w:pPr>
        <w:pStyle w:val="Heading2"/>
        <w:keepNext/>
        <w:keepLines/>
        <w:pageBreakBefore w:val="0"/>
        <w:widowControl/>
      </w:pPr>
      <w:r>
        <w:rPr>
          <w:rFonts w:ascii="Arial" w:hAnsi="Arial" w:eastAsia="Arial"/>
          <w:b/>
          <w:color w:val="1F4E78"/>
        </w:rPr>
        <w:t xml:space="preserve">AC.1 Specification Contract (moved from front matter in v10.4)</w:t>
      </w:r>
    </w:p>
    <w:bookmarkEnd w:id="633"/>
    <w:bookmarkEnd w:id="634"/>
    <w:bookmarkStart w:id="643" w:name="X97681a37ec4724d14ab1ee84ab176146f0cd452"/>
    <w:p>
      <w:pPr>
        <w:pStyle w:val="Heading1"/>
        <w:keepNext/>
        <w:keepLines/>
        <w:pageBreakBefore w:val="0"/>
        <w:widowControl/>
      </w:pPr>
      <w:r>
        <w:rPr>
          <w:rFonts w:ascii="Arial" w:hAnsi="Arial" w:eastAsia="Arial"/>
          <w:b/>
          <w:color w:val="1F4E78"/>
        </w:rPr>
        <w:t xml:space="preserve">SECTION 0: SPECIFICATION CONTRACT (NORMATIVE)</w:t>
      </w:r>
    </w:p>
    <w:bookmarkStart w:id="635" w:name="X70ead11954ebceb378fca9a2d404a85afa51364"/>
    <w:p>
      <w:pPr>
        <w:pStyle w:val="Heading2"/>
        <w:keepNext/>
        <w:keepLines/>
        <w:pageBreakBefore w:val="0"/>
        <w:widowControl/>
      </w:pPr>
      <w:r>
        <w:rPr>
          <w:rFonts w:ascii="Arial" w:hAnsi="Arial" w:eastAsia="Arial"/>
          <w:b/>
          <w:color w:val="1F4E78"/>
        </w:rPr>
        <w:t xml:space="preserve">0.1 Normative hierarchy (Single Source of Truth)</w:t>
      </w:r>
    </w:p>
    <w:p>
      <w:pPr>
        <w:pStyle w:val="FirstParagraph"/>
        <w:widowControl/>
      </w:pPr>
      <w:r>
        <w:t xml:space="preserve">When interpreting RippleLogic v12.5, conflicts MUST be resolved using this precedence order (highest controls lowest):</w:t>
      </w:r>
    </w:p>
    <w:p>
      <w:pPr>
        <w:widowControl/>
        <w:numPr>
          <w:ilvl w:val="0"/>
          <w:numId w:val="1416"/>
        </w:numPr>
      </w:pPr>
      <w:r>
        <w:t>Main text rules explicitly labeled MUST, SHALL, or PROHIBITED</w:t>
      </w:r>
    </w:p>
    <w:p>
      <w:pPr>
        <w:widowControl/>
        <w:numPr>
          <w:ilvl w:val="0"/>
          <w:numId w:val="1416"/>
        </w:numPr>
      </w:pPr>
      <w:r>
        <w:t>Appendix B (Canonical Equations)</w:t>
      </w:r>
    </w:p>
    <w:p>
      <w:pPr>
        <w:widowControl/>
        <w:numPr>
          <w:ilvl w:val="0"/>
          <w:numId w:val="1416"/>
        </w:numPr>
      </w:pPr>
      <w:r>
        <w:t>Appendix C (Rights / NCRC Canon Pack)</w:t>
      </w:r>
    </w:p>
    <w:p>
      <w:pPr>
        <w:widowControl/>
        <w:numPr>
          <w:ilvl w:val="0"/>
          <w:numId w:val="1416"/>
        </w:numPr>
      </w:pPr>
      <w:r>
        <w:t>Appendix D (TRC and Scenario Governance Canon Pack)</w:t>
      </w:r>
    </w:p>
    <w:p>
      <w:pPr>
        <w:widowControl/>
        <w:numPr>
          <w:ilvl w:val="0"/>
          <w:numId w:val="1416"/>
        </w:numPr>
      </w:pPr>
      <w:r>
        <w:t>Appendix H (PCC and Audit Flags Canon Pack)</w:t>
      </w:r>
    </w:p>
    <w:p>
      <w:pPr>
        <w:widowControl/>
        <w:numPr>
          <w:ilvl w:val="0"/>
          <w:numId w:val="1416"/>
        </w:numPr>
      </w:pPr>
      <w:r>
        <w:t>Appendix AG (v10.8 Reality Grounding and Lean Cascade Patch)</w:t>
      </w:r>
    </w:p>
    <w:p>
      <w:pPr>
        <w:widowControl/>
        <w:numPr>
          <w:ilvl w:val="0"/>
          <w:numId w:val="1416"/>
        </w:numPr>
      </w:pPr>
      <w:r>
        <w:t>Appendix AH (Category Grounding and Primitive Audit Protocol)</w:t>
      </w:r>
    </w:p>
    <w:p>
      <w:pPr>
        <w:widowControl/>
        <w:numPr>
          <w:ilvl w:val="0"/>
          <w:numId w:val="1416"/>
        </w:numPr>
      </w:pPr>
      <w:r>
        <w:t>Appendix AI (Term Discrimination and Semantic Stability Protocol)</w:t>
      </w:r>
    </w:p>
    <w:p>
      <w:pPr>
        <w:widowControl/>
        <w:numPr>
          <w:ilvl w:val="0"/>
          <w:numId w:val="1416"/>
        </w:numPr>
      </w:pPr>
      <w:r>
        <w:t>Appendix AJ (Public Release Hardening Addendum)</w:t>
      </w:r>
    </w:p>
    <w:p>
      <w:pPr>
        <w:widowControl/>
        <w:numPr>
          <w:ilvl w:val="0"/>
          <w:numId w:val="1416"/>
        </w:numPr>
      </w:pPr>
      <w:r>
        <w:t>Appendix AK (Computability vs Realizability Bridge)</w:t>
      </w:r>
    </w:p>
    <w:p>
      <w:pPr>
        <w:widowControl/>
        <w:numPr>
          <w:ilvl w:val="0"/>
          <w:numId w:val="1416"/>
        </w:numPr>
      </w:pPr>
      <w:r>
        <w:t>Appendix AL (Source-Coupling Integrity and Generative-Source Traceability)</w:t>
      </w:r>
    </w:p>
    <w:p>
      <w:pPr>
        <w:widowControl/>
        <w:numPr>
          <w:ilvl w:val="0"/>
          <w:numId w:val="1416"/>
        </w:numPr>
      </w:pPr>
      <w:r>
        <w:t>Appendix AM (Physical/Causal Admissibility Evidence Profile)</w:t>
      </w:r>
    </w:p>
    <w:p>
      <w:pPr>
        <w:widowControl/>
        <w:numPr>
          <w:ilvl w:val="0"/>
          <w:numId w:val="1416"/>
        </w:numPr>
      </w:pPr>
      <w:r>
        <w:t>Appendix AN (Methodological Falsifiability and Dependency Integrity Standard)</w:t>
      </w:r>
    </w:p>
    <w:p>
      <w:pPr>
        <w:widowControl/>
        <w:numPr>
          <w:ilvl w:val="0"/>
          <w:numId w:val="1416"/>
        </w:numPr>
      </w:pPr>
      <w:r>
        <w:t>Appendix AO (Physical Execution Boundary)</w:t>
      </w:r>
    </w:p>
    <w:p>
      <w:pPr>
        <w:widowControl/>
        <w:numPr>
          <w:ilvl w:val="0"/>
          <w:numId w:val="1416"/>
        </w:numPr>
      </w:pPr>
      <w:r>
        <w:t>Appendix T (Execution Stability Diagnostic)</w:t>
      </w:r>
    </w:p>
    <w:p>
      <w:pPr>
        <w:widowControl/>
        <w:numPr>
          <w:ilvl w:val="0"/>
          <w:numId w:val="1416"/>
        </w:numPr>
      </w:pPr>
      <w:r>
        <w:t>Appendix U (Transition Admissibility and Evidence Substrate)</w:t>
      </w:r>
    </w:p>
    <w:p>
      <w:pPr>
        <w:widowControl/>
        <w:numPr>
          <w:ilvl w:val="0"/>
          <w:numId w:val="1416"/>
        </w:numPr>
      </w:pPr>
      <w:r>
        <w:t>Appendix AE (Layer-Discipline, Falsification, and Adaptive Reserve Addendum)</w:t>
      </w:r>
    </w:p>
    <w:p>
      <w:pPr>
        <w:widowControl/>
        <w:numPr>
          <w:ilvl w:val="0"/>
          <w:numId w:val="1416"/>
        </w:numPr>
      </w:pPr>
      <w:r>
        <w:t>Appendix AF (Decision Verdict Semantics, Projection Freeze, Closure Status, Falsification Classes, and Authority-Selection Separation)</w:t>
      </w:r>
    </w:p>
    <w:p>
      <w:pPr>
        <w:widowControl/>
        <w:numPr>
          <w:ilvl w:val="0"/>
          <w:numId w:val="1416"/>
        </w:numPr>
      </w:pPr>
      <w:r>
        <w:t>Appendix A (Symbols, Domains, and Notation Canon)</w:t>
      </w:r>
    </w:p>
    <w:p>
      <w:pPr>
        <w:widowControl/>
        <w:numPr>
          <w:ilvl w:val="0"/>
          <w:numId w:val="1416"/>
        </w:numPr>
      </w:pPr>
      <w:r>
        <w:t>Appendix E (UCI Interface and Tier-3 Construction Guidance)</w:t>
      </w:r>
    </w:p>
    <w:p>
      <w:pPr>
        <w:widowControl/>
        <w:numPr>
          <w:ilvl w:val="0"/>
          <w:numId w:val="1416"/>
        </w:numPr>
      </w:pPr>
      <w:r>
        <w:t>Appendix G (SGP Integration Binding Interface)</w:t>
      </w:r>
    </w:p>
    <w:p>
      <w:pPr>
        <w:widowControl/>
        <w:numPr>
          <w:ilvl w:val="0"/>
          <w:numId w:val="1416"/>
        </w:numPr>
      </w:pPr>
      <w:r>
        <w:t>Appendix R (Tier 1-3 Reference Test Vectors)</w:t>
      </w:r>
    </w:p>
    <w:p>
      <w:pPr>
        <w:widowControl/>
        <w:numPr>
          <w:ilvl w:val="0"/>
          <w:numId w:val="1416"/>
        </w:numPr>
      </w:pPr>
      <w:r>
        <w:t>Appendix V (Measurement Maturity and Deployment Context Hardening)</w:t>
      </w:r>
    </w:p>
    <w:p>
      <w:pPr>
        <w:widowControl/>
        <w:numPr>
          <w:ilvl w:val="0"/>
          <w:numId w:val="1416"/>
        </w:numPr>
      </w:pPr>
      <w:r>
        <w:t>Appendix W (Schema Ownership, Registries, and Machine-Verifiable Surfaces)</w:t>
      </w:r>
    </w:p>
    <w:p>
      <w:pPr>
        <w:widowControl/>
        <w:numPr>
          <w:ilvl w:val="0"/>
          <w:numId w:val="1416"/>
        </w:numPr>
      </w:pPr>
      <w:r>
        <w:t>Appendix X (Reference Calculator, Machine Vectors, and ProofPack-Prep Roadmap)</w:t>
      </w:r>
    </w:p>
    <w:p>
      <w:pPr>
        <w:widowControl/>
        <w:numPr>
          <w:ilvl w:val="0"/>
          <w:numId w:val="1416"/>
        </w:numPr>
      </w:pPr>
      <w:r>
        <w:t>Appendix Y (Precision Patch: Legitimacy, Evidence Status, Validation, and Adoption Profiles)</w:t>
      </w:r>
    </w:p>
    <w:p>
      <w:pPr>
        <w:widowControl/>
        <w:numPr>
          <w:ilvl w:val="0"/>
          <w:numId w:val="1416"/>
        </w:numPr>
      </w:pPr>
      <w:r>
        <w:t>Appendix Z (Integration-Hardening Addendum)</w:t>
      </w:r>
    </w:p>
    <w:p>
      <w:pPr>
        <w:widowControl/>
        <w:numPr>
          <w:ilvl w:val="0"/>
          <w:numId w:val="1416"/>
        </w:numPr>
      </w:pPr>
      <w:r>
        <w:t>Appendix AA (Package-Content Boundary and Tooling-Line Separation)</w:t>
      </w:r>
    </w:p>
    <w:p>
      <w:pPr>
        <w:widowControl/>
        <w:numPr>
          <w:ilvl w:val="0"/>
          <w:numId w:val="1416"/>
        </w:numPr>
      </w:pPr>
      <w:r>
        <w:t>Appendix AB (Reference Structure Protocol)</w:t>
      </w:r>
    </w:p>
    <w:p>
      <w:pPr>
        <w:widowControl/>
        <w:numPr>
          <w:ilvl w:val="0"/>
          <w:numId w:val="1416"/>
        </w:numPr>
      </w:pPr>
      <w:r>
        <w:t>Appendix N (Stewardship Pack Canon)</w:t>
      </w:r>
    </w:p>
    <w:p>
      <w:pPr>
        <w:widowControl/>
        <w:numPr>
          <w:ilvl w:val="0"/>
          <w:numId w:val="1416"/>
        </w:numPr>
      </w:pPr>
      <w:r>
        <w:t>Appendix F (Failure Modes and Anti-Gaming Controls)</w:t>
      </w:r>
    </w:p>
    <w:p>
      <w:pPr>
        <w:widowControl/>
        <w:numPr>
          <w:ilvl w:val="0"/>
          <w:numId w:val="1416"/>
        </w:numPr>
      </w:pPr>
      <w:r>
        <w:t>Appendix J (Pre-Registration Templates and Scoring Definitions)</w:t>
      </w:r>
    </w:p>
    <w:p>
      <w:pPr>
        <w:widowControl/>
        <w:numPr>
          <w:ilvl w:val="0"/>
          <w:numId w:val="1416"/>
        </w:numPr>
      </w:pPr>
      <w:r>
        <w:t>Appendix AD (49-Cell Welfare Dictionary): canonical interpretive reference for cell meanings, scoring language, and reviewer checks. Subordinate to Appendix B equations and to all normative gates; governs scoring interpretation and reviewer literacy only. It does not control admissibility, thresholds, or claim boundaries.</w:t>
      </w:r>
    </w:p>
    <w:p>
      <w:pPr>
        <w:pStyle w:val="BodyText"/>
        <w:spacing w:after="80"/>
      </w:pPr>
      <w:r>
        <w:t>Informative appendix status. Appendices P, P-2, Q, and S are worked-example, failure-path, sensitivity, or explanatory surfaces. Appendix AC houses this Specification Contract. These appendices may demonstrate and clarify current rules but do not override the main text or the controlling gate equations in Appendices B-D.</w:t>
      </w:r>
    </w:p>
    <w:p>
      <w:pPr>
        <w:widowControl/>
        <w:numPr>
          <w:ilvl w:val="0"/>
          <w:numId w:val="1416"/>
        </w:numPr>
      </w:pPr>
      <w:r>
        <w:t>Examples, templates, and illustrative values (non-normative; includes Appendix K unless a future version explicitly elevates a named subsection)</w:t>
      </w:r>
    </w:p>
    <w:p>
      <w:pPr>
        <w:widowControl/>
        <w:numPr>
          <w:ilvl w:val="0"/>
          <w:numId w:val="1416"/>
        </w:numPr>
      </w:pPr>
      <w:r>
        <w:t>Appendix O (Conformance Reference Map; informative pointer layer only)</w:t>
      </w:r>
    </w:p>
    <w:p>
      <w:pPr>
        <w:pStyle w:val="FirstParagraph"/>
        <w:widowControl/>
      </w:pPr>
      <w:r>
        <w:t xml:space="preserve">Note (Informative). Version history and release notes are recorded in Appendix M and do not control normative meaning.</w:t>
      </w:r>
    </w:p>
    <w:p>
      <w:pPr>
        <w:pStyle w:val="BodyText"/>
        <w:widowControl/>
      </w:pPr>
      <w:r>
        <w:t xml:space="preserve">Priority-direction note (Normative clarification). Item 1 is the highest controlling authority in this list. Higher-numbered items are subordinate to lower-numbered items. Appendix O is informative and cannot override any normative rule.</w:t>
      </w:r>
    </w:p>
    <w:bookmarkEnd w:id="635"/>
    <w:bookmarkStart w:id="636" w:name="X6fa172263002bf949a936565a943e158d7c9b78"/>
    <w:p>
      <w:pPr>
        <w:pStyle w:val="Heading2"/>
        <w:keepNext/>
        <w:keepLines/>
        <w:pageBreakBefore w:val="0"/>
        <w:widowControl/>
      </w:pPr>
      <w:r>
        <w:rPr>
          <w:rFonts w:ascii="Arial" w:hAnsi="Arial" w:eastAsia="Arial"/>
          <w:b/>
          <w:color w:val="1F4E78"/>
        </w:rPr>
        <w:t>0.2 Tier contract and claims (v12.5 Canon line; Core Release 2026.09 package line) Tier 1-3: source-ready and procedurally reproducible within the declared profile and evidence boundary. Core operating-document pins are Canon v12.5 / SGP v8.4 / ripple.md v5.4 / Agent System v12.3 / Primer v4.3 / Aligners Sheet v5.5 / Cascade Standard v2.5 / CSV Gate Standard v2.3 / Reproducibility Standard v1.3 / WDBIP v1.5 / RLS Validation Protocol v2.5 / Public Introduction v12.5 / PC-AEP v2.2 / MFDI v2.2 / Source-Coupling Integrity Standard v2.2. The complete release inventory, including RLS Validation Workbook v0.3, machine interfaces, schemas, validators, examples, and release-support artifacts, is controlled by VERSION_MANIFEST.yaml and release/release_manifest.yml. Any conformance claim MUST pin the exact release ID, artifact versions, release manifest, and SHA-256 hashes. Tier 4: PROHIBITED to claim in this release (design target only). Any Tier-4 content remains informational architecture describing what becomes claimable only after ProofPack publication and independent replayability.</w:t>
      </w:r>
    </w:p>
    <w:bookmarkEnd w:id="636"/>
    <w:bookmarkStart w:id="637" w:name="X94000eef18cfeb4c3db73648db7bef9859ca124"/>
    <w:p>
      <w:pPr>
        <w:pStyle w:val="Heading2"/>
        <w:keepNext/>
        <w:keepLines/>
        <w:pageBreakBefore w:val="0"/>
        <w:widowControl/>
      </w:pPr>
      <w:r>
        <w:rPr>
          <w:rFonts w:ascii="Arial" w:hAnsi="Arial" w:eastAsia="Arial"/>
          <w:b/>
          <w:color w:val="1F4E78"/>
        </w:rPr>
        <w:t xml:space="preserve">0.3 Conformance vocabulary (Normative) RippleLogic uses distinct predicates; implementations MUST NOT collapse them.</w:t>
      </w:r>
    </w:p>
    <w:p>
      <w:pPr>
        <w:widowControl/>
        <w:numPr>
          <w:ilvl w:val="0"/>
          <w:numId w:val="1417"/>
        </w:numPr>
      </w:pPr>
      <w:r>
        <w:t xml:space="preserve">Rights-admissible: passes NCRC.</w:t>
      </w:r>
    </w:p>
    <w:p>
      <w:pPr>
        <w:widowControl/>
        <w:numPr>
          <w:ilvl w:val="0"/>
          <w:numId w:val="1417"/>
        </w:numPr>
      </w:pPr>
      <w:r>
        <w:t xml:space="preserve">Admissible: the option has</w:t>
      </w:r>
      <w:r>
        <w:t xml:space="preserve"> </w:t>
      </w:r>
      <w:r>
        <w:rPr>
          <w:rStyle w:val="VerbatimChar"/>
        </w:rPr>
        <w:t xml:space="preserve">RG_status</w:t>
      </w:r>
      <w:r>
        <w:t xml:space="preserve"> </w:t>
      </w:r>
      <w:r>
        <w:t xml:space="preserve">in {</w:t>
      </w:r>
      <w:r>
        <w:rPr>
          <w:rStyle w:val="VerbatimChar"/>
        </w:rPr>
        <w:t xml:space="preserve">RG_SUPPORTED</w:t>
      </w:r>
      <w:r>
        <w:t xml:space="preserve">,</w:t>
      </w:r>
      <w:r>
        <w:t xml:space="preserve"> </w:t>
      </w:r>
      <w:r>
        <w:rPr>
          <w:rStyle w:val="VerbatimChar"/>
        </w:rPr>
        <w:t xml:space="preserve">RG_NARROWED</w:t>
      </w:r>
      <w:r>
        <w:t xml:space="preserve">}, passes NCRC, and has</w:t>
      </w:r>
      <w:r>
        <w:t xml:space="preserve"> </w:t>
      </w:r>
      <w:r>
        <w:rPr>
          <w:rStyle w:val="VerbatimChar"/>
        </w:rPr>
        <w:t xml:space="preserve">TRC_status</w:t>
      </w:r>
      <w:r>
        <w:t xml:space="preserve"> </w:t>
      </w:r>
      <w:r>
        <w:t xml:space="preserve">in {</w:t>
      </w:r>
      <w:r>
        <w:rPr>
          <w:rStyle w:val="VerbatimChar"/>
        </w:rPr>
        <w:t xml:space="preserve">TRC_PASS</w:t>
      </w:r>
      <w:r>
        <w:t xml:space="preserve">,</w:t>
      </w:r>
      <w:r>
        <w:t xml:space="preserve"> </w:t>
      </w:r>
      <w:r>
        <w:rPr>
          <w:rStyle w:val="VerbatimChar"/>
        </w:rPr>
        <w:t xml:space="preserve">TRC_NOT_TRIGGERED</w:t>
      </w:r>
      <w:r>
        <w:t xml:space="preserve">}. Formally:</w:t>
      </w:r>
      <w:r>
        <w:t xml:space="preserve"> </w:t>
      </w:r>
      <w:r>
        <w:rPr>
          <w:rStyle w:val="VerbatimChar"/>
        </w:rPr>
        <w:t xml:space="preserve">Admissible(a) := RG_qualified(a) AND NCRC(a) AND TRC_qualified(a)</w:t>
      </w:r>
      <w:r>
        <w:t xml:space="preserve">. This is claim-bounded admissibility, not execution authority.</w:t>
      </w:r>
    </w:p>
    <w:p>
      <w:pPr>
        <w:widowControl/>
        <w:numPr>
          <w:ilvl w:val="0"/>
          <w:numId w:val="1417"/>
        </w:numPr>
      </w:pPr>
      <w:r>
        <w:t xml:space="preserve">Selectable: admissible and has</w:t>
      </w:r>
      <w:r>
        <w:t xml:space="preserve"> </w:t>
      </w:r>
      <w:r>
        <w:rPr>
          <w:rStyle w:val="VerbatimChar"/>
        </w:rPr>
        <w:t xml:space="preserve">CSV_status</w:t>
      </w:r>
      <w:r>
        <w:t xml:space="preserve"> </w:t>
      </w:r>
      <w:r>
        <w:t xml:space="preserve">in {</w:t>
      </w:r>
      <w:r>
        <w:rPr>
          <w:rStyle w:val="VerbatimChar"/>
        </w:rPr>
        <w:t xml:space="preserve">CSV_PASS</w:t>
      </w:r>
      <w:r>
        <w:t xml:space="preserve">,</w:t>
      </w:r>
      <w:r>
        <w:t xml:space="preserve"> </w:t>
      </w:r>
      <w:r>
        <w:rPr>
          <w:rStyle w:val="VerbatimChar"/>
        </w:rPr>
        <w:t xml:space="preserve">CSV_PASS_WITH_CONTROLS</w:t>
      </w:r>
      <w:r>
        <w:t xml:space="preserve">,</w:t>
      </w:r>
      <w:r>
        <w:t xml:space="preserve"> </w:t>
      </w:r>
      <w:r>
        <w:rPr>
          <w:rStyle w:val="VerbatimChar"/>
        </w:rPr>
        <w:t xml:space="preserve">CSV_NOT_MATERIAL</w:t>
      </w:r>
      <w:r>
        <w:t xml:space="preserve">}. Controls are part of the option; removing them reopens CSV.</w:t>
      </w:r>
    </w:p>
    <w:p>
      <w:pPr>
        <w:widowControl/>
        <w:numPr>
          <w:ilvl w:val="0"/>
          <w:numId w:val="1417"/>
        </w:numPr>
      </w:pPr>
      <w:r>
        <w:t xml:space="preserve">Selected: the final chosen option from the selectable set, either by ALLOW_FRAMEWORK_SELECTION when the framework selection path is decisive or by a separately disclosed AuthoritySelectionRecord when the framework refuses deterministic selection. A selected option MUST NOT be represented as a unique framework verdict when FrameworkVerdict is REFUSE_DETERMINISTIC_SELECTION.</w:t>
      </w:r>
    </w:p>
    <w:bookmarkEnd w:id="637"/>
    <w:bookmarkStart w:id="638" w:name="X7e6e0e1c9e0041d1083c6fe69d1743664e8c032"/>
    <w:p>
      <w:pPr>
        <w:pStyle w:val="Heading2"/>
        <w:keepNext/>
        <w:keepLines/>
        <w:pageBreakBefore w:val="0"/>
        <w:widowControl/>
      </w:pPr>
      <w:r>
        <w:rPr>
          <w:rFonts w:ascii="Arial" w:hAnsi="Arial" w:eastAsia="Arial"/>
          <w:b/>
          <w:color w:val="1F4E78"/>
        </w:rPr>
        <w:t xml:space="preserve">0.4 Consolidated symbols and core objects (Normative; v12.5, symbol set carried forward from v12.0) Terminology note (Normative). Since v11.0 and carried forward in v12.0, u indexes Union Scopes (short: Scopes). “Union(s)” remains an allowed legacy narrative alias. This clarification SHALL NOT change the meaning of u or cascade semantics. Machine-readable surfaces SHOULD prefer UnionScope / UnionScopes as the canonical identifier family; Union remains a permitted human-readable alias in prose and UI text.</w:t>
      </w:r>
    </w:p>
    <w:p>
      <w:pPr>
        <w:pStyle w:val="FirstParagraph"/>
        <w:widowControl/>
      </w:pPr>
      <w:r>
        <w:t xml:space="preserve">Table 0-1. Indices and core symbols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r>
      <w:tr>
        <w:trPr/>
        <w:tc>
          <w:tcPr>
            <w:tcMar>
              <w:top w:w="80" w:type="dxa"/>
              <w:start w:w="90" w:type="dxa"/>
              <w:bottom w:w="80" w:type="dxa"/>
              <w:end w:w="90" w:type="dxa"/>
            </w:tcMar>
            <w:shd w:fill="F7FBFF" w:val="clear"/>
          </w:tcPr>
          <w:p>
            <w:pPr>
              <w:pStyle w:val="Compact"/>
              <w:jc w:val="left"/>
            </w:pPr>
            <w:r>
              <w:t xml:space="preserve">u ∈ {1,…,7}</w:t>
            </w:r>
          </w:p>
        </w:tc>
        <w:tc>
          <w:tcPr>
            <w:tcMar>
              <w:top w:w="80" w:type="dxa"/>
              <w:start w:w="90" w:type="dxa"/>
              <w:bottom w:w="80" w:type="dxa"/>
              <w:end w:w="90" w:type="dxa"/>
            </w:tcMar>
            <w:shd w:fill="F7FBFF" w:val="clear"/>
          </w:tcPr>
          <w:p>
            <w:pPr>
              <w:pStyle w:val="Compact"/>
              <w:jc w:val="left"/>
            </w:pPr>
            <w:r>
              <w:t xml:space="preserve">Union Scope (Scope) index (legacy alias: union)</w:t>
            </w:r>
          </w:p>
        </w:tc>
      </w:tr>
      <w:tr>
        <w:trPr/>
        <w:tc>
          <w:tcPr>
            <w:tcMar>
              <w:top w:w="80" w:type="dxa"/>
              <w:start w:w="90" w:type="dxa"/>
              <w:bottom w:w="80" w:type="dxa"/>
              <w:end w:w="90" w:type="dxa"/>
            </w:tcMar>
            <w:shd w:fill="D9EAF7" w:val="clear"/>
          </w:tcPr>
          <w:p>
            <w:pPr>
              <w:pStyle w:val="Compact"/>
              <w:jc w:val="left"/>
            </w:pPr>
            <w:r>
              <w:t xml:space="preserve">d ∈ {1,…,7}</w:t>
            </w:r>
          </w:p>
        </w:tc>
        <w:tc>
          <w:tcPr>
            <w:tcMar>
              <w:top w:w="80" w:type="dxa"/>
              <w:start w:w="90" w:type="dxa"/>
              <w:bottom w:w="80" w:type="dxa"/>
              <w:end w:w="90" w:type="dxa"/>
            </w:tcMar>
            <w:shd w:fill="D9EAF7" w:val="clear"/>
          </w:tcPr>
          <w:p>
            <w:pPr>
              <w:pStyle w:val="Compact"/>
              <w:jc w:val="left"/>
            </w:pPr>
            <w:r>
              <w:t xml:space="preserve">Dimension index</w:t>
            </w:r>
          </w:p>
        </w:tc>
      </w:tr>
      <w:tr>
        <w:trPr/>
        <w:tc>
          <w:tcPr>
            <w:tcMar>
              <w:top w:w="80" w:type="dxa"/>
              <w:start w:w="90" w:type="dxa"/>
              <w:bottom w:w="80" w:type="dxa"/>
              <w:end w:w="90" w:type="dxa"/>
            </w:tcMar>
            <w:shd w:fill="F7FBFF" w:val="clear"/>
          </w:tcPr>
          <w:p>
            <w:pPr>
              <w:pStyle w:val="Compact"/>
              <w:jc w:val="left"/>
            </w:pPr>
            <w:r>
              <w:t xml:space="preserve">a ∈ O</w:t>
            </w:r>
          </w:p>
        </w:tc>
        <w:tc>
          <w:tcPr>
            <w:tcMar>
              <w:top w:w="80" w:type="dxa"/>
              <w:start w:w="90" w:type="dxa"/>
              <w:bottom w:w="80" w:type="dxa"/>
              <w:end w:w="90" w:type="dxa"/>
            </w:tcMar>
            <w:shd w:fill="F7FBFF" w:val="clear"/>
          </w:tcPr>
          <w:p>
            <w:pPr>
              <w:pStyle w:val="Compact"/>
              <w:jc w:val="left"/>
            </w:pPr>
            <w:r>
              <w:t xml:space="preserve">Candidate option</w:t>
            </w:r>
          </w:p>
        </w:tc>
      </w:tr>
      <w:tr>
        <w:trPr/>
        <w:tc>
          <w:tcPr>
            <w:tcMar>
              <w:top w:w="80" w:type="dxa"/>
              <w:start w:w="90" w:type="dxa"/>
              <w:bottom w:w="80" w:type="dxa"/>
              <w:end w:w="90" w:type="dxa"/>
            </w:tcMar>
            <w:shd w:fill="D9EAF7" w:val="clear"/>
          </w:tcPr>
          <w:p>
            <w:pPr>
              <w:pStyle w:val="Compact"/>
              <w:jc w:val="left"/>
            </w:pPr>
            <w:r>
              <w:t xml:space="preserve">s ∈ S</w:t>
            </w:r>
          </w:p>
        </w:tc>
        <w:tc>
          <w:tcPr>
            <w:tcMar>
              <w:top w:w="80" w:type="dxa"/>
              <w:start w:w="90" w:type="dxa"/>
              <w:bottom w:w="80" w:type="dxa"/>
              <w:end w:w="90" w:type="dxa"/>
            </w:tcMar>
            <w:shd w:fill="D9EAF7" w:val="clear"/>
          </w:tcPr>
          <w:p>
            <w:pPr>
              <w:pStyle w:val="Compact"/>
              <w:jc w:val="left"/>
            </w:pPr>
            <w:r>
              <w:t xml:space="preserve">Scenario index</w:t>
            </w:r>
          </w:p>
        </w:tc>
      </w:tr>
      <w:tr>
        <w:trPr/>
        <w:tc>
          <w:tcPr>
            <w:tcMar>
              <w:top w:w="80" w:type="dxa"/>
              <w:start w:w="90" w:type="dxa"/>
              <w:bottom w:w="80" w:type="dxa"/>
              <w:end w:w="90" w:type="dxa"/>
            </w:tcMar>
            <w:shd w:fill="F7FBFF" w:val="clear"/>
          </w:tcPr>
          <w:p>
            <w:pPr>
              <w:pStyle w:val="Compact"/>
              <w:jc w:val="left"/>
            </w:pPr>
            <w:r>
              <w:t xml:space="preserve">r ∈ R</w:t>
            </w:r>
          </w:p>
        </w:tc>
        <w:tc>
          <w:tcPr>
            <w:tcMar>
              <w:top w:w="80" w:type="dxa"/>
              <w:start w:w="90" w:type="dxa"/>
              <w:bottom w:w="80" w:type="dxa"/>
              <w:end w:w="90" w:type="dxa"/>
            </w:tcMar>
            <w:shd w:fill="F7FBFF" w:val="clear"/>
          </w:tcPr>
          <w:p>
            <w:pPr>
              <w:pStyle w:val="Compact"/>
              <w:jc w:val="left"/>
            </w:pPr>
            <w:r>
              <w:t xml:space="preserve">Right index</w:t>
            </w:r>
          </w:p>
        </w:tc>
      </w:tr>
      <w:tr>
        <w:trPr/>
        <w:tc>
          <w:tcPr>
            <w:tcMar>
              <w:top w:w="80" w:type="dxa"/>
              <w:start w:w="90" w:type="dxa"/>
              <w:bottom w:w="80" w:type="dxa"/>
              <w:end w:w="90" w:type="dxa"/>
            </w:tcMar>
            <w:shd w:fill="D9EAF7" w:val="clear"/>
          </w:tcPr>
          <w:p>
            <w:pPr>
              <w:pStyle w:val="Compact"/>
              <w:jc w:val="left"/>
            </w:pPr>
            <w:r>
              <w:t xml:space="preserve">k</w:t>
            </w:r>
          </w:p>
        </w:tc>
        <w:tc>
          <w:tcPr>
            <w:tcMar>
              <w:top w:w="80" w:type="dxa"/>
              <w:start w:w="90" w:type="dxa"/>
              <w:bottom w:w="80" w:type="dxa"/>
              <w:end w:w="90" w:type="dxa"/>
            </w:tcMar>
            <w:shd w:fill="D9EAF7" w:val="clear"/>
          </w:tcPr>
          <w:p>
            <w:pPr>
              <w:pStyle w:val="Compact"/>
              <w:jc w:val="left"/>
            </w:pPr>
            <w:r>
              <w:t xml:space="preserve">Impact instance index</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g ∈ G_{u,d}</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Protected subgroup index (for rights checking)</w:t>
            </w:r>
          </w:p>
        </w:tc>
      </w:tr>
    </w:tbl>
    <w:p>
      <w:pPr>
        <w:pStyle w:val="BodyText"/>
        <w:widowControl/>
      </w:pPr>
      <w:r>
        <w:t xml:space="preserve">Table 0-2. Core sets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Set</w:t>
            </w:r>
          </w:p>
        </w:tc>
        <w:tc>
          <w:tcPr>
            <w:shd w:fill="1F4E78" w:val="clear"/>
            <w:tcMar>
              <w:top w:w="80" w:type="dxa"/>
              <w:start w:w="90" w:type="dxa"/>
              <w:bottom w:w="80" w:type="dxa"/>
              <w:end w:w="90" w:type="dxa"/>
            </w:tcMar>
          </w:tcPr>
          <w:p>
            <w:pPr>
              <w:pStyle w:val="Compact"/>
              <w:jc w:val="left"/>
            </w:pPr>
            <w:r>
              <w:rPr>
                <w:b/>
                <w:bCs/>
                <w:color w:val="FFFFFF"/>
              </w:rPr>
              <w:t xml:space="preserve">Definition</w:t>
            </w:r>
          </w:p>
        </w:tc>
      </w:tr>
      <w:tr>
        <w:trPr/>
        <w:tc>
          <w:tcPr>
            <w:tcMar>
              <w:top w:w="80" w:type="dxa"/>
              <w:start w:w="90" w:type="dxa"/>
              <w:bottom w:w="80" w:type="dxa"/>
              <w:end w:w="90" w:type="dxa"/>
            </w:tcMar>
            <w:shd w:fill="F7FBFF" w:val="clear"/>
          </w:tcPr>
          <w:p>
            <w:pPr>
              <w:pStyle w:val="Compact"/>
              <w:jc w:val="left"/>
            </w:pPr>
            <w:r>
              <w:t xml:space="preserve">U = {U₁,…,U₇}</w:t>
            </w:r>
          </w:p>
        </w:tc>
        <w:tc>
          <w:tcPr>
            <w:tcMar>
              <w:top w:w="80" w:type="dxa"/>
              <w:start w:w="90" w:type="dxa"/>
              <w:bottom w:w="80" w:type="dxa"/>
              <w:end w:w="90" w:type="dxa"/>
            </w:tcMar>
            <w:shd w:fill="F7FBFF" w:val="clear"/>
          </w:tcPr>
          <w:p>
            <w:pPr>
              <w:pStyle w:val="Compact"/>
              <w:jc w:val="left"/>
            </w:pPr>
            <w:r>
              <w:t xml:space="preserve">Operational Scopes</w:t>
            </w:r>
          </w:p>
        </w:tc>
      </w:tr>
      <w:tr>
        <w:trPr/>
        <w:tc>
          <w:tcPr>
            <w:tcMar>
              <w:top w:w="80" w:type="dxa"/>
              <w:start w:w="90" w:type="dxa"/>
              <w:bottom w:w="80" w:type="dxa"/>
              <w:end w:w="90" w:type="dxa"/>
            </w:tcMar>
            <w:shd w:fill="D9EAF7" w:val="clear"/>
          </w:tcPr>
          <w:p>
            <w:pPr>
              <w:pStyle w:val="Compact"/>
              <w:jc w:val="left"/>
            </w:pPr>
            <w:r>
              <w:t xml:space="preserve">D = {D₁,…,D₇}</w:t>
            </w:r>
          </w:p>
        </w:tc>
        <w:tc>
          <w:tcPr>
            <w:tcMar>
              <w:top w:w="80" w:type="dxa"/>
              <w:start w:w="90" w:type="dxa"/>
              <w:bottom w:w="80" w:type="dxa"/>
              <w:end w:w="90" w:type="dxa"/>
            </w:tcMar>
            <w:shd w:fill="D9EAF7" w:val="clear"/>
          </w:tcPr>
          <w:p>
            <w:pPr>
              <w:pStyle w:val="Compact"/>
              <w:jc w:val="left"/>
            </w:pPr>
            <w:r>
              <w:t xml:space="preserve">Welfare dimensions</w:t>
            </w:r>
          </w:p>
        </w:tc>
      </w:tr>
      <w:tr>
        <w:trPr/>
        <w:tc>
          <w:tcPr>
            <w:tcMar>
              <w:top w:w="80" w:type="dxa"/>
              <w:start w:w="90" w:type="dxa"/>
              <w:bottom w:w="80" w:type="dxa"/>
              <w:end w:w="90" w:type="dxa"/>
            </w:tcMar>
            <w:shd w:fill="F7FBFF" w:val="clear"/>
          </w:tcPr>
          <w:p>
            <w:pPr>
              <w:pStyle w:val="Compact"/>
              <w:jc w:val="left"/>
            </w:pPr>
            <w:r>
              <w:t xml:space="preserve">R</w:t>
            </w:r>
          </w:p>
        </w:tc>
        <w:tc>
          <w:tcPr>
            <w:tcMar>
              <w:top w:w="80" w:type="dxa"/>
              <w:start w:w="90" w:type="dxa"/>
              <w:bottom w:w="80" w:type="dxa"/>
              <w:end w:w="90" w:type="dxa"/>
            </w:tcMar>
            <w:shd w:fill="F7FBFF" w:val="clear"/>
          </w:tcPr>
          <w:p>
            <w:pPr>
              <w:pStyle w:val="Compact"/>
              <w:jc w:val="left"/>
            </w:pPr>
            <w:r>
              <w:t xml:space="preserve">Rights set: {LIFE, BODY, LBTY, NEED, DIGN, PROC, INFO, ECOL}</w:t>
            </w:r>
          </w:p>
        </w:tc>
      </w:tr>
      <w:tr>
        <w:trPr/>
        <w:tc>
          <w:tcPr>
            <w:tcMar>
              <w:top w:w="80" w:type="dxa"/>
              <w:start w:w="90" w:type="dxa"/>
              <w:bottom w:w="80" w:type="dxa"/>
              <w:end w:w="90" w:type="dxa"/>
            </w:tcMar>
            <w:shd w:fill="D9EAF7" w:val="clear"/>
          </w:tcPr>
          <w:p>
            <w:pPr>
              <w:pStyle w:val="Compact"/>
              <w:jc w:val="left"/>
            </w:pPr>
            <w:r>
              <w:t xml:space="preserve">C_r ⊆ U×D</w:t>
            </w:r>
          </w:p>
        </w:tc>
        <w:tc>
          <w:tcPr>
            <w:tcMar>
              <w:top w:w="80" w:type="dxa"/>
              <w:start w:w="90" w:type="dxa"/>
              <w:bottom w:w="80" w:type="dxa"/>
              <w:end w:w="90" w:type="dxa"/>
            </w:tcMar>
            <w:shd w:fill="D9EAF7" w:val="clear"/>
          </w:tcPr>
          <w:p>
            <w:pPr>
              <w:pStyle w:val="Compact"/>
              <w:jc w:val="left"/>
            </w:pPr>
            <w:r>
              <w:t xml:space="preserve">Rights coverage sets</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C_cat ⊆ U×D</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Catastrophe cell set for TRC</w:t>
            </w:r>
          </w:p>
        </w:tc>
      </w:tr>
    </w:tbl>
    <w:p>
      <w:pPr>
        <w:pStyle w:val="BodyText"/>
        <w:widowControl/>
      </w:pPr>
      <w:r>
        <w:t xml:space="preserve">Table 0-3. Welfare impact objects (all options a)</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c>
          <w:tcPr>
            <w:shd w:fill="1F4E78" w:val="clear"/>
            <w:tcMar>
              <w:top w:w="80" w:type="dxa"/>
              <w:start w:w="90" w:type="dxa"/>
              <w:bottom w:w="80" w:type="dxa"/>
              <w:end w:w="90" w:type="dxa"/>
            </w:tcMar>
          </w:tcPr>
          <w:p>
            <w:pPr>
              <w:pStyle w:val="Compact"/>
              <w:jc w:val="left"/>
            </w:pPr>
            <w:r>
              <w:rPr>
                <w:b/>
                <w:bCs/>
                <w:color w:val="FFFFFF"/>
              </w:rPr>
              <w:t xml:space="preserve">Range</w:t>
            </w:r>
          </w:p>
        </w:tc>
      </w:tr>
      <w:tr>
        <w:trPr/>
        <w:tc>
          <w:tcPr>
            <w:tcMar>
              <w:top w:w="80" w:type="dxa"/>
              <w:start w:w="90" w:type="dxa"/>
              <w:bottom w:w="80" w:type="dxa"/>
              <w:end w:w="90" w:type="dxa"/>
            </w:tcMar>
            <w:shd w:fill="F7FBFF" w:val="clear"/>
          </w:tcPr>
          <w:p>
            <w:pPr>
              <w:pStyle w:val="Compact"/>
              <w:jc w:val="left"/>
            </w:pPr>
            <w:r>
              <w:t xml:space="preserve">I_dir(u,d,a)</w:t>
            </w:r>
          </w:p>
        </w:tc>
        <w:tc>
          <w:tcPr>
            <w:tcMar>
              <w:top w:w="80" w:type="dxa"/>
              <w:start w:w="90" w:type="dxa"/>
              <w:bottom w:w="80" w:type="dxa"/>
              <w:end w:w="90" w:type="dxa"/>
            </w:tcMar>
            <w:shd w:fill="F7FBFF" w:val="clear"/>
          </w:tcPr>
          <w:p>
            <w:pPr>
              <w:pStyle w:val="Compact"/>
              <w:jc w:val="left"/>
            </w:pPr>
            <w:r>
              <w:t xml:space="preserve">Direct impact (post-saturation)</w:t>
            </w:r>
          </w:p>
        </w:tc>
        <w:tc>
          <w:tcPr>
            <w:tcMar>
              <w:top w:w="80" w:type="dxa"/>
              <w:start w:w="90" w:type="dxa"/>
              <w:bottom w:w="80" w:type="dxa"/>
              <w:end w:w="90" w:type="dxa"/>
            </w:tcMar>
            <w:shd w:fill="F7FBFF" w:val="clear"/>
          </w:tcPr>
          <w:p>
            <w:pPr>
              <w:pStyle w:val="Compact"/>
              <w:jc w:val="left"/>
            </w:pPr>
            <w:r>
              <w:t xml:space="preserve">[-1,+1]</w:t>
            </w:r>
          </w:p>
        </w:tc>
      </w:tr>
      <w:tr>
        <w:trPr/>
        <w:tc>
          <w:tcPr>
            <w:tcMar>
              <w:top w:w="80" w:type="dxa"/>
              <w:start w:w="90" w:type="dxa"/>
              <w:bottom w:w="80" w:type="dxa"/>
              <w:end w:w="90" w:type="dxa"/>
            </w:tcMar>
            <w:shd w:fill="D9EAF7" w:val="clear"/>
          </w:tcPr>
          <w:p>
            <w:pPr>
              <w:pStyle w:val="Compact"/>
              <w:jc w:val="left"/>
            </w:pPr>
            <w:r>
              <w:t xml:space="preserve">I_prop(u,d,a)</w:t>
            </w:r>
          </w:p>
        </w:tc>
        <w:tc>
          <w:tcPr>
            <w:tcMar>
              <w:top w:w="80" w:type="dxa"/>
              <w:start w:w="90" w:type="dxa"/>
              <w:bottom w:w="80" w:type="dxa"/>
              <w:end w:w="90" w:type="dxa"/>
            </w:tcMar>
            <w:shd w:fill="D9EAF7" w:val="clear"/>
          </w:tcPr>
          <w:p>
            <w:pPr>
              <w:pStyle w:val="Compact"/>
              <w:jc w:val="left"/>
            </w:pPr>
            <w:r>
              <w:t xml:space="preserve">Propagated impact (post-saturation)</w:t>
            </w:r>
          </w:p>
        </w:tc>
        <w:tc>
          <w:tcPr>
            <w:tcMar>
              <w:top w:w="80" w:type="dxa"/>
              <w:start w:w="90" w:type="dxa"/>
              <w:bottom w:w="80" w:type="dxa"/>
              <w:end w:w="90" w:type="dxa"/>
            </w:tcMar>
            <w:shd w:fill="D9EAF7" w:val="clear"/>
          </w:tcPr>
          <w:p>
            <w:pPr>
              <w:pStyle w:val="Compact"/>
              <w:jc w:val="left"/>
            </w:pPr>
            <w:r>
              <w:t xml:space="preserve">[-1,+1]</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I_rights(u,d,a)</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Rights worst-off subgroup impact</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[-1,+1]</w:t>
            </w:r>
          </w:p>
        </w:tc>
      </w:tr>
    </w:tbl>
    <w:p>
      <w:pPr>
        <w:pStyle w:val="BodyText"/>
        <w:widowControl/>
      </w:pPr>
      <w:r>
        <w:t xml:space="preserve">Table 0-4. Kernel, weights, and tail-risk symbols</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c>
          <w:tcPr>
            <w:shd w:fill="1F4E78" w:val="clear"/>
            <w:tcMar>
              <w:top w:w="80" w:type="dxa"/>
              <w:start w:w="90" w:type="dxa"/>
              <w:bottom w:w="80" w:type="dxa"/>
              <w:end w:w="90" w:type="dxa"/>
            </w:tcMar>
          </w:tcPr>
          <w:p>
            <w:pPr>
              <w:pStyle w:val="Compact"/>
              <w:jc w:val="left"/>
            </w:pPr>
            <w:r>
              <w:rPr>
                <w:b/>
                <w:bCs/>
                <w:color w:val="FFFFFF"/>
              </w:rPr>
              <w:t xml:space="preserve">Constraint / Notes</w:t>
            </w:r>
          </w:p>
        </w:tc>
      </w:tr>
      <w:tr>
        <w:trPr/>
        <w:tc>
          <w:tcPr>
            <w:tcMar>
              <w:top w:w="80" w:type="dxa"/>
              <w:start w:w="90" w:type="dxa"/>
              <w:bottom w:w="80" w:type="dxa"/>
              <w:end w:w="90" w:type="dxa"/>
            </w:tcMar>
            <w:shd w:fill="F7FBFF" w:val="clear"/>
          </w:tcPr>
          <w:p>
            <w:pPr>
              <w:pStyle w:val="Compact"/>
              <w:jc w:val="left"/>
            </w:pPr>
            <w:r>
              <w:t xml:space="preserve">K ∈ ℝ^{49×49}</w:t>
            </w:r>
          </w:p>
        </w:tc>
        <w:tc>
          <w:tcPr>
            <w:tcMar>
              <w:top w:w="80" w:type="dxa"/>
              <w:start w:w="90" w:type="dxa"/>
              <w:bottom w:w="80" w:type="dxa"/>
              <w:end w:w="90" w:type="dxa"/>
            </w:tcMar>
            <w:shd w:fill="F7FBFF" w:val="clear"/>
          </w:tcPr>
          <w:p>
            <w:pPr>
              <w:pStyle w:val="Compact"/>
              <w:jc w:val="left"/>
            </w:pPr>
            <w:r>
              <w:t xml:space="preserve">Ripple kernel matrix (sparse)</w:t>
            </w:r>
          </w:p>
        </w:tc>
        <w:tc>
          <w:tcPr>
            <w:tcMar>
              <w:top w:w="80" w:type="dxa"/>
              <w:start w:w="90" w:type="dxa"/>
              <w:bottom w:w="80" w:type="dxa"/>
              <w:end w:w="90" w:type="dxa"/>
            </w:tcMar>
            <w:shd w:fill="F7FBFF" w:val="clear"/>
          </w:tcPr>
          <w:p>
            <w:pPr>
              <w:pStyle w:val="Compact"/>
              <w:jc w:val="left"/>
            </w:pPr>
            <w:r>
              <w:t xml:space="preserve">Convention: K_{ij} maps source j to target i (target-row, source-column)</w:t>
            </w:r>
          </w:p>
        </w:tc>
      </w:tr>
      <w:tr>
        <w:trPr/>
        <w:tc>
          <w:tcPr>
            <w:tcMar>
              <w:top w:w="80" w:type="dxa"/>
              <w:start w:w="90" w:type="dxa"/>
              <w:bottom w:w="80" w:type="dxa"/>
              <w:end w:w="90" w:type="dxa"/>
            </w:tcMar>
            <w:shd w:fill="D9EAF7" w:val="clear"/>
          </w:tcPr>
          <w:p>
            <w:pPr>
              <w:pStyle w:val="Compact"/>
              <w:jc w:val="left"/>
            </w:pPr>
            <w:r>
              <w:t xml:space="preserve">w_u</w:t>
            </w:r>
          </w:p>
        </w:tc>
        <w:tc>
          <w:tcPr>
            <w:tcMar>
              <w:top w:w="80" w:type="dxa"/>
              <w:start w:w="90" w:type="dxa"/>
              <w:bottom w:w="80" w:type="dxa"/>
              <w:end w:w="90" w:type="dxa"/>
            </w:tcMar>
            <w:shd w:fill="D9EAF7" w:val="clear"/>
          </w:tcPr>
          <w:p>
            <w:pPr>
              <w:pStyle w:val="Compact"/>
              <w:jc w:val="left"/>
            </w:pPr>
            <w:r>
              <w:t xml:space="preserve">Union weights</w:t>
            </w:r>
          </w:p>
        </w:tc>
        <w:tc>
          <w:tcPr>
            <w:tcMar>
              <w:top w:w="80" w:type="dxa"/>
              <w:start w:w="90" w:type="dxa"/>
              <w:bottom w:w="80" w:type="dxa"/>
              <w:end w:w="90" w:type="dxa"/>
            </w:tcMar>
            <w:shd w:fill="D9EAF7" w:val="clear"/>
          </w:tcPr>
          <w:p>
            <w:pPr>
              <w:pStyle w:val="Compact"/>
              <w:jc w:val="left"/>
            </w:pPr>
            <w:r>
              <w:t xml:space="preserve">w_u ≥ 0, Σ_u w_u = 1</w:t>
            </w:r>
          </w:p>
        </w:tc>
      </w:tr>
      <w:tr>
        <w:trPr/>
        <w:tc>
          <w:tcPr>
            <w:tcMar>
              <w:top w:w="80" w:type="dxa"/>
              <w:start w:w="90" w:type="dxa"/>
              <w:bottom w:w="80" w:type="dxa"/>
              <w:end w:w="90" w:type="dxa"/>
            </w:tcMar>
            <w:shd w:fill="F7FBFF" w:val="clear"/>
          </w:tcPr>
          <w:p>
            <w:pPr>
              <w:pStyle w:val="Compact"/>
              <w:jc w:val="left"/>
            </w:pPr>
            <w:r>
              <w:t xml:space="preserve">v_d</w:t>
            </w:r>
          </w:p>
        </w:tc>
        <w:tc>
          <w:tcPr>
            <w:tcMar>
              <w:top w:w="80" w:type="dxa"/>
              <w:start w:w="90" w:type="dxa"/>
              <w:bottom w:w="80" w:type="dxa"/>
              <w:end w:w="90" w:type="dxa"/>
            </w:tcMar>
            <w:shd w:fill="F7FBFF" w:val="clear"/>
          </w:tcPr>
          <w:p>
            <w:pPr>
              <w:pStyle w:val="Compact"/>
              <w:jc w:val="left"/>
            </w:pPr>
            <w:r>
              <w:t xml:space="preserve">Dimension weights</w:t>
            </w:r>
          </w:p>
        </w:tc>
        <w:tc>
          <w:tcPr>
            <w:tcMar>
              <w:top w:w="80" w:type="dxa"/>
              <w:start w:w="90" w:type="dxa"/>
              <w:bottom w:w="80" w:type="dxa"/>
              <w:end w:w="90" w:type="dxa"/>
            </w:tcMar>
            <w:shd w:fill="F7FBFF" w:val="clear"/>
          </w:tcPr>
          <w:p>
            <w:pPr>
              <w:pStyle w:val="Compact"/>
              <w:jc w:val="left"/>
            </w:pPr>
            <w:r>
              <w:t xml:space="preserve">v_d ≥ 0, Σ_d v_d = 1</w:t>
            </w:r>
          </w:p>
        </w:tc>
      </w:tr>
      <w:tr>
        <w:trPr/>
        <w:tc>
          <w:tcPr>
            <w:tcMar>
              <w:top w:w="80" w:type="dxa"/>
              <w:start w:w="90" w:type="dxa"/>
              <w:bottom w:w="80" w:type="dxa"/>
              <w:end w:w="90" w:type="dxa"/>
            </w:tcMar>
            <w:shd w:fill="D9EAF7" w:val="clear"/>
          </w:tcPr>
          <w:p>
            <w:pPr>
              <w:pStyle w:val="Compact"/>
              <w:jc w:val="left"/>
            </w:pPr>
            <w:r>
              <w:t xml:space="preserve">m(u,d)</w:t>
            </w:r>
          </w:p>
        </w:tc>
        <w:tc>
          <w:tcPr>
            <w:tcMar>
              <w:top w:w="80" w:type="dxa"/>
              <w:start w:w="90" w:type="dxa"/>
              <w:bottom w:w="80" w:type="dxa"/>
              <w:end w:w="90" w:type="dxa"/>
            </w:tcMar>
            <w:shd w:fill="D9EAF7" w:val="clear"/>
          </w:tcPr>
          <w:p>
            <w:pPr>
              <w:pStyle w:val="Compact"/>
              <w:jc w:val="left"/>
            </w:pPr>
            <w:r>
              <w:t xml:space="preserve">Applicability mask</w:t>
            </w:r>
          </w:p>
        </w:tc>
        <w:tc>
          <w:tcPr>
            <w:tcMar>
              <w:top w:w="80" w:type="dxa"/>
              <w:start w:w="90" w:type="dxa"/>
              <w:bottom w:w="80" w:type="dxa"/>
              <w:end w:w="90" w:type="dxa"/>
            </w:tcMar>
            <w:shd w:fill="D9EAF7" w:val="clear"/>
          </w:tcPr>
          <w:p>
            <w:pPr>
              <w:pStyle w:val="Compact"/>
              <w:jc w:val="left"/>
            </w:pPr>
            <w:r>
              <w:t xml:space="preserve">m ∈ {0,1} (RLS aggregation only)</w:t>
            </w:r>
          </w:p>
        </w:tc>
      </w:tr>
      <w:tr>
        <w:trPr/>
        <w:tc>
          <w:tcPr>
            <w:tcMar>
              <w:top w:w="80" w:type="dxa"/>
              <w:start w:w="90" w:type="dxa"/>
              <w:bottom w:w="80" w:type="dxa"/>
              <w:end w:w="90" w:type="dxa"/>
            </w:tcMar>
            <w:shd w:fill="F7FBFF" w:val="clear"/>
          </w:tcPr>
          <w:p>
            <w:pPr>
              <w:pStyle w:val="Compact"/>
              <w:jc w:val="left"/>
            </w:pPr>
            <w:r>
              <w:t xml:space="preserve">p_s</w:t>
            </w:r>
          </w:p>
        </w:tc>
        <w:tc>
          <w:tcPr>
            <w:tcMar>
              <w:top w:w="80" w:type="dxa"/>
              <w:start w:w="90" w:type="dxa"/>
              <w:bottom w:w="80" w:type="dxa"/>
              <w:end w:w="90" w:type="dxa"/>
            </w:tcMar>
            <w:shd w:fill="F7FBFF" w:val="clear"/>
          </w:tcPr>
          <w:p>
            <w:pPr>
              <w:pStyle w:val="Compact"/>
              <w:jc w:val="left"/>
            </w:pPr>
            <w:r>
              <w:t xml:space="preserve">Scenario probabilities</w:t>
            </w:r>
          </w:p>
        </w:tc>
        <w:tc>
          <w:tcPr>
            <w:tcMar>
              <w:top w:w="80" w:type="dxa"/>
              <w:start w:w="90" w:type="dxa"/>
              <w:bottom w:w="80" w:type="dxa"/>
              <w:end w:w="90" w:type="dxa"/>
            </w:tcMar>
            <w:shd w:fill="F7FBFF" w:val="clear"/>
          </w:tcPr>
          <w:p>
            <w:pPr>
              <w:pStyle w:val="Compact"/>
              <w:jc w:val="left"/>
            </w:pPr>
            <w:r>
              <w:t xml:space="preserve">p_s ≥ 0, Σ_s p_s = 1</w:t>
            </w:r>
          </w:p>
        </w:tc>
      </w:tr>
      <w:tr>
        <w:trPr/>
        <w:tc>
          <w:tcPr>
            <w:tcMar>
              <w:top w:w="80" w:type="dxa"/>
              <w:start w:w="90" w:type="dxa"/>
              <w:bottom w:w="80" w:type="dxa"/>
              <w:end w:w="90" w:type="dxa"/>
            </w:tcMar>
            <w:shd w:fill="D9EAF7" w:val="clear"/>
          </w:tcPr>
          <w:p>
            <w:pPr>
              <w:pStyle w:val="Compact"/>
              <w:jc w:val="left"/>
            </w:pPr>
            <w:r>
              <w:t xml:space="preserve">ω_c</w:t>
            </w:r>
          </w:p>
        </w:tc>
        <w:tc>
          <w:tcPr>
            <w:tcMar>
              <w:top w:w="80" w:type="dxa"/>
              <w:start w:w="90" w:type="dxa"/>
              <w:bottom w:w="80" w:type="dxa"/>
              <w:end w:w="90" w:type="dxa"/>
            </w:tcMar>
            <w:shd w:fill="D9EAF7" w:val="clear"/>
          </w:tcPr>
          <w:p>
            <w:pPr>
              <w:pStyle w:val="Compact"/>
              <w:jc w:val="left"/>
            </w:pPr>
            <w:r>
              <w:t xml:space="preserve">Catastrophe weights</w:t>
            </w:r>
          </w:p>
        </w:tc>
        <w:tc>
          <w:tcPr>
            <w:tcMar>
              <w:top w:w="80" w:type="dxa"/>
              <w:start w:w="90" w:type="dxa"/>
              <w:bottom w:w="80" w:type="dxa"/>
              <w:end w:w="90" w:type="dxa"/>
            </w:tcMar>
            <w:shd w:fill="D9EAF7" w:val="clear"/>
          </w:tcPr>
          <w:p>
            <w:pPr>
              <w:pStyle w:val="Compact"/>
              <w:jc w:val="left"/>
            </w:pPr>
            <w:r>
              <w:t xml:space="preserve">ω_c ≥ 0, Σ_{c∈C_cat} ω_c = 1</w:t>
            </w:r>
          </w:p>
        </w:tc>
      </w:tr>
      <w:tr>
        <w:trPr/>
        <w:tc>
          <w:tcPr>
            <w:tcMar>
              <w:top w:w="80" w:type="dxa"/>
              <w:start w:w="90" w:type="dxa"/>
              <w:bottom w:w="80" w:type="dxa"/>
              <w:end w:w="90" w:type="dxa"/>
            </w:tcMar>
            <w:shd w:fill="F7FBFF" w:val="clear"/>
          </w:tcPr>
          <w:p>
            <w:pPr>
              <w:pStyle w:val="Compact"/>
              <w:jc w:val="left"/>
            </w:pPr>
            <w:r>
              <w:t xml:space="preserve">α</w:t>
            </w:r>
          </w:p>
        </w:tc>
        <w:tc>
          <w:tcPr>
            <w:tcMar>
              <w:top w:w="80" w:type="dxa"/>
              <w:start w:w="90" w:type="dxa"/>
              <w:bottom w:w="80" w:type="dxa"/>
              <w:end w:w="90" w:type="dxa"/>
            </w:tcMar>
            <w:shd w:fill="F7FBFF" w:val="clear"/>
          </w:tcPr>
          <w:p>
            <w:pPr>
              <w:pStyle w:val="Compact"/>
              <w:jc w:val="left"/>
            </w:pPr>
            <w:r>
              <w:t xml:space="preserve">CVaR tail level</w:t>
            </w:r>
          </w:p>
        </w:tc>
        <w:tc>
          <w:tcPr>
            <w:tcMar>
              <w:top w:w="80" w:type="dxa"/>
              <w:start w:w="90" w:type="dxa"/>
              <w:bottom w:w="80" w:type="dxa"/>
              <w:end w:w="90" w:type="dxa"/>
            </w:tcMar>
            <w:shd w:fill="F7FBFF" w:val="clear"/>
          </w:tcPr>
          <w:p>
            <w:pPr>
              <w:pStyle w:val="Compact"/>
              <w:jc w:val="left"/>
            </w:pPr>
            <w:r>
              <w:t xml:space="preserve">α ∈ (0,1)</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τ_TRC</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Corridor threshold</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τ_TRC ∈ (0,1]</w:t>
            </w:r>
          </w:p>
        </w:tc>
      </w:tr>
    </w:tbl>
    <w:p>
      <w:pPr>
        <w:pStyle w:val="BodyText"/>
        <w:widowControl/>
      </w:pPr>
      <w:r>
        <w:t xml:space="preserve">Table 0-5. Structural metrics</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Symbol</w:t>
            </w:r>
          </w:p>
        </w:tc>
        <w:tc>
          <w:tcPr>
            <w:shd w:fill="1F4E78" w:val="clear"/>
            <w:tcMar>
              <w:top w:w="80" w:type="dxa"/>
              <w:start w:w="90" w:type="dxa"/>
              <w:bottom w:w="80" w:type="dxa"/>
              <w:end w:w="90" w:type="dxa"/>
            </w:tcMar>
          </w:tcPr>
          <w:p>
            <w:pPr>
              <w:pStyle w:val="Compact"/>
              <w:jc w:val="left"/>
            </w:pPr>
            <w:r>
              <w:rPr>
                <w:b/>
                <w:bCs/>
                <w:color w:val="FFFFFF"/>
              </w:rPr>
              <w:t xml:space="preserve">Meaning</w:t>
            </w:r>
          </w:p>
        </w:tc>
        <w:tc>
          <w:tcPr>
            <w:shd w:fill="1F4E78" w:val="clear"/>
            <w:tcMar>
              <w:top w:w="80" w:type="dxa"/>
              <w:start w:w="90" w:type="dxa"/>
              <w:bottom w:w="80" w:type="dxa"/>
              <w:end w:w="90" w:type="dxa"/>
            </w:tcMar>
          </w:tcPr>
          <w:p>
            <w:pPr>
              <w:pStyle w:val="Compact"/>
              <w:jc w:val="left"/>
            </w:pPr>
            <w:r>
              <w:rPr>
                <w:b/>
                <w:bCs/>
                <w:color w:val="FFFFFF"/>
              </w:rPr>
              <w:t xml:space="preserve">Range</w:t>
            </w:r>
          </w:p>
        </w:tc>
      </w:tr>
      <w:tr>
        <w:trPr/>
        <w:tc>
          <w:tcPr>
            <w:tcMar>
              <w:top w:w="80" w:type="dxa"/>
              <w:start w:w="90" w:type="dxa"/>
              <w:bottom w:w="80" w:type="dxa"/>
              <w:end w:w="90" w:type="dxa"/>
            </w:tcMar>
            <w:shd w:fill="F7FBFF" w:val="clear"/>
          </w:tcPr>
          <w:p>
            <w:pPr>
              <w:pStyle w:val="Compact"/>
              <w:jc w:val="left"/>
            </w:pPr>
            <w:r>
              <w:t xml:space="preserve">UCI_u</w:t>
            </w:r>
          </w:p>
        </w:tc>
        <w:tc>
          <w:tcPr>
            <w:tcMar>
              <w:top w:w="80" w:type="dxa"/>
              <w:start w:w="90" w:type="dxa"/>
              <w:bottom w:w="80" w:type="dxa"/>
              <w:end w:w="90" w:type="dxa"/>
            </w:tcMar>
            <w:shd w:fill="F7FBFF" w:val="clear"/>
          </w:tcPr>
          <w:p>
            <w:pPr>
              <w:pStyle w:val="Compact"/>
              <w:jc w:val="left"/>
            </w:pPr>
            <w:r>
              <w:t xml:space="preserve">Union Coherence Index for scope u</w:t>
            </w:r>
          </w:p>
        </w:tc>
        <w:tc>
          <w:tcPr>
            <w:tcMar>
              <w:top w:w="80" w:type="dxa"/>
              <w:start w:w="90" w:type="dxa"/>
              <w:bottom w:w="80" w:type="dxa"/>
              <w:end w:w="90" w:type="dxa"/>
            </w:tcMar>
            <w:shd w:fill="F7FBFF" w:val="clear"/>
          </w:tcPr>
          <w:p>
            <w:pPr>
              <w:pStyle w:val="Compact"/>
              <w:jc w:val="left"/>
            </w:pPr>
            <w:r>
              <w:t xml:space="preserve">[0,1]</w:t>
            </w:r>
          </w:p>
        </w:tc>
      </w:tr>
      <w:tr>
        <w:trPr/>
        <w:tc>
          <w:tcPr>
            <w:tcMar>
              <w:top w:w="80" w:type="dxa"/>
              <w:start w:w="90" w:type="dxa"/>
              <w:bottom w:w="80" w:type="dxa"/>
              <w:end w:w="90" w:type="dxa"/>
            </w:tcMar>
            <w:shd w:fill="D9EAF7" w:val="clear"/>
          </w:tcPr>
          <w:p>
            <w:pPr>
              <w:pStyle w:val="Compact"/>
              <w:jc w:val="left"/>
            </w:pPr>
            <w:r>
              <w:t xml:space="preserve">ΔUCI_u(a)</w:t>
            </w:r>
          </w:p>
        </w:tc>
        <w:tc>
          <w:tcPr>
            <w:tcMar>
              <w:top w:w="80" w:type="dxa"/>
              <w:start w:w="90" w:type="dxa"/>
              <w:bottom w:w="80" w:type="dxa"/>
              <w:end w:w="90" w:type="dxa"/>
            </w:tcMar>
            <w:shd w:fill="D9EAF7" w:val="clear"/>
          </w:tcPr>
          <w:p>
            <w:pPr>
              <w:pStyle w:val="Compact"/>
              <w:jc w:val="left"/>
            </w:pPr>
            <w:r>
              <w:t xml:space="preserve">UCI_u(a) − UCI_u(baseline)</w:t>
            </w:r>
          </w:p>
        </w:tc>
        <w:tc>
          <w:tcPr>
            <w:tcMar>
              <w:top w:w="80" w:type="dxa"/>
              <w:start w:w="90" w:type="dxa"/>
              <w:bottom w:w="80" w:type="dxa"/>
              <w:end w:w="90" w:type="dxa"/>
            </w:tcMar>
            <w:shd w:fill="D9EAF7" w:val="clear"/>
          </w:tcPr>
          <w:p>
            <w:pPr>
              <w:pStyle w:val="Compact"/>
              <w:jc w:val="left"/>
            </w:pPr>
            <w:r>
              <w:t xml:space="preserve">[-1,+1]</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HOI</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Hollowing-Out Index (monitoring diagnostic)</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unbounded</w:t>
            </w:r>
          </w:p>
        </w:tc>
      </w:tr>
    </w:tbl>
    <w:bookmarkEnd w:id="638"/>
    <w:bookmarkStart w:id="639" w:name="Xe94c205211161daa1913752b33a62c5f5c48b34"/>
    <w:p>
      <w:pPr>
        <w:pStyle w:val="Heading2"/>
        <w:keepNext/>
        <w:keepLines/>
        <w:pageBreakBefore w:val="0"/>
        <w:widowControl/>
      </w:pPr>
      <w:r>
        <w:rPr>
          <w:rFonts w:ascii="Arial" w:hAnsi="Arial" w:eastAsia="Arial"/>
          <w:b/>
          <w:color w:val="1F4E78"/>
        </w:rPr>
        <w:t xml:space="preserve">0.5 Version commitments (Normative; v12.5) The canonical welfare impact scale is [-1,+1] with Baseline-Zero Rule (Section 5). Optional UI scale conversion (non-normative): If a user interface uses a percent-like scale, map the canonical cell impact I(u,d,a) ∈ [-1,+1] to UI points via: points = 100 × I. All admissibility gates (NCRC, TRC, CSV) and RLS calculations MUST be performed on the canonical [-1,+1] scale, or be converted back exactly before computation. Tier 1-3 TRC uses bounded-impact loss (Section 8). Tier 4 is design target only; no Tier-4 claims permitted until ProofPack is publicly replayable. UCI components that are genuinely inapplicable are marked NA, excluded, and the remaining weights are renormalized. For Self (U₁), Equity is ordinarily NA unless a governed within-self equity instrument is declared. For Biosphere (U₇), Equity is ordinarily NA unless a governed ecological-distribution or ecological-justice instrument is declared. Missing evidence for an applicable component is UNKNOWN, not NA or a fixed perfect score.</w:t>
      </w:r>
    </w:p>
    <w:p>
      <w:pPr>
        <w:pStyle w:val="FirstParagraph"/>
        <w:widowControl/>
      </w:pPr>
      <w:r>
        <w:t xml:space="preserve">Patch-line interpretation (Normative clarification). References in section headings or appendix titles to v12.0, v12.1, v12.2, v12.3, or v12.4 are origin and lineage labels when explicitly marked historical, lineage, carried-forward, or superseded. Unless a rule explicitly names a different controlling version, active normative rules in this artifact apply under the v12.5 line. Same-version hardening MUST preserve the cascade architecture unless an explicit versioned change states otherwise.</w:t>
      </w:r>
    </w:p>
    <w:bookmarkEnd w:id="639"/>
    <w:bookmarkStart w:id="640" w:name="X7aa4d52d3c90de36b4312610c8f3d8accca6403"/>
    <w:p>
      <w:pPr>
        <w:pStyle w:val="Heading2"/>
        <w:keepNext/>
        <w:keepLines/>
        <w:pageBreakBefore w:val="0"/>
        <w:widowControl/>
      </w:pPr>
      <w:r>
        <w:rPr>
          <w:rFonts w:ascii="Arial" w:hAnsi="Arial" w:eastAsia="Arial"/>
          <w:b/>
          <w:color w:val="1F4E78"/>
        </w:rPr>
        <w:t xml:space="preserve">0.6 Single Canonical Artifact Rule (Normative; v12.5)</w:t>
      </w:r>
    </w:p>
    <w:p>
      <w:pPr>
        <w:pStyle w:val="FirstParagraph"/>
        <w:widowControl/>
      </w:pPr>
      <w:r>
        <w:t xml:space="preserve">This document is the single canonical RippleLogic Canon for v12.5. Any copy labeled “final,” “regen,” “patched,” “draft,” “fork,” or similar is non-canonical unless it is byte-identical to this artifact. Implementations, manifests, validators, ProofPacks, and downstream specifications MUST pin to the canonical artifact (filename + hash in the release manifest) and MUST NOT treat variant text as authoritative.</w:t>
      </w:r>
    </w:p>
    <w:p>
      <w:pPr>
        <w:pStyle w:val="BodyText"/>
        <w:widowControl/>
      </w:pPr>
      <w:r>
        <w:t xml:space="preserve">Retirement clause (Normative). Any artifact labeled v12.5 that is not byte-identical to this canonical artifact is RETIRED and MUST NOT be used as a source of truth for v12.5 interpretation or a v12.5 conformance claim. Prior v12.4, v12.3, v12.2, v12.1, v12.0, and v11.x artifacts remain lineage artifacts only.</w:t>
      </w:r>
    </w:p>
    <w:p>
      <w:pPr>
        <w:pStyle w:val="BodyText"/>
        <w:widowControl/>
      </w:pPr>
      <w:r>
        <w:t xml:space="preserve">Integrity note (Informative). The canonical hash MUST be published in a sibling release manifest rather than embedded in the document body, because any edit changes the byte stream.</w:t>
      </w:r>
    </w:p>
    <w:p>
      <w:pPr>
        <w:pStyle w:val="BodyText"/>
        <w:widowControl/>
      </w:pPr>
      <w:r>
        <w:t xml:space="preserve">Canonical source designation (Normative). RippleLogic_v12.5_Canon.md is the canonical repository text source for this Foundation Paper. DOCX files are synchronized human-readable publication renderings, and any PDF distributed with the release is a derived render for reading and review. The release manifest identifies the exact byte streams shipped in a release. If Markdown and DOCX/PDF text diverge, the discrepancy is a release defect and the Markdown source governs until synchronized renderings are regenerated.</w:t>
      </w:r>
    </w:p>
    <w:bookmarkEnd w:id="640"/>
    <w:bookmarkStart w:id="641" w:name="X749d4d509faba313ca6086ca9661de450e1b7a4"/>
    <w:p>
      <w:pPr>
        <w:pStyle w:val="Heading2"/>
        <w:keepNext/>
        <w:keepLines/>
        <w:pageBreakBefore w:val="0"/>
        <w:widowControl/>
      </w:pPr>
      <w:r>
        <w:rPr>
          <w:rFonts w:ascii="Arial" w:hAnsi="Arial" w:eastAsia="Arial"/>
          <w:b/>
          <w:color w:val="1F4E78"/>
        </w:rPr>
        <w:t xml:space="preserve">0.7 License, Attribution, and Marks (Informative)</w:t>
      </w:r>
    </w:p>
    <w:p>
      <w:pPr>
        <w:pStyle w:val="FirstParagraph"/>
        <w:widowControl/>
      </w:pPr>
      <w:r>
        <w:t xml:space="preserve">License (Informative). The v12.5 release package, including this Canon, documentation, code, schemas, templates, and test fixtures, is distributed under the Apache License 2.0 unless a future file carries an explicit SPDX exception. Attribution: cite this document by canonical filename + SHA-256 and credit James McGaughran (originator / system architect). Marks: “RippleLogic” and “MathGov” may be used to describe compatible implementations, but trademark or branding use is governed separately by the project’s published brand guidelines when available.</w:t>
      </w:r>
    </w:p>
    <w:bookmarkEnd w:id="641"/>
    <w:bookmarkStart w:id="642" w:name="X999d424caeaf3bd63b3aaeed32a407eb0f4c8b8"/>
    <w:p>
      <w:pPr>
        <w:pStyle w:val="Heading2"/>
        <w:keepNext/>
        <w:keepLines/>
        <w:pageBreakBefore w:val="0"/>
        <w:widowControl/>
      </w:pPr>
      <w:r>
        <w:rPr>
          <w:rFonts w:ascii="Arial" w:hAnsi="Arial" w:eastAsia="Arial"/>
          <w:b/>
          <w:color w:val="1F4E78"/>
        </w:rPr>
        <w:t xml:space="preserve">0.8 Release Packaging and Integrity Manifests (Informative)</w:t>
      </w:r>
    </w:p>
    <w:p>
      <w:pPr>
        <w:pStyle w:val="FirstParagraph"/>
        <w:widowControl/>
      </w:pPr>
      <w:r>
        <w:t xml:space="preserve">Recommended release bundle (Informative). Publish (i) the canonical DOCX/PDF, (ii) a SHA-256 manifest file (for example, RippleLogic_&lt;version&gt;.sha256) listing hashes for each artifact, (iii) a machine-readable release manifest when available (for example YAML), and (iv) optional signatures. The manifest is the stable anchor for byte identity, while the document remains human-readable and editable without self-referential hashing issues. To avoid self-reference problems, a checksum manifest SHOULD hash the release artifacts and MAY omit its own file unless a separate detached signature or higher-level release record governs it.</w:t>
      </w:r>
    </w:p>
    <w:bookmarkEnd w:id="642"/>
    <w:bookmarkEnd w:id="643"/>
    <w:bookmarkStart w:id="661" w:name="Xd32fa001e7c263f89bd9f422387ef16a55f9cbc"/>
    <w:p>
      <w:pPr>
        <w:pStyle w:val="Heading1"/>
        <w:keepNext/>
        <w:keepLines/>
        <w:pageBreakBefore w:val="0"/>
        <w:widowControl/>
      </w:pPr>
      <w:r>
        <w:rPr>
          <w:rFonts w:ascii="Arial" w:hAnsi="Arial" w:eastAsia="Arial"/>
          <w:b/>
          <w:color w:val="1F4E78"/>
        </w:rPr>
        <w:t xml:space="preserve">APPENDIX AD: 49-CELL WELFARE DICTIONARY (CANONICAL INTERPRETIVE REFERENCE)</w:t>
      </w:r>
    </w:p>
    <w:p>
      <w:pPr>
        <w:pStyle w:val="FirstParagraph"/>
        <w:widowControl/>
      </w:pPr>
      <w:r>
        <w:t xml:space="preserve">Tooling warning (Normative for implementation). Tooling MUST source rights coverage from Section 7.2 / Appendix C.2 and catastrophe cells from Section 8.2, never from Appendix AD icons. Appendix AD icons are interpretive cues, not machine-authoritative gate definitions.</w:t>
      </w:r>
    </w:p>
    <w:p>
      <w:pPr>
        <w:pStyle w:val="BodyText"/>
        <w:widowControl/>
      </w:pPr>
      <w:r>
        <w:t xml:space="preserve">Status and boundaries. Appendix AD is the canonical interpretive reference for welfare-cell meanings, baseline-relative scoring language, evidence literacy, and reviewer checks. It is binding for interpreting what each Scope × Dimension cell is about. Its examples, indicator lists, and gate-relevance tags are illustrative and non-exhaustive. Appendix AD does not modify the cascade, equations, NCRC, TRC, CSV, RLS, UCI/HOI, HDW, SGP, PCC, RSP/RefStructRecord, thresholds, or claim boundaries. Gate tags are contextual cues for evaluators, not automated verdicts; admissibility is determined only by running the full cascade against declared evidence in the governed system.</w:t>
      </w:r>
    </w:p>
    <w:p>
      <w:pPr>
        <w:pStyle w:val="BodyText"/>
        <w:widowControl/>
      </w:pPr>
      <w:r>
        <w:t xml:space="preserve">The welfare matrix is the surface RLS ranks on: seven union scopes (U1–U7) × seven welfare dimensions (D1–D7), giving forty-nine accountability domains.</w:t>
      </w:r>
    </w:p>
    <w:p>
      <w:pPr>
        <w:pStyle w:val="BodyText"/>
        <w:widowControl/>
      </w:pPr>
      <w:r>
        <w:t xml:space="preserve">The 49-cell welfare matrix is a proposed minimal conceptual covering set for systematic welfare-impact review. It is not yet an empirically validated universal measurement ontology, and the seven dimensions are not assumed to be statistically independent. Each cell is scored on a canonical −1 to +1 scale, relative to a declared baseline. A cell score is a claim, not a vibe: it asserts what changes, for whom, how strongly, on what evidence, and under what uncertainty.</w:t>
      </w:r>
    </w:p>
    <w:p>
      <w:pPr>
        <w:pStyle w:val="BodyText"/>
        <w:widowControl/>
      </w:pPr>
      <w:r>
        <w:t xml:space="preserve">Scale. +1 strong benefit, +0.5 moderate benefit, 0 no material change from baseline — never “unknown”, −0.5 moderate harm, −1 severe harm. Where an impact is not known, the cell is marked unknown, disclosed, and escalated where gate-relevant.</w:t>
      </w:r>
    </w:p>
    <w:p>
      <w:pPr>
        <w:pStyle w:val="BodyText"/>
        <w:widowControl/>
      </w:pPr>
      <w:r>
        <w:t xml:space="preserve">Ordering. Welfare scoring is the last step, not the first. The cascade is sequenced as Reality Grounding → Rights Floor → TRC → CSV → RLS — and an option is ranked across these cells only after it has cleared the rights, tail-risk, and CSV gates. No welfare score rescues an option that failed an earlier gate.</w:t>
      </w:r>
    </w:p>
    <w:p>
      <w:pPr>
        <w:pStyle w:val="BodyText"/>
        <w:widowControl/>
      </w:pPr>
      <w:r>
        <w:t xml:space="preserve">Gate-relevance key. Tags below indicate where a cell may become relevant to a gate in a real run; they are contextual cues, not fixed classifications, and do not replace a canonical evaluation. Canonical rights coverage set C_r and declared catastrophe cell set C_cat, not the icon labels alone, control non-maskability and gate status.</w:t>
      </w:r>
    </w:p>
    <w:p>
      <w:pPr>
        <w:pStyle w:val="BodyText"/>
        <w:widowControl/>
      </w:pPr>
      <w:r>
        <w:t xml:space="preserve">⚖ Rights-relevance cue — may require NCRC review when the cell lies in the canonical or governed rights coverage set C_r, or when the PCC declares a rights-relevant extension. The canonical C_r, not this icon alone, controls rights-covered status and non-maskability.</w:t>
      </w:r>
    </w:p>
    <w:p>
      <w:pPr>
        <w:pStyle w:val="BodyText"/>
        <w:widowControl/>
      </w:pPr>
      <w:r>
        <w:t xml:space="preserve">⚠ Tail-risk relevance cue — may require TRC review when the cell lies in the declared catastrophe cell set C_cat, or when catastrophe relevance is otherwise triggered. The declared C_cat and TRC trigger rules, not this icon alone, control catastrophe-cell status and non-maskability.</w:t>
      </w:r>
    </w:p>
    <w:p>
      <w:pPr>
        <w:pStyle w:val="BodyText"/>
        <w:widowControl/>
      </w:pPr>
      <w:r>
        <w:t xml:space="preserve">⛓ Containment-relevant — a local gain may degrade the wider scopes the decision depends on; checked before RLS.</w:t>
      </w:r>
    </w:p>
    <w:p>
      <w:pPr>
        <w:pStyle w:val="BodyText"/>
        <w:widowControl/>
      </w:pPr>
      <w:r>
        <w:t xml:space="preserve">◌ Ordinary welfare — ranked by RLS once RF/NCRC, TRC, and CSV are cleared.</w:t>
      </w:r>
    </w:p>
    <w:p>
      <w:pPr>
        <w:pStyle w:val="BodyText"/>
        <w:widowControl/>
      </w:pPr>
      <w:r>
        <w:t xml:space="preserve">? Uncertain — evidence weak or contested; mark, disclose, and escalate if gate-relevant.</w:t>
      </w:r>
    </w:p>
    <w:bookmarkStart w:id="660" w:name="ad1-tabular-dictionary"/>
    <w:p>
      <w:pPr>
        <w:pStyle w:val="Heading2"/>
        <w:keepNext/>
        <w:keepLines/>
        <w:pageBreakBefore w:val="0"/>
        <w:widowControl/>
      </w:pPr>
      <w:r>
        <w:rPr>
          <w:rFonts w:ascii="Arial" w:hAnsi="Arial" w:eastAsia="Arial"/>
          <w:b/>
          <w:color w:val="1F4E78"/>
        </w:rPr>
        <w:t xml:space="preserve">AD.1 Tabular dictionary</w:t>
      </w:r>
    </w:p>
    <w:p>
      <w:pPr>
        <w:pStyle w:val="FirstParagraph"/>
        <w:widowControl/>
      </w:pPr>
      <w:r>
        <w:t xml:space="preserve">Appendix AD now presents the complete 49-cell dictionary in two layers: first a full 7 x 7 orientation map, then detailed Union Scope tables for meaning, positive/negative movement, evidence, gate cues, examples, and reviewer checks. This preserves the full Appendix AD cell structure while making the text easier to read in DOCX, PDF, and GitHub views.</w:t>
      </w:r>
    </w:p>
    <w:p>
      <w:pPr>
        <w:pStyle w:val="BodyText"/>
        <w:widowControl/>
      </w:pPr>
      <w:r>
        <w:rPr>
          <w:b/>
          <w:bCs/>
        </w:rPr>
        <w:t xml:space="preserve">Reading rule.</w:t>
      </w:r>
      <w:r>
        <w:t xml:space="preserve"> </w:t>
      </w:r>
      <w:r>
        <w:t xml:space="preserve">A cell score is baseline-relative.</w:t>
      </w:r>
      <w:r>
        <w:t xml:space="preserve"> </w:t>
      </w:r>
      <w:r>
        <w:rPr>
          <w:rStyle w:val="VerbatimChar"/>
        </w:rPr>
        <w:t xml:space="preserve">+ Benefit</w:t>
      </w:r>
      <w:r>
        <w:t xml:space="preserve"> </w:t>
      </w:r>
      <w:r>
        <w:t xml:space="preserve">and</w:t>
      </w:r>
      <w:r>
        <w:t xml:space="preserve"> </w:t>
      </w:r>
      <w:r>
        <w:rPr>
          <w:rStyle w:val="VerbatimChar"/>
        </w:rPr>
        <w:t xml:space="preserve">- Harm</w:t>
      </w:r>
      <w:r>
        <w:t xml:space="preserve"> </w:t>
      </w:r>
      <w:r>
        <w:t xml:space="preserve">describe the direction of movement.</w:t>
      </w:r>
      <w:r>
        <w:t xml:space="preserve"> </w:t>
      </w:r>
      <w:r>
        <w:rPr>
          <w:rStyle w:val="VerbatimChar"/>
        </w:rPr>
        <w:t xml:space="preserve">Evidence and gate cues</w:t>
      </w:r>
      <w:r>
        <w:t xml:space="preserve"> </w:t>
      </w:r>
      <w:r>
        <w:t xml:space="preserve">identifies typical evidence and possible gate relevance.</w:t>
      </w:r>
      <w:r>
        <w:t xml:space="preserve"> </w:t>
      </w:r>
      <w:r>
        <w:rPr>
          <w:rStyle w:val="VerbatimChar"/>
        </w:rPr>
        <w:t xml:space="preserve">Example and reviewer check</w:t>
      </w:r>
      <w:r>
        <w:t xml:space="preserve"> </w:t>
      </w:r>
      <w:r>
        <w:t xml:space="preserve">gives one example and the minimum challenge a reviewer should make. Gate cues are not verdicts; the canonical cascade remains controlling.</w:t>
      </w:r>
    </w:p>
    <w:p>
      <w:pPr>
        <w:pStyle w:val="BodyText"/>
        <w:widowControl/>
      </w:pPr>
      <w:r>
        <w:rPr>
          <w:b/>
          <w:bCs/>
        </w:rPr>
        <w:t xml:space="preserve">Machine-readable companion.</w:t>
      </w:r>
      <w:r>
        <w:t xml:space="preserve"> </w:t>
      </w:r>
      <w:r>
        <w:t xml:space="preserve">The Canon keeps Appendix AD in human-readable split tables for document clarity. A synchronized one-row-per-cell companion is also shipped at</w:t>
      </w:r>
      <w:r>
        <w:t xml:space="preserve"> </w:t>
      </w:r>
      <w:r>
        <w:rPr>
          <w:rStyle w:val="VerbatimChar"/>
        </w:rPr>
        <w:t xml:space="preserve">docs/canon/AD_49_Cell_Welfare_Dictionary.csv</w:t>
      </w:r>
      <w:r>
        <w:t xml:space="preserve">. The CSV preserves the older wide-record strength for tooling, audits, and implementation work by keeping each welfare cell on one row with separate fields for meaning, benefit movement, harm movement, evidence, gate cues, example, and reviewer check. The Canon text remains controlling if any companion representation diverges.</w:t>
      </w:r>
    </w:p>
    <w:bookmarkStart w:id="644" w:name="X5d23e2fb2a0112b6f662e79706b48781bebbb5a"/>
    <w:p>
      <w:pPr>
        <w:pStyle w:val="Heading3"/>
        <w:keepNext/>
        <w:keepLines/>
        <w:pageBreakBefore w:val="0"/>
        <w:widowControl/>
      </w:pPr>
      <w:r>
        <w:rPr>
          <w:rFonts w:ascii="Arial" w:hAnsi="Arial" w:eastAsia="Arial"/>
          <w:b/>
          <w:color w:val="1F4E78"/>
        </w:rPr>
        <w:t xml:space="preserve">AD.1A Full 49-cell map (all coordinates preserved)</w:t>
      </w:r>
    </w:p>
    <w:p>
      <w:pPr>
        <w:pStyle w:val="FirstParagraph"/>
        <w:widowControl/>
      </w:pPr>
      <w:r>
        <w:t xml:space="preserve">This map restores the full 7 x 7 Appendix AD view in one table. Each of the 49 cells appears once. Use this table for orientation; use the detailed tables that follow for meanings, positive/negative movement, evidence, gate cues, examples, and reviewer checks.</w:t>
      </w:r>
    </w:p>
    <w:tbl>
      <w:tblPr>
        <w:tblStyle w:val="Table"/>
        <w:tblW w:type="pct" w:w="5000"/>
        <w:jc w:val="left"/>
        <w:tblLook w:firstRow="1" w:lastRow="0" w:firstColumn="0" w:lastColumn="0" w:noHBand="0" w:noVBand="0" w:val="0020"/>
        <w:tblInd w:type="dxa" w:w="0"/>
      </w:tblPr>
      <w:tblGrid>
        <w:gridCol w:w="990"/>
        <w:gridCol w:w="990"/>
        <w:gridCol w:w="990"/>
        <w:gridCol w:w="990"/>
        <w:gridCol w:w="990"/>
        <w:gridCol w:w="990"/>
        <w:gridCol w:w="990"/>
        <w:gridCol w:w="99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Union Scope</w:t>
            </w:r>
          </w:p>
        </w:tc>
        <w:tc>
          <w:tcPr>
            <w:shd w:fill="1F4E78" w:val="clear"/>
            <w:tcMar>
              <w:top w:w="80" w:type="dxa"/>
              <w:start w:w="90" w:type="dxa"/>
              <w:bottom w:w="80" w:type="dxa"/>
              <w:end w:w="90" w:type="dxa"/>
            </w:tcMar>
          </w:tcPr>
          <w:p>
            <w:pPr>
              <w:pStyle w:val="Compact"/>
              <w:jc w:val="left"/>
            </w:pPr>
            <w:r>
              <w:rPr>
                <w:b/>
                <w:bCs/>
                <w:color w:val="FFFFFF"/>
              </w:rPr>
              <w:t xml:space="preserve">D1 Material</w:t>
            </w:r>
          </w:p>
        </w:tc>
        <w:tc>
          <w:tcPr>
            <w:shd w:fill="1F4E78" w:val="clear"/>
            <w:tcMar>
              <w:top w:w="80" w:type="dxa"/>
              <w:start w:w="90" w:type="dxa"/>
              <w:bottom w:w="80" w:type="dxa"/>
              <w:end w:w="90" w:type="dxa"/>
            </w:tcMar>
          </w:tcPr>
          <w:p>
            <w:pPr>
              <w:pStyle w:val="Compact"/>
              <w:jc w:val="left"/>
            </w:pPr>
            <w:r>
              <w:rPr>
                <w:b/>
                <w:bCs/>
                <w:color w:val="FFFFFF"/>
              </w:rPr>
              <w:t xml:space="preserve">D2 Health</w:t>
            </w:r>
          </w:p>
        </w:tc>
        <w:tc>
          <w:tcPr>
            <w:shd w:fill="1F4E78" w:val="clear"/>
            <w:tcMar>
              <w:top w:w="80" w:type="dxa"/>
              <w:start w:w="90" w:type="dxa"/>
              <w:bottom w:w="80" w:type="dxa"/>
              <w:end w:w="90" w:type="dxa"/>
            </w:tcMar>
          </w:tcPr>
          <w:p>
            <w:pPr>
              <w:pStyle w:val="Compact"/>
              <w:jc w:val="left"/>
            </w:pPr>
            <w:r>
              <w:rPr>
                <w:b/>
                <w:bCs/>
                <w:color w:val="FFFFFF"/>
              </w:rPr>
              <w:t xml:space="preserve">D3 Social</w:t>
            </w:r>
          </w:p>
        </w:tc>
        <w:tc>
          <w:tcPr>
            <w:shd w:fill="1F4E78" w:val="clear"/>
            <w:tcMar>
              <w:top w:w="80" w:type="dxa"/>
              <w:start w:w="90" w:type="dxa"/>
              <w:bottom w:w="80" w:type="dxa"/>
              <w:end w:w="90" w:type="dxa"/>
            </w:tcMar>
          </w:tcPr>
          <w:p>
            <w:pPr>
              <w:pStyle w:val="Compact"/>
              <w:jc w:val="left"/>
            </w:pPr>
            <w:r>
              <w:rPr>
                <w:b/>
                <w:bCs/>
                <w:color w:val="FFFFFF"/>
              </w:rPr>
              <w:t xml:space="preserve">D4 Knowledge</w:t>
            </w:r>
          </w:p>
        </w:tc>
        <w:tc>
          <w:tcPr>
            <w:shd w:fill="1F4E78" w:val="clear"/>
            <w:tcMar>
              <w:top w:w="80" w:type="dxa"/>
              <w:start w:w="90" w:type="dxa"/>
              <w:bottom w:w="80" w:type="dxa"/>
              <w:end w:w="90" w:type="dxa"/>
            </w:tcMar>
          </w:tcPr>
          <w:p>
            <w:pPr>
              <w:pStyle w:val="Compact"/>
              <w:jc w:val="left"/>
            </w:pPr>
            <w:r>
              <w:rPr>
                <w:b/>
                <w:bCs/>
                <w:color w:val="FFFFFF"/>
              </w:rPr>
              <w:t xml:space="preserve">D5 Agency</w:t>
            </w:r>
          </w:p>
        </w:tc>
        <w:tc>
          <w:tcPr>
            <w:shd w:fill="1F4E78" w:val="clear"/>
            <w:tcMar>
              <w:top w:w="80" w:type="dxa"/>
              <w:start w:w="90" w:type="dxa"/>
              <w:bottom w:w="80" w:type="dxa"/>
              <w:end w:w="90" w:type="dxa"/>
            </w:tcMar>
          </w:tcPr>
          <w:p>
            <w:pPr>
              <w:pStyle w:val="Compact"/>
              <w:jc w:val="left"/>
            </w:pPr>
            <w:r>
              <w:rPr>
                <w:b/>
                <w:bCs/>
                <w:color w:val="FFFFFF"/>
              </w:rPr>
              <w:t xml:space="preserve">D6 Meaning</w:t>
            </w:r>
          </w:p>
        </w:tc>
        <w:tc>
          <w:tcPr>
            <w:shd w:fill="1F4E78" w:val="clear"/>
            <w:tcMar>
              <w:top w:w="80" w:type="dxa"/>
              <w:start w:w="90" w:type="dxa"/>
              <w:bottom w:w="80" w:type="dxa"/>
              <w:end w:w="90" w:type="dxa"/>
            </w:tcMar>
          </w:tcPr>
          <w:p>
            <w:pPr>
              <w:pStyle w:val="Compact"/>
              <w:jc w:val="left"/>
            </w:pPr>
            <w:r>
              <w:rPr>
                <w:b/>
                <w:bCs/>
                <w:color w:val="FFFFFF"/>
              </w:rPr>
              <w:t xml:space="preserve">D7 Environment</w:t>
            </w:r>
          </w:p>
        </w:tc>
      </w:tr>
      <w:tr>
        <w:trPr/>
        <w:tc>
          <w:tcPr>
            <w:tcMar>
              <w:top w:w="80" w:type="dxa"/>
              <w:start w:w="90" w:type="dxa"/>
              <w:bottom w:w="80" w:type="dxa"/>
              <w:end w:w="90" w:type="dxa"/>
            </w:tcMar>
            <w:shd w:fill="F7FBFF" w:val="clear"/>
          </w:tcPr>
          <w:p>
            <w:pPr>
              <w:pStyle w:val="Compact"/>
              <w:jc w:val="left"/>
            </w:pPr>
            <w:r>
              <w:rPr>
                <w:b/>
                <w:bCs/>
              </w:rPr>
              <w:t xml:space="preserve">U1 Self</w:t>
            </w:r>
          </w:p>
        </w:tc>
        <w:tc>
          <w:tcPr>
            <w:tcMar>
              <w:top w:w="80" w:type="dxa"/>
              <w:start w:w="90" w:type="dxa"/>
              <w:bottom w:w="80" w:type="dxa"/>
              <w:end w:w="90" w:type="dxa"/>
            </w:tcMar>
            <w:shd w:fill="F7FBFF" w:val="clear"/>
          </w:tcPr>
          <w:p>
            <w:pPr>
              <w:pStyle w:val="Compact"/>
              <w:jc w:val="left"/>
            </w:pPr>
            <w:r>
              <w:rPr>
                <w:b/>
                <w:bCs/>
              </w:rPr>
              <w:t xml:space="preserve">U1/D1</w:t>
            </w:r>
            <w:r>
              <w:t xml:space="preserve"> </w:t>
            </w:r>
            <w:r>
              <w:t xml:space="preserve">- Personal Resources</w:t>
            </w:r>
          </w:p>
        </w:tc>
        <w:tc>
          <w:tcPr>
            <w:tcMar>
              <w:top w:w="80" w:type="dxa"/>
              <w:start w:w="90" w:type="dxa"/>
              <w:bottom w:w="80" w:type="dxa"/>
              <w:end w:w="90" w:type="dxa"/>
            </w:tcMar>
            <w:shd w:fill="F7FBFF" w:val="clear"/>
          </w:tcPr>
          <w:p>
            <w:pPr>
              <w:pStyle w:val="Compact"/>
              <w:jc w:val="left"/>
            </w:pPr>
            <w:r>
              <w:rPr>
                <w:b/>
                <w:bCs/>
              </w:rPr>
              <w:t xml:space="preserve">U1/D2</w:t>
            </w:r>
            <w:r>
              <w:t xml:space="preserve"> </w:t>
            </w:r>
            <w:r>
              <w:t xml:space="preserve">- Personal Health</w:t>
            </w:r>
          </w:p>
        </w:tc>
        <w:tc>
          <w:tcPr>
            <w:tcMar>
              <w:top w:w="80" w:type="dxa"/>
              <w:start w:w="90" w:type="dxa"/>
              <w:bottom w:w="80" w:type="dxa"/>
              <w:end w:w="90" w:type="dxa"/>
            </w:tcMar>
            <w:shd w:fill="F7FBFF" w:val="clear"/>
          </w:tcPr>
          <w:p>
            <w:pPr>
              <w:pStyle w:val="Compact"/>
              <w:jc w:val="left"/>
            </w:pPr>
            <w:r>
              <w:rPr>
                <w:b/>
                <w:bCs/>
              </w:rPr>
              <w:t xml:space="preserve">U1/D3</w:t>
            </w:r>
            <w:r>
              <w:t xml:space="preserve"> </w:t>
            </w:r>
            <w:r>
              <w:t xml:space="preserve">- Relationships</w:t>
            </w:r>
          </w:p>
        </w:tc>
        <w:tc>
          <w:tcPr>
            <w:tcMar>
              <w:top w:w="80" w:type="dxa"/>
              <w:start w:w="90" w:type="dxa"/>
              <w:bottom w:w="80" w:type="dxa"/>
              <w:end w:w="90" w:type="dxa"/>
            </w:tcMar>
            <w:shd w:fill="F7FBFF" w:val="clear"/>
          </w:tcPr>
          <w:p>
            <w:pPr>
              <w:pStyle w:val="Compact"/>
              <w:jc w:val="left"/>
            </w:pPr>
            <w:r>
              <w:rPr>
                <w:b/>
                <w:bCs/>
              </w:rPr>
              <w:t xml:space="preserve">U1/D4</w:t>
            </w:r>
            <w:r>
              <w:t xml:space="preserve"> </w:t>
            </w:r>
            <w:r>
              <w:t xml:space="preserve">- Learning</w:t>
            </w:r>
          </w:p>
        </w:tc>
        <w:tc>
          <w:tcPr>
            <w:tcMar>
              <w:top w:w="80" w:type="dxa"/>
              <w:start w:w="90" w:type="dxa"/>
              <w:bottom w:w="80" w:type="dxa"/>
              <w:end w:w="90" w:type="dxa"/>
            </w:tcMar>
            <w:shd w:fill="F7FBFF" w:val="clear"/>
          </w:tcPr>
          <w:p>
            <w:pPr>
              <w:pStyle w:val="Compact"/>
              <w:jc w:val="left"/>
            </w:pPr>
            <w:r>
              <w:rPr>
                <w:b/>
                <w:bCs/>
              </w:rPr>
              <w:t xml:space="preserve">U1/D5</w:t>
            </w:r>
            <w:r>
              <w:t xml:space="preserve"> </w:t>
            </w:r>
            <w:r>
              <w:t xml:space="preserve">- Personal Agency</w:t>
            </w:r>
          </w:p>
        </w:tc>
        <w:tc>
          <w:tcPr>
            <w:tcMar>
              <w:top w:w="80" w:type="dxa"/>
              <w:start w:w="90" w:type="dxa"/>
              <w:bottom w:w="80" w:type="dxa"/>
              <w:end w:w="90" w:type="dxa"/>
            </w:tcMar>
            <w:shd w:fill="F7FBFF" w:val="clear"/>
          </w:tcPr>
          <w:p>
            <w:pPr>
              <w:pStyle w:val="Compact"/>
              <w:jc w:val="left"/>
            </w:pPr>
            <w:r>
              <w:rPr>
                <w:b/>
                <w:bCs/>
              </w:rPr>
              <w:t xml:space="preserve">U1/D6</w:t>
            </w:r>
            <w:r>
              <w:t xml:space="preserve"> </w:t>
            </w:r>
            <w:r>
              <w:t xml:space="preserve">- Purpose</w:t>
            </w:r>
          </w:p>
        </w:tc>
        <w:tc>
          <w:tcPr>
            <w:tcMar>
              <w:top w:w="80" w:type="dxa"/>
              <w:start w:w="90" w:type="dxa"/>
              <w:bottom w:w="80" w:type="dxa"/>
              <w:end w:w="90" w:type="dxa"/>
            </w:tcMar>
            <w:shd w:fill="F7FBFF" w:val="clear"/>
          </w:tcPr>
          <w:p>
            <w:pPr>
              <w:pStyle w:val="Compact"/>
              <w:jc w:val="left"/>
            </w:pPr>
            <w:r>
              <w:rPr>
                <w:b/>
                <w:bCs/>
              </w:rPr>
              <w:t xml:space="preserve">U1/D7</w:t>
            </w:r>
            <w:r>
              <w:t xml:space="preserve"> </w:t>
            </w:r>
            <w:r>
              <w:t xml:space="preserve">- Local Conditions</w:t>
            </w:r>
          </w:p>
        </w:tc>
      </w:tr>
      <w:tr>
        <w:trPr/>
        <w:tc>
          <w:tcPr>
            <w:tcMar>
              <w:top w:w="80" w:type="dxa"/>
              <w:start w:w="90" w:type="dxa"/>
              <w:bottom w:w="80" w:type="dxa"/>
              <w:end w:w="90" w:type="dxa"/>
            </w:tcMar>
            <w:shd w:fill="D9EAF7" w:val="clear"/>
          </w:tcPr>
          <w:p>
            <w:pPr>
              <w:pStyle w:val="Compact"/>
              <w:jc w:val="left"/>
            </w:pPr>
            <w:r>
              <w:rPr>
                <w:b/>
                <w:bCs/>
              </w:rPr>
              <w:t xml:space="preserve">U2 Household</w:t>
            </w:r>
          </w:p>
        </w:tc>
        <w:tc>
          <w:tcPr>
            <w:tcMar>
              <w:top w:w="80" w:type="dxa"/>
              <w:start w:w="90" w:type="dxa"/>
              <w:bottom w:w="80" w:type="dxa"/>
              <w:end w:w="90" w:type="dxa"/>
            </w:tcMar>
            <w:shd w:fill="D9EAF7" w:val="clear"/>
          </w:tcPr>
          <w:p>
            <w:pPr>
              <w:pStyle w:val="Compact"/>
              <w:jc w:val="left"/>
            </w:pPr>
            <w:r>
              <w:rPr>
                <w:b/>
                <w:bCs/>
              </w:rPr>
              <w:t xml:space="preserve">U2/D1</w:t>
            </w:r>
            <w:r>
              <w:t xml:space="preserve"> </w:t>
            </w:r>
            <w:r>
              <w:t xml:space="preserve">- Household Resources</w:t>
            </w:r>
          </w:p>
        </w:tc>
        <w:tc>
          <w:tcPr>
            <w:tcMar>
              <w:top w:w="80" w:type="dxa"/>
              <w:start w:w="90" w:type="dxa"/>
              <w:bottom w:w="80" w:type="dxa"/>
              <w:end w:w="90" w:type="dxa"/>
            </w:tcMar>
            <w:shd w:fill="D9EAF7" w:val="clear"/>
          </w:tcPr>
          <w:p>
            <w:pPr>
              <w:pStyle w:val="Compact"/>
              <w:jc w:val="left"/>
            </w:pPr>
            <w:r>
              <w:rPr>
                <w:b/>
                <w:bCs/>
              </w:rPr>
              <w:t xml:space="preserve">U2/D2</w:t>
            </w:r>
            <w:r>
              <w:t xml:space="preserve"> </w:t>
            </w:r>
            <w:r>
              <w:t xml:space="preserve">- Household Health</w:t>
            </w:r>
          </w:p>
        </w:tc>
        <w:tc>
          <w:tcPr>
            <w:tcMar>
              <w:top w:w="80" w:type="dxa"/>
              <w:start w:w="90" w:type="dxa"/>
              <w:bottom w:w="80" w:type="dxa"/>
              <w:end w:w="90" w:type="dxa"/>
            </w:tcMar>
            <w:shd w:fill="D9EAF7" w:val="clear"/>
          </w:tcPr>
          <w:p>
            <w:pPr>
              <w:pStyle w:val="Compact"/>
              <w:jc w:val="left"/>
            </w:pPr>
            <w:r>
              <w:rPr>
                <w:b/>
                <w:bCs/>
              </w:rPr>
              <w:t xml:space="preserve">U2/D3</w:t>
            </w:r>
            <w:r>
              <w:t xml:space="preserve"> </w:t>
            </w:r>
            <w:r>
              <w:t xml:space="preserve">- Family Cohesion</w:t>
            </w:r>
          </w:p>
        </w:tc>
        <w:tc>
          <w:tcPr>
            <w:tcMar>
              <w:top w:w="80" w:type="dxa"/>
              <w:start w:w="90" w:type="dxa"/>
              <w:bottom w:w="80" w:type="dxa"/>
              <w:end w:w="90" w:type="dxa"/>
            </w:tcMar>
            <w:shd w:fill="D9EAF7" w:val="clear"/>
          </w:tcPr>
          <w:p>
            <w:pPr>
              <w:pStyle w:val="Compact"/>
              <w:jc w:val="left"/>
            </w:pPr>
            <w:r>
              <w:rPr>
                <w:b/>
                <w:bCs/>
              </w:rPr>
              <w:t xml:space="preserve">U2/D4</w:t>
            </w:r>
            <w:r>
              <w:t xml:space="preserve"> </w:t>
            </w:r>
            <w:r>
              <w:t xml:space="preserve">- Shared Learning</w:t>
            </w:r>
          </w:p>
        </w:tc>
        <w:tc>
          <w:tcPr>
            <w:tcMar>
              <w:top w:w="80" w:type="dxa"/>
              <w:start w:w="90" w:type="dxa"/>
              <w:bottom w:w="80" w:type="dxa"/>
              <w:end w:w="90" w:type="dxa"/>
            </w:tcMar>
            <w:shd w:fill="D9EAF7" w:val="clear"/>
          </w:tcPr>
          <w:p>
            <w:pPr>
              <w:pStyle w:val="Compact"/>
              <w:jc w:val="left"/>
            </w:pPr>
            <w:r>
              <w:rPr>
                <w:b/>
                <w:bCs/>
              </w:rPr>
              <w:t xml:space="preserve">U2/D5</w:t>
            </w:r>
            <w:r>
              <w:t xml:space="preserve"> </w:t>
            </w:r>
            <w:r>
              <w:t xml:space="preserve">- Household Agency</w:t>
            </w:r>
          </w:p>
        </w:tc>
        <w:tc>
          <w:tcPr>
            <w:tcMar>
              <w:top w:w="80" w:type="dxa"/>
              <w:start w:w="90" w:type="dxa"/>
              <w:bottom w:w="80" w:type="dxa"/>
              <w:end w:w="90" w:type="dxa"/>
            </w:tcMar>
            <w:shd w:fill="D9EAF7" w:val="clear"/>
          </w:tcPr>
          <w:p>
            <w:pPr>
              <w:pStyle w:val="Compact"/>
              <w:jc w:val="left"/>
            </w:pPr>
            <w:r>
              <w:rPr>
                <w:b/>
                <w:bCs/>
              </w:rPr>
              <w:t xml:space="preserve">U2/D6</w:t>
            </w:r>
            <w:r>
              <w:t xml:space="preserve"> </w:t>
            </w:r>
            <w:r>
              <w:t xml:space="preserve">- Family Meaning</w:t>
            </w:r>
          </w:p>
        </w:tc>
        <w:tc>
          <w:tcPr>
            <w:tcMar>
              <w:top w:w="80" w:type="dxa"/>
              <w:start w:w="90" w:type="dxa"/>
              <w:bottom w:w="80" w:type="dxa"/>
              <w:end w:w="90" w:type="dxa"/>
            </w:tcMar>
            <w:shd w:fill="D9EAF7" w:val="clear"/>
          </w:tcPr>
          <w:p>
            <w:pPr>
              <w:pStyle w:val="Compact"/>
              <w:jc w:val="left"/>
            </w:pPr>
            <w:r>
              <w:rPr>
                <w:b/>
                <w:bCs/>
              </w:rPr>
              <w:t xml:space="preserve">U2/D7</w:t>
            </w:r>
            <w:r>
              <w:t xml:space="preserve"> </w:t>
            </w:r>
            <w:r>
              <w:t xml:space="preserve">- Home Environment</w:t>
            </w:r>
          </w:p>
        </w:tc>
      </w:tr>
      <w:tr>
        <w:trPr/>
        <w:tc>
          <w:tcPr>
            <w:tcMar>
              <w:top w:w="80" w:type="dxa"/>
              <w:start w:w="90" w:type="dxa"/>
              <w:bottom w:w="80" w:type="dxa"/>
              <w:end w:w="90" w:type="dxa"/>
            </w:tcMar>
            <w:shd w:fill="F7FBFF" w:val="clear"/>
          </w:tcPr>
          <w:p>
            <w:pPr>
              <w:pStyle w:val="Compact"/>
              <w:jc w:val="left"/>
            </w:pPr>
            <w:r>
              <w:rPr>
                <w:b/>
                <w:bCs/>
              </w:rPr>
              <w:t xml:space="preserve">U3 Community</w:t>
            </w:r>
          </w:p>
        </w:tc>
        <w:tc>
          <w:tcPr>
            <w:tcMar>
              <w:top w:w="80" w:type="dxa"/>
              <w:start w:w="90" w:type="dxa"/>
              <w:bottom w:w="80" w:type="dxa"/>
              <w:end w:w="90" w:type="dxa"/>
            </w:tcMar>
            <w:shd w:fill="F7FBFF" w:val="clear"/>
          </w:tcPr>
          <w:p>
            <w:pPr>
              <w:pStyle w:val="Compact"/>
              <w:jc w:val="left"/>
            </w:pPr>
            <w:r>
              <w:rPr>
                <w:b/>
                <w:bCs/>
              </w:rPr>
              <w:t xml:space="preserve">U3/D1</w:t>
            </w:r>
            <w:r>
              <w:t xml:space="preserve"> </w:t>
            </w:r>
            <w:r>
              <w:t xml:space="preserve">- Local Resources</w:t>
            </w:r>
          </w:p>
        </w:tc>
        <w:tc>
          <w:tcPr>
            <w:tcMar>
              <w:top w:w="80" w:type="dxa"/>
              <w:start w:w="90" w:type="dxa"/>
              <w:bottom w:w="80" w:type="dxa"/>
              <w:end w:w="90" w:type="dxa"/>
            </w:tcMar>
            <w:shd w:fill="F7FBFF" w:val="clear"/>
          </w:tcPr>
          <w:p>
            <w:pPr>
              <w:pStyle w:val="Compact"/>
              <w:jc w:val="left"/>
            </w:pPr>
            <w:r>
              <w:rPr>
                <w:b/>
                <w:bCs/>
              </w:rPr>
              <w:t xml:space="preserve">U3/D2</w:t>
            </w:r>
            <w:r>
              <w:t xml:space="preserve"> </w:t>
            </w:r>
            <w:r>
              <w:t xml:space="preserve">- Community Health</w:t>
            </w:r>
          </w:p>
        </w:tc>
        <w:tc>
          <w:tcPr>
            <w:tcMar>
              <w:top w:w="80" w:type="dxa"/>
              <w:start w:w="90" w:type="dxa"/>
              <w:bottom w:w="80" w:type="dxa"/>
              <w:end w:w="90" w:type="dxa"/>
            </w:tcMar>
            <w:shd w:fill="F7FBFF" w:val="clear"/>
          </w:tcPr>
          <w:p>
            <w:pPr>
              <w:pStyle w:val="Compact"/>
              <w:jc w:val="left"/>
            </w:pPr>
            <w:r>
              <w:rPr>
                <w:b/>
                <w:bCs/>
              </w:rPr>
              <w:t xml:space="preserve">U3/D3</w:t>
            </w:r>
            <w:r>
              <w:t xml:space="preserve"> </w:t>
            </w:r>
            <w:r>
              <w:t xml:space="preserve">- Community Cohesion</w:t>
            </w:r>
          </w:p>
        </w:tc>
        <w:tc>
          <w:tcPr>
            <w:tcMar>
              <w:top w:w="80" w:type="dxa"/>
              <w:start w:w="90" w:type="dxa"/>
              <w:bottom w:w="80" w:type="dxa"/>
              <w:end w:w="90" w:type="dxa"/>
            </w:tcMar>
            <w:shd w:fill="F7FBFF" w:val="clear"/>
          </w:tcPr>
          <w:p>
            <w:pPr>
              <w:pStyle w:val="Compact"/>
              <w:jc w:val="left"/>
            </w:pPr>
            <w:r>
              <w:rPr>
                <w:b/>
                <w:bCs/>
              </w:rPr>
              <w:t xml:space="preserve">U3/D4</w:t>
            </w:r>
            <w:r>
              <w:t xml:space="preserve"> </w:t>
            </w:r>
            <w:r>
              <w:t xml:space="preserve">- Local Knowledge</w:t>
            </w:r>
          </w:p>
        </w:tc>
        <w:tc>
          <w:tcPr>
            <w:tcMar>
              <w:top w:w="80" w:type="dxa"/>
              <w:start w:w="90" w:type="dxa"/>
              <w:bottom w:w="80" w:type="dxa"/>
              <w:end w:w="90" w:type="dxa"/>
            </w:tcMar>
            <w:shd w:fill="F7FBFF" w:val="clear"/>
          </w:tcPr>
          <w:p>
            <w:pPr>
              <w:pStyle w:val="Compact"/>
              <w:jc w:val="left"/>
            </w:pPr>
            <w:r>
              <w:rPr>
                <w:b/>
                <w:bCs/>
              </w:rPr>
              <w:t xml:space="preserve">U3/D5</w:t>
            </w:r>
            <w:r>
              <w:t xml:space="preserve"> </w:t>
            </w:r>
            <w:r>
              <w:t xml:space="preserve">- Community Agency</w:t>
            </w:r>
          </w:p>
        </w:tc>
        <w:tc>
          <w:tcPr>
            <w:tcMar>
              <w:top w:w="80" w:type="dxa"/>
              <w:start w:w="90" w:type="dxa"/>
              <w:bottom w:w="80" w:type="dxa"/>
              <w:end w:w="90" w:type="dxa"/>
            </w:tcMar>
            <w:shd w:fill="F7FBFF" w:val="clear"/>
          </w:tcPr>
          <w:p>
            <w:pPr>
              <w:pStyle w:val="Compact"/>
              <w:jc w:val="left"/>
            </w:pPr>
            <w:r>
              <w:rPr>
                <w:b/>
                <w:bCs/>
              </w:rPr>
              <w:t xml:space="preserve">U3/D6</w:t>
            </w:r>
            <w:r>
              <w:t xml:space="preserve"> </w:t>
            </w:r>
            <w:r>
              <w:t xml:space="preserve">- Shared Meaning</w:t>
            </w:r>
          </w:p>
        </w:tc>
        <w:tc>
          <w:tcPr>
            <w:tcMar>
              <w:top w:w="80" w:type="dxa"/>
              <w:start w:w="90" w:type="dxa"/>
              <w:bottom w:w="80" w:type="dxa"/>
              <w:end w:w="90" w:type="dxa"/>
            </w:tcMar>
            <w:shd w:fill="F7FBFF" w:val="clear"/>
          </w:tcPr>
          <w:p>
            <w:pPr>
              <w:pStyle w:val="Compact"/>
              <w:jc w:val="left"/>
            </w:pPr>
            <w:r>
              <w:rPr>
                <w:b/>
                <w:bCs/>
              </w:rPr>
              <w:t xml:space="preserve">U3/D7</w:t>
            </w:r>
            <w:r>
              <w:t xml:space="preserve"> </w:t>
            </w:r>
            <w:r>
              <w:t xml:space="preserve">- Local Ecology</w:t>
            </w:r>
          </w:p>
        </w:tc>
      </w:tr>
      <w:tr>
        <w:trPr/>
        <w:tc>
          <w:tcPr>
            <w:tcMar>
              <w:top w:w="80" w:type="dxa"/>
              <w:start w:w="90" w:type="dxa"/>
              <w:bottom w:w="80" w:type="dxa"/>
              <w:end w:w="90" w:type="dxa"/>
            </w:tcMar>
            <w:shd w:fill="D9EAF7" w:val="clear"/>
          </w:tcPr>
          <w:p>
            <w:pPr>
              <w:pStyle w:val="Compact"/>
              <w:jc w:val="left"/>
            </w:pPr>
            <w:r>
              <w:rPr>
                <w:b/>
                <w:bCs/>
              </w:rPr>
              <w:t xml:space="preserve">U4 Organization</w:t>
            </w:r>
          </w:p>
        </w:tc>
        <w:tc>
          <w:tcPr>
            <w:tcMar>
              <w:top w:w="80" w:type="dxa"/>
              <w:start w:w="90" w:type="dxa"/>
              <w:bottom w:w="80" w:type="dxa"/>
              <w:end w:w="90" w:type="dxa"/>
            </w:tcMar>
            <w:shd w:fill="D9EAF7" w:val="clear"/>
          </w:tcPr>
          <w:p>
            <w:pPr>
              <w:pStyle w:val="Compact"/>
              <w:jc w:val="left"/>
            </w:pPr>
            <w:r>
              <w:rPr>
                <w:b/>
                <w:bCs/>
              </w:rPr>
              <w:t xml:space="preserve">U4/D1</w:t>
            </w:r>
            <w:r>
              <w:t xml:space="preserve"> </w:t>
            </w:r>
            <w:r>
              <w:t xml:space="preserve">- Organizational Resources</w:t>
            </w:r>
          </w:p>
        </w:tc>
        <w:tc>
          <w:tcPr>
            <w:tcMar>
              <w:top w:w="80" w:type="dxa"/>
              <w:start w:w="90" w:type="dxa"/>
              <w:bottom w:w="80" w:type="dxa"/>
              <w:end w:w="90" w:type="dxa"/>
            </w:tcMar>
            <w:shd w:fill="D9EAF7" w:val="clear"/>
          </w:tcPr>
          <w:p>
            <w:pPr>
              <w:pStyle w:val="Compact"/>
              <w:jc w:val="left"/>
            </w:pPr>
            <w:r>
              <w:rPr>
                <w:b/>
                <w:bCs/>
              </w:rPr>
              <w:t xml:space="preserve">U4/D2</w:t>
            </w:r>
            <w:r>
              <w:t xml:space="preserve"> </w:t>
            </w:r>
            <w:r>
              <w:t xml:space="preserve">- Organizational Safety</w:t>
            </w:r>
          </w:p>
        </w:tc>
        <w:tc>
          <w:tcPr>
            <w:tcMar>
              <w:top w:w="80" w:type="dxa"/>
              <w:start w:w="90" w:type="dxa"/>
              <w:bottom w:w="80" w:type="dxa"/>
              <w:end w:w="90" w:type="dxa"/>
            </w:tcMar>
            <w:shd w:fill="D9EAF7" w:val="clear"/>
          </w:tcPr>
          <w:p>
            <w:pPr>
              <w:pStyle w:val="Compact"/>
              <w:jc w:val="left"/>
            </w:pPr>
            <w:r>
              <w:rPr>
                <w:b/>
                <w:bCs/>
              </w:rPr>
              <w:t xml:space="preserve">U4/D3</w:t>
            </w:r>
            <w:r>
              <w:t xml:space="preserve"> </w:t>
            </w:r>
            <w:r>
              <w:t xml:space="preserve">- Organizational Culture</w:t>
            </w:r>
          </w:p>
        </w:tc>
        <w:tc>
          <w:tcPr>
            <w:tcMar>
              <w:top w:w="80" w:type="dxa"/>
              <w:start w:w="90" w:type="dxa"/>
              <w:bottom w:w="80" w:type="dxa"/>
              <w:end w:w="90" w:type="dxa"/>
            </w:tcMar>
            <w:shd w:fill="D9EAF7" w:val="clear"/>
          </w:tcPr>
          <w:p>
            <w:pPr>
              <w:pStyle w:val="Compact"/>
              <w:jc w:val="left"/>
            </w:pPr>
            <w:r>
              <w:rPr>
                <w:b/>
                <w:bCs/>
              </w:rPr>
              <w:t xml:space="preserve">U4/D4</w:t>
            </w:r>
            <w:r>
              <w:t xml:space="preserve"> </w:t>
            </w:r>
            <w:r>
              <w:t xml:space="preserve">- Knowledge Systems</w:t>
            </w:r>
          </w:p>
        </w:tc>
        <w:tc>
          <w:tcPr>
            <w:tcMar>
              <w:top w:w="80" w:type="dxa"/>
              <w:start w:w="90" w:type="dxa"/>
              <w:bottom w:w="80" w:type="dxa"/>
              <w:end w:w="90" w:type="dxa"/>
            </w:tcMar>
            <w:shd w:fill="D9EAF7" w:val="clear"/>
          </w:tcPr>
          <w:p>
            <w:pPr>
              <w:pStyle w:val="Compact"/>
              <w:jc w:val="left"/>
            </w:pPr>
            <w:r>
              <w:rPr>
                <w:b/>
                <w:bCs/>
              </w:rPr>
              <w:t xml:space="preserve">U4/D5</w:t>
            </w:r>
            <w:r>
              <w:t xml:space="preserve"> </w:t>
            </w:r>
            <w:r>
              <w:t xml:space="preserve">- Role Agency</w:t>
            </w:r>
          </w:p>
        </w:tc>
        <w:tc>
          <w:tcPr>
            <w:tcMar>
              <w:top w:w="80" w:type="dxa"/>
              <w:start w:w="90" w:type="dxa"/>
              <w:bottom w:w="80" w:type="dxa"/>
              <w:end w:w="90" w:type="dxa"/>
            </w:tcMar>
            <w:shd w:fill="D9EAF7" w:val="clear"/>
          </w:tcPr>
          <w:p>
            <w:pPr>
              <w:pStyle w:val="Compact"/>
              <w:jc w:val="left"/>
            </w:pPr>
            <w:r>
              <w:rPr>
                <w:b/>
                <w:bCs/>
              </w:rPr>
              <w:t xml:space="preserve">U4/D6</w:t>
            </w:r>
            <w:r>
              <w:t xml:space="preserve"> </w:t>
            </w:r>
            <w:r>
              <w:t xml:space="preserve">- Mission Coherence</w:t>
            </w:r>
          </w:p>
        </w:tc>
        <w:tc>
          <w:tcPr>
            <w:tcMar>
              <w:top w:w="80" w:type="dxa"/>
              <w:start w:w="90" w:type="dxa"/>
              <w:bottom w:w="80" w:type="dxa"/>
              <w:end w:w="90" w:type="dxa"/>
            </w:tcMar>
            <w:shd w:fill="D9EAF7" w:val="clear"/>
          </w:tcPr>
          <w:p>
            <w:pPr>
              <w:pStyle w:val="Compact"/>
              <w:jc w:val="left"/>
            </w:pPr>
            <w:r>
              <w:rPr>
                <w:b/>
                <w:bCs/>
              </w:rPr>
              <w:t xml:space="preserve">U4/D7</w:t>
            </w:r>
            <w:r>
              <w:t xml:space="preserve"> </w:t>
            </w:r>
            <w:r>
              <w:t xml:space="preserve">- Operational Footprint</w:t>
            </w:r>
          </w:p>
        </w:tc>
      </w:tr>
      <w:tr>
        <w:trPr/>
        <w:tc>
          <w:tcPr>
            <w:tcMar>
              <w:top w:w="80" w:type="dxa"/>
              <w:start w:w="90" w:type="dxa"/>
              <w:bottom w:w="80" w:type="dxa"/>
              <w:end w:w="90" w:type="dxa"/>
            </w:tcMar>
            <w:shd w:fill="F7FBFF" w:val="clear"/>
          </w:tcPr>
          <w:p>
            <w:pPr>
              <w:pStyle w:val="Compact"/>
              <w:jc w:val="left"/>
            </w:pPr>
            <w:r>
              <w:rPr>
                <w:b/>
                <w:bCs/>
              </w:rPr>
              <w:t xml:space="preserve">U5 Polity</w:t>
            </w:r>
          </w:p>
        </w:tc>
        <w:tc>
          <w:tcPr>
            <w:tcMar>
              <w:top w:w="80" w:type="dxa"/>
              <w:start w:w="90" w:type="dxa"/>
              <w:bottom w:w="80" w:type="dxa"/>
              <w:end w:w="90" w:type="dxa"/>
            </w:tcMar>
            <w:shd w:fill="F7FBFF" w:val="clear"/>
          </w:tcPr>
          <w:p>
            <w:pPr>
              <w:pStyle w:val="Compact"/>
              <w:jc w:val="left"/>
            </w:pPr>
            <w:r>
              <w:rPr>
                <w:b/>
                <w:bCs/>
              </w:rPr>
              <w:t xml:space="preserve">U5/D1</w:t>
            </w:r>
            <w:r>
              <w:t xml:space="preserve"> </w:t>
            </w:r>
            <w:r>
              <w:t xml:space="preserve">- Public Resources</w:t>
            </w:r>
          </w:p>
        </w:tc>
        <w:tc>
          <w:tcPr>
            <w:tcMar>
              <w:top w:w="80" w:type="dxa"/>
              <w:start w:w="90" w:type="dxa"/>
              <w:bottom w:w="80" w:type="dxa"/>
              <w:end w:w="90" w:type="dxa"/>
            </w:tcMar>
            <w:shd w:fill="F7FBFF" w:val="clear"/>
          </w:tcPr>
          <w:p>
            <w:pPr>
              <w:pStyle w:val="Compact"/>
              <w:jc w:val="left"/>
            </w:pPr>
            <w:r>
              <w:rPr>
                <w:b/>
                <w:bCs/>
              </w:rPr>
              <w:t xml:space="preserve">U5/D2</w:t>
            </w:r>
            <w:r>
              <w:t xml:space="preserve"> </w:t>
            </w:r>
            <w:r>
              <w:t xml:space="preserve">- Population Health</w:t>
            </w:r>
          </w:p>
        </w:tc>
        <w:tc>
          <w:tcPr>
            <w:tcMar>
              <w:top w:w="80" w:type="dxa"/>
              <w:start w:w="90" w:type="dxa"/>
              <w:bottom w:w="80" w:type="dxa"/>
              <w:end w:w="90" w:type="dxa"/>
            </w:tcMar>
            <w:shd w:fill="F7FBFF" w:val="clear"/>
          </w:tcPr>
          <w:p>
            <w:pPr>
              <w:pStyle w:val="Compact"/>
              <w:jc w:val="left"/>
            </w:pPr>
            <w:r>
              <w:rPr>
                <w:b/>
                <w:bCs/>
              </w:rPr>
              <w:t xml:space="preserve">U5/D3</w:t>
            </w:r>
            <w:r>
              <w:t xml:space="preserve"> </w:t>
            </w:r>
            <w:r>
              <w:t xml:space="preserve">- Legitimacy</w:t>
            </w:r>
          </w:p>
        </w:tc>
        <w:tc>
          <w:tcPr>
            <w:tcMar>
              <w:top w:w="80" w:type="dxa"/>
              <w:start w:w="90" w:type="dxa"/>
              <w:bottom w:w="80" w:type="dxa"/>
              <w:end w:w="90" w:type="dxa"/>
            </w:tcMar>
            <w:shd w:fill="F7FBFF" w:val="clear"/>
          </w:tcPr>
          <w:p>
            <w:pPr>
              <w:pStyle w:val="Compact"/>
              <w:jc w:val="left"/>
            </w:pPr>
            <w:r>
              <w:rPr>
                <w:b/>
                <w:bCs/>
              </w:rPr>
              <w:t xml:space="preserve">U5/D4</w:t>
            </w:r>
            <w:r>
              <w:t xml:space="preserve"> </w:t>
            </w:r>
            <w:r>
              <w:t xml:space="preserve">- Information Access</w:t>
            </w:r>
          </w:p>
        </w:tc>
        <w:tc>
          <w:tcPr>
            <w:tcMar>
              <w:top w:w="80" w:type="dxa"/>
              <w:start w:w="90" w:type="dxa"/>
              <w:bottom w:w="80" w:type="dxa"/>
              <w:end w:w="90" w:type="dxa"/>
            </w:tcMar>
            <w:shd w:fill="F7FBFF" w:val="clear"/>
          </w:tcPr>
          <w:p>
            <w:pPr>
              <w:pStyle w:val="Compact"/>
              <w:jc w:val="left"/>
            </w:pPr>
            <w:r>
              <w:rPr>
                <w:b/>
                <w:bCs/>
              </w:rPr>
              <w:t xml:space="preserve">U5/D5</w:t>
            </w:r>
            <w:r>
              <w:t xml:space="preserve"> </w:t>
            </w:r>
            <w:r>
              <w:t xml:space="preserve">- Civil Agency</w:t>
            </w:r>
          </w:p>
        </w:tc>
        <w:tc>
          <w:tcPr>
            <w:tcMar>
              <w:top w:w="80" w:type="dxa"/>
              <w:start w:w="90" w:type="dxa"/>
              <w:bottom w:w="80" w:type="dxa"/>
              <w:end w:w="90" w:type="dxa"/>
            </w:tcMar>
            <w:shd w:fill="F7FBFF" w:val="clear"/>
          </w:tcPr>
          <w:p>
            <w:pPr>
              <w:pStyle w:val="Compact"/>
              <w:jc w:val="left"/>
            </w:pPr>
            <w:r>
              <w:rPr>
                <w:b/>
                <w:bCs/>
              </w:rPr>
              <w:t xml:space="preserve">U5/D6</w:t>
            </w:r>
            <w:r>
              <w:t xml:space="preserve"> </w:t>
            </w:r>
            <w:r>
              <w:t xml:space="preserve">- Public Meaning</w:t>
            </w:r>
          </w:p>
        </w:tc>
        <w:tc>
          <w:tcPr>
            <w:tcMar>
              <w:top w:w="80" w:type="dxa"/>
              <w:start w:w="90" w:type="dxa"/>
              <w:bottom w:w="80" w:type="dxa"/>
              <w:end w:w="90" w:type="dxa"/>
            </w:tcMar>
            <w:shd w:fill="F7FBFF" w:val="clear"/>
          </w:tcPr>
          <w:p>
            <w:pPr>
              <w:pStyle w:val="Compact"/>
              <w:jc w:val="left"/>
            </w:pPr>
            <w:r>
              <w:rPr>
                <w:b/>
                <w:bCs/>
              </w:rPr>
              <w:t xml:space="preserve">U5/D7</w:t>
            </w:r>
            <w:r>
              <w:t xml:space="preserve"> </w:t>
            </w:r>
            <w:r>
              <w:t xml:space="preserve">- Public Environment</w:t>
            </w:r>
          </w:p>
        </w:tc>
      </w:tr>
      <w:tr>
        <w:trPr/>
        <w:tc>
          <w:tcPr>
            <w:tcMar>
              <w:top w:w="80" w:type="dxa"/>
              <w:start w:w="90" w:type="dxa"/>
              <w:bottom w:w="80" w:type="dxa"/>
              <w:end w:w="90" w:type="dxa"/>
            </w:tcMar>
            <w:shd w:fill="D9EAF7" w:val="clear"/>
          </w:tcPr>
          <w:p>
            <w:pPr>
              <w:pStyle w:val="Compact"/>
              <w:jc w:val="left"/>
            </w:pPr>
            <w:r>
              <w:rPr>
                <w:b/>
                <w:bCs/>
              </w:rPr>
              <w:t xml:space="preserve">U6 Humanity / Global Coordination</w:t>
            </w:r>
          </w:p>
        </w:tc>
        <w:tc>
          <w:tcPr>
            <w:tcMar>
              <w:top w:w="80" w:type="dxa"/>
              <w:start w:w="90" w:type="dxa"/>
              <w:bottom w:w="80" w:type="dxa"/>
              <w:end w:w="90" w:type="dxa"/>
            </w:tcMar>
            <w:shd w:fill="D9EAF7" w:val="clear"/>
          </w:tcPr>
          <w:p>
            <w:pPr>
              <w:pStyle w:val="Compact"/>
              <w:jc w:val="left"/>
            </w:pPr>
            <w:r>
              <w:rPr>
                <w:b/>
                <w:bCs/>
              </w:rPr>
              <w:t xml:space="preserve">U6/D1</w:t>
            </w:r>
            <w:r>
              <w:t xml:space="preserve"> </w:t>
            </w:r>
            <w:r>
              <w:t xml:space="preserve">- Global Resources</w:t>
            </w:r>
          </w:p>
        </w:tc>
        <w:tc>
          <w:tcPr>
            <w:tcMar>
              <w:top w:w="80" w:type="dxa"/>
              <w:start w:w="90" w:type="dxa"/>
              <w:bottom w:w="80" w:type="dxa"/>
              <w:end w:w="90" w:type="dxa"/>
            </w:tcMar>
            <w:shd w:fill="D9EAF7" w:val="clear"/>
          </w:tcPr>
          <w:p>
            <w:pPr>
              <w:pStyle w:val="Compact"/>
              <w:jc w:val="left"/>
            </w:pPr>
            <w:r>
              <w:rPr>
                <w:b/>
                <w:bCs/>
              </w:rPr>
              <w:t xml:space="preserve">U6/D2</w:t>
            </w:r>
            <w:r>
              <w:t xml:space="preserve"> </w:t>
            </w:r>
            <w:r>
              <w:t xml:space="preserve">- Human Safety</w:t>
            </w:r>
          </w:p>
        </w:tc>
        <w:tc>
          <w:tcPr>
            <w:tcMar>
              <w:top w:w="80" w:type="dxa"/>
              <w:start w:w="90" w:type="dxa"/>
              <w:bottom w:w="80" w:type="dxa"/>
              <w:end w:w="90" w:type="dxa"/>
            </w:tcMar>
            <w:shd w:fill="D9EAF7" w:val="clear"/>
          </w:tcPr>
          <w:p>
            <w:pPr>
              <w:pStyle w:val="Compact"/>
              <w:jc w:val="left"/>
            </w:pPr>
            <w:r>
              <w:rPr>
                <w:b/>
                <w:bCs/>
              </w:rPr>
              <w:t xml:space="preserve">U6/D3</w:t>
            </w:r>
            <w:r>
              <w:t xml:space="preserve"> </w:t>
            </w:r>
            <w:r>
              <w:t xml:space="preserve">- Cooperation</w:t>
            </w:r>
          </w:p>
        </w:tc>
        <w:tc>
          <w:tcPr>
            <w:tcMar>
              <w:top w:w="80" w:type="dxa"/>
              <w:start w:w="90" w:type="dxa"/>
              <w:bottom w:w="80" w:type="dxa"/>
              <w:end w:w="90" w:type="dxa"/>
            </w:tcMar>
            <w:shd w:fill="D9EAF7" w:val="clear"/>
          </w:tcPr>
          <w:p>
            <w:pPr>
              <w:pStyle w:val="Compact"/>
              <w:jc w:val="left"/>
            </w:pPr>
            <w:r>
              <w:rPr>
                <w:b/>
                <w:bCs/>
              </w:rPr>
              <w:t xml:space="preserve">U6/D4</w:t>
            </w:r>
            <w:r>
              <w:t xml:space="preserve"> </w:t>
            </w:r>
            <w:r>
              <w:t xml:space="preserve">- Civilizational Knowledge</w:t>
            </w:r>
          </w:p>
        </w:tc>
        <w:tc>
          <w:tcPr>
            <w:tcMar>
              <w:top w:w="80" w:type="dxa"/>
              <w:start w:w="90" w:type="dxa"/>
              <w:bottom w:w="80" w:type="dxa"/>
              <w:end w:w="90" w:type="dxa"/>
            </w:tcMar>
            <w:shd w:fill="D9EAF7" w:val="clear"/>
          </w:tcPr>
          <w:p>
            <w:pPr>
              <w:pStyle w:val="Compact"/>
              <w:jc w:val="left"/>
            </w:pPr>
            <w:r>
              <w:rPr>
                <w:b/>
                <w:bCs/>
              </w:rPr>
              <w:t xml:space="preserve">U6/D5</w:t>
            </w:r>
            <w:r>
              <w:t xml:space="preserve"> </w:t>
            </w:r>
            <w:r>
              <w:t xml:space="preserve">- Collective Agency</w:t>
            </w:r>
          </w:p>
        </w:tc>
        <w:tc>
          <w:tcPr>
            <w:tcMar>
              <w:top w:w="80" w:type="dxa"/>
              <w:start w:w="90" w:type="dxa"/>
              <w:bottom w:w="80" w:type="dxa"/>
              <w:end w:w="90" w:type="dxa"/>
            </w:tcMar>
            <w:shd w:fill="D9EAF7" w:val="clear"/>
          </w:tcPr>
          <w:p>
            <w:pPr>
              <w:pStyle w:val="Compact"/>
              <w:jc w:val="left"/>
            </w:pPr>
            <w:r>
              <w:rPr>
                <w:b/>
                <w:bCs/>
              </w:rPr>
              <w:t xml:space="preserve">U6/D6</w:t>
            </w:r>
            <w:r>
              <w:t xml:space="preserve"> </w:t>
            </w:r>
            <w:r>
              <w:t xml:space="preserve">- Shared Purpose</w:t>
            </w:r>
          </w:p>
        </w:tc>
        <w:tc>
          <w:tcPr>
            <w:tcMar>
              <w:top w:w="80" w:type="dxa"/>
              <w:start w:w="90" w:type="dxa"/>
              <w:bottom w:w="80" w:type="dxa"/>
              <w:end w:w="90" w:type="dxa"/>
            </w:tcMar>
            <w:shd w:fill="D9EAF7" w:val="clear"/>
          </w:tcPr>
          <w:p>
            <w:pPr>
              <w:pStyle w:val="Compact"/>
              <w:jc w:val="left"/>
            </w:pPr>
            <w:r>
              <w:rPr>
                <w:b/>
                <w:bCs/>
              </w:rPr>
              <w:t xml:space="preserve">U6/D7</w:t>
            </w:r>
            <w:r>
              <w:t xml:space="preserve"> </w:t>
            </w:r>
            <w:r>
              <w:t xml:space="preserve">- Planetary Conditions</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U7 Biosphere</w:t>
            </w:r>
          </w:p>
        </w:tc>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U7/D1</w:t>
            </w:r>
            <w:r>
              <w:t xml:space="preserve"> </w:t>
            </w:r>
            <w:r>
              <w:t xml:space="preserve">- Life-Support Resources</w:t>
            </w:r>
          </w:p>
        </w:tc>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U7/D2</w:t>
            </w:r>
            <w:r>
              <w:t xml:space="preserve"> </w:t>
            </w:r>
            <w:r>
              <w:t xml:space="preserve">- Ecosystem Health</w:t>
            </w:r>
          </w:p>
        </w:tc>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U7/D3</w:t>
            </w:r>
            <w:r>
              <w:t xml:space="preserve"> </w:t>
            </w:r>
            <w:r>
              <w:t xml:space="preserve">- Biotic Relations</w:t>
            </w:r>
          </w:p>
        </w:tc>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U7/D4</w:t>
            </w:r>
            <w:r>
              <w:t xml:space="preserve"> </w:t>
            </w:r>
            <w:r>
              <w:t xml:space="preserve">- Ecological Knowledge</w:t>
            </w:r>
          </w:p>
        </w:tc>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U7/D5</w:t>
            </w:r>
            <w:r>
              <w:t xml:space="preserve"> </w:t>
            </w:r>
            <w:r>
              <w:t xml:space="preserve">- Resilience Capacity</w:t>
            </w:r>
          </w:p>
        </w:tc>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U7/D6</w:t>
            </w:r>
            <w:r>
              <w:t xml:space="preserve"> </w:t>
            </w:r>
            <w:r>
              <w:t xml:space="preserve">- Life Continuity</w:t>
            </w:r>
          </w:p>
        </w:tc>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U7/D7</w:t>
            </w:r>
            <w:r>
              <w:t xml:space="preserve"> </w:t>
            </w:r>
            <w:r>
              <w:t xml:space="preserve">- Ecological Integrity</w:t>
            </w:r>
          </w:p>
        </w:tc>
      </w:tr>
    </w:tbl>
    <w:p>
      <w:pPr>
        <w:pStyle w:val="BodyText"/>
      </w:pPr>
      <w:r>
        <w:t>U7 construct-exception rule (Normative clarification). U7/D5 Resilience Capacity and U7/D6 Life Continuity are scope-specific operationalizations used because biospheric systems do not possess individual agency or meaning in the ordinary D5/D6 sense. They remain located in the D5 and D6 columns for stable 7×7 coverage and weighting, but validators, raters, and factor analyses MUST preserve the U7 labels, MUST NOT treat them as empirical measures of personal Agency or Meaning, and MUST report them as governed construct exceptions. Cross-scope measurement-invariance or factor-structure claims require separate evidence and may not be inferred from the rectangular layout alone.</w:t>
      </w:r>
    </w:p>
    <w:bookmarkEnd w:id="644"/>
    <w:bookmarkStart w:id="645" w:name="ad1b-detailed-49-cell-dictionary"/>
    <w:p>
      <w:pPr>
        <w:pStyle w:val="Heading3"/>
        <w:keepNext/>
        <w:keepLines/>
        <w:pageBreakBefore w:val="0"/>
        <w:widowControl/>
      </w:pPr>
      <w:r>
        <w:rPr>
          <w:rFonts w:ascii="Arial" w:hAnsi="Arial" w:eastAsia="Arial"/>
          <w:b/>
          <w:color w:val="1F4E78"/>
        </w:rPr>
        <w:t xml:space="preserve">AD.1B Detailed 49-cell dictionary</w:t>
      </w:r>
    </w:p>
    <w:bookmarkEnd w:id="645"/>
    <w:bookmarkStart w:id="646" w:name="u1-self---meaning-and-movement"/>
    <w:p>
      <w:pPr>
        <w:pStyle w:val="Heading3"/>
        <w:keepNext/>
        <w:keepLines/>
        <w:pageBreakBefore w:val="0"/>
        <w:widowControl/>
      </w:pPr>
      <w:r>
        <w:rPr>
          <w:rFonts w:ascii="Arial" w:hAnsi="Arial" w:eastAsia="Arial"/>
          <w:b/>
          <w:color w:val="1F4E78"/>
        </w:rPr>
        <w:t xml:space="preserve">U1 Self - meaning and movement</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What this cell measures</w:t>
            </w:r>
          </w:p>
        </w:tc>
        <w:tc>
          <w:tcPr>
            <w:shd w:fill="1F4E78" w:val="clear"/>
            <w:tcMar>
              <w:top w:w="80" w:type="dxa"/>
              <w:start w:w="90" w:type="dxa"/>
              <w:bottom w:w="80" w:type="dxa"/>
              <w:end w:w="90" w:type="dxa"/>
            </w:tcMar>
          </w:tcPr>
          <w:p>
            <w:pPr>
              <w:pStyle w:val="Compact"/>
              <w:jc w:val="left"/>
            </w:pPr>
            <w:r>
              <w:rPr>
                <w:b/>
                <w:bCs/>
                <w:color w:val="FFFFFF"/>
              </w:rPr>
              <w:t xml:space="preserve">+ Benefit</w:t>
            </w:r>
          </w:p>
        </w:tc>
        <w:tc>
          <w:tcPr>
            <w:shd w:fill="1F4E78" w:val="clear"/>
            <w:tcMar>
              <w:top w:w="80" w:type="dxa"/>
              <w:start w:w="90" w:type="dxa"/>
              <w:bottom w:w="80" w:type="dxa"/>
              <w:end w:w="90" w:type="dxa"/>
            </w:tcMar>
          </w:tcPr>
          <w:p>
            <w:pPr>
              <w:pStyle w:val="Compact"/>
              <w:jc w:val="left"/>
            </w:pPr>
            <w:r>
              <w:rPr>
                <w:b/>
                <w:bCs/>
                <w:color w:val="FFFFFF"/>
              </w:rPr>
              <w:t xml:space="preserve">- Harm</w:t>
            </w:r>
          </w:p>
        </w:tc>
      </w:tr>
      <w:tr>
        <w:trPr/>
        <w:tc>
          <w:tcPr>
            <w:tcMar>
              <w:top w:w="80" w:type="dxa"/>
              <w:start w:w="90" w:type="dxa"/>
              <w:bottom w:w="80" w:type="dxa"/>
              <w:end w:w="90" w:type="dxa"/>
            </w:tcMar>
            <w:shd w:fill="F7FBFF" w:val="clear"/>
          </w:tcPr>
          <w:p>
            <w:pPr>
              <w:pStyle w:val="Compact"/>
              <w:jc w:val="left"/>
            </w:pPr>
            <w:r>
              <w:rPr>
                <w:b/>
                <w:bCs/>
              </w:rPr>
              <w:t xml:space="preserve">U1/D1</w:t>
            </w:r>
            <w:r>
              <w:t xml:space="preserve"> </w:t>
            </w:r>
            <w:r>
              <w:t xml:space="preserve">- Personal Resources (label: personal resources)</w:t>
            </w:r>
          </w:p>
        </w:tc>
        <w:tc>
          <w:tcPr>
            <w:tcMar>
              <w:top w:w="80" w:type="dxa"/>
              <w:start w:w="90" w:type="dxa"/>
              <w:bottom w:w="80" w:type="dxa"/>
              <w:end w:w="90" w:type="dxa"/>
            </w:tcMar>
            <w:shd w:fill="F7FBFF" w:val="clear"/>
          </w:tcPr>
          <w:p>
            <w:pPr>
              <w:pStyle w:val="Compact"/>
              <w:jc w:val="left"/>
            </w:pPr>
            <w:r>
              <w:t xml:space="preserve">An individual’s economic security: income, savings, housing stability, and access to the material means of a decent life.</w:t>
            </w:r>
          </w:p>
        </w:tc>
        <w:tc>
          <w:tcPr>
            <w:tcMar>
              <w:top w:w="80" w:type="dxa"/>
              <w:start w:w="90" w:type="dxa"/>
              <w:bottom w:w="80" w:type="dxa"/>
              <w:end w:w="90" w:type="dxa"/>
            </w:tcMar>
            <w:shd w:fill="F7FBFF" w:val="clear"/>
          </w:tcPr>
          <w:p>
            <w:pPr>
              <w:pStyle w:val="Compact"/>
              <w:jc w:val="left"/>
            </w:pPr>
            <w:r>
              <w:t xml:space="preserve">More stable income, affordable housing, reduced debt, secured access to essentials.</w:t>
            </w:r>
          </w:p>
        </w:tc>
        <w:tc>
          <w:tcPr>
            <w:tcMar>
              <w:top w:w="80" w:type="dxa"/>
              <w:start w:w="90" w:type="dxa"/>
              <w:bottom w:w="80" w:type="dxa"/>
              <w:end w:w="90" w:type="dxa"/>
            </w:tcMar>
            <w:shd w:fill="F7FBFF" w:val="clear"/>
          </w:tcPr>
          <w:p>
            <w:pPr>
              <w:pStyle w:val="Compact"/>
              <w:jc w:val="left"/>
            </w:pPr>
            <w:r>
              <w:t xml:space="preserve">Job loss, eviction risk, debt spirals, loss of essential goods or services.</w:t>
            </w:r>
          </w:p>
        </w:tc>
      </w:tr>
      <w:tr>
        <w:trPr/>
        <w:tc>
          <w:tcPr>
            <w:tcMar>
              <w:top w:w="80" w:type="dxa"/>
              <w:start w:w="90" w:type="dxa"/>
              <w:bottom w:w="80" w:type="dxa"/>
              <w:end w:w="90" w:type="dxa"/>
            </w:tcMar>
            <w:shd w:fill="D9EAF7" w:val="clear"/>
          </w:tcPr>
          <w:p>
            <w:pPr>
              <w:pStyle w:val="Compact"/>
              <w:jc w:val="left"/>
            </w:pPr>
            <w:r>
              <w:rPr>
                <w:b/>
                <w:bCs/>
              </w:rPr>
              <w:t xml:space="preserve">U1/D2</w:t>
            </w:r>
            <w:r>
              <w:t xml:space="preserve"> </w:t>
            </w:r>
            <w:r>
              <w:t xml:space="preserve">- Personal Health (label: personal health)</w:t>
            </w:r>
          </w:p>
        </w:tc>
        <w:tc>
          <w:tcPr>
            <w:tcMar>
              <w:top w:w="80" w:type="dxa"/>
              <w:start w:w="90" w:type="dxa"/>
              <w:bottom w:w="80" w:type="dxa"/>
              <w:end w:w="90" w:type="dxa"/>
            </w:tcMar>
            <w:shd w:fill="D9EAF7" w:val="clear"/>
          </w:tcPr>
          <w:p>
            <w:pPr>
              <w:pStyle w:val="Compact"/>
              <w:jc w:val="left"/>
            </w:pPr>
            <w:r>
              <w:t xml:space="preserve">The individual’s physical and mental health, safety, and bodily integrity.</w:t>
            </w:r>
          </w:p>
        </w:tc>
        <w:tc>
          <w:tcPr>
            <w:tcMar>
              <w:top w:w="80" w:type="dxa"/>
              <w:start w:w="90" w:type="dxa"/>
              <w:bottom w:w="80" w:type="dxa"/>
              <w:end w:w="90" w:type="dxa"/>
            </w:tcMar>
            <w:shd w:fill="D9EAF7" w:val="clear"/>
          </w:tcPr>
          <w:p>
            <w:pPr>
              <w:pStyle w:val="Compact"/>
              <w:jc w:val="left"/>
            </w:pPr>
            <w:r>
              <w:t xml:space="preserve">Lower injury/illness risk, better access to care, improved mental health, safer conditions.</w:t>
            </w:r>
          </w:p>
        </w:tc>
        <w:tc>
          <w:tcPr>
            <w:tcMar>
              <w:top w:w="80" w:type="dxa"/>
              <w:start w:w="90" w:type="dxa"/>
              <w:bottom w:w="80" w:type="dxa"/>
              <w:end w:w="90" w:type="dxa"/>
            </w:tcMar>
            <w:shd w:fill="D9EAF7" w:val="clear"/>
          </w:tcPr>
          <w:p>
            <w:pPr>
              <w:pStyle w:val="Compact"/>
              <w:jc w:val="left"/>
            </w:pPr>
            <w:r>
              <w:t xml:space="preserve">Injury, illness, untreated conditions, exposure to hazards, deteriorating mental health.</w:t>
            </w:r>
          </w:p>
        </w:tc>
      </w:tr>
      <w:tr>
        <w:trPr/>
        <w:tc>
          <w:tcPr>
            <w:tcMar>
              <w:top w:w="80" w:type="dxa"/>
              <w:start w:w="90" w:type="dxa"/>
              <w:bottom w:w="80" w:type="dxa"/>
              <w:end w:w="90" w:type="dxa"/>
            </w:tcMar>
            <w:shd w:fill="F7FBFF" w:val="clear"/>
          </w:tcPr>
          <w:p>
            <w:pPr>
              <w:pStyle w:val="Compact"/>
              <w:jc w:val="left"/>
            </w:pPr>
            <w:r>
              <w:rPr>
                <w:b/>
                <w:bCs/>
              </w:rPr>
              <w:t xml:space="preserve">U1/D3</w:t>
            </w:r>
            <w:r>
              <w:t xml:space="preserve"> </w:t>
            </w:r>
            <w:r>
              <w:t xml:space="preserve">- Relationships (label: relationships)</w:t>
            </w:r>
          </w:p>
        </w:tc>
        <w:tc>
          <w:tcPr>
            <w:tcMar>
              <w:top w:w="80" w:type="dxa"/>
              <w:start w:w="90" w:type="dxa"/>
              <w:bottom w:w="80" w:type="dxa"/>
              <w:end w:w="90" w:type="dxa"/>
            </w:tcMar>
            <w:shd w:fill="F7FBFF" w:val="clear"/>
          </w:tcPr>
          <w:p>
            <w:pPr>
              <w:pStyle w:val="Compact"/>
              <w:jc w:val="left"/>
            </w:pPr>
            <w:r>
              <w:t xml:space="preserve">The quality and stability of a person’s close personal relationships and social connection.</w:t>
            </w:r>
          </w:p>
        </w:tc>
        <w:tc>
          <w:tcPr>
            <w:tcMar>
              <w:top w:w="80" w:type="dxa"/>
              <w:start w:w="90" w:type="dxa"/>
              <w:bottom w:w="80" w:type="dxa"/>
              <w:end w:w="90" w:type="dxa"/>
            </w:tcMar>
            <w:shd w:fill="F7FBFF" w:val="clear"/>
          </w:tcPr>
          <w:p>
            <w:pPr>
              <w:pStyle w:val="Compact"/>
              <w:jc w:val="left"/>
            </w:pPr>
            <w:r>
              <w:t xml:space="preserve">Stronger bonds, reduced isolation, more supportive networks.</w:t>
            </w:r>
          </w:p>
        </w:tc>
        <w:tc>
          <w:tcPr>
            <w:tcMar>
              <w:top w:w="80" w:type="dxa"/>
              <w:start w:w="90" w:type="dxa"/>
              <w:bottom w:w="80" w:type="dxa"/>
              <w:end w:w="90" w:type="dxa"/>
            </w:tcMar>
            <w:shd w:fill="F7FBFF" w:val="clear"/>
          </w:tcPr>
          <w:p>
            <w:pPr>
              <w:pStyle w:val="Compact"/>
              <w:jc w:val="left"/>
            </w:pPr>
            <w:r>
              <w:t xml:space="preserve">Isolation, relationship breakdown, forced separation, loss of support.</w:t>
            </w:r>
          </w:p>
        </w:tc>
      </w:tr>
      <w:tr>
        <w:trPr/>
        <w:tc>
          <w:tcPr>
            <w:tcMar>
              <w:top w:w="80" w:type="dxa"/>
              <w:start w:w="90" w:type="dxa"/>
              <w:bottom w:w="80" w:type="dxa"/>
              <w:end w:w="90" w:type="dxa"/>
            </w:tcMar>
            <w:shd w:fill="D9EAF7" w:val="clear"/>
          </w:tcPr>
          <w:p>
            <w:pPr>
              <w:pStyle w:val="Compact"/>
              <w:jc w:val="left"/>
            </w:pPr>
            <w:r>
              <w:rPr>
                <w:b/>
                <w:bCs/>
              </w:rPr>
              <w:t xml:space="preserve">U1/D4</w:t>
            </w:r>
            <w:r>
              <w:t xml:space="preserve"> </w:t>
            </w:r>
            <w:r>
              <w:t xml:space="preserve">- Learning (label: learning)</w:t>
            </w:r>
          </w:p>
        </w:tc>
        <w:tc>
          <w:tcPr>
            <w:tcMar>
              <w:top w:w="80" w:type="dxa"/>
              <w:start w:w="90" w:type="dxa"/>
              <w:bottom w:w="80" w:type="dxa"/>
              <w:end w:w="90" w:type="dxa"/>
            </w:tcMar>
            <w:shd w:fill="D9EAF7" w:val="clear"/>
          </w:tcPr>
          <w:p>
            <w:pPr>
              <w:pStyle w:val="Compact"/>
              <w:jc w:val="left"/>
            </w:pPr>
            <w:r>
              <w:t xml:space="preserve">The individual’s access to education, skills, and the capacity to learn and develop.</w:t>
            </w:r>
          </w:p>
        </w:tc>
        <w:tc>
          <w:tcPr>
            <w:tcMar>
              <w:top w:w="80" w:type="dxa"/>
              <w:start w:w="90" w:type="dxa"/>
              <w:bottom w:w="80" w:type="dxa"/>
              <w:end w:w="90" w:type="dxa"/>
            </w:tcMar>
            <w:shd w:fill="D9EAF7" w:val="clear"/>
          </w:tcPr>
          <w:p>
            <w:pPr>
              <w:pStyle w:val="Compact"/>
              <w:jc w:val="left"/>
            </w:pPr>
            <w:r>
              <w:t xml:space="preserve">Better access to learning, skill gains, expanded opportunity.</w:t>
            </w:r>
          </w:p>
        </w:tc>
        <w:tc>
          <w:tcPr>
            <w:tcMar>
              <w:top w:w="80" w:type="dxa"/>
              <w:start w:w="90" w:type="dxa"/>
              <w:bottom w:w="80" w:type="dxa"/>
              <w:end w:w="90" w:type="dxa"/>
            </w:tcMar>
            <w:shd w:fill="D9EAF7" w:val="clear"/>
          </w:tcPr>
          <w:p>
            <w:pPr>
              <w:pStyle w:val="Compact"/>
              <w:jc w:val="left"/>
            </w:pPr>
            <w:r>
              <w:t xml:space="preserve">Lost access to education, deskilling, barriers to learning.</w:t>
            </w:r>
          </w:p>
        </w:tc>
      </w:tr>
      <w:tr>
        <w:trPr/>
        <w:tc>
          <w:tcPr>
            <w:tcMar>
              <w:top w:w="80" w:type="dxa"/>
              <w:start w:w="90" w:type="dxa"/>
              <w:bottom w:w="80" w:type="dxa"/>
              <w:end w:w="90" w:type="dxa"/>
            </w:tcMar>
            <w:shd w:fill="F7FBFF" w:val="clear"/>
          </w:tcPr>
          <w:p>
            <w:pPr>
              <w:pStyle w:val="Compact"/>
              <w:jc w:val="left"/>
            </w:pPr>
            <w:r>
              <w:rPr>
                <w:b/>
                <w:bCs/>
              </w:rPr>
              <w:t xml:space="preserve">U1/D5</w:t>
            </w:r>
            <w:r>
              <w:t xml:space="preserve"> </w:t>
            </w:r>
            <w:r>
              <w:t xml:space="preserve">- Personal Agency (label: autonomy)</w:t>
            </w:r>
          </w:p>
        </w:tc>
        <w:tc>
          <w:tcPr>
            <w:tcMar>
              <w:top w:w="80" w:type="dxa"/>
              <w:start w:w="90" w:type="dxa"/>
              <w:bottom w:w="80" w:type="dxa"/>
              <w:end w:w="90" w:type="dxa"/>
            </w:tcMar>
            <w:shd w:fill="F7FBFF" w:val="clear"/>
          </w:tcPr>
          <w:p>
            <w:pPr>
              <w:pStyle w:val="Compact"/>
              <w:jc w:val="left"/>
            </w:pPr>
            <w:r>
              <w:t xml:space="preserve">The person’s real ability to choose, refuse, consent, act, and shape their own life path.</w:t>
            </w:r>
          </w:p>
        </w:tc>
        <w:tc>
          <w:tcPr>
            <w:tcMar>
              <w:top w:w="80" w:type="dxa"/>
              <w:start w:w="90" w:type="dxa"/>
              <w:bottom w:w="80" w:type="dxa"/>
              <w:end w:w="90" w:type="dxa"/>
            </w:tcMar>
            <w:shd w:fill="F7FBFF" w:val="clear"/>
          </w:tcPr>
          <w:p>
            <w:pPr>
              <w:pStyle w:val="Compact"/>
              <w:jc w:val="left"/>
            </w:pPr>
            <w:r>
              <w:t xml:space="preserve">More autonomy, better options, stronger consent, freedom from coercion and surveillance.</w:t>
            </w:r>
          </w:p>
        </w:tc>
        <w:tc>
          <w:tcPr>
            <w:tcMar>
              <w:top w:w="80" w:type="dxa"/>
              <w:start w:w="90" w:type="dxa"/>
              <w:bottom w:w="80" w:type="dxa"/>
              <w:end w:w="90" w:type="dxa"/>
            </w:tcMar>
            <w:shd w:fill="F7FBFF" w:val="clear"/>
          </w:tcPr>
          <w:p>
            <w:pPr>
              <w:pStyle w:val="Compact"/>
              <w:jc w:val="left"/>
            </w:pPr>
            <w:r>
              <w:t xml:space="preserve">Coercion, manipulation, surveillance, forced dependency, loss of meaningful choice.</w:t>
            </w:r>
          </w:p>
        </w:tc>
      </w:tr>
      <w:tr>
        <w:trPr/>
        <w:tc>
          <w:tcPr>
            <w:tcMar>
              <w:top w:w="80" w:type="dxa"/>
              <w:start w:w="90" w:type="dxa"/>
              <w:bottom w:w="80" w:type="dxa"/>
              <w:end w:w="90" w:type="dxa"/>
            </w:tcMar>
            <w:shd w:fill="D9EAF7" w:val="clear"/>
          </w:tcPr>
          <w:p>
            <w:pPr>
              <w:pStyle w:val="Compact"/>
              <w:jc w:val="left"/>
            </w:pPr>
            <w:r>
              <w:rPr>
                <w:b/>
                <w:bCs/>
              </w:rPr>
              <w:t xml:space="preserve">U1/D6</w:t>
            </w:r>
            <w:r>
              <w:t xml:space="preserve"> </w:t>
            </w:r>
            <w:r>
              <w:t xml:space="preserve">- Purpose (label: purpose)</w:t>
            </w:r>
          </w:p>
        </w:tc>
        <w:tc>
          <w:tcPr>
            <w:tcMar>
              <w:top w:w="80" w:type="dxa"/>
              <w:start w:w="90" w:type="dxa"/>
              <w:bottom w:w="80" w:type="dxa"/>
              <w:end w:w="90" w:type="dxa"/>
            </w:tcMar>
            <w:shd w:fill="D9EAF7" w:val="clear"/>
          </w:tcPr>
          <w:p>
            <w:pPr>
              <w:pStyle w:val="Compact"/>
              <w:jc w:val="left"/>
            </w:pPr>
            <w:r>
              <w:t xml:space="preserve">The individual’s sense of meaning, dignity, and worth in their life and work.</w:t>
            </w:r>
          </w:p>
        </w:tc>
        <w:tc>
          <w:tcPr>
            <w:tcMar>
              <w:top w:w="80" w:type="dxa"/>
              <w:start w:w="90" w:type="dxa"/>
              <w:bottom w:w="80" w:type="dxa"/>
              <w:end w:w="90" w:type="dxa"/>
            </w:tcMar>
            <w:shd w:fill="D9EAF7" w:val="clear"/>
          </w:tcPr>
          <w:p>
            <w:pPr>
              <w:pStyle w:val="Compact"/>
              <w:jc w:val="left"/>
            </w:pPr>
            <w:r>
              <w:t xml:space="preserve">Greater sense of purpose, recognition, dignity, and self-respect.</w:t>
            </w:r>
          </w:p>
        </w:tc>
        <w:tc>
          <w:tcPr>
            <w:tcMar>
              <w:top w:w="80" w:type="dxa"/>
              <w:start w:w="90" w:type="dxa"/>
              <w:bottom w:w="80" w:type="dxa"/>
              <w:end w:w="90" w:type="dxa"/>
            </w:tcMar>
            <w:shd w:fill="D9EAF7" w:val="clear"/>
          </w:tcPr>
          <w:p>
            <w:pPr>
              <w:pStyle w:val="Compact"/>
              <w:jc w:val="left"/>
            </w:pPr>
            <w:r>
              <w:t xml:space="preserve">Humiliation, alienation, loss of role or recognition, indignity.</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U1/D7</w:t>
            </w:r>
            <w:r>
              <w:t xml:space="preserve"> </w:t>
            </w:r>
            <w:r>
              <w:t xml:space="preserve">- Local Conditions (label: local conditions)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The immediate physical environment a person lives in: air, noise, water, hazards, and surroundings.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Cleaner air/water, less noise, fewer local hazards, healthier surroundings.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Pollution exposure, noise, contamination, environmental hazards near the person.</w:t>
            </w:r>
          </w:p>
        </w:tc>
      </w:tr>
    </w:tbl>
    <w:bookmarkEnd w:id="646"/>
    <w:bookmarkStart w:id="647" w:name="u1-self---evidence-and-review"/>
    <w:p>
      <w:pPr>
        <w:pStyle w:val="Heading3"/>
        <w:keepNext/>
        <w:keepLines/>
        <w:pageBreakBefore w:val="0"/>
        <w:widowControl/>
      </w:pPr>
      <w:r>
        <w:rPr>
          <w:rFonts w:ascii="Arial" w:hAnsi="Arial" w:eastAsia="Arial"/>
          <w:b/>
          <w:color w:val="1F4E78"/>
        </w:rPr>
        <w:t xml:space="preserve">U1 Self - evidence and review</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Evidence and gate cues</w:t>
            </w:r>
          </w:p>
        </w:tc>
        <w:tc>
          <w:tcPr>
            <w:shd w:fill="1F4E78" w:val="clear"/>
            <w:tcMar>
              <w:top w:w="80" w:type="dxa"/>
              <w:start w:w="90" w:type="dxa"/>
              <w:bottom w:w="80" w:type="dxa"/>
              <w:end w:w="90" w:type="dxa"/>
            </w:tcMar>
          </w:tcPr>
          <w:p>
            <w:pPr>
              <w:pStyle w:val="Compact"/>
              <w:jc w:val="left"/>
            </w:pPr>
            <w:r>
              <w:rPr>
                <w:b/>
                <w:bCs/>
                <w:color w:val="FFFFFF"/>
              </w:rPr>
              <w:t xml:space="preserve">Example and reviewer check</w:t>
            </w:r>
          </w:p>
        </w:tc>
      </w:tr>
      <w:tr>
        <w:trPr/>
        <w:tc>
          <w:tcPr>
            <w:tcMar>
              <w:top w:w="80" w:type="dxa"/>
              <w:start w:w="90" w:type="dxa"/>
              <w:bottom w:w="80" w:type="dxa"/>
              <w:end w:w="90" w:type="dxa"/>
            </w:tcMar>
            <w:shd w:fill="F7FBFF" w:val="clear"/>
          </w:tcPr>
          <w:p>
            <w:pPr>
              <w:pStyle w:val="Compact"/>
              <w:jc w:val="left"/>
            </w:pPr>
            <w:r>
              <w:rPr>
                <w:b/>
                <w:bCs/>
              </w:rPr>
              <w:t xml:space="preserve">U1/D1</w:t>
            </w:r>
            <w:r>
              <w:t xml:space="preserve"> </w:t>
            </w:r>
            <w:r>
              <w:t xml:space="preserve">- Personal Resources (label: personal resources)</w:t>
            </w:r>
          </w:p>
        </w:tc>
        <w:tc>
          <w:tcPr>
            <w:tcMar>
              <w:top w:w="80" w:type="dxa"/>
              <w:start w:w="90" w:type="dxa"/>
              <w:bottom w:w="80" w:type="dxa"/>
              <w:end w:w="90" w:type="dxa"/>
            </w:tcMar>
            <w:shd w:fill="F7FBFF" w:val="clear"/>
          </w:tcPr>
          <w:p>
            <w:pPr>
              <w:pStyle w:val="Compact"/>
              <w:jc w:val="left"/>
            </w:pPr>
            <w:r>
              <w:t xml:space="preserve">Evidence: income and employment records; housing stability / eviction data; debt and arrears; cost-of-living and benefit uptake; Gate classes: Ordinary welfare. Uncertainty: Standard assessment. Interpretation: Ordinary welfare in most cases; can escalate to rights-covered where a subsistence or social-minimum floor is legally recognised.</w:t>
            </w:r>
          </w:p>
        </w:tc>
        <w:tc>
          <w:tcPr>
            <w:tcMar>
              <w:top w:w="80" w:type="dxa"/>
              <w:start w:w="90" w:type="dxa"/>
              <w:bottom w:w="80" w:type="dxa"/>
              <w:end w:w="90" w:type="dxa"/>
            </w:tcMar>
            <w:shd w:fill="F7FBFF" w:val="clear"/>
          </w:tcPr>
          <w:p>
            <w:pPr>
              <w:pStyle w:val="Compact"/>
              <w:jc w:val="left"/>
            </w:pPr>
            <w:r>
              <w:t xml:space="preserve">Example: A wage policy that lifts low-income workers above a local living-wage line improves U1/D1.; Reviewer check: A reviewer checks whether the income/housing change is measured against a declared baseline cohort, not anecdote.</w:t>
            </w:r>
          </w:p>
        </w:tc>
      </w:tr>
      <w:tr>
        <w:trPr/>
        <w:tc>
          <w:tcPr>
            <w:tcMar>
              <w:top w:w="80" w:type="dxa"/>
              <w:start w:w="90" w:type="dxa"/>
              <w:bottom w:w="80" w:type="dxa"/>
              <w:end w:w="90" w:type="dxa"/>
            </w:tcMar>
            <w:shd w:fill="D9EAF7" w:val="clear"/>
          </w:tcPr>
          <w:p>
            <w:pPr>
              <w:pStyle w:val="Compact"/>
              <w:jc w:val="left"/>
            </w:pPr>
            <w:r>
              <w:rPr>
                <w:b/>
                <w:bCs/>
              </w:rPr>
              <w:t xml:space="preserve">U1/D2</w:t>
            </w:r>
            <w:r>
              <w:t xml:space="preserve"> </w:t>
            </w:r>
            <w:r>
              <w:t xml:space="preserve">- Personal Health (label: personal health)</w:t>
            </w:r>
          </w:p>
        </w:tc>
        <w:tc>
          <w:tcPr>
            <w:tcMar>
              <w:top w:w="80" w:type="dxa"/>
              <w:start w:w="90" w:type="dxa"/>
              <w:bottom w:w="80" w:type="dxa"/>
              <w:end w:w="90" w:type="dxa"/>
            </w:tcMar>
            <w:shd w:fill="D9EAF7" w:val="clear"/>
          </w:tcPr>
          <w:p>
            <w:pPr>
              <w:pStyle w:val="Compact"/>
              <w:jc w:val="left"/>
            </w:pPr>
            <w:r>
              <w:t xml:space="preserve">Evidence: morbidity / mortality data; care access and waiting times; injury and exposure records; validated mental-health measures; Gate classes: Rights Floor; Ordinary welfare. Uncertainty: Standard assessment. Interpretation: Frequently rights-covered: bodily integrity and access-to-care floors can trigger NCRC. Severe individual harm escalates regardless of aggregate benefit.</w:t>
            </w:r>
          </w:p>
        </w:tc>
        <w:tc>
          <w:tcPr>
            <w:tcMar>
              <w:top w:w="80" w:type="dxa"/>
              <w:start w:w="90" w:type="dxa"/>
              <w:bottom w:w="80" w:type="dxa"/>
              <w:end w:w="90" w:type="dxa"/>
            </w:tcMar>
            <w:shd w:fill="D9EAF7" w:val="clear"/>
          </w:tcPr>
          <w:p>
            <w:pPr>
              <w:pStyle w:val="Compact"/>
              <w:jc w:val="left"/>
            </w:pPr>
            <w:r>
              <w:t xml:space="preserve">Example: A treatment-access change that removes a barrier for a chronic-illness group improves U1/D2.; Reviewer check: A reviewer asks whether a claimed health gain rests on outcome data or only on inputs (e.g. clinics built ≠ health improved).</w:t>
            </w:r>
          </w:p>
        </w:tc>
      </w:tr>
      <w:tr>
        <w:trPr/>
        <w:tc>
          <w:tcPr>
            <w:tcMar>
              <w:top w:w="80" w:type="dxa"/>
              <w:start w:w="90" w:type="dxa"/>
              <w:bottom w:w="80" w:type="dxa"/>
              <w:end w:w="90" w:type="dxa"/>
            </w:tcMar>
            <w:shd w:fill="F7FBFF" w:val="clear"/>
          </w:tcPr>
          <w:p>
            <w:pPr>
              <w:pStyle w:val="Compact"/>
              <w:jc w:val="left"/>
            </w:pPr>
            <w:r>
              <w:rPr>
                <w:b/>
                <w:bCs/>
              </w:rPr>
              <w:t xml:space="preserve">U1/D3</w:t>
            </w:r>
            <w:r>
              <w:t xml:space="preserve"> </w:t>
            </w:r>
            <w:r>
              <w:t xml:space="preserve">- Relationships (label: relationships)</w:t>
            </w:r>
          </w:p>
        </w:tc>
        <w:tc>
          <w:tcPr>
            <w:tcMar>
              <w:top w:w="80" w:type="dxa"/>
              <w:start w:w="90" w:type="dxa"/>
              <w:bottom w:w="80" w:type="dxa"/>
              <w:end w:w="90" w:type="dxa"/>
            </w:tcMar>
            <w:shd w:fill="F7FBFF" w:val="clear"/>
          </w:tcPr>
          <w:p>
            <w:pPr>
              <w:pStyle w:val="Compact"/>
              <w:jc w:val="left"/>
            </w:pPr>
            <w:r>
              <w:t xml:space="preserve">Evidence: loneliness / connection surveys; support-network mapping; separation or displacement records; Gate classes: Ordinary welfare. Uncertainty: Explicitly elevated. Interpretation: Usually ordinary welfare; measurement is often soft, so uncertainty should be marked explicitly.</w:t>
            </w:r>
          </w:p>
        </w:tc>
        <w:tc>
          <w:tcPr>
            <w:tcMar>
              <w:top w:w="80" w:type="dxa"/>
              <w:start w:w="90" w:type="dxa"/>
              <w:bottom w:w="80" w:type="dxa"/>
              <w:end w:w="90" w:type="dxa"/>
            </w:tcMar>
            <w:shd w:fill="F7FBFF" w:val="clear"/>
          </w:tcPr>
          <w:p>
            <w:pPr>
              <w:pStyle w:val="Compact"/>
              <w:jc w:val="left"/>
            </w:pPr>
            <w:r>
              <w:t xml:space="preserve">Example: A relocation program that keeps support networks intact protects U1/D3.; Reviewer check: A reviewer challenges whether a relationship claim is evidenced or inferred from a proxy like attendance.</w:t>
            </w:r>
          </w:p>
        </w:tc>
      </w:tr>
      <w:tr>
        <w:trPr/>
        <w:tc>
          <w:tcPr>
            <w:tcMar>
              <w:top w:w="80" w:type="dxa"/>
              <w:start w:w="90" w:type="dxa"/>
              <w:bottom w:w="80" w:type="dxa"/>
              <w:end w:w="90" w:type="dxa"/>
            </w:tcMar>
            <w:shd w:fill="D9EAF7" w:val="clear"/>
          </w:tcPr>
          <w:p>
            <w:pPr>
              <w:pStyle w:val="Compact"/>
              <w:jc w:val="left"/>
            </w:pPr>
            <w:r>
              <w:rPr>
                <w:b/>
                <w:bCs/>
              </w:rPr>
              <w:t xml:space="preserve">U1/D4</w:t>
            </w:r>
            <w:r>
              <w:t xml:space="preserve"> </w:t>
            </w:r>
            <w:r>
              <w:t xml:space="preserve">- Learning (label: learning)</w:t>
            </w:r>
          </w:p>
        </w:tc>
        <w:tc>
          <w:tcPr>
            <w:tcMar>
              <w:top w:w="80" w:type="dxa"/>
              <w:start w:w="90" w:type="dxa"/>
              <w:bottom w:w="80" w:type="dxa"/>
              <w:end w:w="90" w:type="dxa"/>
            </w:tcMar>
            <w:shd w:fill="D9EAF7" w:val="clear"/>
          </w:tcPr>
          <w:p>
            <w:pPr>
              <w:pStyle w:val="Compact"/>
              <w:jc w:val="left"/>
            </w:pPr>
            <w:r>
              <w:t xml:space="preserve">Evidence: enrolment and completion; skills assessments; access and dropout data; Gate classes: Ordinary welfare. Uncertainty: Standard assessment. Interpretation: Ordinary welfare; can touch rights where a basic-education entitlement exists.</w:t>
            </w:r>
          </w:p>
        </w:tc>
        <w:tc>
          <w:tcPr>
            <w:tcMar>
              <w:top w:w="80" w:type="dxa"/>
              <w:start w:w="90" w:type="dxa"/>
              <w:bottom w:w="80" w:type="dxa"/>
              <w:end w:w="90" w:type="dxa"/>
            </w:tcMar>
            <w:shd w:fill="D9EAF7" w:val="clear"/>
          </w:tcPr>
          <w:p>
            <w:pPr>
              <w:pStyle w:val="Compact"/>
              <w:jc w:val="left"/>
            </w:pPr>
            <w:r>
              <w:t xml:space="preserve">Example: A reskilling program for displaced workers improves U1/D4.; Reviewer check: A reviewer asks whether learning outcomes are demonstrated or only opportunity offered.</w:t>
            </w:r>
          </w:p>
        </w:tc>
      </w:tr>
      <w:tr>
        <w:trPr/>
        <w:tc>
          <w:tcPr>
            <w:tcMar>
              <w:top w:w="80" w:type="dxa"/>
              <w:start w:w="90" w:type="dxa"/>
              <w:bottom w:w="80" w:type="dxa"/>
              <w:end w:w="90" w:type="dxa"/>
            </w:tcMar>
            <w:shd w:fill="F7FBFF" w:val="clear"/>
          </w:tcPr>
          <w:p>
            <w:pPr>
              <w:pStyle w:val="Compact"/>
              <w:jc w:val="left"/>
            </w:pPr>
            <w:r>
              <w:rPr>
                <w:b/>
                <w:bCs/>
              </w:rPr>
              <w:t xml:space="preserve">U1/D5</w:t>
            </w:r>
            <w:r>
              <w:t xml:space="preserve"> </w:t>
            </w:r>
            <w:r>
              <w:t xml:space="preserve">- Personal Agency (label: autonomy)</w:t>
            </w:r>
          </w:p>
        </w:tc>
        <w:tc>
          <w:tcPr>
            <w:tcMar>
              <w:top w:w="80" w:type="dxa"/>
              <w:start w:w="90" w:type="dxa"/>
              <w:bottom w:w="80" w:type="dxa"/>
              <w:end w:w="90" w:type="dxa"/>
            </w:tcMar>
            <w:shd w:fill="F7FBFF" w:val="clear"/>
          </w:tcPr>
          <w:p>
            <w:pPr>
              <w:pStyle w:val="Compact"/>
              <w:jc w:val="left"/>
            </w:pPr>
            <w:r>
              <w:t xml:space="preserve">Evidence: consent quality; availability of alternatives / opt-out; coercion complaints; mobility and accessibility data; applicable legal protections; Gate classes: Rights Floor; Ordinary welfare. Uncertainty: Standard assessment. Interpretation: Often rights-covered. Triggers NCRC when liberty, bodily integrity, due process, dignity, or information rights are impaired — non-compensatory regardless of welfare gains elsewhere.</w:t>
            </w:r>
          </w:p>
        </w:tc>
        <w:tc>
          <w:tcPr>
            <w:tcMar>
              <w:top w:w="80" w:type="dxa"/>
              <w:start w:w="90" w:type="dxa"/>
              <w:bottom w:w="80" w:type="dxa"/>
              <w:end w:w="90" w:type="dxa"/>
            </w:tcMar>
            <w:shd w:fill="F7FBFF" w:val="clear"/>
          </w:tcPr>
          <w:p>
            <w:pPr>
              <w:pStyle w:val="Compact"/>
              <w:jc w:val="left"/>
            </w:pPr>
            <w:r>
              <w:t xml:space="preserve">Example: A transport policy that gives disabled residents reliable independent mobility improves U1/D5.; Reviewer check: A reviewer tests whether consent was genuine and revocable, or merely formal.</w:t>
            </w:r>
          </w:p>
        </w:tc>
      </w:tr>
      <w:tr>
        <w:trPr/>
        <w:tc>
          <w:tcPr>
            <w:tcMar>
              <w:top w:w="80" w:type="dxa"/>
              <w:start w:w="90" w:type="dxa"/>
              <w:bottom w:w="80" w:type="dxa"/>
              <w:end w:w="90" w:type="dxa"/>
            </w:tcMar>
            <w:shd w:fill="D9EAF7" w:val="clear"/>
          </w:tcPr>
          <w:p>
            <w:pPr>
              <w:pStyle w:val="Compact"/>
              <w:jc w:val="left"/>
            </w:pPr>
            <w:r>
              <w:rPr>
                <w:b/>
                <w:bCs/>
              </w:rPr>
              <w:t xml:space="preserve">U1/D6</w:t>
            </w:r>
            <w:r>
              <w:t xml:space="preserve"> </w:t>
            </w:r>
            <w:r>
              <w:t xml:space="preserve">- Purpose (label: purpose)</w:t>
            </w:r>
          </w:p>
        </w:tc>
        <w:tc>
          <w:tcPr>
            <w:tcMar>
              <w:top w:w="80" w:type="dxa"/>
              <w:start w:w="90" w:type="dxa"/>
              <w:bottom w:w="80" w:type="dxa"/>
              <w:end w:w="90" w:type="dxa"/>
            </w:tcMar>
            <w:shd w:fill="D9EAF7" w:val="clear"/>
          </w:tcPr>
          <w:p>
            <w:pPr>
              <w:pStyle w:val="Compact"/>
              <w:jc w:val="left"/>
            </w:pPr>
            <w:r>
              <w:t xml:space="preserve">Evidence: dignity / recognition measures; role and identity surveys; qualitative testimony; Gate classes: Rights Floor. Uncertainty: Explicitly elevated. Interpretation: Can be rights-covered where human dignity is implicated; otherwise ordinary. Often hard to measure — mark uncertainty.</w:t>
            </w:r>
          </w:p>
        </w:tc>
        <w:tc>
          <w:tcPr>
            <w:tcMar>
              <w:top w:w="80" w:type="dxa"/>
              <w:start w:w="90" w:type="dxa"/>
              <w:bottom w:w="80" w:type="dxa"/>
              <w:end w:w="90" w:type="dxa"/>
            </w:tcMar>
            <w:shd w:fill="D9EAF7" w:val="clear"/>
          </w:tcPr>
          <w:p>
            <w:pPr>
              <w:pStyle w:val="Compact"/>
              <w:jc w:val="left"/>
            </w:pPr>
            <w:r>
              <w:t xml:space="preserve">Example: A program that treats welfare recipients with dignified, non-stigmatising processes supports U1/D6.; Reviewer check: A reviewer distinguishes a genuine dignity effect from sentiment unsupported by experience data.</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U1/D7</w:t>
            </w:r>
            <w:r>
              <w:t xml:space="preserve"> </w:t>
            </w:r>
            <w:r>
              <w:t xml:space="preserve">- Local Conditions (label: local conditions)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Evidence: local air/water/noise monitoring; hazard proximity; exposure records; Gate classes: Rights Floor; Ordinary welfare. Uncertainty: Standard assessment. Interpretation: Ordinary welfare; can become rights-covered under environmental-health protections and disproportionate-exposure (environmental-justice) concerns.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Example: A factory buffer-zone rule that cuts a household’s pollutant exposure improves U1/D7.; Reviewer check: A reviewer checks measured exposure change against the affected location, not a city-wide average.</w:t>
            </w:r>
          </w:p>
        </w:tc>
      </w:tr>
    </w:tbl>
    <w:bookmarkEnd w:id="647"/>
    <w:bookmarkStart w:id="648" w:name="u2-household---meaning-and-movement"/>
    <w:p>
      <w:pPr>
        <w:pStyle w:val="Heading3"/>
        <w:keepNext/>
        <w:keepLines/>
        <w:pageBreakBefore w:val="0"/>
        <w:widowControl/>
      </w:pPr>
      <w:r>
        <w:rPr>
          <w:rFonts w:ascii="Arial" w:hAnsi="Arial" w:eastAsia="Arial"/>
          <w:b/>
          <w:color w:val="1F4E78"/>
        </w:rPr>
        <w:t xml:space="preserve">U2 Household - meaning and movement</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What this cell measures</w:t>
            </w:r>
          </w:p>
        </w:tc>
        <w:tc>
          <w:tcPr>
            <w:shd w:fill="1F4E78" w:val="clear"/>
            <w:tcMar>
              <w:top w:w="80" w:type="dxa"/>
              <w:start w:w="90" w:type="dxa"/>
              <w:bottom w:w="80" w:type="dxa"/>
              <w:end w:w="90" w:type="dxa"/>
            </w:tcMar>
          </w:tcPr>
          <w:p>
            <w:pPr>
              <w:pStyle w:val="Compact"/>
              <w:jc w:val="left"/>
            </w:pPr>
            <w:r>
              <w:rPr>
                <w:b/>
                <w:bCs/>
                <w:color w:val="FFFFFF"/>
              </w:rPr>
              <w:t xml:space="preserve">+ Benefit</w:t>
            </w:r>
          </w:p>
        </w:tc>
        <w:tc>
          <w:tcPr>
            <w:shd w:fill="1F4E78" w:val="clear"/>
            <w:tcMar>
              <w:top w:w="80" w:type="dxa"/>
              <w:start w:w="90" w:type="dxa"/>
              <w:bottom w:w="80" w:type="dxa"/>
              <w:end w:w="90" w:type="dxa"/>
            </w:tcMar>
          </w:tcPr>
          <w:p>
            <w:pPr>
              <w:pStyle w:val="Compact"/>
              <w:jc w:val="left"/>
            </w:pPr>
            <w:r>
              <w:rPr>
                <w:b/>
                <w:bCs/>
                <w:color w:val="FFFFFF"/>
              </w:rPr>
              <w:t xml:space="preserve">- Harm</w:t>
            </w:r>
          </w:p>
        </w:tc>
      </w:tr>
      <w:tr>
        <w:trPr/>
        <w:tc>
          <w:tcPr>
            <w:tcMar>
              <w:top w:w="80" w:type="dxa"/>
              <w:start w:w="90" w:type="dxa"/>
              <w:bottom w:w="80" w:type="dxa"/>
              <w:end w:w="90" w:type="dxa"/>
            </w:tcMar>
            <w:shd w:fill="F7FBFF" w:val="clear"/>
          </w:tcPr>
          <w:p>
            <w:pPr>
              <w:pStyle w:val="Compact"/>
              <w:jc w:val="left"/>
            </w:pPr>
            <w:r>
              <w:rPr>
                <w:b/>
                <w:bCs/>
              </w:rPr>
              <w:t xml:space="preserve">U2/D1</w:t>
            </w:r>
            <w:r>
              <w:t xml:space="preserve"> </w:t>
            </w:r>
            <w:r>
              <w:t xml:space="preserve">- Household Resources (label: household resources)</w:t>
            </w:r>
          </w:p>
        </w:tc>
        <w:tc>
          <w:tcPr>
            <w:tcMar>
              <w:top w:w="80" w:type="dxa"/>
              <w:start w:w="90" w:type="dxa"/>
              <w:bottom w:w="80" w:type="dxa"/>
              <w:end w:w="90" w:type="dxa"/>
            </w:tcMar>
            <w:shd w:fill="F7FBFF" w:val="clear"/>
          </w:tcPr>
          <w:p>
            <w:pPr>
              <w:pStyle w:val="Compact"/>
              <w:jc w:val="left"/>
            </w:pPr>
            <w:r>
              <w:t xml:space="preserve">The economic security of the household unit: shared income, assets, housing, and ability to meet needs.</w:t>
            </w:r>
          </w:p>
        </w:tc>
        <w:tc>
          <w:tcPr>
            <w:tcMar>
              <w:top w:w="80" w:type="dxa"/>
              <w:start w:w="90" w:type="dxa"/>
              <w:bottom w:w="80" w:type="dxa"/>
              <w:end w:w="90" w:type="dxa"/>
            </w:tcMar>
            <w:shd w:fill="F7FBFF" w:val="clear"/>
          </w:tcPr>
          <w:p>
            <w:pPr>
              <w:pStyle w:val="Compact"/>
              <w:jc w:val="left"/>
            </w:pPr>
            <w:r>
              <w:t xml:space="preserve">Improved household finances, housing security, reduced shared debt.</w:t>
            </w:r>
          </w:p>
        </w:tc>
        <w:tc>
          <w:tcPr>
            <w:tcMar>
              <w:top w:w="80" w:type="dxa"/>
              <w:start w:w="90" w:type="dxa"/>
              <w:bottom w:w="80" w:type="dxa"/>
              <w:end w:w="90" w:type="dxa"/>
            </w:tcMar>
            <w:shd w:fill="F7FBFF" w:val="clear"/>
          </w:tcPr>
          <w:p>
            <w:pPr>
              <w:pStyle w:val="Compact"/>
              <w:jc w:val="left"/>
            </w:pPr>
            <w:r>
              <w:t xml:space="preserve">Household impoverishment, housing loss, debt, inability to meet needs.</w:t>
            </w:r>
          </w:p>
        </w:tc>
      </w:tr>
      <w:tr>
        <w:trPr/>
        <w:tc>
          <w:tcPr>
            <w:tcMar>
              <w:top w:w="80" w:type="dxa"/>
              <w:start w:w="90" w:type="dxa"/>
              <w:bottom w:w="80" w:type="dxa"/>
              <w:end w:w="90" w:type="dxa"/>
            </w:tcMar>
            <w:shd w:fill="D9EAF7" w:val="clear"/>
          </w:tcPr>
          <w:p>
            <w:pPr>
              <w:pStyle w:val="Compact"/>
              <w:jc w:val="left"/>
            </w:pPr>
            <w:r>
              <w:rPr>
                <w:b/>
                <w:bCs/>
              </w:rPr>
              <w:t xml:space="preserve">U2/D2</w:t>
            </w:r>
            <w:r>
              <w:t xml:space="preserve"> </w:t>
            </w:r>
            <w:r>
              <w:t xml:space="preserve">- Household Health (label: household health)</w:t>
            </w:r>
          </w:p>
        </w:tc>
        <w:tc>
          <w:tcPr>
            <w:tcMar>
              <w:top w:w="80" w:type="dxa"/>
              <w:start w:w="90" w:type="dxa"/>
              <w:bottom w:w="80" w:type="dxa"/>
              <w:end w:w="90" w:type="dxa"/>
            </w:tcMar>
            <w:shd w:fill="D9EAF7" w:val="clear"/>
          </w:tcPr>
          <w:p>
            <w:pPr>
              <w:pStyle w:val="Compact"/>
              <w:jc w:val="left"/>
            </w:pPr>
            <w:r>
              <w:t xml:space="preserve">The collective physical and mental health and safety of household members, including dependents.</w:t>
            </w:r>
          </w:p>
        </w:tc>
        <w:tc>
          <w:tcPr>
            <w:tcMar>
              <w:top w:w="80" w:type="dxa"/>
              <w:start w:w="90" w:type="dxa"/>
              <w:bottom w:w="80" w:type="dxa"/>
              <w:end w:w="90" w:type="dxa"/>
            </w:tcMar>
            <w:shd w:fill="D9EAF7" w:val="clear"/>
          </w:tcPr>
          <w:p>
            <w:pPr>
              <w:pStyle w:val="Compact"/>
              <w:jc w:val="left"/>
            </w:pPr>
            <w:r>
              <w:t xml:space="preserve">Better shared health, safer home, improved care for dependents and caregivers.</w:t>
            </w:r>
          </w:p>
        </w:tc>
        <w:tc>
          <w:tcPr>
            <w:tcMar>
              <w:top w:w="80" w:type="dxa"/>
              <w:start w:w="90" w:type="dxa"/>
              <w:bottom w:w="80" w:type="dxa"/>
              <w:end w:w="90" w:type="dxa"/>
            </w:tcMar>
            <w:shd w:fill="D9EAF7" w:val="clear"/>
          </w:tcPr>
          <w:p>
            <w:pPr>
              <w:pStyle w:val="Compact"/>
              <w:jc w:val="left"/>
            </w:pPr>
            <w:r>
              <w:t xml:space="preserve">Household illness, unsafe housing, caregiver burnout, harm to dependents.</w:t>
            </w:r>
          </w:p>
        </w:tc>
      </w:tr>
      <w:tr>
        <w:trPr/>
        <w:tc>
          <w:tcPr>
            <w:tcMar>
              <w:top w:w="80" w:type="dxa"/>
              <w:start w:w="90" w:type="dxa"/>
              <w:bottom w:w="80" w:type="dxa"/>
              <w:end w:w="90" w:type="dxa"/>
            </w:tcMar>
            <w:shd w:fill="F7FBFF" w:val="clear"/>
          </w:tcPr>
          <w:p>
            <w:pPr>
              <w:pStyle w:val="Compact"/>
              <w:jc w:val="left"/>
            </w:pPr>
            <w:r>
              <w:rPr>
                <w:b/>
                <w:bCs/>
              </w:rPr>
              <w:t xml:space="preserve">U2/D3</w:t>
            </w:r>
            <w:r>
              <w:t xml:space="preserve"> </w:t>
            </w:r>
            <w:r>
              <w:t xml:space="preserve">- Family Cohesion (label: family cohesion)</w:t>
            </w:r>
          </w:p>
        </w:tc>
        <w:tc>
          <w:tcPr>
            <w:tcMar>
              <w:top w:w="80" w:type="dxa"/>
              <w:start w:w="90" w:type="dxa"/>
              <w:bottom w:w="80" w:type="dxa"/>
              <w:end w:w="90" w:type="dxa"/>
            </w:tcMar>
            <w:shd w:fill="F7FBFF" w:val="clear"/>
          </w:tcPr>
          <w:p>
            <w:pPr>
              <w:pStyle w:val="Compact"/>
              <w:jc w:val="left"/>
            </w:pPr>
            <w:r>
              <w:t xml:space="preserve">The strength, stability, and supportive quality of relationships within the household.</w:t>
            </w:r>
          </w:p>
        </w:tc>
        <w:tc>
          <w:tcPr>
            <w:tcMar>
              <w:top w:w="80" w:type="dxa"/>
              <w:start w:w="90" w:type="dxa"/>
              <w:bottom w:w="80" w:type="dxa"/>
              <w:end w:w="90" w:type="dxa"/>
            </w:tcMar>
            <w:shd w:fill="F7FBFF" w:val="clear"/>
          </w:tcPr>
          <w:p>
            <w:pPr>
              <w:pStyle w:val="Compact"/>
              <w:jc w:val="left"/>
            </w:pPr>
            <w:r>
              <w:t xml:space="preserve">Stronger family bonds, stability, reduced conflict, kept-together units.</w:t>
            </w:r>
          </w:p>
        </w:tc>
        <w:tc>
          <w:tcPr>
            <w:tcMar>
              <w:top w:w="80" w:type="dxa"/>
              <w:start w:w="90" w:type="dxa"/>
              <w:bottom w:w="80" w:type="dxa"/>
              <w:end w:w="90" w:type="dxa"/>
            </w:tcMar>
            <w:shd w:fill="F7FBFF" w:val="clear"/>
          </w:tcPr>
          <w:p>
            <w:pPr>
              <w:pStyle w:val="Compact"/>
              <w:jc w:val="left"/>
            </w:pPr>
            <w:r>
              <w:t xml:space="preserve">Family breakdown, forced separation, household conflict, instability.</w:t>
            </w:r>
          </w:p>
        </w:tc>
      </w:tr>
      <w:tr>
        <w:trPr/>
        <w:tc>
          <w:tcPr>
            <w:tcMar>
              <w:top w:w="80" w:type="dxa"/>
              <w:start w:w="90" w:type="dxa"/>
              <w:bottom w:w="80" w:type="dxa"/>
              <w:end w:w="90" w:type="dxa"/>
            </w:tcMar>
            <w:shd w:fill="D9EAF7" w:val="clear"/>
          </w:tcPr>
          <w:p>
            <w:pPr>
              <w:pStyle w:val="Compact"/>
              <w:jc w:val="left"/>
            </w:pPr>
            <w:r>
              <w:rPr>
                <w:b/>
                <w:bCs/>
              </w:rPr>
              <w:t xml:space="preserve">U2/D4</w:t>
            </w:r>
            <w:r>
              <w:t xml:space="preserve"> </w:t>
            </w:r>
            <w:r>
              <w:t xml:space="preserve">- Shared Learning (label: shared learning)</w:t>
            </w:r>
          </w:p>
        </w:tc>
        <w:tc>
          <w:tcPr>
            <w:tcMar>
              <w:top w:w="80" w:type="dxa"/>
              <w:start w:w="90" w:type="dxa"/>
              <w:bottom w:w="80" w:type="dxa"/>
              <w:end w:w="90" w:type="dxa"/>
            </w:tcMar>
            <w:shd w:fill="D9EAF7" w:val="clear"/>
          </w:tcPr>
          <w:p>
            <w:pPr>
              <w:pStyle w:val="Compact"/>
              <w:jc w:val="left"/>
            </w:pPr>
            <w:r>
              <w:t xml:space="preserve">The household’s collective access to information, education, and learning capacity.</w:t>
            </w:r>
          </w:p>
        </w:tc>
        <w:tc>
          <w:tcPr>
            <w:tcMar>
              <w:top w:w="80" w:type="dxa"/>
              <w:start w:w="90" w:type="dxa"/>
              <w:bottom w:w="80" w:type="dxa"/>
              <w:end w:w="90" w:type="dxa"/>
            </w:tcMar>
            <w:shd w:fill="D9EAF7" w:val="clear"/>
          </w:tcPr>
          <w:p>
            <w:pPr>
              <w:pStyle w:val="Compact"/>
              <w:jc w:val="left"/>
            </w:pPr>
            <w:r>
              <w:t xml:space="preserve">Better shared access to education and information, intergenerational learning.</w:t>
            </w:r>
          </w:p>
        </w:tc>
        <w:tc>
          <w:tcPr>
            <w:tcMar>
              <w:top w:w="80" w:type="dxa"/>
              <w:start w:w="90" w:type="dxa"/>
              <w:bottom w:w="80" w:type="dxa"/>
              <w:end w:w="90" w:type="dxa"/>
            </w:tcMar>
            <w:shd w:fill="D9EAF7" w:val="clear"/>
          </w:tcPr>
          <w:p>
            <w:pPr>
              <w:pStyle w:val="Compact"/>
              <w:jc w:val="left"/>
            </w:pPr>
            <w:r>
              <w:t xml:space="preserve">Loss of household educational access, information poverty.</w:t>
            </w:r>
          </w:p>
        </w:tc>
      </w:tr>
      <w:tr>
        <w:trPr/>
        <w:tc>
          <w:tcPr>
            <w:tcMar>
              <w:top w:w="80" w:type="dxa"/>
              <w:start w:w="90" w:type="dxa"/>
              <w:bottom w:w="80" w:type="dxa"/>
              <w:end w:w="90" w:type="dxa"/>
            </w:tcMar>
            <w:shd w:fill="F7FBFF" w:val="clear"/>
          </w:tcPr>
          <w:p>
            <w:pPr>
              <w:pStyle w:val="Compact"/>
              <w:jc w:val="left"/>
            </w:pPr>
            <w:r>
              <w:rPr>
                <w:b/>
                <w:bCs/>
              </w:rPr>
              <w:t xml:space="preserve">U2/D5</w:t>
            </w:r>
            <w:r>
              <w:t xml:space="preserve"> </w:t>
            </w:r>
            <w:r>
              <w:t xml:space="preserve">- Household Agency (label: household agency)</w:t>
            </w:r>
          </w:p>
        </w:tc>
        <w:tc>
          <w:tcPr>
            <w:tcMar>
              <w:top w:w="80" w:type="dxa"/>
              <w:start w:w="90" w:type="dxa"/>
              <w:bottom w:w="80" w:type="dxa"/>
              <w:end w:w="90" w:type="dxa"/>
            </w:tcMar>
            <w:shd w:fill="F7FBFF" w:val="clear"/>
          </w:tcPr>
          <w:p>
            <w:pPr>
              <w:pStyle w:val="Compact"/>
              <w:jc w:val="left"/>
            </w:pPr>
            <w:r>
              <w:t xml:space="preserve">The household’s collective ability to make decisions, plan, and control its own circumstances.</w:t>
            </w:r>
          </w:p>
        </w:tc>
        <w:tc>
          <w:tcPr>
            <w:tcMar>
              <w:top w:w="80" w:type="dxa"/>
              <w:start w:w="90" w:type="dxa"/>
              <w:bottom w:w="80" w:type="dxa"/>
              <w:end w:w="90" w:type="dxa"/>
            </w:tcMar>
            <w:shd w:fill="F7FBFF" w:val="clear"/>
          </w:tcPr>
          <w:p>
            <w:pPr>
              <w:pStyle w:val="Compact"/>
              <w:jc w:val="left"/>
            </w:pPr>
            <w:r>
              <w:t xml:space="preserve">Greater household self-determination, planning ability, freedom from external control.</w:t>
            </w:r>
          </w:p>
        </w:tc>
        <w:tc>
          <w:tcPr>
            <w:tcMar>
              <w:top w:w="80" w:type="dxa"/>
              <w:start w:w="90" w:type="dxa"/>
              <w:bottom w:w="80" w:type="dxa"/>
              <w:end w:w="90" w:type="dxa"/>
            </w:tcMar>
            <w:shd w:fill="F7FBFF" w:val="clear"/>
          </w:tcPr>
          <w:p>
            <w:pPr>
              <w:pStyle w:val="Compact"/>
              <w:jc w:val="left"/>
            </w:pPr>
            <w:r>
              <w:t xml:space="preserve">Loss of household control, externally imposed decisions, dependency.</w:t>
            </w:r>
          </w:p>
        </w:tc>
      </w:tr>
      <w:tr>
        <w:trPr/>
        <w:tc>
          <w:tcPr>
            <w:tcMar>
              <w:top w:w="80" w:type="dxa"/>
              <w:start w:w="90" w:type="dxa"/>
              <w:bottom w:w="80" w:type="dxa"/>
              <w:end w:w="90" w:type="dxa"/>
            </w:tcMar>
            <w:shd w:fill="D9EAF7" w:val="clear"/>
          </w:tcPr>
          <w:p>
            <w:pPr>
              <w:pStyle w:val="Compact"/>
              <w:jc w:val="left"/>
            </w:pPr>
            <w:r>
              <w:rPr>
                <w:b/>
                <w:bCs/>
              </w:rPr>
              <w:t xml:space="preserve">U2/D6</w:t>
            </w:r>
            <w:r>
              <w:t xml:space="preserve"> </w:t>
            </w:r>
            <w:r>
              <w:t xml:space="preserve">- Family Meaning (label: family meaning)</w:t>
            </w:r>
          </w:p>
        </w:tc>
        <w:tc>
          <w:tcPr>
            <w:tcMar>
              <w:top w:w="80" w:type="dxa"/>
              <w:start w:w="90" w:type="dxa"/>
              <w:bottom w:w="80" w:type="dxa"/>
              <w:end w:w="90" w:type="dxa"/>
            </w:tcMar>
            <w:shd w:fill="D9EAF7" w:val="clear"/>
          </w:tcPr>
          <w:p>
            <w:pPr>
              <w:pStyle w:val="Compact"/>
              <w:jc w:val="left"/>
            </w:pPr>
            <w:r>
              <w:t xml:space="preserve">The household’s shared sense of identity, belonging, dignity, and purpose.</w:t>
            </w:r>
          </w:p>
        </w:tc>
        <w:tc>
          <w:tcPr>
            <w:tcMar>
              <w:top w:w="80" w:type="dxa"/>
              <w:start w:w="90" w:type="dxa"/>
              <w:bottom w:w="80" w:type="dxa"/>
              <w:end w:w="90" w:type="dxa"/>
            </w:tcMar>
            <w:shd w:fill="D9EAF7" w:val="clear"/>
          </w:tcPr>
          <w:p>
            <w:pPr>
              <w:pStyle w:val="Compact"/>
              <w:jc w:val="left"/>
            </w:pPr>
            <w:r>
              <w:t xml:space="preserve">Stronger shared identity, belonging, dignity, and continuity.</w:t>
            </w:r>
          </w:p>
        </w:tc>
        <w:tc>
          <w:tcPr>
            <w:tcMar>
              <w:top w:w="80" w:type="dxa"/>
              <w:start w:w="90" w:type="dxa"/>
              <w:bottom w:w="80" w:type="dxa"/>
              <w:end w:w="90" w:type="dxa"/>
            </w:tcMar>
            <w:shd w:fill="D9EAF7" w:val="clear"/>
          </w:tcPr>
          <w:p>
            <w:pPr>
              <w:pStyle w:val="Compact"/>
              <w:jc w:val="left"/>
            </w:pPr>
            <w:r>
              <w:t xml:space="preserve">Loss of household identity, stigma, indignity, eroded belonging.</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U2/D7</w:t>
            </w:r>
            <w:r>
              <w:t xml:space="preserve"> </w:t>
            </w:r>
            <w:r>
              <w:t xml:space="preserve">- Home Environment (label: home environment)</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The physical environmental quality of the home and its immediate setting.</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Healthier home conditions, reduced indoor hazards, better surroundings.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Indoor pollution, mould, hazards, degraded immediate environment.</w:t>
            </w:r>
          </w:p>
        </w:tc>
      </w:tr>
    </w:tbl>
    <w:bookmarkEnd w:id="648"/>
    <w:bookmarkStart w:id="649" w:name="u2-household---evidence-and-review"/>
    <w:p>
      <w:pPr>
        <w:pStyle w:val="Heading3"/>
        <w:keepNext/>
        <w:keepLines/>
        <w:pageBreakBefore w:val="0"/>
        <w:widowControl/>
      </w:pPr>
      <w:r>
        <w:rPr>
          <w:rFonts w:ascii="Arial" w:hAnsi="Arial" w:eastAsia="Arial"/>
          <w:b/>
          <w:color w:val="1F4E78"/>
        </w:rPr>
        <w:t xml:space="preserve">U2 Household - evidence and review</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Evidence and gate cues</w:t>
            </w:r>
          </w:p>
        </w:tc>
        <w:tc>
          <w:tcPr>
            <w:shd w:fill="1F4E78" w:val="clear"/>
            <w:tcMar>
              <w:top w:w="80" w:type="dxa"/>
              <w:start w:w="90" w:type="dxa"/>
              <w:bottom w:w="80" w:type="dxa"/>
              <w:end w:w="90" w:type="dxa"/>
            </w:tcMar>
          </w:tcPr>
          <w:p>
            <w:pPr>
              <w:pStyle w:val="Compact"/>
              <w:jc w:val="left"/>
            </w:pPr>
            <w:r>
              <w:rPr>
                <w:b/>
                <w:bCs/>
                <w:color w:val="FFFFFF"/>
              </w:rPr>
              <w:t xml:space="preserve">Example and reviewer check</w:t>
            </w:r>
          </w:p>
        </w:tc>
      </w:tr>
      <w:tr>
        <w:trPr/>
        <w:tc>
          <w:tcPr>
            <w:tcMar>
              <w:top w:w="80" w:type="dxa"/>
              <w:start w:w="90" w:type="dxa"/>
              <w:bottom w:w="80" w:type="dxa"/>
              <w:end w:w="90" w:type="dxa"/>
            </w:tcMar>
            <w:shd w:fill="F7FBFF" w:val="clear"/>
          </w:tcPr>
          <w:p>
            <w:pPr>
              <w:pStyle w:val="Compact"/>
              <w:jc w:val="left"/>
            </w:pPr>
            <w:r>
              <w:rPr>
                <w:b/>
                <w:bCs/>
              </w:rPr>
              <w:t xml:space="preserve">U2/D1</w:t>
            </w:r>
            <w:r>
              <w:t xml:space="preserve"> </w:t>
            </w:r>
            <w:r>
              <w:t xml:space="preserve">- Household Resources (label: household resources)</w:t>
            </w:r>
          </w:p>
        </w:tc>
        <w:tc>
          <w:tcPr>
            <w:tcMar>
              <w:top w:w="80" w:type="dxa"/>
              <w:start w:w="90" w:type="dxa"/>
              <w:bottom w:w="80" w:type="dxa"/>
              <w:end w:w="90" w:type="dxa"/>
            </w:tcMar>
            <w:shd w:fill="F7FBFF" w:val="clear"/>
          </w:tcPr>
          <w:p>
            <w:pPr>
              <w:pStyle w:val="Compact"/>
              <w:jc w:val="left"/>
            </w:pPr>
            <w:r>
              <w:t xml:space="preserve">Evidence: household income and assets; housing tenure; arrears and food-security data; Gate classes: Ordinary welfare. Uncertainty: Standard assessment. Interpretation: Ordinary welfare; escalates toward rights where dependents (children, disabled members) face a subsistence floor.</w:t>
            </w:r>
          </w:p>
        </w:tc>
        <w:tc>
          <w:tcPr>
            <w:tcMar>
              <w:top w:w="80" w:type="dxa"/>
              <w:start w:w="90" w:type="dxa"/>
              <w:bottom w:w="80" w:type="dxa"/>
              <w:end w:w="90" w:type="dxa"/>
            </w:tcMar>
            <w:shd w:fill="F7FBFF" w:val="clear"/>
          </w:tcPr>
          <w:p>
            <w:pPr>
              <w:pStyle w:val="Compact"/>
              <w:jc w:val="left"/>
            </w:pPr>
            <w:r>
              <w:t xml:space="preserve">Example: A childcare subsidy that frees household income improves U2/D1.; Reviewer check: A reviewer asks whether the household, not just the earner, is the measured unit.</w:t>
            </w:r>
          </w:p>
        </w:tc>
      </w:tr>
      <w:tr>
        <w:trPr/>
        <w:tc>
          <w:tcPr>
            <w:tcMar>
              <w:top w:w="80" w:type="dxa"/>
              <w:start w:w="90" w:type="dxa"/>
              <w:bottom w:w="80" w:type="dxa"/>
              <w:end w:w="90" w:type="dxa"/>
            </w:tcMar>
            <w:shd w:fill="D9EAF7" w:val="clear"/>
          </w:tcPr>
          <w:p>
            <w:pPr>
              <w:pStyle w:val="Compact"/>
              <w:jc w:val="left"/>
            </w:pPr>
            <w:r>
              <w:rPr>
                <w:b/>
                <w:bCs/>
              </w:rPr>
              <w:t xml:space="preserve">U2/D2</w:t>
            </w:r>
            <w:r>
              <w:t xml:space="preserve"> </w:t>
            </w:r>
            <w:r>
              <w:t xml:space="preserve">- Household Health (label: household health)</w:t>
            </w:r>
          </w:p>
        </w:tc>
        <w:tc>
          <w:tcPr>
            <w:tcMar>
              <w:top w:w="80" w:type="dxa"/>
              <w:start w:w="90" w:type="dxa"/>
              <w:bottom w:w="80" w:type="dxa"/>
              <w:end w:w="90" w:type="dxa"/>
            </w:tcMar>
            <w:shd w:fill="D9EAF7" w:val="clear"/>
          </w:tcPr>
          <w:p>
            <w:pPr>
              <w:pStyle w:val="Compact"/>
              <w:jc w:val="left"/>
            </w:pPr>
            <w:r>
              <w:t xml:space="preserve">Evidence: household health surveys; home-safety inspections; caregiver-strain measures; dependent outcome data; Gate classes: Rights Floor; Ordinary welfare. Uncertainty: Standard assessment. Interpretation: Frequently rights-covered where children or dependents are affected; child welfare can trigger NCRC. Caregiver harm is easily hidden — surface it.</w:t>
            </w:r>
          </w:p>
        </w:tc>
        <w:tc>
          <w:tcPr>
            <w:tcMar>
              <w:top w:w="80" w:type="dxa"/>
              <w:start w:w="90" w:type="dxa"/>
              <w:bottom w:w="80" w:type="dxa"/>
              <w:end w:w="90" w:type="dxa"/>
            </w:tcMar>
            <w:shd w:fill="D9EAF7" w:val="clear"/>
          </w:tcPr>
          <w:p>
            <w:pPr>
              <w:pStyle w:val="Compact"/>
              <w:jc w:val="left"/>
            </w:pPr>
            <w:r>
              <w:t xml:space="preserve">Example: A home-care support program that reduces caregiver strain and improves a dependent’s health raises U2/D2.; Reviewer check: A reviewer checks that dependents and caregivers are scored separately, not blended into one household figure.</w:t>
            </w:r>
          </w:p>
        </w:tc>
      </w:tr>
      <w:tr>
        <w:trPr/>
        <w:tc>
          <w:tcPr>
            <w:tcMar>
              <w:top w:w="80" w:type="dxa"/>
              <w:start w:w="90" w:type="dxa"/>
              <w:bottom w:w="80" w:type="dxa"/>
              <w:end w:w="90" w:type="dxa"/>
            </w:tcMar>
            <w:shd w:fill="F7FBFF" w:val="clear"/>
          </w:tcPr>
          <w:p>
            <w:pPr>
              <w:pStyle w:val="Compact"/>
              <w:jc w:val="left"/>
            </w:pPr>
            <w:r>
              <w:rPr>
                <w:b/>
                <w:bCs/>
              </w:rPr>
              <w:t xml:space="preserve">U2/D3</w:t>
            </w:r>
            <w:r>
              <w:t xml:space="preserve"> </w:t>
            </w:r>
            <w:r>
              <w:t xml:space="preserve">- Family Cohesion (label: family cohesion)</w:t>
            </w:r>
          </w:p>
        </w:tc>
        <w:tc>
          <w:tcPr>
            <w:tcMar>
              <w:top w:w="80" w:type="dxa"/>
              <w:start w:w="90" w:type="dxa"/>
              <w:bottom w:w="80" w:type="dxa"/>
              <w:end w:w="90" w:type="dxa"/>
            </w:tcMar>
            <w:shd w:fill="F7FBFF" w:val="clear"/>
          </w:tcPr>
          <w:p>
            <w:pPr>
              <w:pStyle w:val="Compact"/>
              <w:jc w:val="left"/>
            </w:pPr>
            <w:r>
              <w:t xml:space="preserve">Evidence: family-stability surveys; separation / removal records; conflict indicators; Gate classes: Rights Floor; Ordinary welfare. Uncertainty: Explicitly elevated. Interpretation: Can be rights-covered (family unity, child rights); otherwise ordinary. Measurement is soft — mark uncertainty.</w:t>
            </w:r>
          </w:p>
        </w:tc>
        <w:tc>
          <w:tcPr>
            <w:tcMar>
              <w:top w:w="80" w:type="dxa"/>
              <w:start w:w="90" w:type="dxa"/>
              <w:bottom w:w="80" w:type="dxa"/>
              <w:end w:w="90" w:type="dxa"/>
            </w:tcMar>
            <w:shd w:fill="F7FBFF" w:val="clear"/>
          </w:tcPr>
          <w:p>
            <w:pPr>
              <w:pStyle w:val="Compact"/>
              <w:jc w:val="left"/>
            </w:pPr>
            <w:r>
              <w:t xml:space="preserve">Example: A policy that avoids unnecessary family separation in housing transitions protects U2/D3.; Reviewer check: A reviewer asks whether a cohesion claim rests on outcomes or on assumed effects of a program.</w:t>
            </w:r>
          </w:p>
        </w:tc>
      </w:tr>
      <w:tr>
        <w:trPr/>
        <w:tc>
          <w:tcPr>
            <w:tcMar>
              <w:top w:w="80" w:type="dxa"/>
              <w:start w:w="90" w:type="dxa"/>
              <w:bottom w:w="80" w:type="dxa"/>
              <w:end w:w="90" w:type="dxa"/>
            </w:tcMar>
            <w:shd w:fill="D9EAF7" w:val="clear"/>
          </w:tcPr>
          <w:p>
            <w:pPr>
              <w:pStyle w:val="Compact"/>
              <w:jc w:val="left"/>
            </w:pPr>
            <w:r>
              <w:rPr>
                <w:b/>
                <w:bCs/>
              </w:rPr>
              <w:t xml:space="preserve">U2/D4</w:t>
            </w:r>
            <w:r>
              <w:t xml:space="preserve"> </w:t>
            </w:r>
            <w:r>
              <w:t xml:space="preserve">- Shared Learning (label: shared learning)</w:t>
            </w:r>
          </w:p>
        </w:tc>
        <w:tc>
          <w:tcPr>
            <w:tcMar>
              <w:top w:w="80" w:type="dxa"/>
              <w:start w:w="90" w:type="dxa"/>
              <w:bottom w:w="80" w:type="dxa"/>
              <w:end w:w="90" w:type="dxa"/>
            </w:tcMar>
            <w:shd w:fill="D9EAF7" w:val="clear"/>
          </w:tcPr>
          <w:p>
            <w:pPr>
              <w:pStyle w:val="Compact"/>
              <w:jc w:val="left"/>
            </w:pPr>
            <w:r>
              <w:t xml:space="preserve">Evidence: household connectivity / device access; children’s schooling continuity; adult-learning access; Gate classes: Ordinary welfare. Uncertainty: Standard assessment. Interpretation: Ordinary welfare; touches rights where basic-education entitlements for children apply.</w:t>
            </w:r>
          </w:p>
        </w:tc>
        <w:tc>
          <w:tcPr>
            <w:tcMar>
              <w:top w:w="80" w:type="dxa"/>
              <w:start w:w="90" w:type="dxa"/>
              <w:bottom w:w="80" w:type="dxa"/>
              <w:end w:w="90" w:type="dxa"/>
            </w:tcMar>
            <w:shd w:fill="D9EAF7" w:val="clear"/>
          </w:tcPr>
          <w:p>
            <w:pPr>
              <w:pStyle w:val="Compact"/>
              <w:jc w:val="left"/>
            </w:pPr>
            <w:r>
              <w:t xml:space="preserve">Example: A home-broadband program that enables children’s remote schooling improves U2/D4.; Reviewer check: A reviewer checks access actually reaches the household, not just the area.</w:t>
            </w:r>
          </w:p>
        </w:tc>
      </w:tr>
      <w:tr>
        <w:trPr/>
        <w:tc>
          <w:tcPr>
            <w:tcMar>
              <w:top w:w="80" w:type="dxa"/>
              <w:start w:w="90" w:type="dxa"/>
              <w:bottom w:w="80" w:type="dxa"/>
              <w:end w:w="90" w:type="dxa"/>
            </w:tcMar>
            <w:shd w:fill="F7FBFF" w:val="clear"/>
          </w:tcPr>
          <w:p>
            <w:pPr>
              <w:pStyle w:val="Compact"/>
              <w:jc w:val="left"/>
            </w:pPr>
            <w:r>
              <w:rPr>
                <w:b/>
                <w:bCs/>
              </w:rPr>
              <w:t xml:space="preserve">U2/D5</w:t>
            </w:r>
            <w:r>
              <w:t xml:space="preserve"> </w:t>
            </w:r>
            <w:r>
              <w:t xml:space="preserve">- Household Agency (label: household agency)</w:t>
            </w:r>
          </w:p>
        </w:tc>
        <w:tc>
          <w:tcPr>
            <w:tcMar>
              <w:top w:w="80" w:type="dxa"/>
              <w:start w:w="90" w:type="dxa"/>
              <w:bottom w:w="80" w:type="dxa"/>
              <w:end w:w="90" w:type="dxa"/>
            </w:tcMar>
            <w:shd w:fill="F7FBFF" w:val="clear"/>
          </w:tcPr>
          <w:p>
            <w:pPr>
              <w:pStyle w:val="Compact"/>
              <w:jc w:val="left"/>
            </w:pPr>
            <w:r>
              <w:t xml:space="preserve">Evidence: decision-autonomy surveys; dependency / conditionality of support; forced-relocation data; Gate classes: Rights Floor; Ordinary welfare. Uncertainty: Standard assessment. Interpretation: Can be rights-covered (family privacy, autonomy); otherwise ordinary.</w:t>
            </w:r>
          </w:p>
        </w:tc>
        <w:tc>
          <w:tcPr>
            <w:tcMar>
              <w:top w:w="80" w:type="dxa"/>
              <w:start w:w="90" w:type="dxa"/>
              <w:bottom w:w="80" w:type="dxa"/>
              <w:end w:w="90" w:type="dxa"/>
            </w:tcMar>
            <w:shd w:fill="F7FBFF" w:val="clear"/>
          </w:tcPr>
          <w:p>
            <w:pPr>
              <w:pStyle w:val="Compact"/>
              <w:jc w:val="left"/>
            </w:pPr>
            <w:r>
              <w:t xml:space="preserve">Example: A flexible-benefit design that lets households allocate support to their own priorities raises U2/D5.; Reviewer check: A reviewer tests whether household choice is real or constrained by conditions.</w:t>
            </w:r>
          </w:p>
        </w:tc>
      </w:tr>
      <w:tr>
        <w:trPr/>
        <w:tc>
          <w:tcPr>
            <w:tcMar>
              <w:top w:w="80" w:type="dxa"/>
              <w:start w:w="90" w:type="dxa"/>
              <w:bottom w:w="80" w:type="dxa"/>
              <w:end w:w="90" w:type="dxa"/>
            </w:tcMar>
            <w:shd w:fill="D9EAF7" w:val="clear"/>
          </w:tcPr>
          <w:p>
            <w:pPr>
              <w:pStyle w:val="Compact"/>
              <w:jc w:val="left"/>
            </w:pPr>
            <w:r>
              <w:rPr>
                <w:b/>
                <w:bCs/>
              </w:rPr>
              <w:t xml:space="preserve">U2/D6</w:t>
            </w:r>
            <w:r>
              <w:t xml:space="preserve"> </w:t>
            </w:r>
            <w:r>
              <w:t xml:space="preserve">- Family Meaning (label: family meaning)</w:t>
            </w:r>
          </w:p>
        </w:tc>
        <w:tc>
          <w:tcPr>
            <w:tcMar>
              <w:top w:w="80" w:type="dxa"/>
              <w:start w:w="90" w:type="dxa"/>
              <w:bottom w:w="80" w:type="dxa"/>
              <w:end w:w="90" w:type="dxa"/>
            </w:tcMar>
            <w:shd w:fill="D9EAF7" w:val="clear"/>
          </w:tcPr>
          <w:p>
            <w:pPr>
              <w:pStyle w:val="Compact"/>
              <w:jc w:val="left"/>
            </w:pPr>
            <w:r>
              <w:t xml:space="preserve">Evidence: belonging / identity surveys; stigma indicators; qualitative testimony; Gate classes: Ordinary welfare. Uncertainty: Explicitly elevated. Interpretation: Usually ordinary welfare; can touch dignity rights. Soft to measure — mark uncertainty.</w:t>
            </w:r>
          </w:p>
        </w:tc>
        <w:tc>
          <w:tcPr>
            <w:tcMar>
              <w:top w:w="80" w:type="dxa"/>
              <w:start w:w="90" w:type="dxa"/>
              <w:bottom w:w="80" w:type="dxa"/>
              <w:end w:w="90" w:type="dxa"/>
            </w:tcMar>
            <w:shd w:fill="D9EAF7" w:val="clear"/>
          </w:tcPr>
          <w:p>
            <w:pPr>
              <w:pStyle w:val="Compact"/>
              <w:jc w:val="left"/>
            </w:pPr>
            <w:r>
              <w:t xml:space="preserve">Example: A culturally-respectful resettlement process preserves U2/D6.; Reviewer check: A reviewer separates a real meaning effect from program rhetoric.</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U2/D7</w:t>
            </w:r>
            <w:r>
              <w:t xml:space="preserve"> </w:t>
            </w:r>
            <w:r>
              <w:t xml:space="preserve">- Home Environment (label: home environment)</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Evidence: housing-quality inspections; indoor air / damp measures; hazard records; Gate classes: Rights Floor; Ordinary welfare. Uncertainty: Standard assessment. Interpretation: Ordinary welfare; rights-relevant under habitability standards.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Example: A retrofit program that removes household mould improves U2/D7.; Reviewer check: A reviewer checks measured home conditions, not self-report alone.</w:t>
            </w:r>
          </w:p>
        </w:tc>
      </w:tr>
    </w:tbl>
    <w:bookmarkEnd w:id="649"/>
    <w:bookmarkStart w:id="650" w:name="u3-community---meaning-and-movement"/>
    <w:p>
      <w:pPr>
        <w:pStyle w:val="Heading3"/>
        <w:keepNext/>
        <w:keepLines/>
        <w:pageBreakBefore w:val="0"/>
        <w:widowControl/>
      </w:pPr>
      <w:r>
        <w:rPr>
          <w:rFonts w:ascii="Arial" w:hAnsi="Arial" w:eastAsia="Arial"/>
          <w:b/>
          <w:color w:val="1F4E78"/>
        </w:rPr>
        <w:t xml:space="preserve">U3 Community - meaning and movement</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What this cell measures</w:t>
            </w:r>
          </w:p>
        </w:tc>
        <w:tc>
          <w:tcPr>
            <w:shd w:fill="1F4E78" w:val="clear"/>
            <w:tcMar>
              <w:top w:w="80" w:type="dxa"/>
              <w:start w:w="90" w:type="dxa"/>
              <w:bottom w:w="80" w:type="dxa"/>
              <w:end w:w="90" w:type="dxa"/>
            </w:tcMar>
          </w:tcPr>
          <w:p>
            <w:pPr>
              <w:pStyle w:val="Compact"/>
              <w:jc w:val="left"/>
            </w:pPr>
            <w:r>
              <w:rPr>
                <w:b/>
                <w:bCs/>
                <w:color w:val="FFFFFF"/>
              </w:rPr>
              <w:t xml:space="preserve">+ Benefit</w:t>
            </w:r>
          </w:p>
        </w:tc>
        <w:tc>
          <w:tcPr>
            <w:shd w:fill="1F4E78" w:val="clear"/>
            <w:tcMar>
              <w:top w:w="80" w:type="dxa"/>
              <w:start w:w="90" w:type="dxa"/>
              <w:bottom w:w="80" w:type="dxa"/>
              <w:end w:w="90" w:type="dxa"/>
            </w:tcMar>
          </w:tcPr>
          <w:p>
            <w:pPr>
              <w:pStyle w:val="Compact"/>
              <w:jc w:val="left"/>
            </w:pPr>
            <w:r>
              <w:rPr>
                <w:b/>
                <w:bCs/>
                <w:color w:val="FFFFFF"/>
              </w:rPr>
              <w:t xml:space="preserve">- Harm</w:t>
            </w:r>
          </w:p>
        </w:tc>
      </w:tr>
      <w:tr>
        <w:trPr/>
        <w:tc>
          <w:tcPr>
            <w:tcMar>
              <w:top w:w="80" w:type="dxa"/>
              <w:start w:w="90" w:type="dxa"/>
              <w:bottom w:w="80" w:type="dxa"/>
              <w:end w:w="90" w:type="dxa"/>
            </w:tcMar>
            <w:shd w:fill="F7FBFF" w:val="clear"/>
          </w:tcPr>
          <w:p>
            <w:pPr>
              <w:pStyle w:val="Compact"/>
              <w:jc w:val="left"/>
            </w:pPr>
            <w:r>
              <w:rPr>
                <w:b/>
                <w:bCs/>
              </w:rPr>
              <w:t xml:space="preserve">U3/D1</w:t>
            </w:r>
            <w:r>
              <w:t xml:space="preserve"> </w:t>
            </w:r>
            <w:r>
              <w:t xml:space="preserve">- Local Resources (label: local resources)</w:t>
            </w:r>
          </w:p>
        </w:tc>
        <w:tc>
          <w:tcPr>
            <w:tcMar>
              <w:top w:w="80" w:type="dxa"/>
              <w:start w:w="90" w:type="dxa"/>
              <w:bottom w:w="80" w:type="dxa"/>
              <w:end w:w="90" w:type="dxa"/>
            </w:tcMar>
            <w:shd w:fill="F7FBFF" w:val="clear"/>
          </w:tcPr>
          <w:p>
            <w:pPr>
              <w:pStyle w:val="Compact"/>
              <w:jc w:val="left"/>
            </w:pPr>
            <w:r>
              <w:t xml:space="preserve">The shared economic resources, infrastructure, and services available to a local community.</w:t>
            </w:r>
          </w:p>
        </w:tc>
        <w:tc>
          <w:tcPr>
            <w:tcMar>
              <w:top w:w="80" w:type="dxa"/>
              <w:start w:w="90" w:type="dxa"/>
              <w:bottom w:w="80" w:type="dxa"/>
              <w:end w:w="90" w:type="dxa"/>
            </w:tcMar>
            <w:shd w:fill="F7FBFF" w:val="clear"/>
          </w:tcPr>
          <w:p>
            <w:pPr>
              <w:pStyle w:val="Compact"/>
              <w:jc w:val="left"/>
            </w:pPr>
            <w:r>
              <w:t xml:space="preserve">Better local infrastructure, services, and economic opportunity.</w:t>
            </w:r>
          </w:p>
        </w:tc>
        <w:tc>
          <w:tcPr>
            <w:tcMar>
              <w:top w:w="80" w:type="dxa"/>
              <w:start w:w="90" w:type="dxa"/>
              <w:bottom w:w="80" w:type="dxa"/>
              <w:end w:w="90" w:type="dxa"/>
            </w:tcMar>
            <w:shd w:fill="F7FBFF" w:val="clear"/>
          </w:tcPr>
          <w:p>
            <w:pPr>
              <w:pStyle w:val="Compact"/>
              <w:jc w:val="left"/>
            </w:pPr>
            <w:r>
              <w:t xml:space="preserve">Loss of services, infrastructure decay, local economic decline.</w:t>
            </w:r>
          </w:p>
        </w:tc>
      </w:tr>
      <w:tr>
        <w:trPr/>
        <w:tc>
          <w:tcPr>
            <w:tcMar>
              <w:top w:w="80" w:type="dxa"/>
              <w:start w:w="90" w:type="dxa"/>
              <w:bottom w:w="80" w:type="dxa"/>
              <w:end w:w="90" w:type="dxa"/>
            </w:tcMar>
            <w:shd w:fill="D9EAF7" w:val="clear"/>
          </w:tcPr>
          <w:p>
            <w:pPr>
              <w:pStyle w:val="Compact"/>
              <w:jc w:val="left"/>
            </w:pPr>
            <w:r>
              <w:rPr>
                <w:b/>
                <w:bCs/>
              </w:rPr>
              <w:t xml:space="preserve">U3/D2</w:t>
            </w:r>
            <w:r>
              <w:t xml:space="preserve"> </w:t>
            </w:r>
            <w:r>
              <w:t xml:space="preserve">- Community Health (label: public health)</w:t>
            </w:r>
          </w:p>
        </w:tc>
        <w:tc>
          <w:tcPr>
            <w:tcMar>
              <w:top w:w="80" w:type="dxa"/>
              <w:start w:w="90" w:type="dxa"/>
              <w:bottom w:w="80" w:type="dxa"/>
              <w:end w:w="90" w:type="dxa"/>
            </w:tcMar>
            <w:shd w:fill="D9EAF7" w:val="clear"/>
          </w:tcPr>
          <w:p>
            <w:pPr>
              <w:pStyle w:val="Compact"/>
              <w:jc w:val="left"/>
            </w:pPr>
            <w:r>
              <w:t xml:space="preserve">The collective physical and mental health and safety of the local population.</w:t>
            </w:r>
          </w:p>
        </w:tc>
        <w:tc>
          <w:tcPr>
            <w:tcMar>
              <w:top w:w="80" w:type="dxa"/>
              <w:start w:w="90" w:type="dxa"/>
              <w:bottom w:w="80" w:type="dxa"/>
              <w:end w:w="90" w:type="dxa"/>
            </w:tcMar>
            <w:shd w:fill="D9EAF7" w:val="clear"/>
          </w:tcPr>
          <w:p>
            <w:pPr>
              <w:pStyle w:val="Compact"/>
              <w:jc w:val="left"/>
            </w:pPr>
            <w:r>
              <w:t xml:space="preserve">Lower community disease/injury burden, better local care access, safer environment.</w:t>
            </w:r>
          </w:p>
        </w:tc>
        <w:tc>
          <w:tcPr>
            <w:tcMar>
              <w:top w:w="80" w:type="dxa"/>
              <w:start w:w="90" w:type="dxa"/>
              <w:bottom w:w="80" w:type="dxa"/>
              <w:end w:w="90" w:type="dxa"/>
            </w:tcMar>
            <w:shd w:fill="D9EAF7" w:val="clear"/>
          </w:tcPr>
          <w:p>
            <w:pPr>
              <w:pStyle w:val="Compact"/>
              <w:jc w:val="left"/>
            </w:pPr>
            <w:r>
              <w:t xml:space="preserve">Local disease spread, unsafe conditions, reduced care access, environmental health harm.</w:t>
            </w:r>
          </w:p>
        </w:tc>
      </w:tr>
      <w:tr>
        <w:trPr/>
        <w:tc>
          <w:tcPr>
            <w:tcMar>
              <w:top w:w="80" w:type="dxa"/>
              <w:start w:w="90" w:type="dxa"/>
              <w:bottom w:w="80" w:type="dxa"/>
              <w:end w:w="90" w:type="dxa"/>
            </w:tcMar>
            <w:shd w:fill="F7FBFF" w:val="clear"/>
          </w:tcPr>
          <w:p>
            <w:pPr>
              <w:pStyle w:val="Compact"/>
              <w:jc w:val="left"/>
            </w:pPr>
            <w:r>
              <w:rPr>
                <w:b/>
                <w:bCs/>
              </w:rPr>
              <w:t xml:space="preserve">U3/D3</w:t>
            </w:r>
            <w:r>
              <w:t xml:space="preserve"> </w:t>
            </w:r>
            <w:r>
              <w:t xml:space="preserve">- Community Cohesion (label: trust and cohesion)</w:t>
            </w:r>
          </w:p>
        </w:tc>
        <w:tc>
          <w:tcPr>
            <w:tcMar>
              <w:top w:w="80" w:type="dxa"/>
              <w:start w:w="90" w:type="dxa"/>
              <w:bottom w:w="80" w:type="dxa"/>
              <w:end w:w="90" w:type="dxa"/>
            </w:tcMar>
            <w:shd w:fill="F7FBFF" w:val="clear"/>
          </w:tcPr>
          <w:p>
            <w:pPr>
              <w:pStyle w:val="Compact"/>
              <w:jc w:val="left"/>
            </w:pPr>
            <w:r>
              <w:t xml:space="preserve">The quality of trust, cooperation, belonging, safety, and relational fabric within a community.</w:t>
            </w:r>
          </w:p>
        </w:tc>
        <w:tc>
          <w:tcPr>
            <w:tcMar>
              <w:top w:w="80" w:type="dxa"/>
              <w:start w:w="90" w:type="dxa"/>
              <w:bottom w:w="80" w:type="dxa"/>
              <w:end w:w="90" w:type="dxa"/>
            </w:tcMar>
            <w:shd w:fill="F7FBFF" w:val="clear"/>
          </w:tcPr>
          <w:p>
            <w:pPr>
              <w:pStyle w:val="Compact"/>
              <w:jc w:val="left"/>
            </w:pPr>
            <w:r>
              <w:t xml:space="preserve">Increased trust, reduced isolation, better cooperation, stronger neighbourhood resilience.</w:t>
            </w:r>
          </w:p>
        </w:tc>
        <w:tc>
          <w:tcPr>
            <w:tcMar>
              <w:top w:w="80" w:type="dxa"/>
              <w:start w:w="90" w:type="dxa"/>
              <w:bottom w:w="80" w:type="dxa"/>
              <w:end w:w="90" w:type="dxa"/>
            </w:tcMar>
            <w:shd w:fill="F7FBFF" w:val="clear"/>
          </w:tcPr>
          <w:p>
            <w:pPr>
              <w:pStyle w:val="Compact"/>
              <w:jc w:val="left"/>
            </w:pPr>
            <w:r>
              <w:t xml:space="preserve">Polarisation, exclusion, displacement, fear, social fragmentation.</w:t>
            </w:r>
          </w:p>
        </w:tc>
      </w:tr>
      <w:tr>
        <w:trPr/>
        <w:tc>
          <w:tcPr>
            <w:tcMar>
              <w:top w:w="80" w:type="dxa"/>
              <w:start w:w="90" w:type="dxa"/>
              <w:bottom w:w="80" w:type="dxa"/>
              <w:end w:w="90" w:type="dxa"/>
            </w:tcMar>
            <w:shd w:fill="D9EAF7" w:val="clear"/>
          </w:tcPr>
          <w:p>
            <w:pPr>
              <w:pStyle w:val="Compact"/>
              <w:jc w:val="left"/>
            </w:pPr>
            <w:r>
              <w:rPr>
                <w:b/>
                <w:bCs/>
              </w:rPr>
              <w:t xml:space="preserve">U3/D4</w:t>
            </w:r>
            <w:r>
              <w:t xml:space="preserve"> </w:t>
            </w:r>
            <w:r>
              <w:t xml:space="preserve">- Local Knowledge (label: local knowledge)</w:t>
            </w:r>
          </w:p>
        </w:tc>
        <w:tc>
          <w:tcPr>
            <w:tcMar>
              <w:top w:w="80" w:type="dxa"/>
              <w:start w:w="90" w:type="dxa"/>
              <w:bottom w:w="80" w:type="dxa"/>
              <w:end w:w="90" w:type="dxa"/>
            </w:tcMar>
            <w:shd w:fill="D9EAF7" w:val="clear"/>
          </w:tcPr>
          <w:p>
            <w:pPr>
              <w:pStyle w:val="Compact"/>
              <w:jc w:val="left"/>
            </w:pPr>
            <w:r>
              <w:t xml:space="preserve">The community’s shared knowledge, information access, and local expertise.</w:t>
            </w:r>
          </w:p>
        </w:tc>
        <w:tc>
          <w:tcPr>
            <w:tcMar>
              <w:top w:w="80" w:type="dxa"/>
              <w:start w:w="90" w:type="dxa"/>
              <w:bottom w:w="80" w:type="dxa"/>
              <w:end w:w="90" w:type="dxa"/>
            </w:tcMar>
            <w:shd w:fill="D9EAF7" w:val="clear"/>
          </w:tcPr>
          <w:p>
            <w:pPr>
              <w:pStyle w:val="Compact"/>
              <w:jc w:val="left"/>
            </w:pPr>
            <w:r>
              <w:t xml:space="preserve">Better local information access, preserved local/Indigenous knowledge, stronger civic literacy.</w:t>
            </w:r>
          </w:p>
        </w:tc>
        <w:tc>
          <w:tcPr>
            <w:tcMar>
              <w:top w:w="80" w:type="dxa"/>
              <w:start w:w="90" w:type="dxa"/>
              <w:bottom w:w="80" w:type="dxa"/>
              <w:end w:w="90" w:type="dxa"/>
            </w:tcMar>
            <w:shd w:fill="D9EAF7" w:val="clear"/>
          </w:tcPr>
          <w:p>
            <w:pPr>
              <w:pStyle w:val="Compact"/>
              <w:jc w:val="left"/>
            </w:pPr>
            <w:r>
              <w:t xml:space="preserve">Information loss, erosion of local knowledge, misinformation spread.</w:t>
            </w:r>
          </w:p>
        </w:tc>
      </w:tr>
      <w:tr>
        <w:trPr/>
        <w:tc>
          <w:tcPr>
            <w:tcMar>
              <w:top w:w="80" w:type="dxa"/>
              <w:start w:w="90" w:type="dxa"/>
              <w:bottom w:w="80" w:type="dxa"/>
              <w:end w:w="90" w:type="dxa"/>
            </w:tcMar>
            <w:shd w:fill="F7FBFF" w:val="clear"/>
          </w:tcPr>
          <w:p>
            <w:pPr>
              <w:pStyle w:val="Compact"/>
              <w:jc w:val="left"/>
            </w:pPr>
            <w:r>
              <w:rPr>
                <w:b/>
                <w:bCs/>
              </w:rPr>
              <w:t xml:space="preserve">U3/D5</w:t>
            </w:r>
            <w:r>
              <w:t xml:space="preserve"> </w:t>
            </w:r>
            <w:r>
              <w:t xml:space="preserve">- Community Agency (label: community agency)</w:t>
            </w:r>
          </w:p>
        </w:tc>
        <w:tc>
          <w:tcPr>
            <w:tcMar>
              <w:top w:w="80" w:type="dxa"/>
              <w:start w:w="90" w:type="dxa"/>
              <w:bottom w:w="80" w:type="dxa"/>
              <w:end w:w="90" w:type="dxa"/>
            </w:tcMar>
            <w:shd w:fill="F7FBFF" w:val="clear"/>
          </w:tcPr>
          <w:p>
            <w:pPr>
              <w:pStyle w:val="Compact"/>
              <w:jc w:val="left"/>
            </w:pPr>
            <w:r>
              <w:t xml:space="preserve">The community’s collective capacity to organise, participate, and influence decisions affecting it.</w:t>
            </w:r>
          </w:p>
        </w:tc>
        <w:tc>
          <w:tcPr>
            <w:tcMar>
              <w:top w:w="80" w:type="dxa"/>
              <w:start w:w="90" w:type="dxa"/>
              <w:bottom w:w="80" w:type="dxa"/>
              <w:end w:w="90" w:type="dxa"/>
            </w:tcMar>
            <w:shd w:fill="F7FBFF" w:val="clear"/>
          </w:tcPr>
          <w:p>
            <w:pPr>
              <w:pStyle w:val="Compact"/>
              <w:jc w:val="left"/>
            </w:pPr>
            <w:r>
              <w:t xml:space="preserve">Stronger local voice, participation, self-organisation, and contestability.</w:t>
            </w:r>
          </w:p>
        </w:tc>
        <w:tc>
          <w:tcPr>
            <w:tcMar>
              <w:top w:w="80" w:type="dxa"/>
              <w:start w:w="90" w:type="dxa"/>
              <w:bottom w:w="80" w:type="dxa"/>
              <w:end w:w="90" w:type="dxa"/>
            </w:tcMar>
            <w:shd w:fill="F7FBFF" w:val="clear"/>
          </w:tcPr>
          <w:p>
            <w:pPr>
              <w:pStyle w:val="Compact"/>
              <w:jc w:val="left"/>
            </w:pPr>
            <w:r>
              <w:t xml:space="preserve">Disenfranchisement, suppressed organising, exclusion from decisions.</w:t>
            </w:r>
          </w:p>
        </w:tc>
      </w:tr>
      <w:tr>
        <w:trPr/>
        <w:tc>
          <w:tcPr>
            <w:tcMar>
              <w:top w:w="80" w:type="dxa"/>
              <w:start w:w="90" w:type="dxa"/>
              <w:bottom w:w="80" w:type="dxa"/>
              <w:end w:w="90" w:type="dxa"/>
            </w:tcMar>
            <w:shd w:fill="D9EAF7" w:val="clear"/>
          </w:tcPr>
          <w:p>
            <w:pPr>
              <w:pStyle w:val="Compact"/>
              <w:jc w:val="left"/>
            </w:pPr>
            <w:r>
              <w:rPr>
                <w:b/>
                <w:bCs/>
              </w:rPr>
              <w:t xml:space="preserve">U3/D6</w:t>
            </w:r>
            <w:r>
              <w:t xml:space="preserve"> </w:t>
            </w:r>
            <w:r>
              <w:t xml:space="preserve">- Shared Meaning (label: shared meaning)</w:t>
            </w:r>
          </w:p>
        </w:tc>
        <w:tc>
          <w:tcPr>
            <w:tcMar>
              <w:top w:w="80" w:type="dxa"/>
              <w:start w:w="90" w:type="dxa"/>
              <w:bottom w:w="80" w:type="dxa"/>
              <w:end w:w="90" w:type="dxa"/>
            </w:tcMar>
            <w:shd w:fill="D9EAF7" w:val="clear"/>
          </w:tcPr>
          <w:p>
            <w:pPr>
              <w:pStyle w:val="Compact"/>
              <w:jc w:val="left"/>
            </w:pPr>
            <w:r>
              <w:t xml:space="preserve">The community’s shared identity, culture, dignity, and sense of collective purpose.</w:t>
            </w:r>
          </w:p>
        </w:tc>
        <w:tc>
          <w:tcPr>
            <w:tcMar>
              <w:top w:w="80" w:type="dxa"/>
              <w:start w:w="90" w:type="dxa"/>
              <w:bottom w:w="80" w:type="dxa"/>
              <w:end w:w="90" w:type="dxa"/>
            </w:tcMar>
            <w:shd w:fill="D9EAF7" w:val="clear"/>
          </w:tcPr>
          <w:p>
            <w:pPr>
              <w:pStyle w:val="Compact"/>
              <w:jc w:val="left"/>
            </w:pPr>
            <w:r>
              <w:t xml:space="preserve">Stronger shared identity, cultural continuity, pride, and belonging.</w:t>
            </w:r>
          </w:p>
        </w:tc>
        <w:tc>
          <w:tcPr>
            <w:tcMar>
              <w:top w:w="80" w:type="dxa"/>
              <w:start w:w="90" w:type="dxa"/>
              <w:bottom w:w="80" w:type="dxa"/>
              <w:end w:w="90" w:type="dxa"/>
            </w:tcMar>
            <w:shd w:fill="D9EAF7" w:val="clear"/>
          </w:tcPr>
          <w:p>
            <w:pPr>
              <w:pStyle w:val="Compact"/>
              <w:jc w:val="left"/>
            </w:pPr>
            <w:r>
              <w:t xml:space="preserve">Cultural erosion, stigma, loss of identity, collective humiliation.</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U3/D7</w:t>
            </w:r>
            <w:r>
              <w:t xml:space="preserve"> </w:t>
            </w:r>
            <w:r>
              <w:t xml:space="preserve">- Local Ecology (label: local ecology)</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The ecological condition of the community’s local environment: green space, biodiversity, water, land.</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Restored habitat, cleaner local environment, protected green space.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Habitat loss, local pollution, degraded green space, contamination.</w:t>
            </w:r>
          </w:p>
        </w:tc>
      </w:tr>
    </w:tbl>
    <w:bookmarkEnd w:id="650"/>
    <w:bookmarkStart w:id="651" w:name="u3-community---evidence-and-review"/>
    <w:p>
      <w:pPr>
        <w:pStyle w:val="Heading3"/>
        <w:keepNext/>
        <w:keepLines/>
        <w:pageBreakBefore w:val="0"/>
        <w:widowControl/>
      </w:pPr>
      <w:r>
        <w:rPr>
          <w:rFonts w:ascii="Arial" w:hAnsi="Arial" w:eastAsia="Arial"/>
          <w:b/>
          <w:color w:val="1F4E78"/>
        </w:rPr>
        <w:t xml:space="preserve">U3 Community - evidence and review</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Evidence and gate cues</w:t>
            </w:r>
          </w:p>
        </w:tc>
        <w:tc>
          <w:tcPr>
            <w:shd w:fill="1F4E78" w:val="clear"/>
            <w:tcMar>
              <w:top w:w="80" w:type="dxa"/>
              <w:start w:w="90" w:type="dxa"/>
              <w:bottom w:w="80" w:type="dxa"/>
              <w:end w:w="90" w:type="dxa"/>
            </w:tcMar>
          </w:tcPr>
          <w:p>
            <w:pPr>
              <w:pStyle w:val="Compact"/>
              <w:jc w:val="left"/>
            </w:pPr>
            <w:r>
              <w:rPr>
                <w:b/>
                <w:bCs/>
                <w:color w:val="FFFFFF"/>
              </w:rPr>
              <w:t xml:space="preserve">Example and reviewer check</w:t>
            </w:r>
          </w:p>
        </w:tc>
      </w:tr>
      <w:tr>
        <w:trPr/>
        <w:tc>
          <w:tcPr>
            <w:tcMar>
              <w:top w:w="80" w:type="dxa"/>
              <w:start w:w="90" w:type="dxa"/>
              <w:bottom w:w="80" w:type="dxa"/>
              <w:end w:w="90" w:type="dxa"/>
            </w:tcMar>
            <w:shd w:fill="F7FBFF" w:val="clear"/>
          </w:tcPr>
          <w:p>
            <w:pPr>
              <w:pStyle w:val="Compact"/>
              <w:jc w:val="left"/>
            </w:pPr>
            <w:r>
              <w:rPr>
                <w:b/>
                <w:bCs/>
              </w:rPr>
              <w:t xml:space="preserve">U3/D1</w:t>
            </w:r>
            <w:r>
              <w:t xml:space="preserve"> </w:t>
            </w:r>
            <w:r>
              <w:t xml:space="preserve">- Local Resources (label: local resources)</w:t>
            </w:r>
          </w:p>
        </w:tc>
        <w:tc>
          <w:tcPr>
            <w:tcMar>
              <w:top w:w="80" w:type="dxa"/>
              <w:start w:w="90" w:type="dxa"/>
              <w:bottom w:w="80" w:type="dxa"/>
              <w:end w:w="90" w:type="dxa"/>
            </w:tcMar>
            <w:shd w:fill="F7FBFF" w:val="clear"/>
          </w:tcPr>
          <w:p>
            <w:pPr>
              <w:pStyle w:val="Compact"/>
              <w:jc w:val="left"/>
            </w:pPr>
            <w:r>
              <w:t xml:space="preserve">Evidence: local service provision; infrastructure condition; local employment / business data; Gate classes: Containment / Structural Viability; Ordinary welfare. Uncertainty: Standard assessment. Interpretation: Ordinary welfare; containment-relevant when local gains are extracted at the cost of wider scopes, or when shared infrastructure is hollowed out.</w:t>
            </w:r>
          </w:p>
        </w:tc>
        <w:tc>
          <w:tcPr>
            <w:tcMar>
              <w:top w:w="80" w:type="dxa"/>
              <w:start w:w="90" w:type="dxa"/>
              <w:bottom w:w="80" w:type="dxa"/>
              <w:end w:w="90" w:type="dxa"/>
            </w:tcMar>
            <w:shd w:fill="F7FBFF" w:val="clear"/>
          </w:tcPr>
          <w:p>
            <w:pPr>
              <w:pStyle w:val="Compact"/>
              <w:jc w:val="left"/>
            </w:pPr>
            <w:r>
              <w:t xml:space="preserve">Example: A community facility upgrade that adds usable shared services improves U3/D1.; Reviewer check: A reviewer asks whether the benefit is genuinely shared or captured by a subgroup.</w:t>
            </w:r>
          </w:p>
        </w:tc>
      </w:tr>
      <w:tr>
        <w:trPr/>
        <w:tc>
          <w:tcPr>
            <w:tcMar>
              <w:top w:w="80" w:type="dxa"/>
              <w:start w:w="90" w:type="dxa"/>
              <w:bottom w:w="80" w:type="dxa"/>
              <w:end w:w="90" w:type="dxa"/>
            </w:tcMar>
            <w:shd w:fill="D9EAF7" w:val="clear"/>
          </w:tcPr>
          <w:p>
            <w:pPr>
              <w:pStyle w:val="Compact"/>
              <w:jc w:val="left"/>
            </w:pPr>
            <w:r>
              <w:rPr>
                <w:b/>
                <w:bCs/>
              </w:rPr>
              <w:t xml:space="preserve">U3/D2</w:t>
            </w:r>
            <w:r>
              <w:t xml:space="preserve"> </w:t>
            </w:r>
            <w:r>
              <w:t xml:space="preserve">- Community Health (label: public health)</w:t>
            </w:r>
          </w:p>
        </w:tc>
        <w:tc>
          <w:tcPr>
            <w:tcMar>
              <w:top w:w="80" w:type="dxa"/>
              <w:start w:w="90" w:type="dxa"/>
              <w:bottom w:w="80" w:type="dxa"/>
              <w:end w:w="90" w:type="dxa"/>
            </w:tcMar>
            <w:shd w:fill="D9EAF7" w:val="clear"/>
          </w:tcPr>
          <w:p>
            <w:pPr>
              <w:pStyle w:val="Compact"/>
              <w:jc w:val="left"/>
            </w:pPr>
            <w:r>
              <w:t xml:space="preserve">Evidence: local public-health surveillance; care-access data; injury / safety statistics; environmental-health monitoring; Gate classes: Rights Floor; Tail Risk; Ordinary welfare. Uncertainty: Standard assessment. Interpretation: Ordinary welfare normally; rights-relevant under disproportionate harm or care-access floors; tail-relevant where local outbreaks or contamination could cascade.</w:t>
            </w:r>
          </w:p>
        </w:tc>
        <w:tc>
          <w:tcPr>
            <w:tcMar>
              <w:top w:w="80" w:type="dxa"/>
              <w:start w:w="90" w:type="dxa"/>
              <w:bottom w:w="80" w:type="dxa"/>
              <w:end w:w="90" w:type="dxa"/>
            </w:tcMar>
            <w:shd w:fill="D9EAF7" w:val="clear"/>
          </w:tcPr>
          <w:p>
            <w:pPr>
              <w:pStyle w:val="Compact"/>
              <w:jc w:val="left"/>
            </w:pPr>
            <w:r>
              <w:t xml:space="preserve">Example: A clean-water intervention that cuts a community’s disease burden improves U3/D2.; Reviewer check: A reviewer checks whether subgroup harms are masked by a favourable community average.</w:t>
            </w:r>
          </w:p>
        </w:tc>
      </w:tr>
      <w:tr>
        <w:trPr/>
        <w:tc>
          <w:tcPr>
            <w:tcMar>
              <w:top w:w="80" w:type="dxa"/>
              <w:start w:w="90" w:type="dxa"/>
              <w:bottom w:w="80" w:type="dxa"/>
              <w:end w:w="90" w:type="dxa"/>
            </w:tcMar>
            <w:shd w:fill="F7FBFF" w:val="clear"/>
          </w:tcPr>
          <w:p>
            <w:pPr>
              <w:pStyle w:val="Compact"/>
              <w:jc w:val="left"/>
            </w:pPr>
            <w:r>
              <w:rPr>
                <w:b/>
                <w:bCs/>
              </w:rPr>
              <w:t xml:space="preserve">U3/D3</w:t>
            </w:r>
            <w:r>
              <w:t xml:space="preserve"> </w:t>
            </w:r>
            <w:r>
              <w:t xml:space="preserve">- Community Cohesion (label: trust and cohesion)</w:t>
            </w:r>
          </w:p>
        </w:tc>
        <w:tc>
          <w:tcPr>
            <w:tcMar>
              <w:top w:w="80" w:type="dxa"/>
              <w:start w:w="90" w:type="dxa"/>
              <w:bottom w:w="80" w:type="dxa"/>
              <w:end w:w="90" w:type="dxa"/>
            </w:tcMar>
            <w:shd w:fill="F7FBFF" w:val="clear"/>
          </w:tcPr>
          <w:p>
            <w:pPr>
              <w:pStyle w:val="Compact"/>
              <w:jc w:val="left"/>
            </w:pPr>
            <w:r>
              <w:t xml:space="preserve">Evidence: community trust surveys; participation rates; crime / fear-of-crime data; displacement records; Gate classes: Rights Floor; Containment / Structural Viability; Ordinary welfare. Uncertainty: Standard assessment. Interpretation: Containment-relevant because eroded social fabric degrades the wider system; rights-relevant if discrimination, exclusion, or targeted domination appears.</w:t>
            </w:r>
          </w:p>
        </w:tc>
        <w:tc>
          <w:tcPr>
            <w:tcMar>
              <w:top w:w="80" w:type="dxa"/>
              <w:start w:w="90" w:type="dxa"/>
              <w:bottom w:w="80" w:type="dxa"/>
              <w:end w:w="90" w:type="dxa"/>
            </w:tcMar>
            <w:shd w:fill="F7FBFF" w:val="clear"/>
          </w:tcPr>
          <w:p>
            <w:pPr>
              <w:pStyle w:val="Compact"/>
              <w:jc w:val="left"/>
            </w:pPr>
            <w:r>
              <w:t xml:space="preserve">Example: A public-space renovation that increases safe cross-group interaction improves U3/D3.; Reviewer check: A reviewer asks whether cohesion gains for some came via exclusion of others.</w:t>
            </w:r>
          </w:p>
        </w:tc>
      </w:tr>
      <w:tr>
        <w:trPr/>
        <w:tc>
          <w:tcPr>
            <w:tcMar>
              <w:top w:w="80" w:type="dxa"/>
              <w:start w:w="90" w:type="dxa"/>
              <w:bottom w:w="80" w:type="dxa"/>
              <w:end w:w="90" w:type="dxa"/>
            </w:tcMar>
            <w:shd w:fill="D9EAF7" w:val="clear"/>
          </w:tcPr>
          <w:p>
            <w:pPr>
              <w:pStyle w:val="Compact"/>
              <w:jc w:val="left"/>
            </w:pPr>
            <w:r>
              <w:rPr>
                <w:b/>
                <w:bCs/>
              </w:rPr>
              <w:t xml:space="preserve">U3/D4</w:t>
            </w:r>
            <w:r>
              <w:t xml:space="preserve"> </w:t>
            </w:r>
            <w:r>
              <w:t xml:space="preserve">- Local Knowledge (label: local knowledge)</w:t>
            </w:r>
          </w:p>
        </w:tc>
        <w:tc>
          <w:tcPr>
            <w:tcMar>
              <w:top w:w="80" w:type="dxa"/>
              <w:start w:w="90" w:type="dxa"/>
              <w:bottom w:w="80" w:type="dxa"/>
              <w:end w:w="90" w:type="dxa"/>
            </w:tcMar>
            <w:shd w:fill="D9EAF7" w:val="clear"/>
          </w:tcPr>
          <w:p>
            <w:pPr>
              <w:pStyle w:val="Compact"/>
              <w:jc w:val="left"/>
            </w:pPr>
            <w:r>
              <w:t xml:space="preserve">Evidence: information-access measures; local-knowledge preservation records; misinformation prevalence; Gate classes: Containment / Structural Viability; Ordinary welfare. Uncertainty: Explicitly elevated. Interpretation: Ordinary welfare; containment-relevant where an epistemic commons is degraded. Can be rights-relevant for Indigenous knowledge.</w:t>
            </w:r>
          </w:p>
        </w:tc>
        <w:tc>
          <w:tcPr>
            <w:tcMar>
              <w:top w:w="80" w:type="dxa"/>
              <w:start w:w="90" w:type="dxa"/>
              <w:bottom w:w="80" w:type="dxa"/>
              <w:end w:w="90" w:type="dxa"/>
            </w:tcMar>
            <w:shd w:fill="D9EAF7" w:val="clear"/>
          </w:tcPr>
          <w:p>
            <w:pPr>
              <w:pStyle w:val="Compact"/>
              <w:jc w:val="left"/>
            </w:pPr>
            <w:r>
              <w:t xml:space="preserve">Example: A program documenting local ecological knowledge with community consent improves U3/D4.; Reviewer check: A reviewer checks consent and ownership of the knowledge claimed as preserved.</w:t>
            </w:r>
          </w:p>
        </w:tc>
      </w:tr>
      <w:tr>
        <w:trPr/>
        <w:tc>
          <w:tcPr>
            <w:tcMar>
              <w:top w:w="80" w:type="dxa"/>
              <w:start w:w="90" w:type="dxa"/>
              <w:bottom w:w="80" w:type="dxa"/>
              <w:end w:w="90" w:type="dxa"/>
            </w:tcMar>
            <w:shd w:fill="F7FBFF" w:val="clear"/>
          </w:tcPr>
          <w:p>
            <w:pPr>
              <w:pStyle w:val="Compact"/>
              <w:jc w:val="left"/>
            </w:pPr>
            <w:r>
              <w:rPr>
                <w:b/>
                <w:bCs/>
              </w:rPr>
              <w:t xml:space="preserve">U3/D5</w:t>
            </w:r>
            <w:r>
              <w:t xml:space="preserve"> </w:t>
            </w:r>
            <w:r>
              <w:t xml:space="preserve">- Community Agency (label: community agency)</w:t>
            </w:r>
          </w:p>
        </w:tc>
        <w:tc>
          <w:tcPr>
            <w:tcMar>
              <w:top w:w="80" w:type="dxa"/>
              <w:start w:w="90" w:type="dxa"/>
              <w:bottom w:w="80" w:type="dxa"/>
              <w:end w:w="90" w:type="dxa"/>
            </w:tcMar>
            <w:shd w:fill="F7FBFF" w:val="clear"/>
          </w:tcPr>
          <w:p>
            <w:pPr>
              <w:pStyle w:val="Compact"/>
              <w:jc w:val="left"/>
            </w:pPr>
            <w:r>
              <w:t xml:space="preserve">Evidence: participation in local governance; consultation quality; association / assembly freedom; Gate classes: Rights Floor; Containment / Structural Viability; Ordinary welfare. Uncertainty: Standard assessment. Interpretation: Often rights-covered (assembly, association, participation); containment-relevant where civic capacity underpins system stability.</w:t>
            </w:r>
          </w:p>
        </w:tc>
        <w:tc>
          <w:tcPr>
            <w:tcMar>
              <w:top w:w="80" w:type="dxa"/>
              <w:start w:w="90" w:type="dxa"/>
              <w:bottom w:w="80" w:type="dxa"/>
              <w:end w:w="90" w:type="dxa"/>
            </w:tcMar>
            <w:shd w:fill="F7FBFF" w:val="clear"/>
          </w:tcPr>
          <w:p>
            <w:pPr>
              <w:pStyle w:val="Compact"/>
              <w:jc w:val="left"/>
            </w:pPr>
            <w:r>
              <w:t xml:space="preserve">Example: A binding community-consultation requirement on local development raises U3/D5.; Reviewer check: A reviewer tests whether participation was substantive or a procedural formality.</w:t>
            </w:r>
          </w:p>
        </w:tc>
      </w:tr>
      <w:tr>
        <w:trPr/>
        <w:tc>
          <w:tcPr>
            <w:tcMar>
              <w:top w:w="80" w:type="dxa"/>
              <w:start w:w="90" w:type="dxa"/>
              <w:bottom w:w="80" w:type="dxa"/>
              <w:end w:w="90" w:type="dxa"/>
            </w:tcMar>
            <w:shd w:fill="D9EAF7" w:val="clear"/>
          </w:tcPr>
          <w:p>
            <w:pPr>
              <w:pStyle w:val="Compact"/>
              <w:jc w:val="left"/>
            </w:pPr>
            <w:r>
              <w:rPr>
                <w:b/>
                <w:bCs/>
              </w:rPr>
              <w:t xml:space="preserve">U3/D6</w:t>
            </w:r>
            <w:r>
              <w:t xml:space="preserve"> </w:t>
            </w:r>
            <w:r>
              <w:t xml:space="preserve">- Shared Meaning (label: shared meaning)</w:t>
            </w:r>
          </w:p>
        </w:tc>
        <w:tc>
          <w:tcPr>
            <w:tcMar>
              <w:top w:w="80" w:type="dxa"/>
              <w:start w:w="90" w:type="dxa"/>
              <w:bottom w:w="80" w:type="dxa"/>
              <w:end w:w="90" w:type="dxa"/>
            </w:tcMar>
            <w:shd w:fill="D9EAF7" w:val="clear"/>
          </w:tcPr>
          <w:p>
            <w:pPr>
              <w:pStyle w:val="Compact"/>
              <w:jc w:val="left"/>
            </w:pPr>
            <w:r>
              <w:t xml:space="preserve">Evidence: cultural-participation data; heritage continuity; community-identity surveys; Gate classes: Rights Floor; Ordinary welfare. Uncertainty: Explicitly elevated. Interpretation: Ordinary welfare; rights-relevant for cultural rights and minority protection. Soft to measure — mark uncertainty.</w:t>
            </w:r>
          </w:p>
        </w:tc>
        <w:tc>
          <w:tcPr>
            <w:tcMar>
              <w:top w:w="80" w:type="dxa"/>
              <w:start w:w="90" w:type="dxa"/>
              <w:bottom w:w="80" w:type="dxa"/>
              <w:end w:w="90" w:type="dxa"/>
            </w:tcMar>
            <w:shd w:fill="D9EAF7" w:val="clear"/>
          </w:tcPr>
          <w:p>
            <w:pPr>
              <w:pStyle w:val="Compact"/>
              <w:jc w:val="left"/>
            </w:pPr>
            <w:r>
              <w:t xml:space="preserve">Example: Protecting a culturally significant site during redevelopment preserves U3/D6.; Reviewer check: A reviewer separates a genuine cultural effect from a symbolic gesture.</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U3/D7</w:t>
            </w:r>
            <w:r>
              <w:t xml:space="preserve"> </w:t>
            </w:r>
            <w:r>
              <w:t xml:space="preserve">- Local Ecology (label: local ecology)</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Evidence: local biodiversity / green-space data; pollution monitoring; land-use change; Gate classes: Tail Risk; Containment / Structural Viability; Ordinary welfare. Uncertainty: Standard assessment. Interpretation: Containment-relevant (local ecology supports wider systems); tail-relevant where degradation is irreversible or contamination could cascade.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Example: A watershed-protection rule that prevents local contamination improves U3/D7.; Reviewer check: A reviewer asks whether ‘no local effect’ was measured or merely assumed.</w:t>
            </w:r>
          </w:p>
        </w:tc>
      </w:tr>
    </w:tbl>
    <w:bookmarkEnd w:id="651"/>
    <w:bookmarkStart w:id="652" w:name="u4-organization---meaning-and-movement"/>
    <w:p>
      <w:pPr>
        <w:pStyle w:val="Heading3"/>
        <w:keepNext/>
        <w:keepLines/>
        <w:pageBreakBefore w:val="0"/>
        <w:widowControl/>
      </w:pPr>
      <w:r>
        <w:rPr>
          <w:rFonts w:ascii="Arial" w:hAnsi="Arial" w:eastAsia="Arial"/>
          <w:b/>
          <w:color w:val="1F4E78"/>
        </w:rPr>
        <w:t xml:space="preserve">U4 Organization - meaning and movement</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What this cell measures</w:t>
            </w:r>
          </w:p>
        </w:tc>
        <w:tc>
          <w:tcPr>
            <w:shd w:fill="1F4E78" w:val="clear"/>
            <w:tcMar>
              <w:top w:w="80" w:type="dxa"/>
              <w:start w:w="90" w:type="dxa"/>
              <w:bottom w:w="80" w:type="dxa"/>
              <w:end w:w="90" w:type="dxa"/>
            </w:tcMar>
          </w:tcPr>
          <w:p>
            <w:pPr>
              <w:pStyle w:val="Compact"/>
              <w:jc w:val="left"/>
            </w:pPr>
            <w:r>
              <w:rPr>
                <w:b/>
                <w:bCs/>
                <w:color w:val="FFFFFF"/>
              </w:rPr>
              <w:t xml:space="preserve">+ Benefit</w:t>
            </w:r>
          </w:p>
        </w:tc>
        <w:tc>
          <w:tcPr>
            <w:shd w:fill="1F4E78" w:val="clear"/>
            <w:tcMar>
              <w:top w:w="80" w:type="dxa"/>
              <w:start w:w="90" w:type="dxa"/>
              <w:bottom w:w="80" w:type="dxa"/>
              <w:end w:w="90" w:type="dxa"/>
            </w:tcMar>
          </w:tcPr>
          <w:p>
            <w:pPr>
              <w:pStyle w:val="Compact"/>
              <w:jc w:val="left"/>
            </w:pPr>
            <w:r>
              <w:rPr>
                <w:b/>
                <w:bCs/>
                <w:color w:val="FFFFFF"/>
              </w:rPr>
              <w:t xml:space="preserve">- Harm</w:t>
            </w:r>
          </w:p>
        </w:tc>
      </w:tr>
      <w:tr>
        <w:trPr/>
        <w:tc>
          <w:tcPr>
            <w:tcMar>
              <w:top w:w="80" w:type="dxa"/>
              <w:start w:w="90" w:type="dxa"/>
              <w:bottom w:w="80" w:type="dxa"/>
              <w:end w:w="90" w:type="dxa"/>
            </w:tcMar>
            <w:shd w:fill="F7FBFF" w:val="clear"/>
          </w:tcPr>
          <w:p>
            <w:pPr>
              <w:pStyle w:val="Compact"/>
              <w:jc w:val="left"/>
            </w:pPr>
            <w:r>
              <w:rPr>
                <w:b/>
                <w:bCs/>
              </w:rPr>
              <w:t xml:space="preserve">U4/D1</w:t>
            </w:r>
            <w:r>
              <w:t xml:space="preserve"> </w:t>
            </w:r>
            <w:r>
              <w:t xml:space="preserve">- Organizational Resources (label: operating resources)</w:t>
            </w:r>
          </w:p>
        </w:tc>
        <w:tc>
          <w:tcPr>
            <w:tcMar>
              <w:top w:w="80" w:type="dxa"/>
              <w:start w:w="90" w:type="dxa"/>
              <w:bottom w:w="80" w:type="dxa"/>
              <w:end w:w="90" w:type="dxa"/>
            </w:tcMar>
            <w:shd w:fill="F7FBFF" w:val="clear"/>
          </w:tcPr>
          <w:p>
            <w:pPr>
              <w:pStyle w:val="Compact"/>
              <w:jc w:val="left"/>
            </w:pPr>
            <w:r>
              <w:t xml:space="preserve">An organization’s operating means: finances, capital, staffing, and capacity to function and deliver.</w:t>
            </w:r>
          </w:p>
        </w:tc>
        <w:tc>
          <w:tcPr>
            <w:tcMar>
              <w:top w:w="80" w:type="dxa"/>
              <w:start w:w="90" w:type="dxa"/>
              <w:bottom w:w="80" w:type="dxa"/>
              <w:end w:w="90" w:type="dxa"/>
            </w:tcMar>
            <w:shd w:fill="F7FBFF" w:val="clear"/>
          </w:tcPr>
          <w:p>
            <w:pPr>
              <w:pStyle w:val="Compact"/>
              <w:jc w:val="left"/>
            </w:pPr>
            <w:r>
              <w:t xml:space="preserve">Stronger finances, capacity, staffing, and operational sustainability.</w:t>
            </w:r>
          </w:p>
        </w:tc>
        <w:tc>
          <w:tcPr>
            <w:tcMar>
              <w:top w:w="80" w:type="dxa"/>
              <w:start w:w="90" w:type="dxa"/>
              <w:bottom w:w="80" w:type="dxa"/>
              <w:end w:w="90" w:type="dxa"/>
            </w:tcMar>
            <w:shd w:fill="F7FBFF" w:val="clear"/>
          </w:tcPr>
          <w:p>
            <w:pPr>
              <w:pStyle w:val="Compact"/>
              <w:jc w:val="left"/>
            </w:pPr>
            <w:r>
              <w:t xml:space="preserve">Insolvency risk, capacity loss, layoffs, operational decline.</w:t>
            </w:r>
          </w:p>
        </w:tc>
      </w:tr>
      <w:tr>
        <w:trPr/>
        <w:tc>
          <w:tcPr>
            <w:tcMar>
              <w:top w:w="80" w:type="dxa"/>
              <w:start w:w="90" w:type="dxa"/>
              <w:bottom w:w="80" w:type="dxa"/>
              <w:end w:w="90" w:type="dxa"/>
            </w:tcMar>
            <w:shd w:fill="D9EAF7" w:val="clear"/>
          </w:tcPr>
          <w:p>
            <w:pPr>
              <w:pStyle w:val="Compact"/>
              <w:jc w:val="left"/>
            </w:pPr>
            <w:r>
              <w:rPr>
                <w:b/>
                <w:bCs/>
              </w:rPr>
              <w:t xml:space="preserve">U4/D2</w:t>
            </w:r>
            <w:r>
              <w:t xml:space="preserve"> </w:t>
            </w:r>
            <w:r>
              <w:t xml:space="preserve">- Organizational Safety (label: safety)</w:t>
            </w:r>
          </w:p>
        </w:tc>
        <w:tc>
          <w:tcPr>
            <w:tcMar>
              <w:top w:w="80" w:type="dxa"/>
              <w:start w:w="90" w:type="dxa"/>
              <w:bottom w:w="80" w:type="dxa"/>
              <w:end w:w="90" w:type="dxa"/>
            </w:tcMar>
            <w:shd w:fill="D9EAF7" w:val="clear"/>
          </w:tcPr>
          <w:p>
            <w:pPr>
              <w:pStyle w:val="Compact"/>
              <w:jc w:val="left"/>
            </w:pPr>
            <w:r>
              <w:t xml:space="preserve">The safety of people within and affected by the organization: workers, users, and the public.</w:t>
            </w:r>
          </w:p>
        </w:tc>
        <w:tc>
          <w:tcPr>
            <w:tcMar>
              <w:top w:w="80" w:type="dxa"/>
              <w:start w:w="90" w:type="dxa"/>
              <w:bottom w:w="80" w:type="dxa"/>
              <w:end w:w="90" w:type="dxa"/>
            </w:tcMar>
            <w:shd w:fill="D9EAF7" w:val="clear"/>
          </w:tcPr>
          <w:p>
            <w:pPr>
              <w:pStyle w:val="Compact"/>
              <w:jc w:val="left"/>
            </w:pPr>
            <w:r>
              <w:t xml:space="preserve">Fewer injuries, safer operations, better safety culture and compliance.</w:t>
            </w:r>
          </w:p>
        </w:tc>
        <w:tc>
          <w:tcPr>
            <w:tcMar>
              <w:top w:w="80" w:type="dxa"/>
              <w:start w:w="90" w:type="dxa"/>
              <w:bottom w:w="80" w:type="dxa"/>
              <w:end w:w="90" w:type="dxa"/>
            </w:tcMar>
            <w:shd w:fill="D9EAF7" w:val="clear"/>
          </w:tcPr>
          <w:p>
            <w:pPr>
              <w:pStyle w:val="Compact"/>
              <w:jc w:val="left"/>
            </w:pPr>
            <w:r>
              <w:t xml:space="preserve">Workplace injury, unsafe products/services, public-safety incidents.</w:t>
            </w:r>
          </w:p>
        </w:tc>
      </w:tr>
      <w:tr>
        <w:trPr/>
        <w:tc>
          <w:tcPr>
            <w:tcMar>
              <w:top w:w="80" w:type="dxa"/>
              <w:start w:w="90" w:type="dxa"/>
              <w:bottom w:w="80" w:type="dxa"/>
              <w:end w:w="90" w:type="dxa"/>
            </w:tcMar>
            <w:shd w:fill="F7FBFF" w:val="clear"/>
          </w:tcPr>
          <w:p>
            <w:pPr>
              <w:pStyle w:val="Compact"/>
              <w:jc w:val="left"/>
            </w:pPr>
            <w:r>
              <w:rPr>
                <w:b/>
                <w:bCs/>
              </w:rPr>
              <w:t xml:space="preserve">U4/D3</w:t>
            </w:r>
            <w:r>
              <w:t xml:space="preserve"> </w:t>
            </w:r>
            <w:r>
              <w:t xml:space="preserve">- Organizational Culture (label: culture)</w:t>
            </w:r>
          </w:p>
        </w:tc>
        <w:tc>
          <w:tcPr>
            <w:tcMar>
              <w:top w:w="80" w:type="dxa"/>
              <w:start w:w="90" w:type="dxa"/>
              <w:bottom w:w="80" w:type="dxa"/>
              <w:end w:w="90" w:type="dxa"/>
            </w:tcMar>
            <w:shd w:fill="F7FBFF" w:val="clear"/>
          </w:tcPr>
          <w:p>
            <w:pPr>
              <w:pStyle w:val="Compact"/>
              <w:jc w:val="left"/>
            </w:pPr>
            <w:r>
              <w:t xml:space="preserve">The internal relational health of the organization: trust, fairness, inclusion, and cooperation.</w:t>
            </w:r>
          </w:p>
        </w:tc>
        <w:tc>
          <w:tcPr>
            <w:tcMar>
              <w:top w:w="80" w:type="dxa"/>
              <w:start w:w="90" w:type="dxa"/>
              <w:bottom w:w="80" w:type="dxa"/>
              <w:end w:w="90" w:type="dxa"/>
            </w:tcMar>
            <w:shd w:fill="F7FBFF" w:val="clear"/>
          </w:tcPr>
          <w:p>
            <w:pPr>
              <w:pStyle w:val="Compact"/>
              <w:jc w:val="left"/>
            </w:pPr>
            <w:r>
              <w:t xml:space="preserve">Healthier culture, fairer treatment, reduced harassment, stronger cooperation.</w:t>
            </w:r>
          </w:p>
        </w:tc>
        <w:tc>
          <w:tcPr>
            <w:tcMar>
              <w:top w:w="80" w:type="dxa"/>
              <w:start w:w="90" w:type="dxa"/>
              <w:bottom w:w="80" w:type="dxa"/>
              <w:end w:w="90" w:type="dxa"/>
            </w:tcMar>
            <w:shd w:fill="F7FBFF" w:val="clear"/>
          </w:tcPr>
          <w:p>
            <w:pPr>
              <w:pStyle w:val="Compact"/>
              <w:jc w:val="left"/>
            </w:pPr>
            <w:r>
              <w:t xml:space="preserve">Toxic culture, discrimination, harassment, low trust, burnout.</w:t>
            </w:r>
          </w:p>
        </w:tc>
      </w:tr>
      <w:tr>
        <w:trPr/>
        <w:tc>
          <w:tcPr>
            <w:tcMar>
              <w:top w:w="80" w:type="dxa"/>
              <w:start w:w="90" w:type="dxa"/>
              <w:bottom w:w="80" w:type="dxa"/>
              <w:end w:w="90" w:type="dxa"/>
            </w:tcMar>
            <w:shd w:fill="D9EAF7" w:val="clear"/>
          </w:tcPr>
          <w:p>
            <w:pPr>
              <w:pStyle w:val="Compact"/>
              <w:jc w:val="left"/>
            </w:pPr>
            <w:r>
              <w:rPr>
                <w:b/>
                <w:bCs/>
              </w:rPr>
              <w:t xml:space="preserve">U4/D4</w:t>
            </w:r>
            <w:r>
              <w:t xml:space="preserve"> </w:t>
            </w:r>
            <w:r>
              <w:t xml:space="preserve">- Knowledge Systems (label: knowledge systems)</w:t>
            </w:r>
          </w:p>
        </w:tc>
        <w:tc>
          <w:tcPr>
            <w:tcMar>
              <w:top w:w="80" w:type="dxa"/>
              <w:start w:w="90" w:type="dxa"/>
              <w:bottom w:w="80" w:type="dxa"/>
              <w:end w:w="90" w:type="dxa"/>
            </w:tcMar>
            <w:shd w:fill="D9EAF7" w:val="clear"/>
          </w:tcPr>
          <w:p>
            <w:pPr>
              <w:pStyle w:val="Compact"/>
              <w:jc w:val="left"/>
            </w:pPr>
            <w:r>
              <w:t xml:space="preserve">The organization’s knowledge, data integrity, institutional memory, and learning systems.</w:t>
            </w:r>
          </w:p>
        </w:tc>
        <w:tc>
          <w:tcPr>
            <w:tcMar>
              <w:top w:w="80" w:type="dxa"/>
              <w:start w:w="90" w:type="dxa"/>
              <w:bottom w:w="80" w:type="dxa"/>
              <w:end w:w="90" w:type="dxa"/>
            </w:tcMar>
            <w:shd w:fill="D9EAF7" w:val="clear"/>
          </w:tcPr>
          <w:p>
            <w:pPr>
              <w:pStyle w:val="Compact"/>
              <w:jc w:val="left"/>
            </w:pPr>
            <w:r>
              <w:t xml:space="preserve">Better knowledge retention, data integrity, transparency, and learning.</w:t>
            </w:r>
          </w:p>
        </w:tc>
        <w:tc>
          <w:tcPr>
            <w:tcMar>
              <w:top w:w="80" w:type="dxa"/>
              <w:start w:w="90" w:type="dxa"/>
              <w:bottom w:w="80" w:type="dxa"/>
              <w:end w:w="90" w:type="dxa"/>
            </w:tcMar>
            <w:shd w:fill="D9EAF7" w:val="clear"/>
          </w:tcPr>
          <w:p>
            <w:pPr>
              <w:pStyle w:val="Compact"/>
              <w:jc w:val="left"/>
            </w:pPr>
            <w:r>
              <w:t xml:space="preserve">Knowledge loss, data corruption, opacity, broken institutional memory.</w:t>
            </w:r>
          </w:p>
        </w:tc>
      </w:tr>
      <w:tr>
        <w:trPr/>
        <w:tc>
          <w:tcPr>
            <w:tcMar>
              <w:top w:w="80" w:type="dxa"/>
              <w:start w:w="90" w:type="dxa"/>
              <w:bottom w:w="80" w:type="dxa"/>
              <w:end w:w="90" w:type="dxa"/>
            </w:tcMar>
            <w:shd w:fill="F7FBFF" w:val="clear"/>
          </w:tcPr>
          <w:p>
            <w:pPr>
              <w:pStyle w:val="Compact"/>
              <w:jc w:val="left"/>
            </w:pPr>
            <w:r>
              <w:rPr>
                <w:b/>
                <w:bCs/>
              </w:rPr>
              <w:t xml:space="preserve">U4/D5</w:t>
            </w:r>
            <w:r>
              <w:t xml:space="preserve"> </w:t>
            </w:r>
            <w:r>
              <w:t xml:space="preserve">- Role Agency (label: role agency)</w:t>
            </w:r>
          </w:p>
        </w:tc>
        <w:tc>
          <w:tcPr>
            <w:tcMar>
              <w:top w:w="80" w:type="dxa"/>
              <w:start w:w="90" w:type="dxa"/>
              <w:bottom w:w="80" w:type="dxa"/>
              <w:end w:w="90" w:type="dxa"/>
            </w:tcMar>
            <w:shd w:fill="F7FBFF" w:val="clear"/>
          </w:tcPr>
          <w:p>
            <w:pPr>
              <w:pStyle w:val="Compact"/>
              <w:jc w:val="left"/>
            </w:pPr>
            <w:r>
              <w:t xml:space="preserve">The meaningful autonomy, voice, and fair treatment of individuals in their organizational roles.</w:t>
            </w:r>
          </w:p>
        </w:tc>
        <w:tc>
          <w:tcPr>
            <w:tcMar>
              <w:top w:w="80" w:type="dxa"/>
              <w:start w:w="90" w:type="dxa"/>
              <w:bottom w:w="80" w:type="dxa"/>
              <w:end w:w="90" w:type="dxa"/>
            </w:tcMar>
            <w:shd w:fill="F7FBFF" w:val="clear"/>
          </w:tcPr>
          <w:p>
            <w:pPr>
              <w:pStyle w:val="Compact"/>
              <w:jc w:val="left"/>
            </w:pPr>
            <w:r>
              <w:t xml:space="preserve">More voice, fair process, reasonable autonomy, freedom from arbitrary treatment.</w:t>
            </w:r>
          </w:p>
        </w:tc>
        <w:tc>
          <w:tcPr>
            <w:tcMar>
              <w:top w:w="80" w:type="dxa"/>
              <w:start w:w="90" w:type="dxa"/>
              <w:bottom w:w="80" w:type="dxa"/>
              <w:end w:w="90" w:type="dxa"/>
            </w:tcMar>
            <w:shd w:fill="F7FBFF" w:val="clear"/>
          </w:tcPr>
          <w:p>
            <w:pPr>
              <w:pStyle w:val="Compact"/>
              <w:jc w:val="left"/>
            </w:pPr>
            <w:r>
              <w:t xml:space="preserve">Arbitrary power, suppressed voice, exploitation, loss of role autonomy.</w:t>
            </w:r>
          </w:p>
        </w:tc>
      </w:tr>
      <w:tr>
        <w:trPr/>
        <w:tc>
          <w:tcPr>
            <w:tcMar>
              <w:top w:w="80" w:type="dxa"/>
              <w:start w:w="90" w:type="dxa"/>
              <w:bottom w:w="80" w:type="dxa"/>
              <w:end w:w="90" w:type="dxa"/>
            </w:tcMar>
            <w:shd w:fill="D9EAF7" w:val="clear"/>
          </w:tcPr>
          <w:p>
            <w:pPr>
              <w:pStyle w:val="Compact"/>
              <w:jc w:val="left"/>
            </w:pPr>
            <w:r>
              <w:rPr>
                <w:b/>
                <w:bCs/>
              </w:rPr>
              <w:t xml:space="preserve">U4/D6</w:t>
            </w:r>
            <w:r>
              <w:t xml:space="preserve"> </w:t>
            </w:r>
            <w:r>
              <w:t xml:space="preserve">- Mission Coherence (label: mission coherence)</w:t>
            </w:r>
          </w:p>
        </w:tc>
        <w:tc>
          <w:tcPr>
            <w:tcMar>
              <w:top w:w="80" w:type="dxa"/>
              <w:start w:w="90" w:type="dxa"/>
              <w:bottom w:w="80" w:type="dxa"/>
              <w:end w:w="90" w:type="dxa"/>
            </w:tcMar>
            <w:shd w:fill="D9EAF7" w:val="clear"/>
          </w:tcPr>
          <w:p>
            <w:pPr>
              <w:pStyle w:val="Compact"/>
              <w:jc w:val="left"/>
            </w:pPr>
            <w:r>
              <w:t xml:space="preserve">The alignment between the organization’s stated purpose and its actual conduct and effects.</w:t>
            </w:r>
          </w:p>
        </w:tc>
        <w:tc>
          <w:tcPr>
            <w:tcMar>
              <w:top w:w="80" w:type="dxa"/>
              <w:start w:w="90" w:type="dxa"/>
              <w:bottom w:w="80" w:type="dxa"/>
              <w:end w:w="90" w:type="dxa"/>
            </w:tcMar>
            <w:shd w:fill="D9EAF7" w:val="clear"/>
          </w:tcPr>
          <w:p>
            <w:pPr>
              <w:pStyle w:val="Compact"/>
              <w:jc w:val="left"/>
            </w:pPr>
            <w:r>
              <w:t xml:space="preserve">Stronger purpose-conduct alignment, integrity, and legitimate mission delivery.</w:t>
            </w:r>
          </w:p>
        </w:tc>
        <w:tc>
          <w:tcPr>
            <w:tcMar>
              <w:top w:w="80" w:type="dxa"/>
              <w:start w:w="90" w:type="dxa"/>
              <w:bottom w:w="80" w:type="dxa"/>
              <w:end w:w="90" w:type="dxa"/>
            </w:tcMar>
            <w:shd w:fill="D9EAF7" w:val="clear"/>
          </w:tcPr>
          <w:p>
            <w:pPr>
              <w:pStyle w:val="Compact"/>
              <w:jc w:val="left"/>
            </w:pPr>
            <w:r>
              <w:t xml:space="preserve">Mission drift, purpose-washing, hollow mandate, loss of legitimacy.</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U4/D7</w:t>
            </w:r>
            <w:r>
              <w:t xml:space="preserve"> </w:t>
            </w:r>
            <w:r>
              <w:t xml:space="preserve">- Operational Footprint (label: operational footprint)</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The environmental impact of the organization’s operations: emissions, waste, resource use, land.</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Lower emissions/waste, reduced resource intensity, smaller harmful footprint.</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Pollution, emissions, waste, resource depletion, ecological damage.</w:t>
            </w:r>
          </w:p>
        </w:tc>
      </w:tr>
    </w:tbl>
    <w:bookmarkEnd w:id="652"/>
    <w:bookmarkStart w:id="653" w:name="u4-organization---evidence-and-review"/>
    <w:p>
      <w:pPr>
        <w:pStyle w:val="Heading3"/>
        <w:keepNext/>
        <w:keepLines/>
        <w:pageBreakBefore w:val="0"/>
        <w:widowControl/>
      </w:pPr>
      <w:r>
        <w:rPr>
          <w:rFonts w:ascii="Arial" w:hAnsi="Arial" w:eastAsia="Arial"/>
          <w:b/>
          <w:color w:val="1F4E78"/>
        </w:rPr>
        <w:t xml:space="preserve">U4 Organization - evidence and review</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Evidence and gate cues</w:t>
            </w:r>
          </w:p>
        </w:tc>
        <w:tc>
          <w:tcPr>
            <w:shd w:fill="1F4E78" w:val="clear"/>
            <w:tcMar>
              <w:top w:w="80" w:type="dxa"/>
              <w:start w:w="90" w:type="dxa"/>
              <w:bottom w:w="80" w:type="dxa"/>
              <w:end w:w="90" w:type="dxa"/>
            </w:tcMar>
          </w:tcPr>
          <w:p>
            <w:pPr>
              <w:pStyle w:val="Compact"/>
              <w:jc w:val="left"/>
            </w:pPr>
            <w:r>
              <w:rPr>
                <w:b/>
                <w:bCs/>
                <w:color w:val="FFFFFF"/>
              </w:rPr>
              <w:t xml:space="preserve">Example and reviewer check</w:t>
            </w:r>
          </w:p>
        </w:tc>
      </w:tr>
      <w:tr>
        <w:trPr/>
        <w:tc>
          <w:tcPr>
            <w:tcMar>
              <w:top w:w="80" w:type="dxa"/>
              <w:start w:w="90" w:type="dxa"/>
              <w:bottom w:w="80" w:type="dxa"/>
              <w:end w:w="90" w:type="dxa"/>
            </w:tcMar>
            <w:shd w:fill="F7FBFF" w:val="clear"/>
          </w:tcPr>
          <w:p>
            <w:pPr>
              <w:pStyle w:val="Compact"/>
              <w:jc w:val="left"/>
            </w:pPr>
            <w:r>
              <w:rPr>
                <w:b/>
                <w:bCs/>
              </w:rPr>
              <w:t xml:space="preserve">U4/D1</w:t>
            </w:r>
            <w:r>
              <w:t xml:space="preserve"> </w:t>
            </w:r>
            <w:r>
              <w:t xml:space="preserve">- Organizational Resources (label: operating resources)</w:t>
            </w:r>
          </w:p>
        </w:tc>
        <w:tc>
          <w:tcPr>
            <w:tcMar>
              <w:top w:w="80" w:type="dxa"/>
              <w:start w:w="90" w:type="dxa"/>
              <w:bottom w:w="80" w:type="dxa"/>
              <w:end w:w="90" w:type="dxa"/>
            </w:tcMar>
            <w:shd w:fill="F7FBFF" w:val="clear"/>
          </w:tcPr>
          <w:p>
            <w:pPr>
              <w:pStyle w:val="Compact"/>
              <w:jc w:val="left"/>
            </w:pPr>
            <w:r>
              <w:t xml:space="preserve">Evidence: financial statements; staffing and capacity data; service-delivery metrics; Gate classes: Containment / Structural Viability; Ordinary welfare. Uncertainty: Standard assessment. Interpretation: Ordinary welfare; containment-relevant when organizational gains are extracted by externalising harm onto community, polity, or biosphere scopes.</w:t>
            </w:r>
          </w:p>
        </w:tc>
        <w:tc>
          <w:tcPr>
            <w:tcMar>
              <w:top w:w="80" w:type="dxa"/>
              <w:start w:w="90" w:type="dxa"/>
              <w:bottom w:w="80" w:type="dxa"/>
              <w:end w:w="90" w:type="dxa"/>
            </w:tcMar>
            <w:shd w:fill="F7FBFF" w:val="clear"/>
          </w:tcPr>
          <w:p>
            <w:pPr>
              <w:pStyle w:val="Compact"/>
              <w:jc w:val="left"/>
            </w:pPr>
            <w:r>
              <w:t xml:space="preserve">Example: A funding change that stabilises a hospital’s operating budget improves U4/D1.; Reviewer check: A reviewer checks whether the organizational gain creates uncosted externalities in other cells (the classic ‘operating resources up, U7 down’ trap).</w:t>
            </w:r>
          </w:p>
        </w:tc>
      </w:tr>
      <w:tr>
        <w:trPr/>
        <w:tc>
          <w:tcPr>
            <w:tcMar>
              <w:top w:w="80" w:type="dxa"/>
              <w:start w:w="90" w:type="dxa"/>
              <w:bottom w:w="80" w:type="dxa"/>
              <w:end w:w="90" w:type="dxa"/>
            </w:tcMar>
            <w:shd w:fill="D9EAF7" w:val="clear"/>
          </w:tcPr>
          <w:p>
            <w:pPr>
              <w:pStyle w:val="Compact"/>
              <w:jc w:val="left"/>
            </w:pPr>
            <w:r>
              <w:rPr>
                <w:b/>
                <w:bCs/>
              </w:rPr>
              <w:t xml:space="preserve">U4/D2</w:t>
            </w:r>
            <w:r>
              <w:t xml:space="preserve"> </w:t>
            </w:r>
            <w:r>
              <w:t xml:space="preserve">- Organizational Safety (label: safety)</w:t>
            </w:r>
          </w:p>
        </w:tc>
        <w:tc>
          <w:tcPr>
            <w:tcMar>
              <w:top w:w="80" w:type="dxa"/>
              <w:start w:w="90" w:type="dxa"/>
              <w:bottom w:w="80" w:type="dxa"/>
              <w:end w:w="90" w:type="dxa"/>
            </w:tcMar>
            <w:shd w:fill="D9EAF7" w:val="clear"/>
          </w:tcPr>
          <w:p>
            <w:pPr>
              <w:pStyle w:val="Compact"/>
              <w:jc w:val="left"/>
            </w:pPr>
            <w:r>
              <w:t xml:space="preserve">Evidence: incident and injury rates; safety-compliance audits; near-miss reporting; Gate classes: Rights Floor; Tail Risk; Ordinary welfare. Uncertainty: Standard assessment. Interpretation: Rights-covered via labour and safety protections; tail-relevant where failure could cause catastrophic or mass-casualty events.</w:t>
            </w:r>
          </w:p>
        </w:tc>
        <w:tc>
          <w:tcPr>
            <w:tcMar>
              <w:top w:w="80" w:type="dxa"/>
              <w:start w:w="90" w:type="dxa"/>
              <w:bottom w:w="80" w:type="dxa"/>
              <w:end w:w="90" w:type="dxa"/>
            </w:tcMar>
            <w:shd w:fill="D9EAF7" w:val="clear"/>
          </w:tcPr>
          <w:p>
            <w:pPr>
              <w:pStyle w:val="Compact"/>
              <w:jc w:val="left"/>
            </w:pPr>
            <w:r>
              <w:t xml:space="preserve">Example: A maintenance regime that cuts industrial-accident rates improves U4/D2.; Reviewer check: A reviewer checks whether reported safety reflects outcomes or only paperwork compliance.</w:t>
            </w:r>
          </w:p>
        </w:tc>
      </w:tr>
      <w:tr>
        <w:trPr/>
        <w:tc>
          <w:tcPr>
            <w:tcMar>
              <w:top w:w="80" w:type="dxa"/>
              <w:start w:w="90" w:type="dxa"/>
              <w:bottom w:w="80" w:type="dxa"/>
              <w:end w:w="90" w:type="dxa"/>
            </w:tcMar>
            <w:shd w:fill="F7FBFF" w:val="clear"/>
          </w:tcPr>
          <w:p>
            <w:pPr>
              <w:pStyle w:val="Compact"/>
              <w:jc w:val="left"/>
            </w:pPr>
            <w:r>
              <w:rPr>
                <w:b/>
                <w:bCs/>
              </w:rPr>
              <w:t xml:space="preserve">U4/D3</w:t>
            </w:r>
            <w:r>
              <w:t xml:space="preserve"> </w:t>
            </w:r>
            <w:r>
              <w:t xml:space="preserve">- Organizational Culture (label: culture)</w:t>
            </w:r>
          </w:p>
        </w:tc>
        <w:tc>
          <w:tcPr>
            <w:tcMar>
              <w:top w:w="80" w:type="dxa"/>
              <w:start w:w="90" w:type="dxa"/>
              <w:bottom w:w="80" w:type="dxa"/>
              <w:end w:w="90" w:type="dxa"/>
            </w:tcMar>
            <w:shd w:fill="F7FBFF" w:val="clear"/>
          </w:tcPr>
          <w:p>
            <w:pPr>
              <w:pStyle w:val="Compact"/>
              <w:jc w:val="left"/>
            </w:pPr>
            <w:r>
              <w:t xml:space="preserve">Evidence: staff-climate surveys; grievance and turnover data; fairness / inclusion measures; Gate classes: Rights Floor; Ordinary welfare. Uncertainty: Standard assessment. Interpretation: Ordinary welfare; rights-relevant where discrimination or harassment occurs.</w:t>
            </w:r>
          </w:p>
        </w:tc>
        <w:tc>
          <w:tcPr>
            <w:tcMar>
              <w:top w:w="80" w:type="dxa"/>
              <w:start w:w="90" w:type="dxa"/>
              <w:bottom w:w="80" w:type="dxa"/>
              <w:end w:w="90" w:type="dxa"/>
            </w:tcMar>
            <w:shd w:fill="F7FBFF" w:val="clear"/>
          </w:tcPr>
          <w:p>
            <w:pPr>
              <w:pStyle w:val="Compact"/>
              <w:jc w:val="left"/>
            </w:pPr>
            <w:r>
              <w:t xml:space="preserve">Example: An anti-harassment reform that reduces verified grievances improves U4/D3.; Reviewer check: A reviewer asks whether culture data is independent or self-reported by leadership.</w:t>
            </w:r>
          </w:p>
        </w:tc>
      </w:tr>
      <w:tr>
        <w:trPr/>
        <w:tc>
          <w:tcPr>
            <w:tcMar>
              <w:top w:w="80" w:type="dxa"/>
              <w:start w:w="90" w:type="dxa"/>
              <w:bottom w:w="80" w:type="dxa"/>
              <w:end w:w="90" w:type="dxa"/>
            </w:tcMar>
            <w:shd w:fill="D9EAF7" w:val="clear"/>
          </w:tcPr>
          <w:p>
            <w:pPr>
              <w:pStyle w:val="Compact"/>
              <w:jc w:val="left"/>
            </w:pPr>
            <w:r>
              <w:rPr>
                <w:b/>
                <w:bCs/>
              </w:rPr>
              <w:t xml:space="preserve">U4/D4</w:t>
            </w:r>
            <w:r>
              <w:t xml:space="preserve"> </w:t>
            </w:r>
            <w:r>
              <w:t xml:space="preserve">- Knowledge Systems (label: knowledge systems)</w:t>
            </w:r>
          </w:p>
        </w:tc>
        <w:tc>
          <w:tcPr>
            <w:tcMar>
              <w:top w:w="80" w:type="dxa"/>
              <w:start w:w="90" w:type="dxa"/>
              <w:bottom w:w="80" w:type="dxa"/>
              <w:end w:w="90" w:type="dxa"/>
            </w:tcMar>
            <w:shd w:fill="D9EAF7" w:val="clear"/>
          </w:tcPr>
          <w:p>
            <w:pPr>
              <w:pStyle w:val="Compact"/>
              <w:jc w:val="left"/>
            </w:pPr>
            <w:r>
              <w:t xml:space="preserve">Evidence: data-integrity audits; documentation completeness; knowledge-retention metrics; Gate classes: Containment / Structural Viability; Ordinary welfare. Uncertainty: Standard assessment. Interpretation: Ordinary welfare; containment-relevant where degraded knowledge systems undermine accountability or wider-system reliability.</w:t>
            </w:r>
          </w:p>
        </w:tc>
        <w:tc>
          <w:tcPr>
            <w:tcMar>
              <w:top w:w="80" w:type="dxa"/>
              <w:start w:w="90" w:type="dxa"/>
              <w:bottom w:w="80" w:type="dxa"/>
              <w:end w:w="90" w:type="dxa"/>
            </w:tcMar>
            <w:shd w:fill="D9EAF7" w:val="clear"/>
          </w:tcPr>
          <w:p>
            <w:pPr>
              <w:pStyle w:val="Compact"/>
              <w:jc w:val="left"/>
            </w:pPr>
            <w:r>
              <w:t xml:space="preserve">Example: A records-integrity upgrade that makes decisions auditable improves U4/D4.; Reviewer check: A reviewer tests whether claimed integrity is verifiable or asserted.</w:t>
            </w:r>
          </w:p>
        </w:tc>
      </w:tr>
      <w:tr>
        <w:trPr/>
        <w:tc>
          <w:tcPr>
            <w:tcMar>
              <w:top w:w="80" w:type="dxa"/>
              <w:start w:w="90" w:type="dxa"/>
              <w:bottom w:w="80" w:type="dxa"/>
              <w:end w:w="90" w:type="dxa"/>
            </w:tcMar>
            <w:shd w:fill="F7FBFF" w:val="clear"/>
          </w:tcPr>
          <w:p>
            <w:pPr>
              <w:pStyle w:val="Compact"/>
              <w:jc w:val="left"/>
            </w:pPr>
            <w:r>
              <w:rPr>
                <w:b/>
                <w:bCs/>
              </w:rPr>
              <w:t xml:space="preserve">U4/D5</w:t>
            </w:r>
            <w:r>
              <w:t xml:space="preserve"> </w:t>
            </w:r>
            <w:r>
              <w:t xml:space="preserve">- Role Agency (label: role agency)</w:t>
            </w:r>
          </w:p>
        </w:tc>
        <w:tc>
          <w:tcPr>
            <w:tcMar>
              <w:top w:w="80" w:type="dxa"/>
              <w:start w:w="90" w:type="dxa"/>
              <w:bottom w:w="80" w:type="dxa"/>
              <w:end w:w="90" w:type="dxa"/>
            </w:tcMar>
            <w:shd w:fill="F7FBFF" w:val="clear"/>
          </w:tcPr>
          <w:p>
            <w:pPr>
              <w:pStyle w:val="Compact"/>
              <w:jc w:val="left"/>
            </w:pPr>
            <w:r>
              <w:t xml:space="preserve">Evidence: worker-voice mechanisms; grievance outcomes; autonomy / discretion measures; Gate classes: Rights Floor; Ordinary welfare. Uncertainty: Standard assessment. Interpretation: Rights-relevant via labour rights and freedom of association; otherwise ordinary.</w:t>
            </w:r>
          </w:p>
        </w:tc>
        <w:tc>
          <w:tcPr>
            <w:tcMar>
              <w:top w:w="80" w:type="dxa"/>
              <w:start w:w="90" w:type="dxa"/>
              <w:bottom w:w="80" w:type="dxa"/>
              <w:end w:w="90" w:type="dxa"/>
            </w:tcMar>
            <w:shd w:fill="F7FBFF" w:val="clear"/>
          </w:tcPr>
          <w:p>
            <w:pPr>
              <w:pStyle w:val="Compact"/>
              <w:jc w:val="left"/>
            </w:pPr>
            <w:r>
              <w:t xml:space="preserve">Example: A grievance process with real remedy improves U4/D5.; Reviewer check: A reviewer checks whether voice mechanisms produce outcomes or are decorative.</w:t>
            </w:r>
          </w:p>
        </w:tc>
      </w:tr>
      <w:tr>
        <w:trPr/>
        <w:tc>
          <w:tcPr>
            <w:tcMar>
              <w:top w:w="80" w:type="dxa"/>
              <w:start w:w="90" w:type="dxa"/>
              <w:bottom w:w="80" w:type="dxa"/>
              <w:end w:w="90" w:type="dxa"/>
            </w:tcMar>
            <w:shd w:fill="D9EAF7" w:val="clear"/>
          </w:tcPr>
          <w:p>
            <w:pPr>
              <w:pStyle w:val="Compact"/>
              <w:jc w:val="left"/>
            </w:pPr>
            <w:r>
              <w:rPr>
                <w:b/>
                <w:bCs/>
              </w:rPr>
              <w:t xml:space="preserve">U4/D6</w:t>
            </w:r>
            <w:r>
              <w:t xml:space="preserve"> </w:t>
            </w:r>
            <w:r>
              <w:t xml:space="preserve">- Mission Coherence (label: mission coherence)</w:t>
            </w:r>
          </w:p>
        </w:tc>
        <w:tc>
          <w:tcPr>
            <w:tcMar>
              <w:top w:w="80" w:type="dxa"/>
              <w:start w:w="90" w:type="dxa"/>
              <w:bottom w:w="80" w:type="dxa"/>
              <w:end w:w="90" w:type="dxa"/>
            </w:tcMar>
            <w:shd w:fill="D9EAF7" w:val="clear"/>
          </w:tcPr>
          <w:p>
            <w:pPr>
              <w:pStyle w:val="Compact"/>
              <w:jc w:val="left"/>
            </w:pPr>
            <w:r>
              <w:t xml:space="preserve">Evidence: mission-vs-outcome analysis; stakeholder-trust measures; conduct audits; Gate classes: Containment / Structural Viability; Ordinary welfare. Uncertainty: Explicitly elevated. Interpretation: Ordinary welfare; containment-relevant where mission decay (HOI-adjacent) hollows out the institution. Distinct from the formal HOI diagnostic.</w:t>
            </w:r>
          </w:p>
        </w:tc>
        <w:tc>
          <w:tcPr>
            <w:tcMar>
              <w:top w:w="80" w:type="dxa"/>
              <w:start w:w="90" w:type="dxa"/>
              <w:bottom w:w="80" w:type="dxa"/>
              <w:end w:w="90" w:type="dxa"/>
            </w:tcMar>
            <w:shd w:fill="D9EAF7" w:val="clear"/>
          </w:tcPr>
          <w:p>
            <w:pPr>
              <w:pStyle w:val="Compact"/>
              <w:jc w:val="left"/>
            </w:pPr>
            <w:r>
              <w:t xml:space="preserve">Example: A governance reform that realigns conduct with mandate improves U4/D6.; Reviewer check: A reviewer asks whether coherence is evidenced by conduct or only by restated values.</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U4/D7</w:t>
            </w:r>
            <w:r>
              <w:t xml:space="preserve"> </w:t>
            </w:r>
            <w:r>
              <w:t xml:space="preserve">- Operational Footprint (label: operational footprint)</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Evidence: emissions and waste data; resource-use intensity; environmental-compliance records; Gate classes: Tail Risk; Containment / Structural Viability; Ordinary welfare. Uncertainty: Standard assessment. Interpretation: Containment-relevant (footprint degrades wider scopes); tail-relevant where the footprint contributes to irreversible or large-scale harm. The canonical ‘local win, wider loss’ cell.</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Example: A process change that cuts a plant’s emissions while sustaining output improves U4/D7.; Reviewer check: A reviewer checks footprint against measured externalities, not offset claims alone.</w:t>
            </w:r>
          </w:p>
        </w:tc>
      </w:tr>
    </w:tbl>
    <w:bookmarkEnd w:id="653"/>
    <w:bookmarkStart w:id="654" w:name="u5-polity---meaning-and-movement"/>
    <w:p>
      <w:pPr>
        <w:pStyle w:val="Heading3"/>
        <w:keepNext/>
        <w:keepLines/>
        <w:pageBreakBefore w:val="0"/>
        <w:widowControl/>
      </w:pPr>
      <w:r>
        <w:rPr>
          <w:rFonts w:ascii="Arial" w:hAnsi="Arial" w:eastAsia="Arial"/>
          <w:b/>
          <w:color w:val="1F4E78"/>
        </w:rPr>
        <w:t xml:space="preserve">U5 Polity - meaning and movement</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What this cell measures</w:t>
            </w:r>
          </w:p>
        </w:tc>
        <w:tc>
          <w:tcPr>
            <w:shd w:fill="1F4E78" w:val="clear"/>
            <w:tcMar>
              <w:top w:w="80" w:type="dxa"/>
              <w:start w:w="90" w:type="dxa"/>
              <w:bottom w:w="80" w:type="dxa"/>
              <w:end w:w="90" w:type="dxa"/>
            </w:tcMar>
          </w:tcPr>
          <w:p>
            <w:pPr>
              <w:pStyle w:val="Compact"/>
              <w:jc w:val="left"/>
            </w:pPr>
            <w:r>
              <w:rPr>
                <w:b/>
                <w:bCs/>
                <w:color w:val="FFFFFF"/>
              </w:rPr>
              <w:t xml:space="preserve">+ Benefit</w:t>
            </w:r>
          </w:p>
        </w:tc>
        <w:tc>
          <w:tcPr>
            <w:shd w:fill="1F4E78" w:val="clear"/>
            <w:tcMar>
              <w:top w:w="80" w:type="dxa"/>
              <w:start w:w="90" w:type="dxa"/>
              <w:bottom w:w="80" w:type="dxa"/>
              <w:end w:w="90" w:type="dxa"/>
            </w:tcMar>
          </w:tcPr>
          <w:p>
            <w:pPr>
              <w:pStyle w:val="Compact"/>
              <w:jc w:val="left"/>
            </w:pPr>
            <w:r>
              <w:rPr>
                <w:b/>
                <w:bCs/>
                <w:color w:val="FFFFFF"/>
              </w:rPr>
              <w:t xml:space="preserve">- Harm</w:t>
            </w:r>
          </w:p>
        </w:tc>
      </w:tr>
      <w:tr>
        <w:trPr/>
        <w:tc>
          <w:tcPr>
            <w:tcMar>
              <w:top w:w="80" w:type="dxa"/>
              <w:start w:w="90" w:type="dxa"/>
              <w:bottom w:w="80" w:type="dxa"/>
              <w:end w:w="90" w:type="dxa"/>
            </w:tcMar>
            <w:shd w:fill="F7FBFF" w:val="clear"/>
          </w:tcPr>
          <w:p>
            <w:pPr>
              <w:pStyle w:val="Compact"/>
              <w:jc w:val="left"/>
            </w:pPr>
            <w:r>
              <w:rPr>
                <w:b/>
                <w:bCs/>
              </w:rPr>
              <w:t xml:space="preserve">U5/D1</w:t>
            </w:r>
            <w:r>
              <w:t xml:space="preserve"> </w:t>
            </w:r>
            <w:r>
              <w:t xml:space="preserve">- Public Resources (label: public resources)</w:t>
            </w:r>
          </w:p>
        </w:tc>
        <w:tc>
          <w:tcPr>
            <w:tcMar>
              <w:top w:w="80" w:type="dxa"/>
              <w:start w:w="90" w:type="dxa"/>
              <w:bottom w:w="80" w:type="dxa"/>
              <w:end w:w="90" w:type="dxa"/>
            </w:tcMar>
            <w:shd w:fill="F7FBFF" w:val="clear"/>
          </w:tcPr>
          <w:p>
            <w:pPr>
              <w:pStyle w:val="Compact"/>
              <w:jc w:val="left"/>
            </w:pPr>
            <w:r>
              <w:t xml:space="preserve">The polity’s fiscal and material capacity: public finances, infrastructure, and provisioning.</w:t>
            </w:r>
          </w:p>
        </w:tc>
        <w:tc>
          <w:tcPr>
            <w:tcMar>
              <w:top w:w="80" w:type="dxa"/>
              <w:start w:w="90" w:type="dxa"/>
              <w:bottom w:w="80" w:type="dxa"/>
              <w:end w:w="90" w:type="dxa"/>
            </w:tcMar>
            <w:shd w:fill="F7FBFF" w:val="clear"/>
          </w:tcPr>
          <w:p>
            <w:pPr>
              <w:pStyle w:val="Compact"/>
              <w:jc w:val="left"/>
            </w:pPr>
            <w:r>
              <w:t xml:space="preserve">Sounder public finances, better infrastructure, sustainable provisioning.</w:t>
            </w:r>
          </w:p>
        </w:tc>
        <w:tc>
          <w:tcPr>
            <w:tcMar>
              <w:top w:w="80" w:type="dxa"/>
              <w:start w:w="90" w:type="dxa"/>
              <w:bottom w:w="80" w:type="dxa"/>
              <w:end w:w="90" w:type="dxa"/>
            </w:tcMar>
            <w:shd w:fill="F7FBFF" w:val="clear"/>
          </w:tcPr>
          <w:p>
            <w:pPr>
              <w:pStyle w:val="Compact"/>
              <w:jc w:val="left"/>
            </w:pPr>
            <w:r>
              <w:t xml:space="preserve">Fiscal crisis, infrastructure decay, depleted public capacity.</w:t>
            </w:r>
          </w:p>
        </w:tc>
      </w:tr>
      <w:tr>
        <w:trPr/>
        <w:tc>
          <w:tcPr>
            <w:tcMar>
              <w:top w:w="80" w:type="dxa"/>
              <w:start w:w="90" w:type="dxa"/>
              <w:bottom w:w="80" w:type="dxa"/>
              <w:end w:w="90" w:type="dxa"/>
            </w:tcMar>
            <w:shd w:fill="D9EAF7" w:val="clear"/>
          </w:tcPr>
          <w:p>
            <w:pPr>
              <w:pStyle w:val="Compact"/>
              <w:jc w:val="left"/>
            </w:pPr>
            <w:r>
              <w:rPr>
                <w:b/>
                <w:bCs/>
              </w:rPr>
              <w:t xml:space="preserve">U5/D2</w:t>
            </w:r>
            <w:r>
              <w:t xml:space="preserve"> </w:t>
            </w:r>
            <w:r>
              <w:t xml:space="preserve">- Population Health (label: population health)</w:t>
            </w:r>
          </w:p>
        </w:tc>
        <w:tc>
          <w:tcPr>
            <w:tcMar>
              <w:top w:w="80" w:type="dxa"/>
              <w:start w:w="90" w:type="dxa"/>
              <w:bottom w:w="80" w:type="dxa"/>
              <w:end w:w="90" w:type="dxa"/>
            </w:tcMar>
            <w:shd w:fill="D9EAF7" w:val="clear"/>
          </w:tcPr>
          <w:p>
            <w:pPr>
              <w:pStyle w:val="Compact"/>
              <w:jc w:val="left"/>
            </w:pPr>
            <w:r>
              <w:t xml:space="preserve">The health, safety, and mortality outcomes of the whole population within a polity.</w:t>
            </w:r>
          </w:p>
        </w:tc>
        <w:tc>
          <w:tcPr>
            <w:tcMar>
              <w:top w:w="80" w:type="dxa"/>
              <w:start w:w="90" w:type="dxa"/>
              <w:bottom w:w="80" w:type="dxa"/>
              <w:end w:w="90" w:type="dxa"/>
            </w:tcMar>
            <w:shd w:fill="D9EAF7" w:val="clear"/>
          </w:tcPr>
          <w:p>
            <w:pPr>
              <w:pStyle w:val="Compact"/>
              <w:jc w:val="left"/>
            </w:pPr>
            <w:r>
              <w:t xml:space="preserve">Lower population mortality/morbidity, better system-wide care, stronger resilience.</w:t>
            </w:r>
          </w:p>
        </w:tc>
        <w:tc>
          <w:tcPr>
            <w:tcMar>
              <w:top w:w="80" w:type="dxa"/>
              <w:start w:w="90" w:type="dxa"/>
              <w:bottom w:w="80" w:type="dxa"/>
              <w:end w:w="90" w:type="dxa"/>
            </w:tcMar>
            <w:shd w:fill="D9EAF7" w:val="clear"/>
          </w:tcPr>
          <w:p>
            <w:pPr>
              <w:pStyle w:val="Compact"/>
              <w:jc w:val="left"/>
            </w:pPr>
            <w:r>
              <w:t xml:space="preserve">Rising mortality, system overload, reduced care access, public-health crises.</w:t>
            </w:r>
          </w:p>
        </w:tc>
      </w:tr>
      <w:tr>
        <w:trPr/>
        <w:tc>
          <w:tcPr>
            <w:tcMar>
              <w:top w:w="80" w:type="dxa"/>
              <w:start w:w="90" w:type="dxa"/>
              <w:bottom w:w="80" w:type="dxa"/>
              <w:end w:w="90" w:type="dxa"/>
            </w:tcMar>
            <w:shd w:fill="F7FBFF" w:val="clear"/>
          </w:tcPr>
          <w:p>
            <w:pPr>
              <w:pStyle w:val="Compact"/>
              <w:jc w:val="left"/>
            </w:pPr>
            <w:r>
              <w:rPr>
                <w:b/>
                <w:bCs/>
              </w:rPr>
              <w:t xml:space="preserve">U5/D3</w:t>
            </w:r>
            <w:r>
              <w:t xml:space="preserve"> </w:t>
            </w:r>
            <w:r>
              <w:t xml:space="preserve">- Legitimacy (label: legitimacy)</w:t>
            </w:r>
          </w:p>
        </w:tc>
        <w:tc>
          <w:tcPr>
            <w:tcMar>
              <w:top w:w="80" w:type="dxa"/>
              <w:start w:w="90" w:type="dxa"/>
              <w:bottom w:w="80" w:type="dxa"/>
              <w:end w:w="90" w:type="dxa"/>
            </w:tcMar>
            <w:shd w:fill="F7FBFF" w:val="clear"/>
          </w:tcPr>
          <w:p>
            <w:pPr>
              <w:pStyle w:val="Compact"/>
              <w:jc w:val="left"/>
            </w:pPr>
            <w:r>
              <w:t xml:space="preserve">The rule of law, due process, accountability, and perceived legitimacy of public institutions.</w:t>
            </w:r>
          </w:p>
        </w:tc>
        <w:tc>
          <w:tcPr>
            <w:tcMar>
              <w:top w:w="80" w:type="dxa"/>
              <w:start w:w="90" w:type="dxa"/>
              <w:bottom w:w="80" w:type="dxa"/>
              <w:end w:w="90" w:type="dxa"/>
            </w:tcMar>
            <w:shd w:fill="F7FBFF" w:val="clear"/>
          </w:tcPr>
          <w:p>
            <w:pPr>
              <w:pStyle w:val="Compact"/>
              <w:jc w:val="left"/>
            </w:pPr>
            <w:r>
              <w:t xml:space="preserve">Stronger rule of law, due process, accountability, and institutional trust.</w:t>
            </w:r>
          </w:p>
        </w:tc>
        <w:tc>
          <w:tcPr>
            <w:tcMar>
              <w:top w:w="80" w:type="dxa"/>
              <w:start w:w="90" w:type="dxa"/>
              <w:bottom w:w="80" w:type="dxa"/>
              <w:end w:w="90" w:type="dxa"/>
            </w:tcMar>
            <w:shd w:fill="F7FBFF" w:val="clear"/>
          </w:tcPr>
          <w:p>
            <w:pPr>
              <w:pStyle w:val="Compact"/>
              <w:jc w:val="left"/>
            </w:pPr>
            <w:r>
              <w:t xml:space="preserve">Erosion of rule of law, impunity, corruption, collapse of institutional trust.</w:t>
            </w:r>
          </w:p>
        </w:tc>
      </w:tr>
      <w:tr>
        <w:trPr/>
        <w:tc>
          <w:tcPr>
            <w:tcMar>
              <w:top w:w="80" w:type="dxa"/>
              <w:start w:w="90" w:type="dxa"/>
              <w:bottom w:w="80" w:type="dxa"/>
              <w:end w:w="90" w:type="dxa"/>
            </w:tcMar>
            <w:shd w:fill="D9EAF7" w:val="clear"/>
          </w:tcPr>
          <w:p>
            <w:pPr>
              <w:pStyle w:val="Compact"/>
              <w:jc w:val="left"/>
            </w:pPr>
            <w:r>
              <w:rPr>
                <w:b/>
                <w:bCs/>
              </w:rPr>
              <w:t xml:space="preserve">U5/D4</w:t>
            </w:r>
            <w:r>
              <w:t xml:space="preserve"> </w:t>
            </w:r>
            <w:r>
              <w:t xml:space="preserve">- Information Access (label: information access)</w:t>
            </w:r>
          </w:p>
        </w:tc>
        <w:tc>
          <w:tcPr>
            <w:tcMar>
              <w:top w:w="80" w:type="dxa"/>
              <w:start w:w="90" w:type="dxa"/>
              <w:bottom w:w="80" w:type="dxa"/>
              <w:end w:w="90" w:type="dxa"/>
            </w:tcMar>
            <w:shd w:fill="D9EAF7" w:val="clear"/>
          </w:tcPr>
          <w:p>
            <w:pPr>
              <w:pStyle w:val="Compact"/>
              <w:jc w:val="left"/>
            </w:pPr>
            <w:r>
              <w:t xml:space="preserve">The polity’s information environment: access, transparency, free expression, and epistemic integrity.</w:t>
            </w:r>
          </w:p>
        </w:tc>
        <w:tc>
          <w:tcPr>
            <w:tcMar>
              <w:top w:w="80" w:type="dxa"/>
              <w:start w:w="90" w:type="dxa"/>
              <w:bottom w:w="80" w:type="dxa"/>
              <w:end w:w="90" w:type="dxa"/>
            </w:tcMar>
            <w:shd w:fill="D9EAF7" w:val="clear"/>
          </w:tcPr>
          <w:p>
            <w:pPr>
              <w:pStyle w:val="Compact"/>
              <w:jc w:val="left"/>
            </w:pPr>
            <w:r>
              <w:t xml:space="preserve">Better transparency, information access, free expression, healthier epistemic commons.</w:t>
            </w:r>
          </w:p>
        </w:tc>
        <w:tc>
          <w:tcPr>
            <w:tcMar>
              <w:top w:w="80" w:type="dxa"/>
              <w:start w:w="90" w:type="dxa"/>
              <w:bottom w:w="80" w:type="dxa"/>
              <w:end w:w="90" w:type="dxa"/>
            </w:tcMar>
            <w:shd w:fill="D9EAF7" w:val="clear"/>
          </w:tcPr>
          <w:p>
            <w:pPr>
              <w:pStyle w:val="Compact"/>
              <w:jc w:val="left"/>
            </w:pPr>
            <w:r>
              <w:t xml:space="preserve">Censorship, opacity, disinformation, surveillance chilling, epistemic capture.</w:t>
            </w:r>
          </w:p>
        </w:tc>
      </w:tr>
      <w:tr>
        <w:trPr/>
        <w:tc>
          <w:tcPr>
            <w:tcMar>
              <w:top w:w="80" w:type="dxa"/>
              <w:start w:w="90" w:type="dxa"/>
              <w:bottom w:w="80" w:type="dxa"/>
              <w:end w:w="90" w:type="dxa"/>
            </w:tcMar>
            <w:shd w:fill="F7FBFF" w:val="clear"/>
          </w:tcPr>
          <w:p>
            <w:pPr>
              <w:pStyle w:val="Compact"/>
              <w:jc w:val="left"/>
            </w:pPr>
            <w:r>
              <w:rPr>
                <w:b/>
                <w:bCs/>
              </w:rPr>
              <w:t xml:space="preserve">U5/D5</w:t>
            </w:r>
            <w:r>
              <w:t xml:space="preserve"> </w:t>
            </w:r>
            <w:r>
              <w:t xml:space="preserve">- Civil Agency (label: civil agency)</w:t>
            </w:r>
          </w:p>
        </w:tc>
        <w:tc>
          <w:tcPr>
            <w:tcMar>
              <w:top w:w="80" w:type="dxa"/>
              <w:start w:w="90" w:type="dxa"/>
              <w:bottom w:w="80" w:type="dxa"/>
              <w:end w:w="90" w:type="dxa"/>
            </w:tcMar>
            <w:shd w:fill="F7FBFF" w:val="clear"/>
          </w:tcPr>
          <w:p>
            <w:pPr>
              <w:pStyle w:val="Compact"/>
              <w:jc w:val="left"/>
            </w:pPr>
            <w:r>
              <w:t xml:space="preserve">People’s ability to participate in public life, exercise rights, contest authority, and influence governance.</w:t>
            </w:r>
          </w:p>
        </w:tc>
        <w:tc>
          <w:tcPr>
            <w:tcMar>
              <w:top w:w="80" w:type="dxa"/>
              <w:start w:w="90" w:type="dxa"/>
              <w:bottom w:w="80" w:type="dxa"/>
              <w:end w:w="90" w:type="dxa"/>
            </w:tcMar>
            <w:shd w:fill="F7FBFF" w:val="clear"/>
          </w:tcPr>
          <w:p>
            <w:pPr>
              <w:pStyle w:val="Compact"/>
              <w:jc w:val="left"/>
            </w:pPr>
            <w:r>
              <w:t xml:space="preserve">Stronger voting access, participation, transparency, due process, and contestability.</w:t>
            </w:r>
          </w:p>
        </w:tc>
        <w:tc>
          <w:tcPr>
            <w:tcMar>
              <w:top w:w="80" w:type="dxa"/>
              <w:start w:w="90" w:type="dxa"/>
              <w:bottom w:w="80" w:type="dxa"/>
              <w:end w:w="90" w:type="dxa"/>
            </w:tcMar>
            <w:shd w:fill="F7FBFF" w:val="clear"/>
          </w:tcPr>
          <w:p>
            <w:pPr>
              <w:pStyle w:val="Compact"/>
              <w:jc w:val="left"/>
            </w:pPr>
            <w:r>
              <w:t xml:space="preserve">Suppression, censorship, corruption, procedural exclusion, arbitrary enforcement, reduced civic voice.</w:t>
            </w:r>
          </w:p>
        </w:tc>
      </w:tr>
      <w:tr>
        <w:trPr/>
        <w:tc>
          <w:tcPr>
            <w:tcMar>
              <w:top w:w="80" w:type="dxa"/>
              <w:start w:w="90" w:type="dxa"/>
              <w:bottom w:w="80" w:type="dxa"/>
              <w:end w:w="90" w:type="dxa"/>
            </w:tcMar>
            <w:shd w:fill="D9EAF7" w:val="clear"/>
          </w:tcPr>
          <w:p>
            <w:pPr>
              <w:pStyle w:val="Compact"/>
              <w:jc w:val="left"/>
            </w:pPr>
            <w:r>
              <w:rPr>
                <w:b/>
                <w:bCs/>
              </w:rPr>
              <w:t xml:space="preserve">U5/D6</w:t>
            </w:r>
            <w:r>
              <w:t xml:space="preserve"> </w:t>
            </w:r>
            <w:r>
              <w:t xml:space="preserve">- Public Meaning (label: public meaning)</w:t>
            </w:r>
          </w:p>
        </w:tc>
        <w:tc>
          <w:tcPr>
            <w:tcMar>
              <w:top w:w="80" w:type="dxa"/>
              <w:start w:w="90" w:type="dxa"/>
              <w:bottom w:w="80" w:type="dxa"/>
              <w:end w:w="90" w:type="dxa"/>
            </w:tcMar>
            <w:shd w:fill="D9EAF7" w:val="clear"/>
          </w:tcPr>
          <w:p>
            <w:pPr>
              <w:pStyle w:val="Compact"/>
              <w:jc w:val="left"/>
            </w:pPr>
            <w:r>
              <w:t xml:space="preserve">Shared civic identity, dignity, social contract, and non-domination across the polity.</w:t>
            </w:r>
          </w:p>
        </w:tc>
        <w:tc>
          <w:tcPr>
            <w:tcMar>
              <w:top w:w="80" w:type="dxa"/>
              <w:start w:w="90" w:type="dxa"/>
              <w:bottom w:w="80" w:type="dxa"/>
              <w:end w:w="90" w:type="dxa"/>
            </w:tcMar>
            <w:shd w:fill="D9EAF7" w:val="clear"/>
          </w:tcPr>
          <w:p>
            <w:pPr>
              <w:pStyle w:val="Compact"/>
              <w:jc w:val="left"/>
            </w:pPr>
            <w:r>
              <w:t xml:space="preserve">Stronger civic dignity, inclusion, fair recognition, and a credible social contract.</w:t>
            </w:r>
          </w:p>
        </w:tc>
        <w:tc>
          <w:tcPr>
            <w:tcMar>
              <w:top w:w="80" w:type="dxa"/>
              <w:start w:w="90" w:type="dxa"/>
              <w:bottom w:w="80" w:type="dxa"/>
              <w:end w:w="90" w:type="dxa"/>
            </w:tcMar>
            <w:shd w:fill="D9EAF7" w:val="clear"/>
          </w:tcPr>
          <w:p>
            <w:pPr>
              <w:pStyle w:val="Compact"/>
              <w:jc w:val="left"/>
            </w:pPr>
            <w:r>
              <w:t xml:space="preserve">Domination, civic humiliation, exclusionary identity, eroded social contract.</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U5/D7</w:t>
            </w:r>
            <w:r>
              <w:t xml:space="preserve"> </w:t>
            </w:r>
            <w:r>
              <w:t xml:space="preserve">- Public Environment (label: public environment)</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The environmental quality and ecological sustainability managed at the polity scale.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Better regional environmental quality, sustainable resource management, reduced systemic pollution.</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Regional pollution, resource depletion, ecosystem degradation, environmental injustice.</w:t>
            </w:r>
          </w:p>
        </w:tc>
      </w:tr>
    </w:tbl>
    <w:bookmarkEnd w:id="654"/>
    <w:bookmarkStart w:id="655" w:name="u5-polity---evidence-and-review"/>
    <w:p>
      <w:pPr>
        <w:pStyle w:val="Heading3"/>
        <w:keepNext/>
        <w:keepLines/>
        <w:pageBreakBefore w:val="0"/>
        <w:widowControl/>
      </w:pPr>
      <w:r>
        <w:rPr>
          <w:rFonts w:ascii="Arial" w:hAnsi="Arial" w:eastAsia="Arial"/>
          <w:b/>
          <w:color w:val="1F4E78"/>
        </w:rPr>
        <w:t xml:space="preserve">U5 Polity - evidence and review</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Evidence and gate cues</w:t>
            </w:r>
          </w:p>
        </w:tc>
        <w:tc>
          <w:tcPr>
            <w:shd w:fill="1F4E78" w:val="clear"/>
            <w:tcMar>
              <w:top w:w="80" w:type="dxa"/>
              <w:start w:w="90" w:type="dxa"/>
              <w:bottom w:w="80" w:type="dxa"/>
              <w:end w:w="90" w:type="dxa"/>
            </w:tcMar>
          </w:tcPr>
          <w:p>
            <w:pPr>
              <w:pStyle w:val="Compact"/>
              <w:jc w:val="left"/>
            </w:pPr>
            <w:r>
              <w:rPr>
                <w:b/>
                <w:bCs/>
                <w:color w:val="FFFFFF"/>
              </w:rPr>
              <w:t xml:space="preserve">Example and reviewer check</w:t>
            </w:r>
          </w:p>
        </w:tc>
      </w:tr>
      <w:tr>
        <w:trPr/>
        <w:tc>
          <w:tcPr>
            <w:tcMar>
              <w:top w:w="80" w:type="dxa"/>
              <w:start w:w="90" w:type="dxa"/>
              <w:bottom w:w="80" w:type="dxa"/>
              <w:end w:w="90" w:type="dxa"/>
            </w:tcMar>
            <w:shd w:fill="F7FBFF" w:val="clear"/>
          </w:tcPr>
          <w:p>
            <w:pPr>
              <w:pStyle w:val="Compact"/>
              <w:jc w:val="left"/>
            </w:pPr>
            <w:r>
              <w:rPr>
                <w:b/>
                <w:bCs/>
              </w:rPr>
              <w:t xml:space="preserve">U5/D1</w:t>
            </w:r>
            <w:r>
              <w:t xml:space="preserve"> </w:t>
            </w:r>
            <w:r>
              <w:t xml:space="preserve">- Public Resources (label: public resources)</w:t>
            </w:r>
          </w:p>
        </w:tc>
        <w:tc>
          <w:tcPr>
            <w:tcMar>
              <w:top w:w="80" w:type="dxa"/>
              <w:start w:w="90" w:type="dxa"/>
              <w:bottom w:w="80" w:type="dxa"/>
              <w:end w:w="90" w:type="dxa"/>
            </w:tcMar>
            <w:shd w:fill="F7FBFF" w:val="clear"/>
          </w:tcPr>
          <w:p>
            <w:pPr>
              <w:pStyle w:val="Compact"/>
              <w:jc w:val="left"/>
            </w:pPr>
            <w:r>
              <w:t xml:space="preserve">Evidence: public-finance data; infrastructure condition indices; fiscal-sustainability metrics; Gate classes: Containment / Structural Viability; Ordinary welfare. Uncertainty: Standard assessment. Interpretation: Ordinary welfare; containment-relevant where short-term fiscal wins erode long-term public capacity.</w:t>
            </w:r>
          </w:p>
        </w:tc>
        <w:tc>
          <w:tcPr>
            <w:tcMar>
              <w:top w:w="80" w:type="dxa"/>
              <w:start w:w="90" w:type="dxa"/>
              <w:bottom w:w="80" w:type="dxa"/>
              <w:end w:w="90" w:type="dxa"/>
            </w:tcMar>
            <w:shd w:fill="F7FBFF" w:val="clear"/>
          </w:tcPr>
          <w:p>
            <w:pPr>
              <w:pStyle w:val="Compact"/>
              <w:jc w:val="left"/>
            </w:pPr>
            <w:r>
              <w:t xml:space="preserve">Example: An infrastructure-maintenance program that prevents asset decay improves U5/D1.; Reviewer check: A reviewer checks whether gains are sustainable or borrowed from the future.</w:t>
            </w:r>
          </w:p>
        </w:tc>
      </w:tr>
      <w:tr>
        <w:trPr/>
        <w:tc>
          <w:tcPr>
            <w:tcMar>
              <w:top w:w="80" w:type="dxa"/>
              <w:start w:w="90" w:type="dxa"/>
              <w:bottom w:w="80" w:type="dxa"/>
              <w:end w:w="90" w:type="dxa"/>
            </w:tcMar>
            <w:shd w:fill="D9EAF7" w:val="clear"/>
          </w:tcPr>
          <w:p>
            <w:pPr>
              <w:pStyle w:val="Compact"/>
              <w:jc w:val="left"/>
            </w:pPr>
            <w:r>
              <w:rPr>
                <w:b/>
                <w:bCs/>
              </w:rPr>
              <w:t xml:space="preserve">U5/D2</w:t>
            </w:r>
            <w:r>
              <w:t xml:space="preserve"> </w:t>
            </w:r>
            <w:r>
              <w:t xml:space="preserve">- Population Health (label: population health)</w:t>
            </w:r>
          </w:p>
        </w:tc>
        <w:tc>
          <w:tcPr>
            <w:tcMar>
              <w:top w:w="80" w:type="dxa"/>
              <w:start w:w="90" w:type="dxa"/>
              <w:bottom w:w="80" w:type="dxa"/>
              <w:end w:w="90" w:type="dxa"/>
            </w:tcMar>
            <w:shd w:fill="D9EAF7" w:val="clear"/>
          </w:tcPr>
          <w:p>
            <w:pPr>
              <w:pStyle w:val="Compact"/>
              <w:jc w:val="left"/>
            </w:pPr>
            <w:r>
              <w:t xml:space="preserve">Evidence: population mortality / morbidity; health-system capacity; health-equity gaps; outbreak surveillance; Gate classes: Rights Floor; Tail Risk; Ordinary welfare. Uncertainty: Standard assessment. Interpretation: Tail-relevant for pandemic / health-system-collapse scenarios (non-averagable); rights-relevant under right-to-health floors; otherwise ordinary welfare.</w:t>
            </w:r>
          </w:p>
        </w:tc>
        <w:tc>
          <w:tcPr>
            <w:tcMar>
              <w:top w:w="80" w:type="dxa"/>
              <w:start w:w="90" w:type="dxa"/>
              <w:bottom w:w="80" w:type="dxa"/>
              <w:end w:w="90" w:type="dxa"/>
            </w:tcMar>
            <w:shd w:fill="D9EAF7" w:val="clear"/>
          </w:tcPr>
          <w:p>
            <w:pPr>
              <w:pStyle w:val="Compact"/>
              <w:jc w:val="left"/>
            </w:pPr>
            <w:r>
              <w:t xml:space="preserve">Example: A vaccination program that lowers population mortality improves U5/D2.; Reviewer check: A reviewer checks whether worst-case scenarios were bounded with a tail measure, not averaged away.</w:t>
            </w:r>
          </w:p>
        </w:tc>
      </w:tr>
      <w:tr>
        <w:trPr/>
        <w:tc>
          <w:tcPr>
            <w:tcMar>
              <w:top w:w="80" w:type="dxa"/>
              <w:start w:w="90" w:type="dxa"/>
              <w:bottom w:w="80" w:type="dxa"/>
              <w:end w:w="90" w:type="dxa"/>
            </w:tcMar>
            <w:shd w:fill="F7FBFF" w:val="clear"/>
          </w:tcPr>
          <w:p>
            <w:pPr>
              <w:pStyle w:val="Compact"/>
              <w:jc w:val="left"/>
            </w:pPr>
            <w:r>
              <w:rPr>
                <w:b/>
                <w:bCs/>
              </w:rPr>
              <w:t xml:space="preserve">U5/D3</w:t>
            </w:r>
            <w:r>
              <w:t xml:space="preserve"> </w:t>
            </w:r>
            <w:r>
              <w:t xml:space="preserve">- Legitimacy (label: legitimacy)</w:t>
            </w:r>
          </w:p>
        </w:tc>
        <w:tc>
          <w:tcPr>
            <w:tcMar>
              <w:top w:w="80" w:type="dxa"/>
              <w:start w:w="90" w:type="dxa"/>
              <w:bottom w:w="80" w:type="dxa"/>
              <w:end w:w="90" w:type="dxa"/>
            </w:tcMar>
            <w:shd w:fill="F7FBFF" w:val="clear"/>
          </w:tcPr>
          <w:p>
            <w:pPr>
              <w:pStyle w:val="Compact"/>
              <w:jc w:val="left"/>
            </w:pPr>
            <w:r>
              <w:t xml:space="preserve">Evidence: rule-of-law indices; due-process / judicial-independence measures; corruption indicators; institutional-trust surveys; Gate classes: Rights Floor; Tail Risk; Containment / Structural Viability; Ordinary welfare. Uncertainty: Standard assessment. Interpretation: Strongly containment-relevant: legitimacy is load-bearing for the whole system. Rights-relevant (due process); tail-relevant where collapse risks systemic instability.</w:t>
            </w:r>
          </w:p>
        </w:tc>
        <w:tc>
          <w:tcPr>
            <w:tcMar>
              <w:top w:w="80" w:type="dxa"/>
              <w:start w:w="90" w:type="dxa"/>
              <w:bottom w:w="80" w:type="dxa"/>
              <w:end w:w="90" w:type="dxa"/>
            </w:tcMar>
            <w:shd w:fill="F7FBFF" w:val="clear"/>
          </w:tcPr>
          <w:p>
            <w:pPr>
              <w:pStyle w:val="Compact"/>
              <w:jc w:val="left"/>
            </w:pPr>
            <w:r>
              <w:t xml:space="preserve">Example: A judicial-independence safeguard that resists political capture improves U5/D3.; Reviewer check: A reviewer tests whether legitimacy is measured independently or claimed by the institution being assessed.</w:t>
            </w:r>
          </w:p>
        </w:tc>
      </w:tr>
      <w:tr>
        <w:trPr/>
        <w:tc>
          <w:tcPr>
            <w:tcMar>
              <w:top w:w="80" w:type="dxa"/>
              <w:start w:w="90" w:type="dxa"/>
              <w:bottom w:w="80" w:type="dxa"/>
              <w:end w:w="90" w:type="dxa"/>
            </w:tcMar>
            <w:shd w:fill="D9EAF7" w:val="clear"/>
          </w:tcPr>
          <w:p>
            <w:pPr>
              <w:pStyle w:val="Compact"/>
              <w:jc w:val="left"/>
            </w:pPr>
            <w:r>
              <w:rPr>
                <w:b/>
                <w:bCs/>
              </w:rPr>
              <w:t xml:space="preserve">U5/D4</w:t>
            </w:r>
            <w:r>
              <w:t xml:space="preserve"> </w:t>
            </w:r>
            <w:r>
              <w:t xml:space="preserve">- Information Access (label: information access)</w:t>
            </w:r>
          </w:p>
        </w:tc>
        <w:tc>
          <w:tcPr>
            <w:tcMar>
              <w:top w:w="80" w:type="dxa"/>
              <w:start w:w="90" w:type="dxa"/>
              <w:bottom w:w="80" w:type="dxa"/>
              <w:end w:w="90" w:type="dxa"/>
            </w:tcMar>
            <w:shd w:fill="D9EAF7" w:val="clear"/>
          </w:tcPr>
          <w:p>
            <w:pPr>
              <w:pStyle w:val="Compact"/>
              <w:jc w:val="left"/>
            </w:pPr>
            <w:r>
              <w:t xml:space="preserve">Evidence: transparency / FOI metrics; press-freedom indices; disinformation prevalence; surveillance scope; Gate classes: Rights Floor; Containment / Structural Viability; Ordinary welfare. Uncertainty: Standard assessment. Interpretation: Rights-covered (free expression, information rights); containment-relevant because a damaged epistemic commons undermines all other governance.</w:t>
            </w:r>
          </w:p>
        </w:tc>
        <w:tc>
          <w:tcPr>
            <w:tcMar>
              <w:top w:w="80" w:type="dxa"/>
              <w:start w:w="90" w:type="dxa"/>
              <w:bottom w:w="80" w:type="dxa"/>
              <w:end w:w="90" w:type="dxa"/>
            </w:tcMar>
            <w:shd w:fill="D9EAF7" w:val="clear"/>
          </w:tcPr>
          <w:p>
            <w:pPr>
              <w:pStyle w:val="Compact"/>
              <w:jc w:val="left"/>
            </w:pPr>
            <w:r>
              <w:t xml:space="preserve">Example: An open-data and FOI reform that increases verifiable transparency improves U5/D4.; Reviewer check: A reviewer checks whether transparency is real and usable or nominal.</w:t>
            </w:r>
          </w:p>
        </w:tc>
      </w:tr>
      <w:tr>
        <w:trPr/>
        <w:tc>
          <w:tcPr>
            <w:tcMar>
              <w:top w:w="80" w:type="dxa"/>
              <w:start w:w="90" w:type="dxa"/>
              <w:bottom w:w="80" w:type="dxa"/>
              <w:end w:w="90" w:type="dxa"/>
            </w:tcMar>
            <w:shd w:fill="F7FBFF" w:val="clear"/>
          </w:tcPr>
          <w:p>
            <w:pPr>
              <w:pStyle w:val="Compact"/>
              <w:jc w:val="left"/>
            </w:pPr>
            <w:r>
              <w:rPr>
                <w:b/>
                <w:bCs/>
              </w:rPr>
              <w:t xml:space="preserve">U5/D5</w:t>
            </w:r>
            <w:r>
              <w:t xml:space="preserve"> </w:t>
            </w:r>
            <w:r>
              <w:t xml:space="preserve">- Civil Agency (label: civil agency)</w:t>
            </w:r>
          </w:p>
        </w:tc>
        <w:tc>
          <w:tcPr>
            <w:tcMar>
              <w:top w:w="80" w:type="dxa"/>
              <w:start w:w="90" w:type="dxa"/>
              <w:bottom w:w="80" w:type="dxa"/>
              <w:end w:w="90" w:type="dxa"/>
            </w:tcMar>
            <w:shd w:fill="F7FBFF" w:val="clear"/>
          </w:tcPr>
          <w:p>
            <w:pPr>
              <w:pStyle w:val="Compact"/>
              <w:jc w:val="left"/>
            </w:pPr>
            <w:r>
              <w:t xml:space="preserve">Evidence: voting access and turnout; procedural-fairness measures; availability of legal remedies; consultation quality; censorship reports; Gate classes: Rights Floor; Containment / Structural Viability; Ordinary welfare. Uncertainty: Standard assessment. Interpretation: Frequently rights-covered: tied to due process, liberty, information, dignity, and civic rights — non-compensatory under NCRC. Containment-relevant for system stability.</w:t>
            </w:r>
          </w:p>
        </w:tc>
        <w:tc>
          <w:tcPr>
            <w:tcMar>
              <w:top w:w="80" w:type="dxa"/>
              <w:start w:w="90" w:type="dxa"/>
              <w:bottom w:w="80" w:type="dxa"/>
              <w:end w:w="90" w:type="dxa"/>
            </w:tcMar>
            <w:shd w:fill="F7FBFF" w:val="clear"/>
          </w:tcPr>
          <w:p>
            <w:pPr>
              <w:pStyle w:val="Compact"/>
              <w:jc w:val="left"/>
            </w:pPr>
            <w:r>
              <w:t xml:space="preserve">Example: A reform expanding access to public hearings raises U5/D5; one that blocks lawful dissent harms it.; Reviewer check: A reviewer tests whether civic participation is enforceable or merely nominal, and whether any group is selectively excluded.</w:t>
            </w:r>
          </w:p>
        </w:tc>
      </w:tr>
      <w:tr>
        <w:trPr/>
        <w:tc>
          <w:tcPr>
            <w:tcMar>
              <w:top w:w="80" w:type="dxa"/>
              <w:start w:w="90" w:type="dxa"/>
              <w:bottom w:w="80" w:type="dxa"/>
              <w:end w:w="90" w:type="dxa"/>
            </w:tcMar>
            <w:shd w:fill="D9EAF7" w:val="clear"/>
          </w:tcPr>
          <w:p>
            <w:pPr>
              <w:pStyle w:val="Compact"/>
              <w:jc w:val="left"/>
            </w:pPr>
            <w:r>
              <w:rPr>
                <w:b/>
                <w:bCs/>
              </w:rPr>
              <w:t xml:space="preserve">U5/D6</w:t>
            </w:r>
            <w:r>
              <w:t xml:space="preserve"> </w:t>
            </w:r>
            <w:r>
              <w:t xml:space="preserve">- Public Meaning (label: public meaning)</w:t>
            </w:r>
          </w:p>
        </w:tc>
        <w:tc>
          <w:tcPr>
            <w:tcMar>
              <w:top w:w="80" w:type="dxa"/>
              <w:start w:w="90" w:type="dxa"/>
              <w:bottom w:w="80" w:type="dxa"/>
              <w:end w:w="90" w:type="dxa"/>
            </w:tcMar>
            <w:shd w:fill="D9EAF7" w:val="clear"/>
          </w:tcPr>
          <w:p>
            <w:pPr>
              <w:pStyle w:val="Compact"/>
              <w:jc w:val="left"/>
            </w:pPr>
            <w:r>
              <w:t xml:space="preserve">Evidence: inclusion / recognition measures; social-contract trust surveys; discrimination indicators; Gate classes: Rights Floor; Containment / Structural Viability. Uncertainty: Explicitly elevated. Interpretation: Rights-relevant (dignity, non-domination, non-discrimination); containment-relevant where a fractured social contract destabilises the polity. Soft to measure.</w:t>
            </w:r>
          </w:p>
        </w:tc>
        <w:tc>
          <w:tcPr>
            <w:tcMar>
              <w:top w:w="80" w:type="dxa"/>
              <w:start w:w="90" w:type="dxa"/>
              <w:bottom w:w="80" w:type="dxa"/>
              <w:end w:w="90" w:type="dxa"/>
            </w:tcMar>
            <w:shd w:fill="D9EAF7" w:val="clear"/>
          </w:tcPr>
          <w:p>
            <w:pPr>
              <w:pStyle w:val="Compact"/>
              <w:jc w:val="left"/>
            </w:pPr>
            <w:r>
              <w:t xml:space="preserve">Example: A reconciliation policy that credibly extends recognition to a marginalised group improves U5/D6.; Reviewer check: A reviewer separates symbolic recognition from changes people actually experience.</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U5/D7</w:t>
            </w:r>
            <w:r>
              <w:t xml:space="preserve"> </w:t>
            </w:r>
            <w:r>
              <w:t xml:space="preserve">- Public Environment (label: public environment)</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Evidence: regional environmental monitoring; resource-stock data; pollution and emissions; environmental-justice mapping; Gate classes: Rights Floor; Tail Risk; Containment / Structural Viability; Ordinary welfare. Uncertainty: Standard assessment. Interpretation: Tail-relevant where regional harm is irreversible or large-scale; containment-relevant; rights-relevant under environmental-justice and environmental-rights regimes.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Example: A regional emissions cap that prevents airshed degradation improves U5/D7.; Reviewer check: A reviewer checks whether environmental-justice distribution was assessed, not just regional totals.</w:t>
            </w:r>
          </w:p>
        </w:tc>
      </w:tr>
    </w:tbl>
    <w:bookmarkEnd w:id="655"/>
    <w:bookmarkStart w:id="656" w:name="Xccaae39d399c5c977557502ff839eaf29e3b563"/>
    <w:p>
      <w:pPr>
        <w:pStyle w:val="Heading3"/>
        <w:keepNext/>
        <w:keepLines/>
        <w:pageBreakBefore w:val="0"/>
        <w:widowControl/>
      </w:pPr>
      <w:r>
        <w:rPr>
          <w:rFonts w:ascii="Arial" w:hAnsi="Arial" w:eastAsia="Arial"/>
          <w:b/>
          <w:color w:val="1F4E78"/>
        </w:rPr>
        <w:t xml:space="preserve">U6 Humanity / Global Coordination - meaning and movement</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What this cell measures</w:t>
            </w:r>
          </w:p>
        </w:tc>
        <w:tc>
          <w:tcPr>
            <w:shd w:fill="1F4E78" w:val="clear"/>
            <w:tcMar>
              <w:top w:w="80" w:type="dxa"/>
              <w:start w:w="90" w:type="dxa"/>
              <w:bottom w:w="80" w:type="dxa"/>
              <w:end w:w="90" w:type="dxa"/>
            </w:tcMar>
          </w:tcPr>
          <w:p>
            <w:pPr>
              <w:pStyle w:val="Compact"/>
              <w:jc w:val="left"/>
            </w:pPr>
            <w:r>
              <w:rPr>
                <w:b/>
                <w:bCs/>
                <w:color w:val="FFFFFF"/>
              </w:rPr>
              <w:t xml:space="preserve">+ Benefit</w:t>
            </w:r>
          </w:p>
        </w:tc>
        <w:tc>
          <w:tcPr>
            <w:shd w:fill="1F4E78" w:val="clear"/>
            <w:tcMar>
              <w:top w:w="80" w:type="dxa"/>
              <w:start w:w="90" w:type="dxa"/>
              <w:bottom w:w="80" w:type="dxa"/>
              <w:end w:w="90" w:type="dxa"/>
            </w:tcMar>
          </w:tcPr>
          <w:p>
            <w:pPr>
              <w:pStyle w:val="Compact"/>
              <w:jc w:val="left"/>
            </w:pPr>
            <w:r>
              <w:rPr>
                <w:b/>
                <w:bCs/>
                <w:color w:val="FFFFFF"/>
              </w:rPr>
              <w:t xml:space="preserve">- Harm</w:t>
            </w:r>
          </w:p>
        </w:tc>
      </w:tr>
      <w:tr>
        <w:trPr/>
        <w:tc>
          <w:tcPr>
            <w:tcMar>
              <w:top w:w="80" w:type="dxa"/>
              <w:start w:w="90" w:type="dxa"/>
              <w:bottom w:w="80" w:type="dxa"/>
              <w:end w:w="90" w:type="dxa"/>
            </w:tcMar>
            <w:shd w:fill="F7FBFF" w:val="clear"/>
          </w:tcPr>
          <w:p>
            <w:pPr>
              <w:pStyle w:val="Compact"/>
              <w:jc w:val="left"/>
            </w:pPr>
            <w:r>
              <w:rPr>
                <w:b/>
                <w:bCs/>
              </w:rPr>
              <w:t xml:space="preserve">U6/D1</w:t>
            </w:r>
            <w:r>
              <w:t xml:space="preserve"> </w:t>
            </w:r>
            <w:r>
              <w:t xml:space="preserve">- Global Resources (label: global resources)</w:t>
            </w:r>
          </w:p>
        </w:tc>
        <w:tc>
          <w:tcPr>
            <w:tcMar>
              <w:top w:w="80" w:type="dxa"/>
              <w:start w:w="90" w:type="dxa"/>
              <w:bottom w:w="80" w:type="dxa"/>
              <w:end w:w="90" w:type="dxa"/>
            </w:tcMar>
            <w:shd w:fill="F7FBFF" w:val="clear"/>
          </w:tcPr>
          <w:p>
            <w:pPr>
              <w:pStyle w:val="Compact"/>
              <w:jc w:val="left"/>
            </w:pPr>
            <w:r>
              <w:t xml:space="preserve">Humanity’s shared material base: global resource stocks, critical supply chains, and common infrastructure.</w:t>
            </w:r>
          </w:p>
        </w:tc>
        <w:tc>
          <w:tcPr>
            <w:tcMar>
              <w:top w:w="80" w:type="dxa"/>
              <w:start w:w="90" w:type="dxa"/>
              <w:bottom w:w="80" w:type="dxa"/>
              <w:end w:w="90" w:type="dxa"/>
            </w:tcMar>
            <w:shd w:fill="F7FBFF" w:val="clear"/>
          </w:tcPr>
          <w:p>
            <w:pPr>
              <w:pStyle w:val="Compact"/>
              <w:jc w:val="left"/>
            </w:pPr>
            <w:r>
              <w:t xml:space="preserve">More sustainable global resource use, resilient supply chains, protected commons.</w:t>
            </w:r>
          </w:p>
        </w:tc>
        <w:tc>
          <w:tcPr>
            <w:tcMar>
              <w:top w:w="80" w:type="dxa"/>
              <w:start w:w="90" w:type="dxa"/>
              <w:bottom w:w="80" w:type="dxa"/>
              <w:end w:w="90" w:type="dxa"/>
            </w:tcMar>
            <w:shd w:fill="F7FBFF" w:val="clear"/>
          </w:tcPr>
          <w:p>
            <w:pPr>
              <w:pStyle w:val="Compact"/>
              <w:jc w:val="left"/>
            </w:pPr>
            <w:r>
              <w:t xml:space="preserve">Resource depletion, supply-chain fragility, degradation of global commons.</w:t>
            </w:r>
          </w:p>
        </w:tc>
      </w:tr>
      <w:tr>
        <w:trPr/>
        <w:tc>
          <w:tcPr>
            <w:tcMar>
              <w:top w:w="80" w:type="dxa"/>
              <w:start w:w="90" w:type="dxa"/>
              <w:bottom w:w="80" w:type="dxa"/>
              <w:end w:w="90" w:type="dxa"/>
            </w:tcMar>
            <w:shd w:fill="D9EAF7" w:val="clear"/>
          </w:tcPr>
          <w:p>
            <w:pPr>
              <w:pStyle w:val="Compact"/>
              <w:jc w:val="left"/>
            </w:pPr>
            <w:r>
              <w:rPr>
                <w:b/>
                <w:bCs/>
              </w:rPr>
              <w:t xml:space="preserve">U6/D2</w:t>
            </w:r>
            <w:r>
              <w:t xml:space="preserve"> </w:t>
            </w:r>
            <w:r>
              <w:t xml:space="preserve">- Human Safety (label: human safety)</w:t>
            </w:r>
          </w:p>
        </w:tc>
        <w:tc>
          <w:tcPr>
            <w:tcMar>
              <w:top w:w="80" w:type="dxa"/>
              <w:start w:w="90" w:type="dxa"/>
              <w:bottom w:w="80" w:type="dxa"/>
              <w:end w:w="90" w:type="dxa"/>
            </w:tcMar>
            <w:shd w:fill="D9EAF7" w:val="clear"/>
          </w:tcPr>
          <w:p>
            <w:pPr>
              <w:pStyle w:val="Compact"/>
              <w:jc w:val="left"/>
            </w:pPr>
            <w:r>
              <w:t xml:space="preserve">The safety and survival of humanity at large, including existential and catastrophic risk.</w:t>
            </w:r>
          </w:p>
        </w:tc>
        <w:tc>
          <w:tcPr>
            <w:tcMar>
              <w:top w:w="80" w:type="dxa"/>
              <w:start w:w="90" w:type="dxa"/>
              <w:bottom w:w="80" w:type="dxa"/>
              <w:end w:w="90" w:type="dxa"/>
            </w:tcMar>
            <w:shd w:fill="D9EAF7" w:val="clear"/>
          </w:tcPr>
          <w:p>
            <w:pPr>
              <w:pStyle w:val="Compact"/>
              <w:jc w:val="left"/>
            </w:pPr>
            <w:r>
              <w:t xml:space="preserve">Reduced catastrophic and existential risk; stronger global safety and resilience.</w:t>
            </w:r>
          </w:p>
        </w:tc>
        <w:tc>
          <w:tcPr>
            <w:tcMar>
              <w:top w:w="80" w:type="dxa"/>
              <w:start w:w="90" w:type="dxa"/>
              <w:bottom w:w="80" w:type="dxa"/>
              <w:end w:w="90" w:type="dxa"/>
            </w:tcMar>
            <w:shd w:fill="D9EAF7" w:val="clear"/>
          </w:tcPr>
          <w:p>
            <w:pPr>
              <w:pStyle w:val="Compact"/>
              <w:jc w:val="left"/>
            </w:pPr>
            <w:r>
              <w:t xml:space="preserve">Increased existential, pandemic, conflict, or technological catastrophic risk.</w:t>
            </w:r>
          </w:p>
        </w:tc>
      </w:tr>
      <w:tr>
        <w:trPr/>
        <w:tc>
          <w:tcPr>
            <w:tcMar>
              <w:top w:w="80" w:type="dxa"/>
              <w:start w:w="90" w:type="dxa"/>
              <w:bottom w:w="80" w:type="dxa"/>
              <w:end w:w="90" w:type="dxa"/>
            </w:tcMar>
            <w:shd w:fill="F7FBFF" w:val="clear"/>
          </w:tcPr>
          <w:p>
            <w:pPr>
              <w:pStyle w:val="Compact"/>
              <w:jc w:val="left"/>
            </w:pPr>
            <w:r>
              <w:rPr>
                <w:b/>
                <w:bCs/>
              </w:rPr>
              <w:t xml:space="preserve">U6/D3</w:t>
            </w:r>
            <w:r>
              <w:t xml:space="preserve"> </w:t>
            </w:r>
            <w:r>
              <w:t xml:space="preserve">- Cooperation (label: cooperation)</w:t>
            </w:r>
          </w:p>
        </w:tc>
        <w:tc>
          <w:tcPr>
            <w:tcMar>
              <w:top w:w="80" w:type="dxa"/>
              <w:start w:w="90" w:type="dxa"/>
              <w:bottom w:w="80" w:type="dxa"/>
              <w:end w:w="90" w:type="dxa"/>
            </w:tcMar>
            <w:shd w:fill="F7FBFF" w:val="clear"/>
          </w:tcPr>
          <w:p>
            <w:pPr>
              <w:pStyle w:val="Compact"/>
              <w:jc w:val="left"/>
            </w:pPr>
            <w:r>
              <w:t xml:space="preserve">The capacity of humanity to coordinate, cooperate, and maintain peaceful, stable relations at scale.</w:t>
            </w:r>
          </w:p>
        </w:tc>
        <w:tc>
          <w:tcPr>
            <w:tcMar>
              <w:top w:w="80" w:type="dxa"/>
              <w:start w:w="90" w:type="dxa"/>
              <w:bottom w:w="80" w:type="dxa"/>
              <w:end w:w="90" w:type="dxa"/>
            </w:tcMar>
            <w:shd w:fill="F7FBFF" w:val="clear"/>
          </w:tcPr>
          <w:p>
            <w:pPr>
              <w:pStyle w:val="Compact"/>
              <w:jc w:val="left"/>
            </w:pPr>
            <w:r>
              <w:t xml:space="preserve">Stronger global cooperation, conflict reduction, durable coordination institutions.</w:t>
            </w:r>
          </w:p>
        </w:tc>
        <w:tc>
          <w:tcPr>
            <w:tcMar>
              <w:top w:w="80" w:type="dxa"/>
              <w:start w:w="90" w:type="dxa"/>
              <w:bottom w:w="80" w:type="dxa"/>
              <w:end w:w="90" w:type="dxa"/>
            </w:tcMar>
            <w:shd w:fill="F7FBFF" w:val="clear"/>
          </w:tcPr>
          <w:p>
            <w:pPr>
              <w:pStyle w:val="Compact"/>
              <w:jc w:val="left"/>
            </w:pPr>
            <w:r>
              <w:t xml:space="preserve">Breakdown of cooperation, arms races, institutional collapse, escalating conflict.</w:t>
            </w:r>
          </w:p>
        </w:tc>
      </w:tr>
      <w:tr>
        <w:trPr/>
        <w:tc>
          <w:tcPr>
            <w:tcMar>
              <w:top w:w="80" w:type="dxa"/>
              <w:start w:w="90" w:type="dxa"/>
              <w:bottom w:w="80" w:type="dxa"/>
              <w:end w:w="90" w:type="dxa"/>
            </w:tcMar>
            <w:shd w:fill="D9EAF7" w:val="clear"/>
          </w:tcPr>
          <w:p>
            <w:pPr>
              <w:pStyle w:val="Compact"/>
              <w:jc w:val="left"/>
            </w:pPr>
            <w:r>
              <w:rPr>
                <w:b/>
                <w:bCs/>
              </w:rPr>
              <w:t xml:space="preserve">U6/D4</w:t>
            </w:r>
            <w:r>
              <w:t xml:space="preserve"> </w:t>
            </w:r>
            <w:r>
              <w:t xml:space="preserve">- Civilizational Knowledge (label: civilizational knowledge)</w:t>
            </w:r>
          </w:p>
        </w:tc>
        <w:tc>
          <w:tcPr>
            <w:tcMar>
              <w:top w:w="80" w:type="dxa"/>
              <w:start w:w="90" w:type="dxa"/>
              <w:bottom w:w="80" w:type="dxa"/>
              <w:end w:w="90" w:type="dxa"/>
            </w:tcMar>
            <w:shd w:fill="D9EAF7" w:val="clear"/>
          </w:tcPr>
          <w:p>
            <w:pPr>
              <w:pStyle w:val="Compact"/>
              <w:jc w:val="left"/>
            </w:pPr>
            <w:r>
              <w:t xml:space="preserve">Humanity’s accumulated knowledge, science, and the integrity and safety of its knowledge systems.</w:t>
            </w:r>
          </w:p>
        </w:tc>
        <w:tc>
          <w:tcPr>
            <w:tcMar>
              <w:top w:w="80" w:type="dxa"/>
              <w:start w:w="90" w:type="dxa"/>
              <w:bottom w:w="80" w:type="dxa"/>
              <w:end w:w="90" w:type="dxa"/>
            </w:tcMar>
            <w:shd w:fill="D9EAF7" w:val="clear"/>
          </w:tcPr>
          <w:p>
            <w:pPr>
              <w:pStyle w:val="Compact"/>
              <w:jc w:val="left"/>
            </w:pPr>
            <w:r>
              <w:t xml:space="preserve">Knowledge preservation, scientific progress, epistemic integrity, responsible knowledge stewardship.</w:t>
            </w:r>
          </w:p>
        </w:tc>
        <w:tc>
          <w:tcPr>
            <w:tcMar>
              <w:top w:w="80" w:type="dxa"/>
              <w:start w:w="90" w:type="dxa"/>
              <w:bottom w:w="80" w:type="dxa"/>
              <w:end w:w="90" w:type="dxa"/>
            </w:tcMar>
            <w:shd w:fill="D9EAF7" w:val="clear"/>
          </w:tcPr>
          <w:p>
            <w:pPr>
              <w:pStyle w:val="Compact"/>
              <w:jc w:val="left"/>
            </w:pPr>
            <w:r>
              <w:t xml:space="preserve">Knowledge loss, scientific capture, epistemic collapse, or proliferation of dangerous knowledge.</w:t>
            </w:r>
          </w:p>
        </w:tc>
      </w:tr>
      <w:tr>
        <w:trPr/>
        <w:tc>
          <w:tcPr>
            <w:tcMar>
              <w:top w:w="80" w:type="dxa"/>
              <w:start w:w="90" w:type="dxa"/>
              <w:bottom w:w="80" w:type="dxa"/>
              <w:end w:w="90" w:type="dxa"/>
            </w:tcMar>
            <w:shd w:fill="F7FBFF" w:val="clear"/>
          </w:tcPr>
          <w:p>
            <w:pPr>
              <w:pStyle w:val="Compact"/>
              <w:jc w:val="left"/>
            </w:pPr>
            <w:r>
              <w:rPr>
                <w:b/>
                <w:bCs/>
              </w:rPr>
              <w:t xml:space="preserve">U6/D5</w:t>
            </w:r>
            <w:r>
              <w:t xml:space="preserve"> </w:t>
            </w:r>
            <w:r>
              <w:t xml:space="preserve">- Collective Agency (label: collective agency)</w:t>
            </w:r>
          </w:p>
        </w:tc>
        <w:tc>
          <w:tcPr>
            <w:tcMar>
              <w:top w:w="80" w:type="dxa"/>
              <w:start w:w="90" w:type="dxa"/>
              <w:bottom w:w="80" w:type="dxa"/>
              <w:end w:w="90" w:type="dxa"/>
            </w:tcMar>
            <w:shd w:fill="F7FBFF" w:val="clear"/>
          </w:tcPr>
          <w:p>
            <w:pPr>
              <w:pStyle w:val="Compact"/>
              <w:jc w:val="left"/>
            </w:pPr>
            <w:r>
              <w:t xml:space="preserve">Humanity’s capacity for self-determination and legitimate collective decision-making at the species scale.</w:t>
            </w:r>
          </w:p>
        </w:tc>
        <w:tc>
          <w:tcPr>
            <w:tcMar>
              <w:top w:w="80" w:type="dxa"/>
              <w:start w:w="90" w:type="dxa"/>
              <w:bottom w:w="80" w:type="dxa"/>
              <w:end w:w="90" w:type="dxa"/>
            </w:tcMar>
            <w:shd w:fill="F7FBFF" w:val="clear"/>
          </w:tcPr>
          <w:p>
            <w:pPr>
              <w:pStyle w:val="Compact"/>
              <w:jc w:val="left"/>
            </w:pPr>
            <w:r>
              <w:t xml:space="preserve">Stronger legitimate global agency, fair representation, and self-determination.</w:t>
            </w:r>
          </w:p>
        </w:tc>
        <w:tc>
          <w:tcPr>
            <w:tcMar>
              <w:top w:w="80" w:type="dxa"/>
              <w:start w:w="90" w:type="dxa"/>
              <w:bottom w:w="80" w:type="dxa"/>
              <w:end w:w="90" w:type="dxa"/>
            </w:tcMar>
            <w:shd w:fill="F7FBFF" w:val="clear"/>
          </w:tcPr>
          <w:p>
            <w:pPr>
              <w:pStyle w:val="Compact"/>
              <w:jc w:val="left"/>
            </w:pPr>
            <w:r>
              <w:t xml:space="preserve">Concentration of unaccountable power, disenfranchisement of peoples, loss of collective self-determination.</w:t>
            </w:r>
          </w:p>
        </w:tc>
      </w:tr>
      <w:tr>
        <w:trPr/>
        <w:tc>
          <w:tcPr>
            <w:tcMar>
              <w:top w:w="80" w:type="dxa"/>
              <w:start w:w="90" w:type="dxa"/>
              <w:bottom w:w="80" w:type="dxa"/>
              <w:end w:w="90" w:type="dxa"/>
            </w:tcMar>
            <w:shd w:fill="D9EAF7" w:val="clear"/>
          </w:tcPr>
          <w:p>
            <w:pPr>
              <w:pStyle w:val="Compact"/>
              <w:jc w:val="left"/>
            </w:pPr>
            <w:r>
              <w:rPr>
                <w:b/>
                <w:bCs/>
              </w:rPr>
              <w:t xml:space="preserve">U6/D6</w:t>
            </w:r>
            <w:r>
              <w:t xml:space="preserve"> </w:t>
            </w:r>
            <w:r>
              <w:t xml:space="preserve">- Shared Purpose (label: shared purpose)</w:t>
            </w:r>
          </w:p>
        </w:tc>
        <w:tc>
          <w:tcPr>
            <w:tcMar>
              <w:top w:w="80" w:type="dxa"/>
              <w:start w:w="90" w:type="dxa"/>
              <w:bottom w:w="80" w:type="dxa"/>
              <w:end w:w="90" w:type="dxa"/>
            </w:tcMar>
            <w:shd w:fill="D9EAF7" w:val="clear"/>
          </w:tcPr>
          <w:p>
            <w:pPr>
              <w:pStyle w:val="Compact"/>
              <w:jc w:val="left"/>
            </w:pPr>
            <w:r>
              <w:t xml:space="preserve">Humanity’s shared sense of meaning, moral direction, and long-term orientation toward flourishing.</w:t>
            </w:r>
          </w:p>
        </w:tc>
        <w:tc>
          <w:tcPr>
            <w:tcMar>
              <w:top w:w="80" w:type="dxa"/>
              <w:start w:w="90" w:type="dxa"/>
              <w:bottom w:w="80" w:type="dxa"/>
              <w:end w:w="90" w:type="dxa"/>
            </w:tcMar>
            <w:shd w:fill="D9EAF7" w:val="clear"/>
          </w:tcPr>
          <w:p>
            <w:pPr>
              <w:pStyle w:val="Compact"/>
              <w:jc w:val="left"/>
            </w:pPr>
            <w:r>
              <w:t xml:space="preserve">Stronger shared purpose, long-term orientation, intergenerational responsibility.</w:t>
            </w:r>
          </w:p>
        </w:tc>
        <w:tc>
          <w:tcPr>
            <w:tcMar>
              <w:top w:w="80" w:type="dxa"/>
              <w:start w:w="90" w:type="dxa"/>
              <w:bottom w:w="80" w:type="dxa"/>
              <w:end w:w="90" w:type="dxa"/>
            </w:tcMar>
            <w:shd w:fill="D9EAF7" w:val="clear"/>
          </w:tcPr>
          <w:p>
            <w:pPr>
              <w:pStyle w:val="Compact"/>
              <w:jc w:val="left"/>
            </w:pPr>
            <w:r>
              <w:t xml:space="preserve">Nihilism, short-termism, loss of shared direction, intergenerational betrayal.</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U6/D7</w:t>
            </w:r>
            <w:r>
              <w:t xml:space="preserve"> </w:t>
            </w:r>
            <w:r>
              <w:t xml:space="preserve">- Planetary Conditions (label: planetary conditions)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The condition of planetary systems that support human civilisation and coordinated managing intelligence.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Reduced emissions, improved climate stability, lower systemic ecological risk, stronger global resilience.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Increased climate risk, global pollution, destabilised food/water systems, irreversible planetary degradation.</w:t>
            </w:r>
          </w:p>
        </w:tc>
      </w:tr>
    </w:tbl>
    <w:bookmarkEnd w:id="656"/>
    <w:bookmarkStart w:id="657" w:name="Xa96eef4d62c53ba35bd9e46190ac7d423040748"/>
    <w:p>
      <w:pPr>
        <w:pStyle w:val="Heading3"/>
        <w:keepNext/>
        <w:keepLines/>
        <w:pageBreakBefore w:val="0"/>
        <w:widowControl/>
      </w:pPr>
      <w:r>
        <w:rPr>
          <w:rFonts w:ascii="Arial" w:hAnsi="Arial" w:eastAsia="Arial"/>
          <w:b/>
          <w:color w:val="1F4E78"/>
        </w:rPr>
        <w:t xml:space="preserve">U6 Humanity / Global Coordination - evidence and review</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Evidence and gate cues</w:t>
            </w:r>
          </w:p>
        </w:tc>
        <w:tc>
          <w:tcPr>
            <w:shd w:fill="1F4E78" w:val="clear"/>
            <w:tcMar>
              <w:top w:w="80" w:type="dxa"/>
              <w:start w:w="90" w:type="dxa"/>
              <w:bottom w:w="80" w:type="dxa"/>
              <w:end w:w="90" w:type="dxa"/>
            </w:tcMar>
          </w:tcPr>
          <w:p>
            <w:pPr>
              <w:pStyle w:val="Compact"/>
              <w:jc w:val="left"/>
            </w:pPr>
            <w:r>
              <w:rPr>
                <w:b/>
                <w:bCs/>
                <w:color w:val="FFFFFF"/>
              </w:rPr>
              <w:t xml:space="preserve">Example and reviewer check</w:t>
            </w:r>
          </w:p>
        </w:tc>
      </w:tr>
      <w:tr>
        <w:trPr/>
        <w:tc>
          <w:tcPr>
            <w:tcMar>
              <w:top w:w="80" w:type="dxa"/>
              <w:start w:w="90" w:type="dxa"/>
              <w:bottom w:w="80" w:type="dxa"/>
              <w:end w:w="90" w:type="dxa"/>
            </w:tcMar>
            <w:shd w:fill="F7FBFF" w:val="clear"/>
          </w:tcPr>
          <w:p>
            <w:pPr>
              <w:pStyle w:val="Compact"/>
              <w:jc w:val="left"/>
            </w:pPr>
            <w:r>
              <w:rPr>
                <w:b/>
                <w:bCs/>
              </w:rPr>
              <w:t xml:space="preserve">U6/D1</w:t>
            </w:r>
            <w:r>
              <w:t xml:space="preserve"> </w:t>
            </w:r>
            <w:r>
              <w:t xml:space="preserve">- Global Resources (label: global resources)</w:t>
            </w:r>
          </w:p>
        </w:tc>
        <w:tc>
          <w:tcPr>
            <w:tcMar>
              <w:top w:w="80" w:type="dxa"/>
              <w:start w:w="90" w:type="dxa"/>
              <w:bottom w:w="80" w:type="dxa"/>
              <w:end w:w="90" w:type="dxa"/>
            </w:tcMar>
            <w:shd w:fill="F7FBFF" w:val="clear"/>
          </w:tcPr>
          <w:p>
            <w:pPr>
              <w:pStyle w:val="Compact"/>
              <w:jc w:val="left"/>
            </w:pPr>
            <w:r>
              <w:t xml:space="preserve">Evidence: global resource-stock data; supply-chain resilience metrics; commons-condition indicators; Gate classes: Tail Risk; Containment / Structural Viability; Ordinary welfare. Uncertainty: Standard assessment. Interpretation: Containment-relevant and tail-relevant where depletion or fragility threatens systemic, hard-to-reverse harm at civilisational scale.</w:t>
            </w:r>
          </w:p>
        </w:tc>
        <w:tc>
          <w:tcPr>
            <w:tcMar>
              <w:top w:w="80" w:type="dxa"/>
              <w:start w:w="90" w:type="dxa"/>
              <w:bottom w:w="80" w:type="dxa"/>
              <w:end w:w="90" w:type="dxa"/>
            </w:tcMar>
            <w:shd w:fill="F7FBFF" w:val="clear"/>
          </w:tcPr>
          <w:p>
            <w:pPr>
              <w:pStyle w:val="Compact"/>
              <w:jc w:val="left"/>
            </w:pPr>
            <w:r>
              <w:t xml:space="preserve">Example: A critical-minerals stewardship agreement that reduces depletion risk improves U6/D1.; Reviewer check: A reviewer checks whether ‘global’ claims rest on global data or extrapolated local figures.</w:t>
            </w:r>
          </w:p>
        </w:tc>
      </w:tr>
      <w:tr>
        <w:trPr/>
        <w:tc>
          <w:tcPr>
            <w:tcMar>
              <w:top w:w="80" w:type="dxa"/>
              <w:start w:w="90" w:type="dxa"/>
              <w:bottom w:w="80" w:type="dxa"/>
              <w:end w:w="90" w:type="dxa"/>
            </w:tcMar>
            <w:shd w:fill="D9EAF7" w:val="clear"/>
          </w:tcPr>
          <w:p>
            <w:pPr>
              <w:pStyle w:val="Compact"/>
              <w:jc w:val="left"/>
            </w:pPr>
            <w:r>
              <w:rPr>
                <w:b/>
                <w:bCs/>
              </w:rPr>
              <w:t xml:space="preserve">U6/D2</w:t>
            </w:r>
            <w:r>
              <w:t xml:space="preserve"> </w:t>
            </w:r>
            <w:r>
              <w:t xml:space="preserve">- Human Safety (label: human safety)</w:t>
            </w:r>
          </w:p>
        </w:tc>
        <w:tc>
          <w:tcPr>
            <w:tcMar>
              <w:top w:w="80" w:type="dxa"/>
              <w:start w:w="90" w:type="dxa"/>
              <w:bottom w:w="80" w:type="dxa"/>
              <w:end w:w="90" w:type="dxa"/>
            </w:tcMar>
            <w:shd w:fill="D9EAF7" w:val="clear"/>
          </w:tcPr>
          <w:p>
            <w:pPr>
              <w:pStyle w:val="Compact"/>
              <w:jc w:val="left"/>
            </w:pPr>
            <w:r>
              <w:t xml:space="preserve">Evidence: catastrophic-risk assessments; biosecurity / nuclear-risk indicators; conflict-escalation data; Gate classes: Rights Floor; Tail Risk; Ordinary welfare. Uncertainty: Standard assessment. Interpretation: Primarily tail-relevant: catastrophic and existential risk is non-averagable and bounded under TRC, never traded against ordinary welfare. Rights-relevant at the right-to-life floor.</w:t>
            </w:r>
          </w:p>
        </w:tc>
        <w:tc>
          <w:tcPr>
            <w:tcMar>
              <w:top w:w="80" w:type="dxa"/>
              <w:start w:w="90" w:type="dxa"/>
              <w:bottom w:w="80" w:type="dxa"/>
              <w:end w:w="90" w:type="dxa"/>
            </w:tcMar>
            <w:shd w:fill="D9EAF7" w:val="clear"/>
          </w:tcPr>
          <w:p>
            <w:pPr>
              <w:pStyle w:val="Compact"/>
              <w:jc w:val="left"/>
            </w:pPr>
            <w:r>
              <w:t xml:space="preserve">Example: A biosecurity protocol that lowers engineered-pandemic risk improves U6/D2.; Reviewer check: A reviewer checks that tail risk was bounded with a worst-case measure and not diluted by expected-value framing.</w:t>
            </w:r>
          </w:p>
        </w:tc>
      </w:tr>
      <w:tr>
        <w:trPr/>
        <w:tc>
          <w:tcPr>
            <w:tcMar>
              <w:top w:w="80" w:type="dxa"/>
              <w:start w:w="90" w:type="dxa"/>
              <w:bottom w:w="80" w:type="dxa"/>
              <w:end w:w="90" w:type="dxa"/>
            </w:tcMar>
            <w:shd w:fill="F7FBFF" w:val="clear"/>
          </w:tcPr>
          <w:p>
            <w:pPr>
              <w:pStyle w:val="Compact"/>
              <w:jc w:val="left"/>
            </w:pPr>
            <w:r>
              <w:rPr>
                <w:b/>
                <w:bCs/>
              </w:rPr>
              <w:t xml:space="preserve">U6/D3</w:t>
            </w:r>
            <w:r>
              <w:t xml:space="preserve"> </w:t>
            </w:r>
            <w:r>
              <w:t xml:space="preserve">- Cooperation (label: cooperation)</w:t>
            </w:r>
          </w:p>
        </w:tc>
        <w:tc>
          <w:tcPr>
            <w:tcMar>
              <w:top w:w="80" w:type="dxa"/>
              <w:start w:w="90" w:type="dxa"/>
              <w:bottom w:w="80" w:type="dxa"/>
              <w:end w:w="90" w:type="dxa"/>
            </w:tcMar>
            <w:shd w:fill="F7FBFF" w:val="clear"/>
          </w:tcPr>
          <w:p>
            <w:pPr>
              <w:pStyle w:val="Compact"/>
              <w:jc w:val="left"/>
            </w:pPr>
            <w:r>
              <w:t xml:space="preserve">Evidence: international-cooperation indices; conflict / treaty-compliance data; coordination-institution health; Gate classes: Tail Risk; Containment / Structural Viability; Ordinary welfare. Uncertainty: Standard assessment. Interpretation: Containment-relevant (cooperation underpins global stability); tail-relevant where breakdown risks large-scale conflict.</w:t>
            </w:r>
          </w:p>
        </w:tc>
        <w:tc>
          <w:tcPr>
            <w:tcMar>
              <w:top w:w="80" w:type="dxa"/>
              <w:start w:w="90" w:type="dxa"/>
              <w:bottom w:w="80" w:type="dxa"/>
              <w:end w:w="90" w:type="dxa"/>
            </w:tcMar>
            <w:shd w:fill="F7FBFF" w:val="clear"/>
          </w:tcPr>
          <w:p>
            <w:pPr>
              <w:pStyle w:val="Compact"/>
              <w:jc w:val="left"/>
            </w:pPr>
            <w:r>
              <w:t xml:space="preserve">Example: A verification regime that sustains an arms-control treaty improves U6/D3.; Reviewer check: A reviewer asks whether cooperation is durable or a fragile short-term arrangement.</w:t>
            </w:r>
          </w:p>
        </w:tc>
      </w:tr>
      <w:tr>
        <w:trPr/>
        <w:tc>
          <w:tcPr>
            <w:tcMar>
              <w:top w:w="80" w:type="dxa"/>
              <w:start w:w="90" w:type="dxa"/>
              <w:bottom w:w="80" w:type="dxa"/>
              <w:end w:w="90" w:type="dxa"/>
            </w:tcMar>
            <w:shd w:fill="D9EAF7" w:val="clear"/>
          </w:tcPr>
          <w:p>
            <w:pPr>
              <w:pStyle w:val="Compact"/>
              <w:jc w:val="left"/>
            </w:pPr>
            <w:r>
              <w:rPr>
                <w:b/>
                <w:bCs/>
              </w:rPr>
              <w:t xml:space="preserve">U6/D4</w:t>
            </w:r>
            <w:r>
              <w:t xml:space="preserve"> </w:t>
            </w:r>
            <w:r>
              <w:t xml:space="preserve">- Civilizational Knowledge (label: civilizational knowledge)</w:t>
            </w:r>
          </w:p>
        </w:tc>
        <w:tc>
          <w:tcPr>
            <w:tcMar>
              <w:top w:w="80" w:type="dxa"/>
              <w:start w:w="90" w:type="dxa"/>
              <w:bottom w:w="80" w:type="dxa"/>
              <w:end w:w="90" w:type="dxa"/>
            </w:tcMar>
            <w:shd w:fill="D9EAF7" w:val="clear"/>
          </w:tcPr>
          <w:p>
            <w:pPr>
              <w:pStyle w:val="Compact"/>
              <w:jc w:val="left"/>
            </w:pPr>
            <w:r>
              <w:t xml:space="preserve">Evidence: scientific-integrity measures; knowledge-preservation status; research-governance indicators; Gate classes: Tail Risk; Containment / Structural Viability; Ordinary welfare. Uncertainty: Standard assessment. Interpretation: Containment-relevant; tail-relevant in two directions — catastrophic loss of knowledge, and dangerous diffusion of harmful capability.</w:t>
            </w:r>
          </w:p>
        </w:tc>
        <w:tc>
          <w:tcPr>
            <w:tcMar>
              <w:top w:w="80" w:type="dxa"/>
              <w:start w:w="90" w:type="dxa"/>
              <w:bottom w:w="80" w:type="dxa"/>
              <w:end w:w="90" w:type="dxa"/>
            </w:tcMar>
            <w:shd w:fill="D9EAF7" w:val="clear"/>
          </w:tcPr>
          <w:p>
            <w:pPr>
              <w:pStyle w:val="Compact"/>
              <w:jc w:val="left"/>
            </w:pPr>
            <w:r>
              <w:t xml:space="preserve">Example: An open-but-governed research framework that preserves integrity while limiting dangerous diffusion improves U6/D4.; Reviewer check: A reviewer checks whether knowledge benefits were weighed against misuse and proliferation pathways.</w:t>
            </w:r>
          </w:p>
        </w:tc>
      </w:tr>
      <w:tr>
        <w:trPr/>
        <w:tc>
          <w:tcPr>
            <w:tcMar>
              <w:top w:w="80" w:type="dxa"/>
              <w:start w:w="90" w:type="dxa"/>
              <w:bottom w:w="80" w:type="dxa"/>
              <w:end w:w="90" w:type="dxa"/>
            </w:tcMar>
            <w:shd w:fill="F7FBFF" w:val="clear"/>
          </w:tcPr>
          <w:p>
            <w:pPr>
              <w:pStyle w:val="Compact"/>
              <w:jc w:val="left"/>
            </w:pPr>
            <w:r>
              <w:rPr>
                <w:b/>
                <w:bCs/>
              </w:rPr>
              <w:t xml:space="preserve">U6/D5</w:t>
            </w:r>
            <w:r>
              <w:t xml:space="preserve"> </w:t>
            </w:r>
            <w:r>
              <w:t xml:space="preserve">- Collective Agency (label: collective agency)</w:t>
            </w:r>
          </w:p>
        </w:tc>
        <w:tc>
          <w:tcPr>
            <w:tcMar>
              <w:top w:w="80" w:type="dxa"/>
              <w:start w:w="90" w:type="dxa"/>
              <w:bottom w:w="80" w:type="dxa"/>
              <w:end w:w="90" w:type="dxa"/>
            </w:tcMar>
            <w:shd w:fill="F7FBFF" w:val="clear"/>
          </w:tcPr>
          <w:p>
            <w:pPr>
              <w:pStyle w:val="Compact"/>
              <w:jc w:val="left"/>
            </w:pPr>
            <w:r>
              <w:t xml:space="preserve">Evidence: representation / participation in global governance; power-concentration indicators; self-determination measures; Gate classes: Rights Floor; Containment / Structural Viability. Uncertainty: Explicitly elevated. Interpretation: Rights-relevant (self-determination); containment-relevant where illegitimate concentration destabilises the system. Measurement is contested — mark uncertainty.</w:t>
            </w:r>
          </w:p>
        </w:tc>
        <w:tc>
          <w:tcPr>
            <w:tcMar>
              <w:top w:w="80" w:type="dxa"/>
              <w:start w:w="90" w:type="dxa"/>
              <w:bottom w:w="80" w:type="dxa"/>
              <w:end w:w="90" w:type="dxa"/>
            </w:tcMar>
            <w:shd w:fill="F7FBFF" w:val="clear"/>
          </w:tcPr>
          <w:p>
            <w:pPr>
              <w:pStyle w:val="Compact"/>
              <w:jc w:val="left"/>
            </w:pPr>
            <w:r>
              <w:t xml:space="preserve">Example: A governance reform giving affected populations real voice in a global regime improves U6/D5.; Reviewer check: A reviewer tests whether ‘collective’ agency includes the marginalised or only powerful actors.</w:t>
            </w:r>
          </w:p>
        </w:tc>
      </w:tr>
      <w:tr>
        <w:trPr/>
        <w:tc>
          <w:tcPr>
            <w:tcMar>
              <w:top w:w="80" w:type="dxa"/>
              <w:start w:w="90" w:type="dxa"/>
              <w:bottom w:w="80" w:type="dxa"/>
              <w:end w:w="90" w:type="dxa"/>
            </w:tcMar>
            <w:shd w:fill="D9EAF7" w:val="clear"/>
          </w:tcPr>
          <w:p>
            <w:pPr>
              <w:pStyle w:val="Compact"/>
              <w:jc w:val="left"/>
            </w:pPr>
            <w:r>
              <w:rPr>
                <w:b/>
                <w:bCs/>
              </w:rPr>
              <w:t xml:space="preserve">U6/D6</w:t>
            </w:r>
            <w:r>
              <w:t xml:space="preserve"> </w:t>
            </w:r>
            <w:r>
              <w:t xml:space="preserve">- Shared Purpose (label: shared purpose)</w:t>
            </w:r>
          </w:p>
        </w:tc>
        <w:tc>
          <w:tcPr>
            <w:tcMar>
              <w:top w:w="80" w:type="dxa"/>
              <w:start w:w="90" w:type="dxa"/>
              <w:bottom w:w="80" w:type="dxa"/>
              <w:end w:w="90" w:type="dxa"/>
            </w:tcMar>
            <w:shd w:fill="D9EAF7" w:val="clear"/>
          </w:tcPr>
          <w:p>
            <w:pPr>
              <w:pStyle w:val="Compact"/>
              <w:jc w:val="left"/>
            </w:pPr>
            <w:r>
              <w:t xml:space="preserve">Evidence: long-term-orientation indicators; intergenerational-equity measures; qualitative analysis; Gate classes: Containment / Structural Viability; Ordinary welfare. Uncertainty: Explicitly elevated. Interpretation: Mostly ordinary/aspirational; containment-relevant where short-termism erodes long-term stability. Inherently soft — mark uncertainty and avoid overclaiming.</w:t>
            </w:r>
          </w:p>
        </w:tc>
        <w:tc>
          <w:tcPr>
            <w:tcMar>
              <w:top w:w="80" w:type="dxa"/>
              <w:start w:w="90" w:type="dxa"/>
              <w:bottom w:w="80" w:type="dxa"/>
              <w:end w:w="90" w:type="dxa"/>
            </w:tcMar>
            <w:shd w:fill="D9EAF7" w:val="clear"/>
          </w:tcPr>
          <w:p>
            <w:pPr>
              <w:pStyle w:val="Compact"/>
              <w:jc w:val="left"/>
            </w:pPr>
            <w:r>
              <w:t xml:space="preserve">Example: A long-horizon institution (e.g. a future-generations commissioner) can support U6/D6.; Reviewer check: A reviewer flags this cell as especially prone to rhetoric and demands concrete mechanisms.</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U6/D7</w:t>
            </w:r>
            <w:r>
              <w:t xml:space="preserve"> </w:t>
            </w:r>
            <w:r>
              <w:t xml:space="preserve">- Planetary Conditions (label: planetary conditions)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Evidence: emissions data; climate models; planetary-boundary metrics; global food/water-security projections; Gate classes: Tail Risk; Containment / Structural Viability; Ordinary welfare. Uncertainty: Standard assessment. Interpretation: Often catastrophe-relevant: may trigger TRC where irreversible or large-scale harm is plausible. Containment-relevant as a system-stability check.</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Example: A high-emissions infrastructure choice may harm U6/D7 even when it benefits a local economy (U3/D1 or U4/D1).; Reviewer check: A reviewer checks whether irreversibility and worst-case bounds were modelled, not just expected outcomes.</w:t>
            </w:r>
          </w:p>
        </w:tc>
      </w:tr>
    </w:tbl>
    <w:bookmarkEnd w:id="657"/>
    <w:bookmarkStart w:id="658" w:name="u7-biosphere---meaning-and-movement"/>
    <w:p>
      <w:pPr>
        <w:pStyle w:val="Heading3"/>
        <w:keepNext/>
        <w:keepLines/>
        <w:pageBreakBefore w:val="0"/>
        <w:widowControl/>
      </w:pPr>
      <w:r>
        <w:rPr>
          <w:rFonts w:ascii="Arial" w:hAnsi="Arial" w:eastAsia="Arial"/>
          <w:b/>
          <w:color w:val="1F4E78"/>
        </w:rPr>
        <w:t xml:space="preserve">U7 Biosphere - meaning and movement</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What this cell measures</w:t>
            </w:r>
          </w:p>
        </w:tc>
        <w:tc>
          <w:tcPr>
            <w:shd w:fill="1F4E78" w:val="clear"/>
            <w:tcMar>
              <w:top w:w="80" w:type="dxa"/>
              <w:start w:w="90" w:type="dxa"/>
              <w:bottom w:w="80" w:type="dxa"/>
              <w:end w:w="90" w:type="dxa"/>
            </w:tcMar>
          </w:tcPr>
          <w:p>
            <w:pPr>
              <w:pStyle w:val="Compact"/>
              <w:jc w:val="left"/>
            </w:pPr>
            <w:r>
              <w:rPr>
                <w:b/>
                <w:bCs/>
                <w:color w:val="FFFFFF"/>
              </w:rPr>
              <w:t xml:space="preserve">+ Benefit</w:t>
            </w:r>
          </w:p>
        </w:tc>
        <w:tc>
          <w:tcPr>
            <w:shd w:fill="1F4E78" w:val="clear"/>
            <w:tcMar>
              <w:top w:w="80" w:type="dxa"/>
              <w:start w:w="90" w:type="dxa"/>
              <w:bottom w:w="80" w:type="dxa"/>
              <w:end w:w="90" w:type="dxa"/>
            </w:tcMar>
          </w:tcPr>
          <w:p>
            <w:pPr>
              <w:pStyle w:val="Compact"/>
              <w:jc w:val="left"/>
            </w:pPr>
            <w:r>
              <w:rPr>
                <w:b/>
                <w:bCs/>
                <w:color w:val="FFFFFF"/>
              </w:rPr>
              <w:t xml:space="preserve">- Harm</w:t>
            </w:r>
          </w:p>
        </w:tc>
      </w:tr>
      <w:tr>
        <w:trPr/>
        <w:tc>
          <w:tcPr>
            <w:tcMar>
              <w:top w:w="80" w:type="dxa"/>
              <w:start w:w="90" w:type="dxa"/>
              <w:bottom w:w="80" w:type="dxa"/>
              <w:end w:w="90" w:type="dxa"/>
            </w:tcMar>
            <w:shd w:fill="F7FBFF" w:val="clear"/>
          </w:tcPr>
          <w:p>
            <w:pPr>
              <w:pStyle w:val="Compact"/>
              <w:jc w:val="left"/>
            </w:pPr>
            <w:r>
              <w:rPr>
                <w:b/>
                <w:bCs/>
              </w:rPr>
              <w:t xml:space="preserve">U7/D1</w:t>
            </w:r>
            <w:r>
              <w:t xml:space="preserve"> </w:t>
            </w:r>
            <w:r>
              <w:t xml:space="preserve">- Life-Support Resources (label: life-support resources)</w:t>
            </w:r>
          </w:p>
        </w:tc>
        <w:tc>
          <w:tcPr>
            <w:tcMar>
              <w:top w:w="80" w:type="dxa"/>
              <w:start w:w="90" w:type="dxa"/>
              <w:bottom w:w="80" w:type="dxa"/>
              <w:end w:w="90" w:type="dxa"/>
            </w:tcMar>
            <w:shd w:fill="F7FBFF" w:val="clear"/>
          </w:tcPr>
          <w:p>
            <w:pPr>
              <w:pStyle w:val="Compact"/>
              <w:jc w:val="left"/>
            </w:pPr>
            <w:r>
              <w:t xml:space="preserve">The biosphere’s foundational resources that sustain life: soil, fresh water, clean air, fertility.</w:t>
            </w:r>
          </w:p>
        </w:tc>
        <w:tc>
          <w:tcPr>
            <w:tcMar>
              <w:top w:w="80" w:type="dxa"/>
              <w:start w:w="90" w:type="dxa"/>
              <w:bottom w:w="80" w:type="dxa"/>
              <w:end w:w="90" w:type="dxa"/>
            </w:tcMar>
            <w:shd w:fill="F7FBFF" w:val="clear"/>
          </w:tcPr>
          <w:p>
            <w:pPr>
              <w:pStyle w:val="Compact"/>
              <w:jc w:val="left"/>
            </w:pPr>
            <w:r>
              <w:t xml:space="preserve">Protected or restored soil, water, and air; sustained natural-resource base.</w:t>
            </w:r>
          </w:p>
        </w:tc>
        <w:tc>
          <w:tcPr>
            <w:tcMar>
              <w:top w:w="80" w:type="dxa"/>
              <w:start w:w="90" w:type="dxa"/>
              <w:bottom w:w="80" w:type="dxa"/>
              <w:end w:w="90" w:type="dxa"/>
            </w:tcMar>
            <w:shd w:fill="F7FBFF" w:val="clear"/>
          </w:tcPr>
          <w:p>
            <w:pPr>
              <w:pStyle w:val="Compact"/>
              <w:jc w:val="left"/>
            </w:pPr>
            <w:r>
              <w:t xml:space="preserve">Soil loss, water depletion, air degradation, exhaustion of life-support systems.</w:t>
            </w:r>
          </w:p>
        </w:tc>
      </w:tr>
      <w:tr>
        <w:trPr/>
        <w:tc>
          <w:tcPr>
            <w:tcMar>
              <w:top w:w="80" w:type="dxa"/>
              <w:start w:w="90" w:type="dxa"/>
              <w:bottom w:w="80" w:type="dxa"/>
              <w:end w:w="90" w:type="dxa"/>
            </w:tcMar>
            <w:shd w:fill="D9EAF7" w:val="clear"/>
          </w:tcPr>
          <w:p>
            <w:pPr>
              <w:pStyle w:val="Compact"/>
              <w:jc w:val="left"/>
            </w:pPr>
            <w:r>
              <w:rPr>
                <w:b/>
                <w:bCs/>
              </w:rPr>
              <w:t xml:space="preserve">U7/D2</w:t>
            </w:r>
            <w:r>
              <w:t xml:space="preserve"> </w:t>
            </w:r>
            <w:r>
              <w:t xml:space="preserve">- Ecosystem Health (label: ecosystem health)</w:t>
            </w:r>
          </w:p>
        </w:tc>
        <w:tc>
          <w:tcPr>
            <w:tcMar>
              <w:top w:w="80" w:type="dxa"/>
              <w:start w:w="90" w:type="dxa"/>
              <w:bottom w:w="80" w:type="dxa"/>
              <w:end w:w="90" w:type="dxa"/>
            </w:tcMar>
            <w:shd w:fill="D9EAF7" w:val="clear"/>
          </w:tcPr>
          <w:p>
            <w:pPr>
              <w:pStyle w:val="Compact"/>
              <w:jc w:val="left"/>
            </w:pPr>
            <w:r>
              <w:t xml:space="preserve">The health, function, and viability of ecosystems and the species within them.</w:t>
            </w:r>
          </w:p>
        </w:tc>
        <w:tc>
          <w:tcPr>
            <w:tcMar>
              <w:top w:w="80" w:type="dxa"/>
              <w:start w:w="90" w:type="dxa"/>
              <w:bottom w:w="80" w:type="dxa"/>
              <w:end w:w="90" w:type="dxa"/>
            </w:tcMar>
            <w:shd w:fill="D9EAF7" w:val="clear"/>
          </w:tcPr>
          <w:p>
            <w:pPr>
              <w:pStyle w:val="Compact"/>
              <w:jc w:val="left"/>
            </w:pPr>
            <w:r>
              <w:t xml:space="preserve">Healthier, functioning ecosystems; recovering species and habitats.</w:t>
            </w:r>
          </w:p>
        </w:tc>
        <w:tc>
          <w:tcPr>
            <w:tcMar>
              <w:top w:w="80" w:type="dxa"/>
              <w:start w:w="90" w:type="dxa"/>
              <w:bottom w:w="80" w:type="dxa"/>
              <w:end w:w="90" w:type="dxa"/>
            </w:tcMar>
            <w:shd w:fill="D9EAF7" w:val="clear"/>
          </w:tcPr>
          <w:p>
            <w:pPr>
              <w:pStyle w:val="Compact"/>
              <w:jc w:val="left"/>
            </w:pPr>
            <w:r>
              <w:t xml:space="preserve">Ecosystem dysfunction, species decline, habitat collapse, trophic breakdown.</w:t>
            </w:r>
          </w:p>
        </w:tc>
      </w:tr>
      <w:tr>
        <w:trPr/>
        <w:tc>
          <w:tcPr>
            <w:tcMar>
              <w:top w:w="80" w:type="dxa"/>
              <w:start w:w="90" w:type="dxa"/>
              <w:bottom w:w="80" w:type="dxa"/>
              <w:end w:w="90" w:type="dxa"/>
            </w:tcMar>
            <w:shd w:fill="F7FBFF" w:val="clear"/>
          </w:tcPr>
          <w:p>
            <w:pPr>
              <w:pStyle w:val="Compact"/>
              <w:jc w:val="left"/>
            </w:pPr>
            <w:r>
              <w:rPr>
                <w:b/>
                <w:bCs/>
              </w:rPr>
              <w:t xml:space="preserve">U7/D3</w:t>
            </w:r>
            <w:r>
              <w:t xml:space="preserve"> </w:t>
            </w:r>
            <w:r>
              <w:t xml:space="preserve">- Biotic Relations (label: biotic relations)</w:t>
            </w:r>
          </w:p>
        </w:tc>
        <w:tc>
          <w:tcPr>
            <w:tcMar>
              <w:top w:w="80" w:type="dxa"/>
              <w:start w:w="90" w:type="dxa"/>
              <w:bottom w:w="80" w:type="dxa"/>
              <w:end w:w="90" w:type="dxa"/>
            </w:tcMar>
            <w:shd w:fill="F7FBFF" w:val="clear"/>
          </w:tcPr>
          <w:p>
            <w:pPr>
              <w:pStyle w:val="Compact"/>
              <w:jc w:val="left"/>
            </w:pPr>
            <w:r>
              <w:t xml:space="preserve">The integrity of relationships and interdependencies among living systems and between humans and nature.</w:t>
            </w:r>
          </w:p>
        </w:tc>
        <w:tc>
          <w:tcPr>
            <w:tcMar>
              <w:top w:w="80" w:type="dxa"/>
              <w:start w:w="90" w:type="dxa"/>
              <w:bottom w:w="80" w:type="dxa"/>
              <w:end w:w="90" w:type="dxa"/>
            </w:tcMar>
            <w:shd w:fill="F7FBFF" w:val="clear"/>
          </w:tcPr>
          <w:p>
            <w:pPr>
              <w:pStyle w:val="Compact"/>
              <w:jc w:val="left"/>
            </w:pPr>
            <w:r>
              <w:t xml:space="preserve">Restored ecological relationships, sustainable human-nature interactions, protected interdependencies.</w:t>
            </w:r>
          </w:p>
        </w:tc>
        <w:tc>
          <w:tcPr>
            <w:tcMar>
              <w:top w:w="80" w:type="dxa"/>
              <w:start w:w="90" w:type="dxa"/>
              <w:bottom w:w="80" w:type="dxa"/>
              <w:end w:w="90" w:type="dxa"/>
            </w:tcMar>
            <w:shd w:fill="F7FBFF" w:val="clear"/>
          </w:tcPr>
          <w:p>
            <w:pPr>
              <w:pStyle w:val="Compact"/>
              <w:jc w:val="left"/>
            </w:pPr>
            <w:r>
              <w:t xml:space="preserve">Disrupted food webs, broken ecological relationships, harmful human-nature dynamics.</w:t>
            </w:r>
          </w:p>
        </w:tc>
      </w:tr>
      <w:tr>
        <w:trPr/>
        <w:tc>
          <w:tcPr>
            <w:tcMar>
              <w:top w:w="80" w:type="dxa"/>
              <w:start w:w="90" w:type="dxa"/>
              <w:bottom w:w="80" w:type="dxa"/>
              <w:end w:w="90" w:type="dxa"/>
            </w:tcMar>
            <w:shd w:fill="D9EAF7" w:val="clear"/>
          </w:tcPr>
          <w:p>
            <w:pPr>
              <w:pStyle w:val="Compact"/>
              <w:jc w:val="left"/>
            </w:pPr>
            <w:r>
              <w:rPr>
                <w:b/>
                <w:bCs/>
              </w:rPr>
              <w:t xml:space="preserve">U7/D4</w:t>
            </w:r>
            <w:r>
              <w:t xml:space="preserve"> </w:t>
            </w:r>
            <w:r>
              <w:t xml:space="preserve">- Ecological Knowledge (label: ecological knowledge)</w:t>
            </w:r>
          </w:p>
        </w:tc>
        <w:tc>
          <w:tcPr>
            <w:tcMar>
              <w:top w:w="80" w:type="dxa"/>
              <w:start w:w="90" w:type="dxa"/>
              <w:bottom w:w="80" w:type="dxa"/>
              <w:end w:w="90" w:type="dxa"/>
            </w:tcMar>
            <w:shd w:fill="D9EAF7" w:val="clear"/>
          </w:tcPr>
          <w:p>
            <w:pPr>
              <w:pStyle w:val="Compact"/>
              <w:jc w:val="left"/>
            </w:pPr>
            <w:r>
              <w:t xml:space="preserve">Humanity’s understanding and monitoring of ecological systems, including baseline and early-warning data.</w:t>
            </w:r>
          </w:p>
        </w:tc>
        <w:tc>
          <w:tcPr>
            <w:tcMar>
              <w:top w:w="80" w:type="dxa"/>
              <w:start w:w="90" w:type="dxa"/>
              <w:bottom w:w="80" w:type="dxa"/>
              <w:end w:w="90" w:type="dxa"/>
            </w:tcMar>
            <w:shd w:fill="D9EAF7" w:val="clear"/>
          </w:tcPr>
          <w:p>
            <w:pPr>
              <w:pStyle w:val="Compact"/>
              <w:jc w:val="left"/>
            </w:pPr>
            <w:r>
              <w:t xml:space="preserve">Better ecological monitoring, baselines, early-warning capacity, and stewardship knowledge.</w:t>
            </w:r>
          </w:p>
        </w:tc>
        <w:tc>
          <w:tcPr>
            <w:tcMar>
              <w:top w:w="80" w:type="dxa"/>
              <w:start w:w="90" w:type="dxa"/>
              <w:bottom w:w="80" w:type="dxa"/>
              <w:end w:w="90" w:type="dxa"/>
            </w:tcMar>
            <w:shd w:fill="D9EAF7" w:val="clear"/>
          </w:tcPr>
          <w:p>
            <w:pPr>
              <w:pStyle w:val="Compact"/>
              <w:jc w:val="left"/>
            </w:pPr>
            <w:r>
              <w:t xml:space="preserve">Monitoring gaps, lost baselines, ecological ignorance, blind spots before thresholds.</w:t>
            </w:r>
          </w:p>
        </w:tc>
      </w:tr>
      <w:tr>
        <w:trPr/>
        <w:tc>
          <w:tcPr>
            <w:tcMar>
              <w:top w:w="80" w:type="dxa"/>
              <w:start w:w="90" w:type="dxa"/>
              <w:bottom w:w="80" w:type="dxa"/>
              <w:end w:w="90" w:type="dxa"/>
            </w:tcMar>
            <w:shd w:fill="F7FBFF" w:val="clear"/>
          </w:tcPr>
          <w:p>
            <w:pPr>
              <w:pStyle w:val="Compact"/>
              <w:jc w:val="left"/>
            </w:pPr>
            <w:r>
              <w:rPr>
                <w:b/>
                <w:bCs/>
              </w:rPr>
              <w:t xml:space="preserve">U7/D5</w:t>
            </w:r>
            <w:r>
              <w:t xml:space="preserve"> </w:t>
            </w:r>
            <w:r>
              <w:t xml:space="preserve">- Resilience Capacity (label: resilience capacity)</w:t>
            </w:r>
          </w:p>
        </w:tc>
        <w:tc>
          <w:tcPr>
            <w:tcMar>
              <w:top w:w="80" w:type="dxa"/>
              <w:start w:w="90" w:type="dxa"/>
              <w:bottom w:w="80" w:type="dxa"/>
              <w:end w:w="90" w:type="dxa"/>
            </w:tcMar>
            <w:shd w:fill="F7FBFF" w:val="clear"/>
          </w:tcPr>
          <w:p>
            <w:pPr>
              <w:pStyle w:val="Compact"/>
              <w:jc w:val="left"/>
            </w:pPr>
            <w:r>
              <w:t xml:space="preserve">The biosphere’s capacity to absorb shocks, adapt, and recover from disturbance.</w:t>
            </w:r>
          </w:p>
        </w:tc>
        <w:tc>
          <w:tcPr>
            <w:tcMar>
              <w:top w:w="80" w:type="dxa"/>
              <w:start w:w="90" w:type="dxa"/>
              <w:bottom w:w="80" w:type="dxa"/>
              <w:end w:w="90" w:type="dxa"/>
            </w:tcMar>
            <w:shd w:fill="F7FBFF" w:val="clear"/>
          </w:tcPr>
          <w:p>
            <w:pPr>
              <w:pStyle w:val="Compact"/>
              <w:jc w:val="left"/>
            </w:pPr>
            <w:r>
              <w:t xml:space="preserve">Greater ecological resilience, redundancy, and recovery capacity.</w:t>
            </w:r>
          </w:p>
        </w:tc>
        <w:tc>
          <w:tcPr>
            <w:tcMar>
              <w:top w:w="80" w:type="dxa"/>
              <w:start w:w="90" w:type="dxa"/>
              <w:bottom w:w="80" w:type="dxa"/>
              <w:end w:w="90" w:type="dxa"/>
            </w:tcMar>
            <w:shd w:fill="F7FBFF" w:val="clear"/>
          </w:tcPr>
          <w:p>
            <w:pPr>
              <w:pStyle w:val="Compact"/>
              <w:jc w:val="left"/>
            </w:pPr>
            <w:r>
              <w:t xml:space="preserve">Loss of resilience, reduced redundancy, approach to tipping points and regime shifts.</w:t>
            </w:r>
          </w:p>
        </w:tc>
      </w:tr>
      <w:tr>
        <w:trPr/>
        <w:tc>
          <w:tcPr>
            <w:tcMar>
              <w:top w:w="80" w:type="dxa"/>
              <w:start w:w="90" w:type="dxa"/>
              <w:bottom w:w="80" w:type="dxa"/>
              <w:end w:w="90" w:type="dxa"/>
            </w:tcMar>
            <w:shd w:fill="D9EAF7" w:val="clear"/>
          </w:tcPr>
          <w:p>
            <w:pPr>
              <w:pStyle w:val="Compact"/>
              <w:jc w:val="left"/>
            </w:pPr>
            <w:r>
              <w:rPr>
                <w:b/>
                <w:bCs/>
              </w:rPr>
              <w:t xml:space="preserve">U7/D6</w:t>
            </w:r>
            <w:r>
              <w:t xml:space="preserve"> </w:t>
            </w:r>
            <w:r>
              <w:t xml:space="preserve">- Life Continuity (label: life continuity)</w:t>
            </w:r>
          </w:p>
        </w:tc>
        <w:tc>
          <w:tcPr>
            <w:tcMar>
              <w:top w:w="80" w:type="dxa"/>
              <w:start w:w="90" w:type="dxa"/>
              <w:bottom w:w="80" w:type="dxa"/>
              <w:end w:w="90" w:type="dxa"/>
            </w:tcMar>
            <w:shd w:fill="D9EAF7" w:val="clear"/>
          </w:tcPr>
          <w:p>
            <w:pPr>
              <w:pStyle w:val="Compact"/>
              <w:jc w:val="left"/>
            </w:pPr>
            <w:r>
              <w:t xml:space="preserve">The continuity and persistence of life and biodiversity over time, including irreversibility of loss.</w:t>
            </w:r>
          </w:p>
        </w:tc>
        <w:tc>
          <w:tcPr>
            <w:tcMar>
              <w:top w:w="80" w:type="dxa"/>
              <w:start w:w="90" w:type="dxa"/>
              <w:bottom w:w="80" w:type="dxa"/>
              <w:end w:w="90" w:type="dxa"/>
            </w:tcMar>
            <w:shd w:fill="D9EAF7" w:val="clear"/>
          </w:tcPr>
          <w:p>
            <w:pPr>
              <w:pStyle w:val="Compact"/>
              <w:jc w:val="left"/>
            </w:pPr>
            <w:r>
              <w:t xml:space="preserve">Protected biodiversity, prevented extinctions, sustained continuity of life.</w:t>
            </w:r>
          </w:p>
        </w:tc>
        <w:tc>
          <w:tcPr>
            <w:tcMar>
              <w:top w:w="80" w:type="dxa"/>
              <w:start w:w="90" w:type="dxa"/>
              <w:bottom w:w="80" w:type="dxa"/>
              <w:end w:w="90" w:type="dxa"/>
            </w:tcMar>
            <w:shd w:fill="D9EAF7" w:val="clear"/>
          </w:tcPr>
          <w:p>
            <w:pPr>
              <w:pStyle w:val="Compact"/>
              <w:jc w:val="left"/>
            </w:pPr>
            <w:r>
              <w:t xml:space="preserve">Species extinction, irreversible biodiversity loss, broken continuity of lineages.</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U7/D7</w:t>
            </w:r>
            <w:r>
              <w:t xml:space="preserve"> </w:t>
            </w:r>
            <w:r>
              <w:t xml:space="preserve">- Ecological Integrity (label: ecological integrity)</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The overall health, resilience, diversity, and continuity of ecosystems as living support systems.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Habitat restoration, biodiversity protection, improved ecological resilience, reduced pollution.</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Habitat destruction, species loss, ecosystem collapse, pollution, soil/water degradation.</w:t>
            </w:r>
          </w:p>
        </w:tc>
      </w:tr>
    </w:tbl>
    <w:bookmarkEnd w:id="658"/>
    <w:bookmarkStart w:id="659" w:name="u7-biosphere---evidence-and-review"/>
    <w:p>
      <w:pPr>
        <w:pStyle w:val="Heading3"/>
        <w:keepNext/>
        <w:keepLines/>
        <w:pageBreakBefore w:val="0"/>
        <w:widowControl/>
      </w:pPr>
      <w:r>
        <w:rPr>
          <w:rFonts w:ascii="Arial" w:hAnsi="Arial" w:eastAsia="Arial"/>
          <w:b/>
          <w:color w:val="1F4E78"/>
        </w:rPr>
        <w:t xml:space="preserve">U7 Biosphere - evidence and review</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Cell</w:t>
            </w:r>
          </w:p>
        </w:tc>
        <w:tc>
          <w:tcPr>
            <w:shd w:fill="1F4E78" w:val="clear"/>
            <w:tcMar>
              <w:top w:w="80" w:type="dxa"/>
              <w:start w:w="90" w:type="dxa"/>
              <w:bottom w:w="80" w:type="dxa"/>
              <w:end w:w="90" w:type="dxa"/>
            </w:tcMar>
          </w:tcPr>
          <w:p>
            <w:pPr>
              <w:pStyle w:val="Compact"/>
              <w:jc w:val="left"/>
            </w:pPr>
            <w:r>
              <w:rPr>
                <w:b/>
                <w:bCs/>
                <w:color w:val="FFFFFF"/>
              </w:rPr>
              <w:t xml:space="preserve">Evidence and gate cues</w:t>
            </w:r>
          </w:p>
        </w:tc>
        <w:tc>
          <w:tcPr>
            <w:shd w:fill="1F4E78" w:val="clear"/>
            <w:tcMar>
              <w:top w:w="80" w:type="dxa"/>
              <w:start w:w="90" w:type="dxa"/>
              <w:bottom w:w="80" w:type="dxa"/>
              <w:end w:w="90" w:type="dxa"/>
            </w:tcMar>
          </w:tcPr>
          <w:p>
            <w:pPr>
              <w:pStyle w:val="Compact"/>
              <w:jc w:val="left"/>
            </w:pPr>
            <w:r>
              <w:rPr>
                <w:b/>
                <w:bCs/>
                <w:color w:val="FFFFFF"/>
              </w:rPr>
              <w:t xml:space="preserve">Example and reviewer check</w:t>
            </w:r>
          </w:p>
        </w:tc>
      </w:tr>
      <w:tr>
        <w:trPr/>
        <w:tc>
          <w:tcPr>
            <w:tcMar>
              <w:top w:w="80" w:type="dxa"/>
              <w:start w:w="90" w:type="dxa"/>
              <w:bottom w:w="80" w:type="dxa"/>
              <w:end w:w="90" w:type="dxa"/>
            </w:tcMar>
            <w:shd w:fill="F7FBFF" w:val="clear"/>
          </w:tcPr>
          <w:p>
            <w:pPr>
              <w:pStyle w:val="Compact"/>
              <w:jc w:val="left"/>
            </w:pPr>
            <w:r>
              <w:rPr>
                <w:b/>
                <w:bCs/>
              </w:rPr>
              <w:t xml:space="preserve">U7/D1</w:t>
            </w:r>
            <w:r>
              <w:t xml:space="preserve"> </w:t>
            </w:r>
            <w:r>
              <w:t xml:space="preserve">- Life-Support Resources (label: life-support resources)</w:t>
            </w:r>
          </w:p>
        </w:tc>
        <w:tc>
          <w:tcPr>
            <w:tcMar>
              <w:top w:w="80" w:type="dxa"/>
              <w:start w:w="90" w:type="dxa"/>
              <w:bottom w:w="80" w:type="dxa"/>
              <w:end w:w="90" w:type="dxa"/>
            </w:tcMar>
            <w:shd w:fill="F7FBFF" w:val="clear"/>
          </w:tcPr>
          <w:p>
            <w:pPr>
              <w:pStyle w:val="Compact"/>
              <w:jc w:val="left"/>
            </w:pPr>
            <w:r>
              <w:t xml:space="preserve">Evidence: soil-health data; freshwater-stock and quality; air-quality baselines; resource-renewal rates; Gate classes: Tail Risk; Containment / Structural Viability; Ordinary welfare. Uncertainty: Standard assessment. Interpretation: Tail-relevant where depletion is irreversible or threatens collapse of life-support systems; containment-relevant. Distinct from U4/D1 ‘operating resources’.</w:t>
            </w:r>
          </w:p>
        </w:tc>
        <w:tc>
          <w:tcPr>
            <w:tcMar>
              <w:top w:w="80" w:type="dxa"/>
              <w:start w:w="90" w:type="dxa"/>
              <w:bottom w:w="80" w:type="dxa"/>
              <w:end w:w="90" w:type="dxa"/>
            </w:tcMar>
            <w:shd w:fill="F7FBFF" w:val="clear"/>
          </w:tcPr>
          <w:p>
            <w:pPr>
              <w:pStyle w:val="Compact"/>
              <w:jc w:val="left"/>
            </w:pPr>
            <w:r>
              <w:t xml:space="preserve">Example: An aquifer-protection rule that prevents irreversible groundwater loss improves U7/D1.; Reviewer check: A reviewer checks whether renewal rates, not just current stocks, were assessed.</w:t>
            </w:r>
          </w:p>
        </w:tc>
      </w:tr>
      <w:tr>
        <w:trPr/>
        <w:tc>
          <w:tcPr>
            <w:tcMar>
              <w:top w:w="80" w:type="dxa"/>
              <w:start w:w="90" w:type="dxa"/>
              <w:bottom w:w="80" w:type="dxa"/>
              <w:end w:w="90" w:type="dxa"/>
            </w:tcMar>
            <w:shd w:fill="D9EAF7" w:val="clear"/>
          </w:tcPr>
          <w:p>
            <w:pPr>
              <w:pStyle w:val="Compact"/>
              <w:jc w:val="left"/>
            </w:pPr>
            <w:r>
              <w:rPr>
                <w:b/>
                <w:bCs/>
              </w:rPr>
              <w:t xml:space="preserve">U7/D2</w:t>
            </w:r>
            <w:r>
              <w:t xml:space="preserve"> </w:t>
            </w:r>
            <w:r>
              <w:t xml:space="preserve">- Ecosystem Health (label: ecosystem health)</w:t>
            </w:r>
          </w:p>
        </w:tc>
        <w:tc>
          <w:tcPr>
            <w:tcMar>
              <w:top w:w="80" w:type="dxa"/>
              <w:start w:w="90" w:type="dxa"/>
              <w:bottom w:w="80" w:type="dxa"/>
              <w:end w:w="90" w:type="dxa"/>
            </w:tcMar>
            <w:shd w:fill="D9EAF7" w:val="clear"/>
          </w:tcPr>
          <w:p>
            <w:pPr>
              <w:pStyle w:val="Compact"/>
              <w:jc w:val="left"/>
            </w:pPr>
            <w:r>
              <w:t xml:space="preserve">Evidence: ecosystem-function indicators; species-population trends; habitat-condition assessments; Gate classes: Tail Risk; Containment / Structural Viability; Ordinary welfare. Uncertainty: Standard assessment. Interpretation: Tail-relevant where collapse or extinction is plausible and irreversible; containment-relevant as ecosystems underpin wider scopes.</w:t>
            </w:r>
          </w:p>
        </w:tc>
        <w:tc>
          <w:tcPr>
            <w:tcMar>
              <w:top w:w="80" w:type="dxa"/>
              <w:start w:w="90" w:type="dxa"/>
              <w:bottom w:w="80" w:type="dxa"/>
              <w:end w:w="90" w:type="dxa"/>
            </w:tcMar>
            <w:shd w:fill="D9EAF7" w:val="clear"/>
          </w:tcPr>
          <w:p>
            <w:pPr>
              <w:pStyle w:val="Compact"/>
              <w:jc w:val="left"/>
            </w:pPr>
            <w:r>
              <w:t xml:space="preserve">Example: A fisheries policy that lets a collapsing stock recover improves U7/D2.; Reviewer check: A reviewer checks whether ecosystem-function evidence exists or only a single charismatic indicator.</w:t>
            </w:r>
          </w:p>
        </w:tc>
      </w:tr>
      <w:tr>
        <w:trPr/>
        <w:tc>
          <w:tcPr>
            <w:tcMar>
              <w:top w:w="80" w:type="dxa"/>
              <w:start w:w="90" w:type="dxa"/>
              <w:bottom w:w="80" w:type="dxa"/>
              <w:end w:w="90" w:type="dxa"/>
            </w:tcMar>
            <w:shd w:fill="F7FBFF" w:val="clear"/>
          </w:tcPr>
          <w:p>
            <w:pPr>
              <w:pStyle w:val="Compact"/>
              <w:jc w:val="left"/>
            </w:pPr>
            <w:r>
              <w:rPr>
                <w:b/>
                <w:bCs/>
              </w:rPr>
              <w:t xml:space="preserve">U7/D3</w:t>
            </w:r>
            <w:r>
              <w:t xml:space="preserve"> </w:t>
            </w:r>
            <w:r>
              <w:t xml:space="preserve">- Biotic Relations (label: biotic relations)</w:t>
            </w:r>
          </w:p>
        </w:tc>
        <w:tc>
          <w:tcPr>
            <w:tcMar>
              <w:top w:w="80" w:type="dxa"/>
              <w:start w:w="90" w:type="dxa"/>
              <w:bottom w:w="80" w:type="dxa"/>
              <w:end w:w="90" w:type="dxa"/>
            </w:tcMar>
            <w:shd w:fill="F7FBFF" w:val="clear"/>
          </w:tcPr>
          <w:p>
            <w:pPr>
              <w:pStyle w:val="Compact"/>
              <w:jc w:val="left"/>
            </w:pPr>
            <w:r>
              <w:t xml:space="preserve">Evidence: trophic / food-web indicators; interaction-network data; human-impact assessments; Gate classes: Tail Risk; Containment / Structural Viability; Ordinary welfare. Uncertainty: Standard assessment. Interpretation: Containment-relevant: a local win that severs ecological relationships can fail containment even with strong U4/D1 gains; tail-relevant where cascades are plausible.</w:t>
            </w:r>
          </w:p>
        </w:tc>
        <w:tc>
          <w:tcPr>
            <w:tcMar>
              <w:top w:w="80" w:type="dxa"/>
              <w:start w:w="90" w:type="dxa"/>
              <w:bottom w:w="80" w:type="dxa"/>
              <w:end w:w="90" w:type="dxa"/>
            </w:tcMar>
            <w:shd w:fill="F7FBFF" w:val="clear"/>
          </w:tcPr>
          <w:p>
            <w:pPr>
              <w:pStyle w:val="Compact"/>
              <w:jc w:val="left"/>
            </w:pPr>
            <w:r>
              <w:t xml:space="preserve">Example: A factory expansion that damages a watershed may fail containment via U7/D3 even while improving U4/D1.; Reviewer check: A reviewer asks whether relational/cascade effects were modelled or ignored as ‘no direct effect’.</w:t>
            </w:r>
          </w:p>
        </w:tc>
      </w:tr>
      <w:tr>
        <w:trPr/>
        <w:tc>
          <w:tcPr>
            <w:tcMar>
              <w:top w:w="80" w:type="dxa"/>
              <w:start w:w="90" w:type="dxa"/>
              <w:bottom w:w="80" w:type="dxa"/>
              <w:end w:w="90" w:type="dxa"/>
            </w:tcMar>
            <w:shd w:fill="D9EAF7" w:val="clear"/>
          </w:tcPr>
          <w:p>
            <w:pPr>
              <w:pStyle w:val="Compact"/>
              <w:jc w:val="left"/>
            </w:pPr>
            <w:r>
              <w:rPr>
                <w:b/>
                <w:bCs/>
              </w:rPr>
              <w:t xml:space="preserve">U7/D4</w:t>
            </w:r>
            <w:r>
              <w:t xml:space="preserve"> </w:t>
            </w:r>
            <w:r>
              <w:t xml:space="preserve">- Ecological Knowledge (label: ecological knowledge)</w:t>
            </w:r>
          </w:p>
        </w:tc>
        <w:tc>
          <w:tcPr>
            <w:tcMar>
              <w:top w:w="80" w:type="dxa"/>
              <w:start w:w="90" w:type="dxa"/>
              <w:bottom w:w="80" w:type="dxa"/>
              <w:end w:w="90" w:type="dxa"/>
            </w:tcMar>
            <w:shd w:fill="D9EAF7" w:val="clear"/>
          </w:tcPr>
          <w:p>
            <w:pPr>
              <w:pStyle w:val="Compact"/>
              <w:jc w:val="left"/>
            </w:pPr>
            <w:r>
              <w:t xml:space="preserve">Evidence: monitoring-coverage data; baseline-completeness; early-warning-system status; Gate classes: Containment / Structural Viability; Ordinary welfare. Uncertainty: Explicitly elevated. Interpretation: Containment-relevant: poor ecological knowledge undermines the ability to detect tipping points. Often the cell most affected by the 0-vs-unknown distinction.</w:t>
            </w:r>
          </w:p>
        </w:tc>
        <w:tc>
          <w:tcPr>
            <w:tcMar>
              <w:top w:w="80" w:type="dxa"/>
              <w:start w:w="90" w:type="dxa"/>
              <w:bottom w:w="80" w:type="dxa"/>
              <w:end w:w="90" w:type="dxa"/>
            </w:tcMar>
            <w:shd w:fill="D9EAF7" w:val="clear"/>
          </w:tcPr>
          <w:p>
            <w:pPr>
              <w:pStyle w:val="Compact"/>
              <w:jc w:val="left"/>
            </w:pPr>
            <w:r>
              <w:t xml:space="preserve">Example: An expanded biodiversity-monitoring network that fills baseline gaps improves U7/D4.; Reviewer check: A reviewer checks that absent ecological data is marked unknown, not scored as 0 (‘no effect’).</w:t>
            </w:r>
          </w:p>
        </w:tc>
      </w:tr>
      <w:tr>
        <w:trPr/>
        <w:tc>
          <w:tcPr>
            <w:tcMar>
              <w:top w:w="80" w:type="dxa"/>
              <w:start w:w="90" w:type="dxa"/>
              <w:bottom w:w="80" w:type="dxa"/>
              <w:end w:w="90" w:type="dxa"/>
            </w:tcMar>
            <w:shd w:fill="F7FBFF" w:val="clear"/>
          </w:tcPr>
          <w:p>
            <w:pPr>
              <w:pStyle w:val="Compact"/>
              <w:jc w:val="left"/>
            </w:pPr>
            <w:r>
              <w:rPr>
                <w:b/>
                <w:bCs/>
              </w:rPr>
              <w:t xml:space="preserve">U7/D5</w:t>
            </w:r>
            <w:r>
              <w:t xml:space="preserve"> </w:t>
            </w:r>
            <w:r>
              <w:t xml:space="preserve">- Resilience Capacity (label: resilience capacity)</w:t>
            </w:r>
          </w:p>
        </w:tc>
        <w:tc>
          <w:tcPr>
            <w:tcMar>
              <w:top w:w="80" w:type="dxa"/>
              <w:start w:w="90" w:type="dxa"/>
              <w:bottom w:w="80" w:type="dxa"/>
              <w:end w:w="90" w:type="dxa"/>
            </w:tcMar>
            <w:shd w:fill="F7FBFF" w:val="clear"/>
          </w:tcPr>
          <w:p>
            <w:pPr>
              <w:pStyle w:val="Compact"/>
              <w:jc w:val="left"/>
            </w:pPr>
            <w:r>
              <w:t xml:space="preserve">Evidence: resilience / redundancy indicators; recovery-rate data; threshold-proximity assessments; Gate classes: Tail Risk; Containment / Structural Viability; Ordinary welfare. Uncertainty: Standard assessment. Interpretation: Tail-relevant where loss of resilience brings irreversible regime shifts; containment-relevant as resilience buffers all scopes.</w:t>
            </w:r>
          </w:p>
        </w:tc>
        <w:tc>
          <w:tcPr>
            <w:tcMar>
              <w:top w:w="80" w:type="dxa"/>
              <w:start w:w="90" w:type="dxa"/>
              <w:bottom w:w="80" w:type="dxa"/>
              <w:end w:w="90" w:type="dxa"/>
            </w:tcMar>
            <w:shd w:fill="F7FBFF" w:val="clear"/>
          </w:tcPr>
          <w:p>
            <w:pPr>
              <w:pStyle w:val="Compact"/>
              <w:jc w:val="left"/>
            </w:pPr>
            <w:r>
              <w:t xml:space="preserve">Example: Restoring wetland buffers that absorb flood shocks improves U7/D5.; Reviewer check: A reviewer asks whether proximity to thresholds was assessed, not just current condition.</w:t>
            </w:r>
          </w:p>
        </w:tc>
      </w:tr>
      <w:tr>
        <w:trPr/>
        <w:tc>
          <w:tcPr>
            <w:tcMar>
              <w:top w:w="80" w:type="dxa"/>
              <w:start w:w="90" w:type="dxa"/>
              <w:bottom w:w="80" w:type="dxa"/>
              <w:end w:w="90" w:type="dxa"/>
            </w:tcMar>
            <w:shd w:fill="D9EAF7" w:val="clear"/>
          </w:tcPr>
          <w:p>
            <w:pPr>
              <w:pStyle w:val="Compact"/>
              <w:jc w:val="left"/>
            </w:pPr>
            <w:r>
              <w:rPr>
                <w:b/>
                <w:bCs/>
              </w:rPr>
              <w:t xml:space="preserve">U7/D6</w:t>
            </w:r>
            <w:r>
              <w:t xml:space="preserve"> </w:t>
            </w:r>
            <w:r>
              <w:t xml:space="preserve">- Life Continuity (label: life continuity)</w:t>
            </w:r>
          </w:p>
        </w:tc>
        <w:tc>
          <w:tcPr>
            <w:tcMar>
              <w:top w:w="80" w:type="dxa"/>
              <w:start w:w="90" w:type="dxa"/>
              <w:bottom w:w="80" w:type="dxa"/>
              <w:end w:w="90" w:type="dxa"/>
            </w:tcMar>
            <w:shd w:fill="D9EAF7" w:val="clear"/>
          </w:tcPr>
          <w:p>
            <w:pPr>
              <w:pStyle w:val="Compact"/>
              <w:jc w:val="left"/>
            </w:pPr>
            <w:r>
              <w:t xml:space="preserve">Evidence: extinction-risk (e.g. red-list) data; biodiversity-trend indices; irreversibility assessments; Gate classes: Tail Risk; Containment / Structural Viability; Ordinary welfare. Uncertainty: Standard assessment. Interpretation: Strongly tail-relevant: extinction is the paradigm of irreversible, non-averagable harm under TRC; containment-relevant.</w:t>
            </w:r>
          </w:p>
        </w:tc>
        <w:tc>
          <w:tcPr>
            <w:tcMar>
              <w:top w:w="80" w:type="dxa"/>
              <w:start w:w="90" w:type="dxa"/>
              <w:bottom w:w="80" w:type="dxa"/>
              <w:end w:w="90" w:type="dxa"/>
            </w:tcMar>
            <w:shd w:fill="D9EAF7" w:val="clear"/>
          </w:tcPr>
          <w:p>
            <w:pPr>
              <w:pStyle w:val="Compact"/>
              <w:jc w:val="left"/>
            </w:pPr>
            <w:r>
              <w:t xml:space="preserve">Example: A habitat-corridor program that prevents a species’ extinction improves U7/D6.; Reviewer check: A reviewer checks whether irreversibility was treated as a tail constraint, not a discountable cost.</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rPr>
                <w:b/>
                <w:bCs/>
              </w:rPr>
              <w:t xml:space="preserve">U7/D7</w:t>
            </w:r>
            <w:r>
              <w:t xml:space="preserve"> </w:t>
            </w:r>
            <w:r>
              <w:t xml:space="preserve">- Ecological Integrity (label: ecological integrity)</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Evidence: biodiversity indices; habitat-area data; water/soil quality; ecosystem-resilience measures; ecological monitoring; Gate classes: Rights Floor; Tail Risk; Containment / Structural Viability; Ordinary welfare. Uncertainty: Standard assessment. Interpretation: Often containment-relevant and sometimes catastrophe-relevant; may relate to ecological-integrity rights where recognised (e.g. rights of nature).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Example: A factory expansion that damages a watershed may fail containment even when it improves U4/D1.; Reviewer check: A reviewer checks whether integrity is evidenced by ecosystem-level data or inferred from a single metric.</w:t>
            </w:r>
          </w:p>
        </w:tc>
      </w:tr>
    </w:tbl>
    <w:bookmarkEnd w:id="659"/>
    <w:bookmarkEnd w:id="660"/>
    <w:bookmarkEnd w:id="661"/>
    <w:bookmarkStart w:id="668" w:name="Xeb1de008b0ed78df06b8114fd5f524edf157146"/>
    <w:p>
      <w:pPr>
        <w:pStyle w:val="Heading1"/>
        <w:keepNext/>
        <w:keepLines/>
        <w:pageBreakBefore w:val="0"/>
        <w:widowControl/>
      </w:pPr>
      <w:r>
        <w:rPr>
          <w:rFonts w:ascii="Arial" w:hAnsi="Arial" w:eastAsia="Arial"/>
          <w:b/>
          <w:color w:val="1F4E78"/>
        </w:rPr>
        <w:t xml:space="preserve">APPENDIX AE: Carried-Forward v10.8 Layer-Discipline, Falsification, and Adaptive Reserve Addendum (Preserved through v12.5)</w:t>
      </w:r>
    </w:p>
    <w:p>
      <w:pPr>
        <w:pStyle w:val="FirstParagraph"/>
        <w:widowControl/>
      </w:pPr>
      <w:r>
        <w:t xml:space="preserve">Truth-surface discipline. Formal truth means that outputs follow from declared inputs and equations. Artifact truth means hashes identify the released artifacts. Implementation truth means validators reproduce expected gates, scores, and flags. Evidence truth means traces support or fail to support material claims. Empirical truth requires pilots, backtests, or real-world monitoring. Normative defensibility requires declared rights floors and ethical commitments that can be challenged, justified, and held. Governance legitimacy requires lawful authority, participation, review, contestability, and audit boundaries. These claim types support one another but MUST NOT be collapsed into one undifferentiated claim of truth.</w:t>
      </w:r>
    </w:p>
    <w:bookmarkStart w:id="662" w:name="ae1-purpose-and-release-boundary"/>
    <w:p>
      <w:pPr>
        <w:pStyle w:val="Heading2"/>
        <w:keepNext/>
        <w:keepLines/>
        <w:pageBreakBefore w:val="0"/>
        <w:widowControl/>
      </w:pPr>
      <w:r>
        <w:rPr>
          <w:rFonts w:ascii="Arial" w:hAnsi="Arial" w:eastAsia="Arial"/>
          <w:b/>
          <w:color w:val="1F4E78"/>
        </w:rPr>
        <w:t xml:space="preserve">AE.1 Purpose and release boundary</w:t>
      </w:r>
    </w:p>
    <w:p>
      <w:pPr>
        <w:pStyle w:val="FirstParagraph"/>
        <w:widowControl/>
      </w:pPr>
      <w:r>
        <w:t xml:space="preserve">This v10.8 addendum hardens the Canon’s category-collapse discipline without importing or depending on any external physics, ontology, or proprietary framework. It translates a general lesson from recent comparative review into MathGov-native audit rules: a value that can be written, computed, projected, or preferred is not automatically admissible, evidenced, authorized, or claimable.</w:t>
      </w:r>
    </w:p>
    <w:p>
      <w:pPr>
        <w:pStyle w:val="BodyText"/>
        <w:widowControl/>
      </w:pPr>
      <w:r>
        <w:t xml:space="preserve">Normative effect. The canonical cascade remains Reality Grounding → Rights Floor → TRC → CSV → RLS. Reality Grounding is added as the public claim-authority level, not as a compensatory scoring gate. Rights floors, TRC/CVaR, Containment, PLSS residual-only discipline, SGP boundaries, and Tier 4 ProofPack restrictions remain unchanged.</w:t>
      </w:r>
    </w:p>
    <w:bookmarkEnd w:id="662"/>
    <w:bookmarkStart w:id="663" w:name="X6e0e80b09bb4c1c5979ac997ed512c06635e54a"/>
    <w:p>
      <w:pPr>
        <w:pStyle w:val="Heading2"/>
        <w:keepNext/>
        <w:keepLines/>
        <w:pageBreakBefore w:val="0"/>
        <w:widowControl/>
      </w:pPr>
      <w:r>
        <w:rPr>
          <w:rFonts w:ascii="Arial" w:hAnsi="Arial" w:eastAsia="Arial"/>
          <w:b/>
          <w:color w:val="1F4E78"/>
        </w:rPr>
        <w:t xml:space="preserve">AE.2 COMPUTABLE_BUT_INADMISSIBLE audit state</w:t>
      </w:r>
    </w:p>
    <w:p>
      <w:pPr>
        <w:pStyle w:val="FirstParagraph"/>
        <w:widowControl/>
      </w:pPr>
      <w:r>
        <w:t xml:space="preserve">Definition. COMPUTABLE_BUT_INADMISSIBLE is an audit state for cases where arithmetic, a formula, a model, or a workflow returns a value, but the declared domain rules prohibit treating that value as a valid decision state, conformance claim, or authorization basis.</w:t>
      </w:r>
    </w:p>
    <w:p>
      <w:pPr>
        <w:pStyle w:val="BodyText"/>
        <w:widowControl/>
      </w:pPr>
      <w:r>
        <w:t xml:space="preserve">Use cases include: a welfare score for an option that failed NCRC; an RLS ranking after TRC or CSV failure; a PLSS result used as if it could narrow admissibility; an SGP protection surface used beyond its evidence tier; a zero entered where the true state is unknown; or a reference vector that computes while violating declared closure boundaries.</w:t>
      </w:r>
    </w:p>
    <w:p>
      <w:pPr>
        <w:pStyle w:val="BodyText"/>
        <w:widowControl/>
      </w:pPr>
      <w:r>
        <w:t xml:space="preserve">Decision effect. A COMPUTABLE_BUT_INADMISSIBLE result may be logged, studied, and used for debugging. It MUST NOT authorize selection, deployment, conformance claims, or stronger maturity claims. The PCC MUST record why computation existed and why admissibility did not follow.</w:t>
      </w:r>
    </w:p>
    <w:p>
      <w:pPr>
        <w:pStyle w:val="BodyText"/>
        <w:widowControl/>
      </w:pPr>
      <w:r>
        <w:t xml:space="preserve">Alias note. SGP_COMPUTABLE_BUT_INADMISSIBLE and the ripple.md ComputableButInadmissible field are domain-scoped aliases of this state for SGP-specific and wrapper-specific records.</w:t>
      </w:r>
    </w:p>
    <w:bookmarkEnd w:id="663"/>
    <w:bookmarkStart w:id="664" w:name="ae3-layer-specific-falsification-matrix"/>
    <w:p>
      <w:pPr>
        <w:pStyle w:val="Heading2"/>
        <w:keepNext/>
        <w:keepLines/>
        <w:pageBreakBefore w:val="0"/>
        <w:widowControl/>
      </w:pPr>
      <w:r>
        <w:rPr>
          <w:rFonts w:ascii="Arial" w:hAnsi="Arial" w:eastAsia="Arial"/>
          <w:b/>
          <w:color w:val="1F4E78"/>
        </w:rPr>
        <w:t xml:space="preserve">AE.3 Layer-specific falsification matrix</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Layer</w:t>
            </w:r>
          </w:p>
        </w:tc>
        <w:tc>
          <w:tcPr>
            <w:shd w:fill="1F4E78" w:val="clear"/>
            <w:tcMar>
              <w:top w:w="80" w:type="dxa"/>
              <w:start w:w="90" w:type="dxa"/>
              <w:bottom w:w="80" w:type="dxa"/>
              <w:end w:w="90" w:type="dxa"/>
            </w:tcMar>
          </w:tcPr>
          <w:p>
            <w:pPr>
              <w:pStyle w:val="Compact"/>
              <w:jc w:val="left"/>
            </w:pPr>
            <w:r>
              <w:rPr>
                <w:b/>
                <w:bCs/>
                <w:color w:val="FFFFFF"/>
              </w:rPr>
              <w:t xml:space="preserve">Layer-specific falsifier</w:t>
            </w:r>
          </w:p>
        </w:tc>
        <w:tc>
          <w:tcPr>
            <w:shd w:fill="1F4E78" w:val="clear"/>
            <w:tcMar>
              <w:top w:w="80" w:type="dxa"/>
              <w:start w:w="90" w:type="dxa"/>
              <w:bottom w:w="80" w:type="dxa"/>
              <w:end w:w="90" w:type="dxa"/>
            </w:tcMar>
          </w:tcPr>
          <w:p>
            <w:pPr>
              <w:pStyle w:val="Compact"/>
              <w:jc w:val="left"/>
            </w:pPr>
            <w:r>
              <w:rPr>
                <w:b/>
                <w:bCs/>
                <w:color w:val="FFFFFF"/>
              </w:rPr>
              <w:t xml:space="preserve">Does not by itself falsify</w:t>
            </w:r>
          </w:p>
        </w:tc>
        <w:tc>
          <w:tcPr>
            <w:shd w:fill="1F4E78" w:val="clear"/>
            <w:tcMar>
              <w:top w:w="80" w:type="dxa"/>
              <w:start w:w="90" w:type="dxa"/>
              <w:bottom w:w="80" w:type="dxa"/>
              <w:end w:w="90" w:type="dxa"/>
            </w:tcMar>
          </w:tcPr>
          <w:p>
            <w:pPr>
              <w:pStyle w:val="Compact"/>
              <w:jc w:val="left"/>
            </w:pPr>
            <w:r>
              <w:rPr>
                <w:b/>
                <w:bCs/>
                <w:color w:val="FFFFFF"/>
              </w:rPr>
              <w:t xml:space="preserve">Required response</w:t>
            </w:r>
          </w:p>
        </w:tc>
      </w:tr>
      <w:tr>
        <w:trPr/>
        <w:tc>
          <w:tcPr>
            <w:tcMar>
              <w:top w:w="80" w:type="dxa"/>
              <w:start w:w="90" w:type="dxa"/>
              <w:bottom w:w="80" w:type="dxa"/>
              <w:end w:w="90" w:type="dxa"/>
            </w:tcMar>
            <w:shd w:fill="F7FBFF" w:val="clear"/>
          </w:tcPr>
          <w:p>
            <w:pPr>
              <w:pStyle w:val="Compact"/>
              <w:jc w:val="left"/>
            </w:pPr>
            <w:r>
              <w:t xml:space="preserve">NCRC</w:t>
            </w:r>
          </w:p>
        </w:tc>
        <w:tc>
          <w:tcPr>
            <w:tcMar>
              <w:top w:w="80" w:type="dxa"/>
              <w:start w:w="90" w:type="dxa"/>
              <w:bottom w:w="80" w:type="dxa"/>
              <w:end w:w="90" w:type="dxa"/>
            </w:tcMar>
            <w:shd w:fill="F7FBFF" w:val="clear"/>
          </w:tcPr>
          <w:p>
            <w:pPr>
              <w:pStyle w:val="Compact"/>
              <w:jc w:val="left"/>
            </w:pPr>
            <w:r>
              <w:t xml:space="preserve">Rights-floor breach, unresolved rights uncertainty, or missing rights evidence for a rights-relevant case.</w:t>
            </w:r>
          </w:p>
        </w:tc>
        <w:tc>
          <w:tcPr>
            <w:tcMar>
              <w:top w:w="80" w:type="dxa"/>
              <w:start w:w="90" w:type="dxa"/>
              <w:bottom w:w="80" w:type="dxa"/>
              <w:end w:w="90" w:type="dxa"/>
            </w:tcMar>
            <w:shd w:fill="F7FBFF" w:val="clear"/>
          </w:tcPr>
          <w:p>
            <w:pPr>
              <w:pStyle w:val="Compact"/>
              <w:jc w:val="left"/>
            </w:pPr>
            <w:r>
              <w:t xml:space="preserve">RLS arithmetic or UCI/HOI diagnostics.</w:t>
            </w:r>
          </w:p>
        </w:tc>
        <w:tc>
          <w:tcPr>
            <w:tcMar>
              <w:top w:w="80" w:type="dxa"/>
              <w:start w:w="90" w:type="dxa"/>
              <w:bottom w:w="80" w:type="dxa"/>
              <w:end w:w="90" w:type="dxa"/>
            </w:tcMar>
            <w:shd w:fill="F7FBFF" w:val="clear"/>
          </w:tcPr>
          <w:p>
            <w:pPr>
              <w:pStyle w:val="Compact"/>
              <w:jc w:val="left"/>
            </w:pPr>
            <w:r>
              <w:t xml:space="preserve">Reject, refuse, or escalate under rights uncertainty.</w:t>
            </w:r>
          </w:p>
        </w:tc>
      </w:tr>
      <w:tr>
        <w:trPr/>
        <w:tc>
          <w:tcPr>
            <w:tcMar>
              <w:top w:w="80" w:type="dxa"/>
              <w:start w:w="90" w:type="dxa"/>
              <w:bottom w:w="80" w:type="dxa"/>
              <w:end w:w="90" w:type="dxa"/>
            </w:tcMar>
            <w:shd w:fill="D9EAF7" w:val="clear"/>
          </w:tcPr>
          <w:p>
            <w:pPr>
              <w:pStyle w:val="Compact"/>
              <w:jc w:val="left"/>
            </w:pPr>
            <w:r>
              <w:t xml:space="preserve">TRC</w:t>
            </w:r>
          </w:p>
        </w:tc>
        <w:tc>
          <w:tcPr>
            <w:tcMar>
              <w:top w:w="80" w:type="dxa"/>
              <w:start w:w="90" w:type="dxa"/>
              <w:bottom w:w="80" w:type="dxa"/>
              <w:end w:w="90" w:type="dxa"/>
            </w:tcMar>
            <w:shd w:fill="D9EAF7" w:val="clear"/>
          </w:tcPr>
          <w:p>
            <w:pPr>
              <w:pStyle w:val="Compact"/>
              <w:jc w:val="left"/>
            </w:pPr>
            <w:r>
              <w:t xml:space="preserve">Tail-risk/CVaR exceeds governed threshold or catastrophe scenario evidence is insufficient.</w:t>
            </w:r>
          </w:p>
        </w:tc>
        <w:tc>
          <w:tcPr>
            <w:tcMar>
              <w:top w:w="80" w:type="dxa"/>
              <w:start w:w="90" w:type="dxa"/>
              <w:bottom w:w="80" w:type="dxa"/>
              <w:end w:w="90" w:type="dxa"/>
            </w:tcMar>
            <w:shd w:fill="D9EAF7" w:val="clear"/>
          </w:tcPr>
          <w:p>
            <w:pPr>
              <w:pStyle w:val="Compact"/>
              <w:jc w:val="left"/>
            </w:pPr>
            <w:r>
              <w:t xml:space="preserve">NCRC analysis already performed.</w:t>
            </w:r>
          </w:p>
        </w:tc>
        <w:tc>
          <w:tcPr>
            <w:tcMar>
              <w:top w:w="80" w:type="dxa"/>
              <w:start w:w="90" w:type="dxa"/>
              <w:bottom w:w="80" w:type="dxa"/>
              <w:end w:w="90" w:type="dxa"/>
            </w:tcMar>
            <w:shd w:fill="D9EAF7" w:val="clear"/>
          </w:tcPr>
          <w:p>
            <w:pPr>
              <w:pStyle w:val="Compact"/>
              <w:jc w:val="left"/>
            </w:pPr>
            <w:r>
              <w:t xml:space="preserve">Reject or escalate; do not compensate with welfare score.</w:t>
            </w:r>
          </w:p>
        </w:tc>
      </w:tr>
      <w:tr>
        <w:trPr/>
        <w:tc>
          <w:tcPr>
            <w:tcMar>
              <w:top w:w="80" w:type="dxa"/>
              <w:start w:w="90" w:type="dxa"/>
              <w:bottom w:w="80" w:type="dxa"/>
              <w:end w:w="90" w:type="dxa"/>
            </w:tcMar>
            <w:shd w:fill="F7FBFF" w:val="clear"/>
          </w:tcPr>
          <w:p>
            <w:pPr>
              <w:pStyle w:val="Compact"/>
              <w:jc w:val="left"/>
            </w:pPr>
            <w:r>
              <w:t xml:space="preserve">Containment</w:t>
            </w:r>
          </w:p>
        </w:tc>
        <w:tc>
          <w:tcPr>
            <w:tcMar>
              <w:top w:w="80" w:type="dxa"/>
              <w:start w:w="90" w:type="dxa"/>
              <w:bottom w:w="80" w:type="dxa"/>
              <w:end w:w="90" w:type="dxa"/>
            </w:tcMar>
            <w:shd w:fill="F7FBFF" w:val="clear"/>
          </w:tcPr>
          <w:p>
            <w:pPr>
              <w:pStyle w:val="Compact"/>
              <w:jc w:val="left"/>
            </w:pPr>
            <w:r>
              <w:t xml:space="preserve">Local gain degrades containing systems beyond declared tolerance or hides cross-scale degradation.</w:t>
            </w:r>
          </w:p>
        </w:tc>
        <w:tc>
          <w:tcPr>
            <w:tcMar>
              <w:top w:w="80" w:type="dxa"/>
              <w:start w:w="90" w:type="dxa"/>
              <w:bottom w:w="80" w:type="dxa"/>
              <w:end w:w="90" w:type="dxa"/>
            </w:tcMar>
            <w:shd w:fill="F7FBFF" w:val="clear"/>
          </w:tcPr>
          <w:p>
            <w:pPr>
              <w:pStyle w:val="Compact"/>
              <w:jc w:val="left"/>
            </w:pPr>
            <w:r>
              <w:t xml:space="preserve">Rights or tail-risk verdicts.</w:t>
            </w:r>
          </w:p>
        </w:tc>
        <w:tc>
          <w:tcPr>
            <w:tcMar>
              <w:top w:w="80" w:type="dxa"/>
              <w:start w:w="90" w:type="dxa"/>
              <w:bottom w:w="80" w:type="dxa"/>
              <w:end w:w="90" w:type="dxa"/>
            </w:tcMar>
            <w:shd w:fill="F7FBFF" w:val="clear"/>
          </w:tcPr>
          <w:p>
            <w:pPr>
              <w:pStyle w:val="Compact"/>
              <w:jc w:val="left"/>
            </w:pPr>
            <w:r>
              <w:t xml:space="preserve">Reject as selectable; record containment rationale.</w:t>
            </w:r>
          </w:p>
        </w:tc>
      </w:tr>
      <w:tr>
        <w:trPr/>
        <w:tc>
          <w:tcPr>
            <w:tcMar>
              <w:top w:w="80" w:type="dxa"/>
              <w:start w:w="90" w:type="dxa"/>
              <w:bottom w:w="80" w:type="dxa"/>
              <w:end w:w="90" w:type="dxa"/>
            </w:tcMar>
            <w:shd w:fill="D9EAF7" w:val="clear"/>
          </w:tcPr>
          <w:p>
            <w:pPr>
              <w:pStyle w:val="Compact"/>
              <w:jc w:val="left"/>
            </w:pPr>
            <w:r>
              <w:t xml:space="preserve">RLS</w:t>
            </w:r>
          </w:p>
        </w:tc>
        <w:tc>
          <w:tcPr>
            <w:tcMar>
              <w:top w:w="80" w:type="dxa"/>
              <w:start w:w="90" w:type="dxa"/>
              <w:bottom w:w="80" w:type="dxa"/>
              <w:end w:w="90" w:type="dxa"/>
            </w:tcMar>
            <w:shd w:fill="D9EAF7" w:val="clear"/>
          </w:tcPr>
          <w:p>
            <w:pPr>
              <w:pStyle w:val="Compact"/>
              <w:jc w:val="left"/>
            </w:pPr>
            <w:r>
              <w:t xml:space="preserve">Wrong welfare cells, weights, evidence grade, aggregation, or sensitivity posture.</w:t>
            </w:r>
          </w:p>
        </w:tc>
        <w:tc>
          <w:tcPr>
            <w:tcMar>
              <w:top w:w="80" w:type="dxa"/>
              <w:start w:w="90" w:type="dxa"/>
              <w:bottom w:w="80" w:type="dxa"/>
              <w:end w:w="90" w:type="dxa"/>
            </w:tcMar>
            <w:shd w:fill="D9EAF7" w:val="clear"/>
          </w:tcPr>
          <w:p>
            <w:pPr>
              <w:pStyle w:val="Compact"/>
              <w:jc w:val="left"/>
            </w:pPr>
            <w:r>
              <w:t xml:space="preserve">Admissibility gate outcomes.</w:t>
            </w:r>
          </w:p>
        </w:tc>
        <w:tc>
          <w:tcPr>
            <w:tcMar>
              <w:top w:w="80" w:type="dxa"/>
              <w:start w:w="90" w:type="dxa"/>
              <w:bottom w:w="80" w:type="dxa"/>
              <w:end w:w="90" w:type="dxa"/>
            </w:tcMar>
            <w:shd w:fill="D9EAF7" w:val="clear"/>
          </w:tcPr>
          <w:p>
            <w:pPr>
              <w:pStyle w:val="Compact"/>
              <w:jc w:val="left"/>
            </w:pPr>
            <w:r>
              <w:t xml:space="preserve">Recompute or mark non-decisive; do not reopen failed gates.</w:t>
            </w:r>
          </w:p>
        </w:tc>
      </w:tr>
      <w:tr>
        <w:trPr/>
        <w:tc>
          <w:tcPr>
            <w:tcMar>
              <w:top w:w="80" w:type="dxa"/>
              <w:start w:w="90" w:type="dxa"/>
              <w:bottom w:w="80" w:type="dxa"/>
              <w:end w:w="90" w:type="dxa"/>
            </w:tcMar>
            <w:shd w:fill="F7FBFF" w:val="clear"/>
          </w:tcPr>
          <w:p>
            <w:pPr>
              <w:pStyle w:val="Compact"/>
              <w:jc w:val="left"/>
            </w:pPr>
            <w:r>
              <w:t xml:space="preserve">UCI/HOI</w:t>
            </w:r>
          </w:p>
        </w:tc>
        <w:tc>
          <w:tcPr>
            <w:tcMar>
              <w:top w:w="80" w:type="dxa"/>
              <w:start w:w="90" w:type="dxa"/>
              <w:bottom w:w="80" w:type="dxa"/>
              <w:end w:w="90" w:type="dxa"/>
            </w:tcMar>
            <w:shd w:fill="F7FBFF" w:val="clear"/>
          </w:tcPr>
          <w:p>
            <w:pPr>
              <w:pStyle w:val="Compact"/>
              <w:jc w:val="left"/>
            </w:pPr>
            <w:r>
              <w:t xml:space="preserve">Structural metric evidence, normalization, or tie-break application is defective.</w:t>
            </w:r>
          </w:p>
        </w:tc>
        <w:tc>
          <w:tcPr>
            <w:tcMar>
              <w:top w:w="80" w:type="dxa"/>
              <w:start w:w="90" w:type="dxa"/>
              <w:bottom w:w="80" w:type="dxa"/>
              <w:end w:w="90" w:type="dxa"/>
            </w:tcMar>
            <w:shd w:fill="F7FBFF" w:val="clear"/>
          </w:tcPr>
          <w:p>
            <w:pPr>
              <w:pStyle w:val="Compact"/>
              <w:jc w:val="left"/>
            </w:pPr>
            <w:r>
              <w:t xml:space="preserve">NCRC/TRC/CSV/RLS by itself.</w:t>
            </w:r>
          </w:p>
        </w:tc>
        <w:tc>
          <w:tcPr>
            <w:tcMar>
              <w:top w:w="80" w:type="dxa"/>
              <w:start w:w="90" w:type="dxa"/>
              <w:bottom w:w="80" w:type="dxa"/>
              <w:end w:w="90" w:type="dxa"/>
            </w:tcMar>
            <w:shd w:fill="F7FBFF" w:val="clear"/>
          </w:tcPr>
          <w:p>
            <w:pPr>
              <w:pStyle w:val="Compact"/>
              <w:jc w:val="left"/>
            </w:pPr>
            <w:r>
              <w:t xml:space="preserve">Recompute diagnostic or remove tie-break claim.</w:t>
            </w:r>
          </w:p>
        </w:tc>
      </w:tr>
      <w:tr>
        <w:trPr/>
        <w:tc>
          <w:tcPr>
            <w:tcMar>
              <w:top w:w="80" w:type="dxa"/>
              <w:start w:w="90" w:type="dxa"/>
              <w:bottom w:w="80" w:type="dxa"/>
              <w:end w:w="90" w:type="dxa"/>
            </w:tcMar>
            <w:shd w:fill="D9EAF7" w:val="clear"/>
          </w:tcPr>
          <w:p>
            <w:pPr>
              <w:pStyle w:val="Compact"/>
              <w:jc w:val="left"/>
            </w:pPr>
            <w:r>
              <w:t xml:space="preserve">PCC / audit</w:t>
            </w:r>
          </w:p>
        </w:tc>
        <w:tc>
          <w:tcPr>
            <w:tcMar>
              <w:top w:w="80" w:type="dxa"/>
              <w:start w:w="90" w:type="dxa"/>
              <w:bottom w:w="80" w:type="dxa"/>
              <w:end w:w="90" w:type="dxa"/>
            </w:tcMar>
            <w:shd w:fill="D9EAF7" w:val="clear"/>
          </w:tcPr>
          <w:p>
            <w:pPr>
              <w:pStyle w:val="Compact"/>
              <w:jc w:val="left"/>
            </w:pPr>
            <w:r>
              <w:t xml:space="preserve">Missing provenance, closure, evidence, reviewer trace, or claim-boundary record.</w:t>
            </w:r>
          </w:p>
        </w:tc>
        <w:tc>
          <w:tcPr>
            <w:tcMar>
              <w:top w:w="80" w:type="dxa"/>
              <w:start w:w="90" w:type="dxa"/>
              <w:bottom w:w="80" w:type="dxa"/>
              <w:end w:w="90" w:type="dxa"/>
            </w:tcMar>
            <w:shd w:fill="D9EAF7" w:val="clear"/>
          </w:tcPr>
          <w:p>
            <w:pPr>
              <w:pStyle w:val="Compact"/>
              <w:jc w:val="left"/>
            </w:pPr>
            <w:r>
              <w:t xml:space="preserve">The underlying ethical truth of the situation.</w:t>
            </w:r>
          </w:p>
        </w:tc>
        <w:tc>
          <w:tcPr>
            <w:tcMar>
              <w:top w:w="80" w:type="dxa"/>
              <w:start w:w="90" w:type="dxa"/>
              <w:bottom w:w="80" w:type="dxa"/>
              <w:end w:w="90" w:type="dxa"/>
            </w:tcMar>
            <w:shd w:fill="D9EAF7" w:val="clear"/>
          </w:tcPr>
          <w:p>
            <w:pPr>
              <w:pStyle w:val="Compact"/>
              <w:jc w:val="left"/>
            </w:pPr>
            <w:r>
              <w:t xml:space="preserve">Invalidate conformance or maturity claim until record is repaired.</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SGP interface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SGP output lacks evidence tier, scoring version, reviewer status, uncertainty, or maturity boundary for its claimed use.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NCRC, TRC, CSV, lawful authority, or governance-role requirements.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Treat as governed evidence limitation; do not use as override.</w:t>
            </w:r>
          </w:p>
        </w:tc>
      </w:tr>
    </w:tbl>
    <w:bookmarkEnd w:id="664"/>
    <w:bookmarkStart w:id="665" w:name="Xbd06724372bba0eacaada45b5d5cfbb6fc75d91"/>
    <w:p>
      <w:pPr>
        <w:pStyle w:val="Heading2"/>
        <w:keepNext/>
        <w:keepLines/>
        <w:pageBreakBefore w:val="0"/>
        <w:widowControl/>
      </w:pPr>
      <w:r>
        <w:rPr>
          <w:rFonts w:ascii="Arial" w:hAnsi="Arial" w:eastAsia="Arial"/>
          <w:b/>
          <w:color w:val="1F4E78"/>
        </w:rPr>
        <w:t xml:space="preserve">AE.4 Reference, preference, number, and claim discipline</w:t>
      </w:r>
    </w:p>
    <w:p>
      <w:pPr>
        <w:pStyle w:val="FirstParagraph"/>
        <w:widowControl/>
      </w:pPr>
      <w:r>
        <w:t xml:space="preserve">For RippleLogic runs, a numerical value is a representation of a declared evidence process, not truth itself. Implementations SHOULD distinguish: evidence source, measurement reference, governance preference or weighting choice, numerical representation, and public claim. Collapsing these layers is a category-collapse defect.</w:t>
      </w:r>
    </w:p>
    <w:p>
      <w:pPr>
        <w:pStyle w:val="BodyText"/>
        <w:widowControl/>
      </w:pPr>
      <w:r>
        <w:t xml:space="preserve">Reference/preference rule. A measurement reference identifies how a claim is grounded. A governance preference identifies an explicit normative or procedural choice, such as a weight, threshold, epsilon, or materiality rule. A number is the final representation after those choices. The PCC SHOULD disclose all three when the value is decision-material.</w:t>
      </w:r>
    </w:p>
    <w:bookmarkEnd w:id="665"/>
    <w:bookmarkStart w:id="666" w:name="X73a81f403e242955a28b1239779d7c7b7ea914d"/>
    <w:p>
      <w:pPr>
        <w:pStyle w:val="Heading2"/>
        <w:keepNext/>
        <w:keepLines/>
        <w:pageBreakBefore w:val="0"/>
        <w:widowControl/>
      </w:pPr>
      <w:r>
        <w:rPr>
          <w:rFonts w:ascii="Arial" w:hAnsi="Arial" w:eastAsia="Arial"/>
          <w:b/>
          <w:color w:val="1F4E78"/>
        </w:rPr>
        <w:t xml:space="preserve">AE.5 Adaptive Reserve / Saturation Diagnostic</w:t>
      </w:r>
    </w:p>
    <w:p>
      <w:pPr>
        <w:pStyle w:val="FirstParagraph"/>
        <w:widowControl/>
      </w:pPr>
      <w:r>
        <w:t xml:space="preserve">Adaptive Reserve is a carried-forward v10.8 structural diagnostic for detecting whether an option consumes so much social, institutional, ecological, cognitive, financial, or operational slack that the system becomes brittle even when immediate welfare scores appear positive.</w:t>
      </w:r>
    </w:p>
    <w:p>
      <w:pPr>
        <w:pStyle w:val="BodyText"/>
        <w:widowControl/>
      </w:pPr>
      <w:r>
        <w:t xml:space="preserve">Status. Adaptive Reserve is not a sixth gate in the current v12.5 line. It is a UCI/HOI-compatible diagnostic and containment-support signal. It MAY trigger review, sensitivity analysis, or escalation. It MUST NOT rescue an option that failed NCRC, TRC, or CSV.</w:t>
      </w:r>
    </w:p>
    <w:p>
      <w:pPr>
        <w:pStyle w:val="BodyText"/>
        <w:widowControl/>
      </w:pPr>
      <w:r>
        <w:t xml:space="preserve">Minimum fields. When used, implementations SHOULD record reserve domain, baseline reserve, projected reserve after option, recovery path, redundancy state, reversibility, monitoring trigger, and saturation risk.</w:t>
      </w:r>
    </w:p>
    <w:bookmarkEnd w:id="666"/>
    <w:bookmarkStart w:id="667" w:name="ae6-v108-release-delta"/>
    <w:p>
      <w:pPr>
        <w:pStyle w:val="Heading2"/>
        <w:keepNext/>
        <w:keepLines/>
        <w:pageBreakBefore w:val="0"/>
        <w:widowControl/>
      </w:pPr>
      <w:r>
        <w:rPr>
          <w:rFonts w:ascii="Arial" w:hAnsi="Arial" w:eastAsia="Arial"/>
          <w:b/>
          <w:color w:val="1F4E78"/>
        </w:rPr>
        <w:t xml:space="preserve">AE.6 v10.8 release delta</w:t>
      </w:r>
    </w:p>
    <w:p>
      <w:pPr>
        <w:pStyle w:val="FirstParagraph"/>
        <w:widowControl/>
      </w:pPr>
      <w:r>
        <w:t xml:space="preserve">Release Delta (v10.7 → v10.8). v10.8 adds explicit computable-but-inadmissible discipline, a layer-specific falsification matrix, a reference/preference/number claim boundary, and an optional Adaptive Reserve diagnostic. It does not alter the cascade, equations, rights thresholds, TRC mechanics, Containment semantics, SGP binding interface, PLSS residual-only rule, or Tier 4 claim boundary.</w:t>
      </w:r>
    </w:p>
    <w:bookmarkEnd w:id="667"/>
    <w:bookmarkEnd w:id="668"/>
    <w:bookmarkStart w:id="678" w:name="Xaa95fce01210569459b807f7a54516f7e7e8974"/>
    <w:p>
      <w:pPr>
        <w:pStyle w:val="Heading1"/>
        <w:keepNext/>
        <w:keepLines/>
        <w:pageBreakBefore w:val="0"/>
        <w:widowControl/>
      </w:pPr>
      <w:r>
        <w:rPr>
          <w:rFonts w:ascii="Arial" w:hAnsi="Arial" w:eastAsia="Arial"/>
          <w:b/>
          <w:color w:val="1F4E78"/>
        </w:rPr>
        <w:t xml:space="preserve">APPENDIX AF: Decision Verdict Semantics, Projection Freeze, Closure Status, and Authority-Selection Separation</w:t>
      </w:r>
    </w:p>
    <w:bookmarkStart w:id="669" w:name="af1-purpose-and-release-boundary"/>
    <w:p>
      <w:pPr>
        <w:pStyle w:val="Heading2"/>
        <w:keepNext/>
        <w:keepLines/>
        <w:pageBreakBefore w:val="0"/>
        <w:widowControl/>
      </w:pPr>
      <w:r>
        <w:rPr>
          <w:rFonts w:ascii="Arial" w:hAnsi="Arial" w:eastAsia="Arial"/>
          <w:b/>
          <w:color w:val="1F4E78"/>
        </w:rPr>
        <w:t xml:space="preserve">AF.1 Purpose and release boundary</w:t>
      </w:r>
    </w:p>
    <w:p>
      <w:pPr>
        <w:pStyle w:val="FirstParagraph"/>
        <w:widowControl/>
      </w:pPr>
      <w:r>
        <w:t xml:space="preserve">This v10.8 hardening appendix strengthens RippleLogic’s own decision-state discipline without importing any external ontology, physics claim, proprietary framework, or hidden implementation layer. It preserves the canonical cascade Reality Grounding → Rights Floor → TRC → CSV → RLS. It does not change any rights threshold, TRC/CVaR rule, Containment rule, PLSS rule, SGP interface, UCI/HOI definition, or Tier-4 claim boundary.</w:t>
      </w:r>
    </w:p>
    <w:p>
      <w:pPr>
        <w:pStyle w:val="BodyText"/>
        <w:widowControl/>
      </w:pPr>
      <w:r>
        <w:t xml:space="preserve">Normative effect. Appendix AF adds output semantics, audit fields, and refusal/authority-separation rules. It clarifies what a RippleLogic run may claim when gates pass but the remaining admissible options are non-unique, evidence is insufficient, coverage is incomplete, or RLS/tie-breaks are non-decisive.</w:t>
      </w:r>
    </w:p>
    <w:bookmarkEnd w:id="669"/>
    <w:bookmarkStart w:id="670" w:name="af2-decision-verdict-states"/>
    <w:p>
      <w:pPr>
        <w:pStyle w:val="Heading2"/>
        <w:keepNext/>
        <w:keepLines/>
        <w:pageBreakBefore w:val="0"/>
        <w:widowControl/>
      </w:pPr>
      <w:r>
        <w:rPr>
          <w:rFonts w:ascii="Arial" w:hAnsi="Arial" w:eastAsia="Arial"/>
          <w:b/>
          <w:color w:val="1F4E78"/>
        </w:rPr>
        <w:t xml:space="preserve">AF.2 Decision verdict states</w:t>
      </w:r>
    </w:p>
    <w:p>
      <w:pPr>
        <w:pStyle w:val="FirstParagraph"/>
        <w:widowControl/>
      </w:pPr>
      <w:r>
        <w:t xml:space="preserve">FrameworkVerdict is the technical verdict emitted by the declared cascade, evidence-status checks, thresholds, scoring rules, tie-breaks, and refusal conditions. AuthoritySelection is a separate governance or operator act made after the FrameworkVerdict has been disclosed. Implementations MUST NOT present an authority selection as a deterministic framework selection.</w:t>
      </w:r>
    </w:p>
    <w:p>
      <w:pPr>
        <w:pStyle w:val="BodyText"/>
        <w:widowControl/>
      </w:pPr>
      <w:r>
        <w:t xml:space="preserve">The allowed FrameworkVerdict values are: BLOCK, REFUSE_DETERMINISTIC_SELECTION, ALLOW_FRAMEWORK_SELECTION, and ESCALATE. AUTHORIZED_SELECTION is not a FrameworkVerdict; it is an authority record linked to the verdict when lawful or legitimate authority chooses among disclosed admissible options.</w:t>
      </w:r>
    </w:p>
    <w:p>
      <w:pPr>
        <w:pStyle w:val="BodyText"/>
      </w:pPr>
      <w:r>
        <w:rPr>
          <w:b/>
        </w:rPr>
        <w:t>FrameworkVerdict / run-record crosswalk (Normative).</w:t>
      </w:r>
      <w:r>
        <w:t xml:space="preserve"> ALLOW_FRAMEWORK_SELECTION serializes as SELECTED_DECISIVE only when the technical selection is unique and all selection conditions hold. REFUSE_DETERMINISTIC_SELECTION with a separately lawful, disclosed AuthoritySelectionRecord serializes as SELECTED_BY_AUTHORITY_NON_DECISIVE; without such a selection it serializes as REFUSE or DELAY according to the declared disposition. A controlled but not final execution posture serializes as PROVISIONAL_WITH_CONTROLS. An empty selectable set serializes as NO_SELECTABLE_OPTION. A governed TRC/CSV emergency-provisional posture serializes as EMERGENCY_PROVISIONAL. Redesign, evidence/authority escalation, and governed deferral serialize as REDESIGN, ESCALATE, and DELAY. BLOCK is a framework verdict, not a unique run-record state: its required serialization depends on the disclosed cause—normally NO_SELECTABLE_OPTION, REFUSE, REDESIGN, or ESCALATE. Implementations MUST record the cause rather than infer one state from the word BLOCK alone.</w:t>
      </w:r>
    </w:p>
    <w:p>
      <w:pPr>
        <w:pStyle w:val="BodyText"/>
        <w:widowControl/>
      </w:pPr>
      <w:r>
        <w:t xml:space="preserve">BLOCK means that no option may proceed under the claimed posture because a non-negotiable gate fails, no option remains admissible, or a required coverage/evidence condition invalidates the run. REFUSE_DETERMINISTIC_SELECTION means that at least one option remains admissible, but the framework refuses to claim a unique technical selection because evidence is insufficient, coverage is incomplete, the option set is non-unique, RLS is non-decisive, or the tie-break chain does not resolve the choice. ALLOW_FRAMEWORK_SELECTION means that the declared cascade and selection procedure produce one uniquely claimable option under the stated tier, evidence, and projection boundary. ESCALATE means additional evidence, higher-tier review, stakeholder challenge, expert review, or governance authorization is required.</w:t>
      </w:r>
    </w:p>
    <w:bookmarkEnd w:id="670"/>
    <w:bookmarkStart w:id="671" w:name="af3-non-decisive-admissible-sets"/>
    <w:p>
      <w:pPr>
        <w:pStyle w:val="Heading2"/>
        <w:keepNext/>
        <w:keepLines/>
        <w:pageBreakBefore w:val="0"/>
        <w:widowControl/>
      </w:pPr>
      <w:r>
        <w:rPr>
          <w:rFonts w:ascii="Arial" w:hAnsi="Arial" w:eastAsia="Arial"/>
          <w:b/>
          <w:color w:val="1F4E78"/>
        </w:rPr>
        <w:t xml:space="preserve">AF.3 Non-decisive admissible sets</w:t>
      </w:r>
    </w:p>
    <w:p>
      <w:pPr>
        <w:pStyle w:val="FirstParagraph"/>
        <w:widowControl/>
      </w:pPr>
      <w:r>
        <w:t xml:space="preserve">When NCRC, TRC, and required Containment checks leave multiple admissible options and RLS/tie-breaks do not yield a decisive selection under declared thresholds, RippleLogic MUST NOT claim unique deterministic framework selection. The correct technical outcome is REFUSE_DETERMINISTIC_SELECTION with an AdmissibleOptionSet and a reason code. A governance process MAY still choose among admissible options, but that choice MUST be recorded separately as an AuthoritySelectionRecord.</w:t>
      </w:r>
    </w:p>
    <w:p>
      <w:pPr>
        <w:pStyle w:val="BodyText"/>
        <w:widowControl/>
      </w:pPr>
      <w:r>
        <w:t xml:space="preserve">Minimum fields for a non-decisive admissible set are: FrameworkVerdict, AdmissibleOptionSet, DeterministicSelectionClaim=false, NonDecisiveReason, AuthoritySelectionRecord if one exists, AuthorityBasis, ReviewerRequired, and DisclosureText.</w:t>
      </w:r>
    </w:p>
    <w:bookmarkEnd w:id="671"/>
    <w:bookmarkStart w:id="672" w:name="af4-projectionpreregistration-visibility"/>
    <w:p>
      <w:pPr>
        <w:pStyle w:val="Heading2"/>
        <w:keepNext/>
        <w:keepLines/>
        <w:pageBreakBefore w:val="0"/>
        <w:widowControl/>
      </w:pPr>
      <w:r>
        <w:rPr>
          <w:rFonts w:ascii="Arial" w:hAnsi="Arial" w:eastAsia="Arial"/>
          <w:b/>
          <w:color w:val="1F4E78"/>
        </w:rPr>
        <w:t xml:space="preserve">AF.4 ProjectionPreRegistration visibility</w:t>
      </w:r>
    </w:p>
    <w:p>
      <w:pPr>
        <w:pStyle w:val="FirstParagraph"/>
        <w:widowControl/>
      </w:pPr>
      <w:r>
        <w:t xml:space="preserve">For Tier 3, high-stakes Tier 2, and future ProofPack-prep claims, implementations SHOULD expose whether a ProjectionPreRegistration object exists, what it hash-pins, and whether any material post-observation modification occurred. Scenario sets, CVaR confidence, TRC thresholds, uncertainty parameters, weights, scope declarations, SGP bindings, and refusal/escalation conditions SHOULD be frozen before the run for any claim-bearing evaluation. Post-observation modification creates a new run boundary unless explicitly recorded as exploratory analysis.</w:t>
      </w:r>
    </w:p>
    <w:bookmarkEnd w:id="672"/>
    <w:bookmarkStart w:id="673" w:name="af5-closure-and-coverage-status"/>
    <w:p>
      <w:pPr>
        <w:pStyle w:val="Heading2"/>
        <w:keepNext/>
        <w:keepLines/>
        <w:pageBreakBefore w:val="0"/>
        <w:widowControl/>
      </w:pPr>
      <w:r>
        <w:rPr>
          <w:rFonts w:ascii="Arial" w:hAnsi="Arial" w:eastAsia="Arial"/>
          <w:b/>
          <w:color w:val="1F4E78"/>
        </w:rPr>
        <w:t xml:space="preserve">AF.5 Closure and coverage status</w:t>
      </w:r>
    </w:p>
    <w:p>
      <w:pPr>
        <w:pStyle w:val="FirstParagraph"/>
        <w:widowControl/>
      </w:pPr>
      <w:r>
        <w:t xml:space="preserve">Required evidence surfaces MUST NOT silently default missing information to zero. Each required cell, right, scenario input, stakeholder mapping, SGP object, and projection input SHOULD carry a CoverageStatus: VALUE, ESTIMATE, ASSUMPTION, BLANK_BY_DESIGN, DECLARED_UNKNOWN, NOT_APPLICABLE, or MISSING_UNDECLARED. DECLARED_UNKNOWN may trigger REFUSE or ESCALATE when the unknown affects admissibility, selection, or tier claim. MISSING_UNDECLARED is non-conformant for claim-bearing runs.</w:t>
      </w:r>
    </w:p>
    <w:bookmarkEnd w:id="673"/>
    <w:bookmarkStart w:id="674" w:name="af6-falsification-classes"/>
    <w:p>
      <w:pPr>
        <w:pStyle w:val="Heading2"/>
        <w:keepNext/>
        <w:keepLines/>
        <w:pageBreakBefore w:val="0"/>
        <w:widowControl/>
      </w:pPr>
      <w:r>
        <w:rPr>
          <w:rFonts w:ascii="Arial" w:hAnsi="Arial" w:eastAsia="Arial"/>
          <w:b/>
          <w:color w:val="1F4E78"/>
        </w:rPr>
        <w:t xml:space="preserve">AF.6 Falsification classes</w:t>
      </w:r>
    </w:p>
    <w:p>
      <w:pPr>
        <w:pStyle w:val="FirstParagraph"/>
        <w:widowControl/>
      </w:pPr>
      <w:r>
        <w:t xml:space="preserve">Validation and failure records SHOULD identify the failure class rather than collapsing all failed tests into a generic defect. The recommended FalsificationClass values are DATA_FAILURE, PROJECTION_FAILURE, PARAMETER_FAILURE, OPERATOR_FAILURE, PRIMITIVE_CHALLENGE, GOVERNANCE_FAILURE, and COMMUNICATION_FAILURE. A failed projection or bad parameter does not automatically falsify the Canon; it identifies the layer that must be repaired or retested.</w:t>
      </w:r>
    </w:p>
    <w:bookmarkEnd w:id="674"/>
    <w:bookmarkStart w:id="675" w:name="af7-authority-selection-record"/>
    <w:p>
      <w:pPr>
        <w:pStyle w:val="Heading2"/>
        <w:keepNext/>
        <w:keepLines/>
        <w:pageBreakBefore w:val="0"/>
        <w:widowControl/>
      </w:pPr>
      <w:r>
        <w:rPr>
          <w:rFonts w:ascii="Arial" w:hAnsi="Arial" w:eastAsia="Arial"/>
          <w:b/>
          <w:color w:val="1F4E78"/>
        </w:rPr>
        <w:t xml:space="preserve">AF.7 Authority-selection record</w:t>
      </w:r>
    </w:p>
    <w:p>
      <w:pPr>
        <w:pStyle w:val="FirstParagraph"/>
        <w:widowControl/>
      </w:pPr>
      <w:r>
        <w:t xml:space="preserve">AuthoritySelectionRecord documents a human, institutional, democratic, expert, emergency, or operator selection made after the framework has disclosed its technical verdict. It MUST identify selected option, authority type, authority basis, admissible option set, non-decisiveness disclosure, reviewer requirement, and whether the selection is lawful or policy-authorized within the deployment context. Authority selection does not convert REFUSE_DETERMINISTIC_SELECTION into ALLOW_FRAMEWORK_SELECTION.</w:t>
      </w:r>
    </w:p>
    <w:bookmarkEnd w:id="675"/>
    <w:bookmarkStart w:id="676" w:name="X9ffde65d104579f704f6eada9f6148ab3b73bbb"/>
    <w:p>
      <w:pPr>
        <w:pStyle w:val="Heading2"/>
        <w:keepNext/>
        <w:keepLines/>
        <w:pageBreakBefore w:val="0"/>
        <w:widowControl/>
      </w:pPr>
      <w:r>
        <w:rPr>
          <w:rFonts w:ascii="Arial" w:hAnsi="Arial" w:eastAsia="Arial"/>
          <w:b/>
          <w:color w:val="1F4E78"/>
        </w:rPr>
        <w:t xml:space="preserve">AF.8 Reality-contact and primitive-clarity discipline</w:t>
      </w:r>
    </w:p>
    <w:p>
      <w:pPr>
        <w:pStyle w:val="FirstParagraph"/>
        <w:widowControl/>
      </w:pPr>
      <w:r>
        <w:t xml:space="preserve">Reality-contact discipline clarifies P1 without expanding RippleLogic into a total metaphysics. A failed claim about reality does not mean reality failed; it means the evidence, projection, model, interpretation, or authority claim failed to make adequate contact with the relevant reality surface.</w:t>
      </w:r>
    </w:p>
    <w:p>
      <w:pPr>
        <w:pStyle w:val="BodyText"/>
        <w:widowControl/>
      </w:pPr>
      <w:r>
        <w:t xml:space="preserve">Reality-contact failures SHALL be classified for Tier 2 and Tier 3 claim-bearing runs as one or more of: DATA_FAILURE, PROJECTION_FAILURE, PARAMETER_FAILURE, OPERATOR_FAILURE, GOVERNANCE_FAILURE, COMMUNICATION_FAILURE, or PRIMITIVE_CHALLENGE. A revised claim after a reality-grounding failure is a new claim; it SHALL NOT be counted as the original claim having succeeded.</w:t>
      </w:r>
    </w:p>
    <w:p>
      <w:pPr>
        <w:pStyle w:val="BodyText"/>
        <w:widowControl/>
      </w:pPr>
      <w:r>
        <w:t xml:space="preserve">The framework itself is part of the social and institutional reality it affects. Any deployment of MathGov, RippleLogic, SGP, ripple.md, or RL_Agent that materially shapes decisions, incentives, authority, or public belief is subject to the same reality-grounding audit discipline it applies to other systems.</w:t>
      </w:r>
    </w:p>
    <w:bookmarkEnd w:id="676"/>
    <w:bookmarkStart w:id="677" w:name="af9-v108-release-delta"/>
    <w:p>
      <w:pPr>
        <w:pStyle w:val="Heading2"/>
        <w:keepNext/>
        <w:keepLines/>
        <w:pageBreakBefore w:val="0"/>
        <w:widowControl/>
      </w:pPr>
      <w:r>
        <w:rPr>
          <w:rFonts w:ascii="Arial" w:hAnsi="Arial" w:eastAsia="Arial"/>
          <w:b/>
          <w:color w:val="1F4E78"/>
        </w:rPr>
        <w:t xml:space="preserve">AF.9 v10.8 release delta</w:t>
      </w:r>
    </w:p>
    <w:p>
      <w:pPr>
        <w:pStyle w:val="FirstParagraph"/>
        <w:widowControl/>
      </w:pPr>
      <w:r>
        <w:t xml:space="preserve">Release Delta (v10.6 → v10.8). The v10.8 release line carries forward decision-verdict semantics, authority-selection separation, projection-freeze visibility, coverage-status closure discipline, falsification-class taxonomy, and the root reality doctrine / reality-grounding consistency patch. It is a hardening patch only. It does not add a new gate, alter the cascade, import an external ontology, or make Tier 4, ProofPack, empirical-validation, legal-certification, or deployment-readiness claims available.</w:t>
      </w:r>
    </w:p>
    <w:p>
      <w:pPr>
        <w:pStyle w:val="BodyText"/>
        <w:widowControl/>
      </w:pPr>
      <w:r>
        <w:t xml:space="preserve">Appendices AG and AH carry the v10.8 Reality Grounding / Lean Cascade and Category Grounding patches and are part of this canonical artifact.</w:t>
      </w:r>
    </w:p>
    <w:bookmarkEnd w:id="677"/>
    <w:bookmarkEnd w:id="678"/>
    <w:bookmarkStart w:id="679" w:name="X4b9d1ded171e0ca0363feebba694ea92ffbe97a"/>
    <w:p>
      <w:pPr>
        <w:pStyle w:val="Heading1"/>
        <w:keepNext/>
        <w:keepLines/>
        <w:pageBreakBefore w:val="0"/>
        <w:widowControl/>
      </w:pPr>
      <w:r>
        <w:rPr>
          <w:rFonts w:ascii="Arial" w:hAnsi="Arial" w:eastAsia="Arial"/>
          <w:b/>
          <w:color w:val="1F4E78"/>
        </w:rPr>
        <w:t xml:space="preserve">APPENDIX AG: CARRIED-FORWARD v10.8 REALITY GROUNDING AND LEAN CASCADE PATCH (CURRENTLY PRESERVED THROUGH v12.5)</w:t>
      </w:r>
    </w:p>
    <w:p>
      <w:pPr>
        <w:pStyle w:val="FirstParagraph"/>
        <w:widowControl/>
      </w:pPr>
      <w:r>
        <w:t xml:space="preserve">Status. Appendix AG records the v10.8 substance update carried forward inside the v12.5 release line. Appendix AC remains controlling for release metadata and claim boundaries where conflicts appear.</w:t>
      </w:r>
    </w:p>
    <w:p>
      <w:pPr>
        <w:pStyle w:val="BodyText"/>
        <w:widowControl/>
      </w:pPr>
      <w:r>
        <w:t xml:space="preserve">Core method. The public-facing RippleLogic method inside the MathGov framework is now: Reality Grounding -&gt; Rights Floor -&gt; TRC -&gt; CSV -&gt; RLS, or compactly RG -&gt; RF -&gt; TRC -&gt; CSV -&gt; RLS.</w:t>
      </w:r>
    </w:p>
    <w:p>
      <w:pPr>
        <w:pStyle w:val="BodyText"/>
        <w:widowControl/>
      </w:pPr>
      <w:r>
        <w:t xml:space="preserve">Formal method. The formal implementation is: RG/RSG -&gt; RF/NCRC -&gt; TRC -&gt; CSV -&gt; RLS. RF names the public layer; NCRC names the formal rights predicate.</w:t>
      </w:r>
    </w:p>
    <w:p>
      <w:pPr>
        <w:pStyle w:val="BodyText"/>
        <w:widowControl/>
      </w:pPr>
      <w:r>
        <w:t xml:space="preserve">Reality Grounding. Level 1 declares the reality surface, evidence trace, material unknowns, transition boundary, consequence pathways, and claim boundary. No claim may exceed its reality surface.</w:t>
      </w:r>
    </w:p>
    <w:p>
      <w:pPr>
        <w:pStyle w:val="BodyText"/>
        <w:widowControl/>
      </w:pPr>
      <w:r>
        <w:t xml:space="preserve">UCI/HOI placement. UCI/HOI are structural diagnostic instruments, not public headline cascade stages. Gate-relevant UCI/HOI evidence belongs inside CSV. Residual UCI/HOI applies only when RLS is tied, close, uncertainty-overlapped, or non-decisive, or when monitoring/hollowing documentation is required.</w:t>
      </w:r>
    </w:p>
    <w:p>
      <w:pPr>
        <w:pStyle w:val="BodyText"/>
        <w:widowControl/>
      </w:pPr>
      <w:r>
        <w:t xml:space="preserve">PLSS. PLSS remains the zoom lens, not the safety waiver. It adjusts residual welfare-ranking attention only after admissibility has been preserved and cannot omit containment-relevant structural diagnostics.</w:t>
      </w:r>
    </w:p>
    <w:p>
      <w:pPr>
        <w:pStyle w:val="BodyText"/>
        <w:widowControl/>
      </w:pPr>
      <w:r>
        <w:t xml:space="preserve">Boundary. This release does not claim Tier 4, ProofPack readiness, empirical validation, legal certification, deployment certification, or deterministic selection where the run is non-decisive.</w:t>
      </w:r>
    </w:p>
    <w:bookmarkEnd w:id="679"/>
    <w:bookmarkStart w:id="688" w:name="X17f4dae39909bdcbe272c87b12f92f624f2e8d2"/>
    <w:p>
      <w:pPr>
        <w:pStyle w:val="Heading1"/>
        <w:keepNext/>
        <w:keepLines/>
        <w:pageBreakBefore w:val="0"/>
        <w:widowControl/>
      </w:pPr>
      <w:r>
        <w:rPr>
          <w:rFonts w:ascii="Arial" w:hAnsi="Arial" w:eastAsia="Arial"/>
          <w:b/>
          <w:color w:val="1F4E78"/>
        </w:rPr>
        <w:t xml:space="preserve">APPENDIX AH: CATEGORY GROUNDING AND PRIMITIVE AUDIT PROTOCOL</w:t>
      </w:r>
    </w:p>
    <w:bookmarkStart w:id="680" w:name="ah1-status-and-placement"/>
    <w:p>
      <w:pPr>
        <w:pStyle w:val="Heading2"/>
        <w:keepNext/>
        <w:keepLines/>
        <w:pageBreakBefore w:val="0"/>
        <w:widowControl/>
      </w:pPr>
      <w:r>
        <w:rPr>
          <w:rFonts w:ascii="Arial" w:hAnsi="Arial" w:eastAsia="Arial"/>
          <w:b/>
          <w:color w:val="1F4E78"/>
        </w:rPr>
        <w:t xml:space="preserve">AH.1 Status and placement</w:t>
      </w:r>
    </w:p>
    <w:p>
      <w:pPr>
        <w:pStyle w:val="FirstParagraph"/>
        <w:widowControl/>
      </w:pPr>
      <w:r>
        <w:t xml:space="preserve">Status. Appendix AH is a normative clarification for claim-bearing Tier 2 and Tier 3 runs and an informative design guide for lower-stakes runs. It is part of the Reality Grounding layer. It does not create a sixth public method level and does not weaken NCRC, TRC, CSV, RLS, PLSS boundaries, SGP boundaries, lawful authority boundaries, or Tier 4/ProofPack boundaries.</w:t>
      </w:r>
    </w:p>
    <w:p>
      <w:pPr>
        <w:pStyle w:val="BodyText"/>
        <w:widowControl/>
      </w:pPr>
      <w:r>
        <w:t xml:space="preserve">Placement rule. Category Grounding, Primitive Audit, Reference Category Review, Definition Falsification Test, and Category-Reality Correspondence Check are one grouped subdiscipline under Reality Grounding when material. Implementers MAY use these names as subfields or review views, but MUST NOT split them into competing cascade stages or treat them as optional decorative terminology when category choice is material.</w:t>
      </w:r>
    </w:p>
    <w:bookmarkEnd w:id="680"/>
    <w:bookmarkStart w:id="681" w:name="ah2-definitions"/>
    <w:p>
      <w:pPr>
        <w:pStyle w:val="Heading2"/>
        <w:keepNext/>
        <w:keepLines/>
        <w:pageBreakBefore w:val="0"/>
        <w:widowControl/>
      </w:pPr>
      <w:r>
        <w:rPr>
          <w:rFonts w:ascii="Arial" w:hAnsi="Arial" w:eastAsia="Arial"/>
          <w:b/>
          <w:color w:val="1F4E78"/>
        </w:rPr>
        <w:t xml:space="preserve">AH.2 Definitions</w:t>
      </w:r>
    </w:p>
    <w:p>
      <w:pPr>
        <w:pStyle w:val="FirstParagraph"/>
        <w:widowControl/>
      </w:pPr>
      <w:r>
        <w:t xml:space="preserve">Category. A category is an operational class used by a RippleLogic run to identify, group, measure, protect, score, govern, authorize, or execute against phenomena. Examples include person, stakeholder, union scope, harm, right, sentience, agency, intelligence, safety, stability, risk, authority, protection, flourishing, containment, and alignment.</w:t>
      </w:r>
    </w:p>
    <w:p>
      <w:pPr>
        <w:pStyle w:val="BodyText"/>
        <w:widowControl/>
      </w:pPr>
      <w:r>
        <w:t xml:space="preserve">Category Grounding. Category Grounding is the Reality Grounding subdiscipline that checks whether a material category has a declared definition, inclusion boundary, exclusion boundary, reference structure, evidence surface, maturity status, and falsification or revision trigger sufficient for the claim being made.</w:t>
      </w:r>
    </w:p>
    <w:p>
      <w:pPr>
        <w:pStyle w:val="BodyText"/>
        <w:widowControl/>
      </w:pPr>
      <w:r>
        <w:t xml:space="preserve">Primitive Audit. Primitive Audit is the review of a framework starting point or imported foundational term, including its dependency basis, operational role, limits, plausible failure modes, and revision conditions. Primitive Audit is required when a run, release, or public claim materially depends on a primitive in a contested or high-consequence way.</w:t>
      </w:r>
    </w:p>
    <w:p>
      <w:pPr>
        <w:pStyle w:val="BodyText"/>
        <w:widowControl/>
      </w:pPr>
      <w:r>
        <w:t xml:space="preserve">Semantic Debt. Semantic debt is the accumulated governance, measurement, operational, and ethical burden created when a decision system continues to use categories whose reality correspondence, boundary conditions, or falsification status are weak, stale, inherited, contested, or unreviewed. Semantic debt is not automatically a gate failure, but it raises review priority and may require claim narrowing, monitoring, escalation, or refusal when material.</w:t>
      </w:r>
    </w:p>
    <w:p>
      <w:pPr>
        <w:pStyle w:val="BodyText"/>
        <w:widowControl/>
      </w:pPr>
      <w:r>
        <w:t xml:space="preserve">Term Discrimination. Term Discrimination is the Category Grounding subdiscipline that states what a material term means, what it does not mean, what discriminator separates it from nearby terms, where it sits in the dependency order, and when the term must be narrowed, escalated, monitored, treated as sensitivity-only, or refused.</w:t>
      </w:r>
    </w:p>
    <w:p>
      <w:pPr>
        <w:pStyle w:val="BodyText"/>
        <w:widowControl/>
      </w:pPr>
      <w:r>
        <w:t xml:space="preserve">Category Discriminator. A category discriminator is the decisive property that separates a material category or term from neighboring categories it is likely to be confused with.</w:t>
      </w:r>
    </w:p>
    <w:p>
      <w:pPr>
        <w:pStyle w:val="BodyText"/>
        <w:widowControl/>
      </w:pPr>
      <w:r>
        <w:t xml:space="preserve">Dependency Position. Dependency position is the location of the term in the decision stack, such as reality-surface, evidence-trace, category-boundary, rights-admissibility, tail-risk-admissibility, containment-selectability, residual-ranking, framework-verdict, authority-selection, execution-authority, monitoring, certification, or public-claim.</w:t>
      </w:r>
    </w:p>
    <w:bookmarkEnd w:id="681"/>
    <w:bookmarkStart w:id="682" w:name="ah3-trigger-conditions"/>
    <w:p>
      <w:pPr>
        <w:pStyle w:val="Heading2"/>
        <w:keepNext/>
        <w:keepLines/>
        <w:pageBreakBefore w:val="0"/>
        <w:widowControl/>
      </w:pPr>
      <w:r>
        <w:rPr>
          <w:rFonts w:ascii="Arial" w:hAnsi="Arial" w:eastAsia="Arial"/>
          <w:b/>
          <w:color w:val="1F4E78"/>
        </w:rPr>
        <w:t xml:space="preserve">AH.3 Trigger conditions</w:t>
      </w:r>
    </w:p>
    <w:p>
      <w:pPr>
        <w:pStyle w:val="FirstParagraph"/>
        <w:widowControl/>
      </w:pPr>
      <w:r>
        <w:t xml:space="preserve">A CategoryGroundingRecord is REQUIRED for claim-bearing Tier 3 runs, high-stakes Tier 2 runs, and public conformance claims when any of the following are material: (1) the category affects NCRC protection, stakeholder inclusion, or rights-floor localization; (2) the category affects TRC scenario construction, tail probabilities, severity bands, or irreversibility classification; (3) the category affects Containment, UCI, HOI, Adaptive Reserve, lock-in, hollowing, domination, institutional erosion, ecological degradation, or governance-capacity loss; (4) the category affects SGP outputs, moral-patient status, protection, standing, or governance-authority interpretation; (5) the category is a metric target under strong optimization pressure; (6) the category is novel, inherited, contested, ambiguous, or cross-domain; (7) the category supports an authority-selection, deployment, certification, validation, or public maturity claim.</w:t>
      </w:r>
    </w:p>
    <w:bookmarkEnd w:id="682"/>
    <w:bookmarkStart w:id="683" w:name="ah4-minimum-categorygroundingrecord"/>
    <w:p>
      <w:pPr>
        <w:pStyle w:val="Heading2"/>
        <w:keepNext/>
        <w:keepLines/>
        <w:pageBreakBefore w:val="0"/>
        <w:widowControl/>
      </w:pPr>
      <w:r>
        <w:rPr>
          <w:rFonts w:ascii="Arial" w:hAnsi="Arial" w:eastAsia="Arial"/>
          <w:b/>
          <w:color w:val="1F4E78"/>
        </w:rPr>
        <w:t xml:space="preserve">AH.4 Minimum CategoryGroundingRecord</w:t>
      </w:r>
    </w:p>
    <w:p>
      <w:pPr>
        <w:pStyle w:val="FirstParagraph"/>
        <w:widowControl/>
      </w:pPr>
      <w:r>
        <w:t xml:space="preserve">Minimum fields: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and required_claim_action.</w:t>
      </w:r>
    </w:p>
    <w:p>
      <w:pPr>
        <w:pStyle w:val="BodyText"/>
        <w:widowControl/>
      </w:pPr>
      <w:r>
        <w:t xml:space="preserve">Allowed category_maturity_status values: GROUNDED, ESTIMATED, ASSUMPTION_BOUND, CONTESTED, LEGACY_UNREVIEWED, INSUFFICIENT_GROUNDING, and OUT_OF_SCOPE_WITH_RATIONALE.</w:t>
      </w:r>
    </w:p>
    <w:p>
      <w:pPr>
        <w:pStyle w:val="BodyText"/>
        <w:widowControl/>
      </w:pPr>
      <w:r>
        <w:t xml:space="preserve">PrimitiveAuditRecord SHOULD include: primitive_id; primitive_statement; primitive_role; imported_parent_disciplines; operational_dependency; affected_claims; evidence_or_argument_basis; failure_mode; falsification_or_revision_trigger; reviewer_status; required_claim_action; and audit_reference. PrimitiveAuditRecord is required when a primitive or imported foundational term materially supports a rights, tail-risk, containment, SGP, authority, conformance, public-claim, or deterministic-selection claim.</w:t>
      </w:r>
    </w:p>
    <w:p>
      <w:pPr>
        <w:pStyle w:val="BodyText"/>
        <w:widowControl/>
      </w:pPr>
      <w:r>
        <w:t xml:space="preserve">Allowed semantic_debt_flag values: NONE, LOW, MEDIUM, HIGH, and CRITICAL. HIGH or CRITICAL semantic debt requires explicit reviewer attention before stronger public, conformance, deployment, authority, or deterministic-selection claims may be made.</w:t>
      </w:r>
    </w:p>
    <w:p>
      <w:pPr>
        <w:pStyle w:val="BodyText"/>
        <w:widowControl/>
      </w:pPr>
      <w:r>
        <w:t xml:space="preserve">Semantic debt rubric: NONE = category recently reviewed, evidence-linked, and uncontested within the claim boundary. LOW = minor ambiguity with no plausible gate or claim effect. MEDIUM = ambiguity could affect interpretation or monitoring but not current admissibility. HIGH = ambiguity could affect rights, tail risk, containment, authority, conformance, or public claim. CRITICAL = category is stale, contested, or ungrounded in a way that could invalidate the decision state or public claim.</w:t>
      </w:r>
    </w:p>
    <w:p>
      <w:pPr>
        <w:pStyle w:val="BodyText"/>
        <w:widowControl/>
      </w:pPr>
      <w:r>
        <w:t xml:space="preserve">Allowed required_claim_action values: ALLOW, NARROW, ESCALATE, REFUSE, MONITOR_ONLY, and SENSITIVITY_ONLY.</w:t>
      </w:r>
    </w:p>
    <w:p>
      <w:pPr>
        <w:pStyle w:val="BodyText"/>
        <w:widowControl/>
      </w:pPr>
      <w:r>
        <w:t xml:space="preserve">Allowed source_authority_status values SHOULD include: PRIMARY_EVIDENCE, GOVERNING_SPECIFICATION, DOMAIN_STANDARD, LEGAL_AUTHORITY, INSTITUTIONAL_POLICY, EXPERT_JUDGMENT, MODEL_OUTPUT, STAKEHOLDER_TESTIMONY, LEGACY_SOURCE, and UNVERIFIED_SOURCE. A source authority label records provenance; it does not by itself create admissibility, validity, legality, or execution authority.</w:t>
      </w:r>
    </w:p>
    <w:p>
      <w:pPr>
        <w:pStyle w:val="BodyText"/>
        <w:widowControl/>
      </w:pPr>
      <w:r>
        <w:t xml:space="preserve">Allowed dependency_position values SHOULD include: REALITY_SURFACE, EVIDENCE_TRACE, CATEGORY_BOUNDARY, RIGHTS_ADMISSIBILITY, TAIL_RISK_ADMISSIBILITY, CONTAINMENT_SELECTABILITY, RESIDUAL_RANKING, FRAMEWORK_VERDICT, AUTHORITY_SELECTION, EXECUTION_AUTHORITY, MONITORING, CERTIFICATION, and PUBLIC_CLAIM.</w:t>
      </w:r>
    </w:p>
    <w:bookmarkEnd w:id="683"/>
    <w:bookmarkStart w:id="684" w:name="X87e6d87351e9279975312a5b6259ec945d5a994"/>
    <w:p>
      <w:pPr>
        <w:pStyle w:val="Heading2"/>
        <w:keepNext/>
        <w:keepLines/>
        <w:pageBreakBefore w:val="0"/>
        <w:widowControl/>
      </w:pPr>
      <w:r>
        <w:rPr>
          <w:rFonts w:ascii="Arial" w:hAnsi="Arial" w:eastAsia="Arial"/>
          <w:b/>
          <w:color w:val="1F4E78"/>
        </w:rPr>
        <w:t xml:space="preserve">AH.4A Aggregate Semantic-Debt Ledger (Normative for material claim-bearing runs)</w:t>
      </w:r>
    </w:p>
    <w:p>
      <w:pPr>
        <w:pStyle w:val="FirstParagraph"/>
        <w:widowControl/>
      </w:pPr>
      <w:r>
        <w:t xml:space="preserve">Per-category semantic debt may accumulate into a run-level liability even when no single category is independently fatal. Claim-bearing Tier 2 and Tier 3 runs SHOULD compute a semantic_debt_score over material categories using declared weights: NONE=0, LOW=1, MEDIUM=3, HIGH=7, CRITICAL=15.</w:t>
      </w:r>
    </w:p>
    <w:p>
      <w:pPr>
        <w:pStyle w:val="BodyText"/>
        <w:widowControl/>
      </w:pPr>
      <w:r>
        <w:t xml:space="preserve">If any material category is CRITICAL, stronger public, conformance, authority-selection, deployment-readiness, or deterministic-selection claims MUST be refused, narrowed, or escalated unless a reviewer records a governed disposition. If semantic_debt_score &gt;= threshold_T, with threshold_T declared ex ante in the verification regime and default threshold_T = 10 for worked examples, implementations SHOULD flag SEMANTIC_DEBT_AGGREGATE_HIGH with severity ESCALATE and require reviewer disposition before stronger public or conformance claims.</w:t>
      </w:r>
    </w:p>
    <w:p>
      <w:pPr>
        <w:pStyle w:val="BodyText"/>
        <w:widowControl/>
      </w:pPr>
      <w:r>
        <w:t xml:space="preserve">Semantic-debt aggregation is not an ontology claim. It is an auditability rule for accumulated category uncertainty inside Reality Grounding.</w:t>
      </w:r>
    </w:p>
    <w:bookmarkEnd w:id="684"/>
    <w:bookmarkStart w:id="685" w:name="ah5-category-failure-classes"/>
    <w:p>
      <w:pPr>
        <w:pStyle w:val="Heading2"/>
        <w:keepNext/>
        <w:keepLines/>
        <w:pageBreakBefore w:val="0"/>
        <w:widowControl/>
      </w:pPr>
      <w:r>
        <w:rPr>
          <w:rFonts w:ascii="Arial" w:hAnsi="Arial" w:eastAsia="Arial"/>
          <w:b/>
          <w:color w:val="1F4E78"/>
        </w:rPr>
        <w:t xml:space="preserve">AH.5 Category failure classes</w:t>
      </w:r>
    </w:p>
    <w:p>
      <w:pPr>
        <w:pStyle w:val="FirstParagraph"/>
        <w:widowControl/>
      </w:pPr>
      <w:r>
        <w:t xml:space="preserve">Category-relevant failures SHOULD be tagged as one or more of: CATEGORY_BOUNDARY_FAILURE, CATEGORY_REFERENCE_FAILURE, CATEGORY_SCOPE_FAILURE, CATEGORY_METRIC_MISMATCH, SEMANTIC_DRIFT_DETECTED, TERM_DISCRIMINATION_FAILURE, DEPENDENCY_POSITION_ERROR, PRIMITIVE_CHALLENGE, DATA_FAILURE, PROJECTION_FAILURE, PARAMETER_FAILURE, OPERATOR_FAILURE, GOVERNANCE_FAILURE, or EXTERNAL_CHANGED_CONDITION.</w:t>
      </w:r>
    </w:p>
    <w:p>
      <w:pPr>
        <w:pStyle w:val="BodyText"/>
        <w:widowControl/>
      </w:pPr>
      <w:r>
        <w:t xml:space="preserve">CATEGORY_BOUNDARY_FAILURE means the inclusion or exclusion rule for a material category is wrong, missing, or too vague for the claim. CATEGORY_REFERENCE_FAILURE means the category lacks a valid reference structure. CATEGORY_SCOPE_FAILURE means the category was applied at the wrong union scope, stakeholder class, substrate, time horizon, or decision boundary. CATEGORY_METRIC_MISMATCH means the metric does not track the category it claims to measure. SEMANTIC_DRIFT_DETECTED means ordinary, institutional, legal, benchmark, or model usage has drifted from the category structure required for the run. PRIMITIVE_CHALLENGE means the framework starting point itself may require revision, narrowing, or retirement.</w:t>
      </w:r>
    </w:p>
    <w:p>
      <w:pPr>
        <w:pStyle w:val="BodyText"/>
        <w:widowControl/>
      </w:pPr>
      <w:r>
        <w:t xml:space="preserve">Category-failure action rule. If a material category is CATEGORY_BOUNDARY_FAILURE, CATEGORY_REFERENCE_FAILURE, CATEGORY_METRIC_MISMATCH, SEMANTIC_DRIFT_DETECTED at HIGH/CRITICAL severity, LEGACY_UNREVIEWED for a claim-bearing run, or otherwise insufficiently grounded for the claimed decision state, the run SHALL NOT produce an unqualified deterministic framework selection. It MUST narrow, escalate, mark sensitivity-only or monitor-only, collect stronger evidence, or refuse the stronger claim. A computable score over a category-invalid surface is computable but inadmissible.</w:t>
      </w:r>
    </w:p>
    <w:bookmarkEnd w:id="685"/>
    <w:bookmarkStart w:id="686" w:name="Xb1857755c6a58818aa56974188bb3f3f88ba00f"/>
    <w:p>
      <w:pPr>
        <w:pStyle w:val="Heading2"/>
        <w:keepNext/>
        <w:keepLines/>
        <w:pageBreakBefore w:val="0"/>
        <w:widowControl/>
      </w:pPr>
      <w:r>
        <w:rPr>
          <w:rFonts w:ascii="Arial" w:hAnsi="Arial" w:eastAsia="Arial"/>
          <w:b/>
          <w:color w:val="1F4E78"/>
        </w:rPr>
        <w:t xml:space="preserve">AH.6 Relationship to optimization, governance, and public claims</w:t>
      </w:r>
    </w:p>
    <w:p>
      <w:pPr>
        <w:pStyle w:val="FirstParagraph"/>
        <w:widowControl/>
      </w:pPr>
      <w:r>
        <w:t xml:space="preserve">Optimization is admissible only after the relevant category, evidence surface, and claim boundary are adequate for the intended claim. Governance, compliance, benchmark success, institutional permission, model fluency, dashboard availability, or stakeholder preference does not by itself validate a category. If the category is materially wrong, a higher RLS score, a completed PCC, a PLSS profile, or an authority-selection record cannot repair it.</w:t>
      </w:r>
    </w:p>
    <w:bookmarkEnd w:id="686"/>
    <w:bookmarkStart w:id="687" w:name="ah7-release-boundary"/>
    <w:p>
      <w:pPr>
        <w:pStyle w:val="Heading2"/>
        <w:keepNext/>
        <w:keepLines/>
        <w:pageBreakBefore w:val="0"/>
        <w:widowControl/>
      </w:pPr>
      <w:r>
        <w:rPr>
          <w:rFonts w:ascii="Arial" w:hAnsi="Arial" w:eastAsia="Arial"/>
          <w:b/>
          <w:color w:val="1F4E78"/>
        </w:rPr>
        <w:t xml:space="preserve">AH.7 Release boundary</w:t>
      </w:r>
    </w:p>
    <w:p>
      <w:pPr>
        <w:pStyle w:val="FirstParagraph"/>
        <w:widowControl/>
      </w:pPr>
      <w:r>
        <w:t xml:space="preserve">This appendix does not claim empirical validation, legal certification, deployment certification, deterministic selection, or Tier 4/ProofPack readiness. It strengthens the category-discipline portion of Reality Grounding so that MathGov does not become a governance layer over unexamined definitions. This carries forward the Category Grounding discipline introduced in RippleLogic Framework v12.4 into the v12.5 line, including Sections 1 through 20 and Appendices A through AH; Appendix AI then adds the Term Discrimination and Semantic Stability Protocol as a normative subdiscipline of Category Grounding where material.</w:t>
      </w:r>
    </w:p>
    <w:p>
      <w:pPr>
        <w:pStyle w:val="BodyText"/>
        <w:widowControl/>
      </w:pPr>
      <w:r>
        <w:t xml:space="preserve">McGaughran, J. (2026).</w:t>
      </w:r>
      <w:r>
        <w:t xml:space="preserve"> </w:t>
      </w:r>
      <w:r>
        <w:rPr>
          <w:i/>
          <w:iCs/>
        </w:rPr>
        <w:t xml:space="preserve">Sentience Gradient Protocol v8.4: A theory-plural, evidence-governed framework for moral patienthood, protection, participation, stewardship, and reality-management calibration across substrates</w:t>
      </w:r>
      <w:r>
        <w:t xml:space="preserve">. MathGov Core Release 2026.09 v12.5.</w:t>
      </w:r>
    </w:p>
    <w:bookmarkEnd w:id="687"/>
    <w:bookmarkEnd w:id="688"/>
    <w:bookmarkStart w:id="696" w:name="Xa2b48151b9fae75727a85a1273144187d124bb3"/>
    <w:p>
      <w:pPr>
        <w:pStyle w:val="Heading1"/>
        <w:keepNext/>
        <w:keepLines/>
        <w:pageBreakBefore w:val="0"/>
        <w:widowControl/>
      </w:pPr>
      <w:r>
        <w:rPr>
          <w:rFonts w:ascii="Arial" w:hAnsi="Arial" w:eastAsia="Arial"/>
          <w:b/>
          <w:color w:val="1F4E78"/>
        </w:rPr>
        <w:t xml:space="preserve">APPENDIX AI: TERM DISCRIMINATION AND SEMANTIC STABILITY PROTOCOL</w:t>
      </w:r>
    </w:p>
    <w:bookmarkStart w:id="689" w:name="ai1-status-and-placement"/>
    <w:p>
      <w:pPr>
        <w:pStyle w:val="Heading2"/>
        <w:keepNext/>
        <w:keepLines/>
        <w:pageBreakBefore w:val="0"/>
        <w:widowControl/>
      </w:pPr>
      <w:r>
        <w:rPr>
          <w:rFonts w:ascii="Arial" w:hAnsi="Arial" w:eastAsia="Arial"/>
          <w:b/>
          <w:color w:val="1F4E78"/>
        </w:rPr>
        <w:t xml:space="preserve">AI.1 Status and placement</w:t>
      </w:r>
    </w:p>
    <w:p>
      <w:pPr>
        <w:pStyle w:val="FirstParagraph"/>
        <w:widowControl/>
      </w:pPr>
      <w:r>
        <w:t xml:space="preserve">Status. Appendix AI is a normative hardening patch for claim-bearing Tier 2 and Tier 3 runs and an informative design guide for lower-stakes runs. It strengthens Category Grounding inside Reality Grounding. It does not create a sixth public method level, does not import an external ontology, does not weaken NCRC, TRC, CSV, RLS, PLSS, SGP, lawful authority, or Tier 4/ProofPack boundaries, and does not make certification, compliance, or deployment claims available by itself.</w:t>
      </w:r>
    </w:p>
    <w:p>
      <w:pPr>
        <w:pStyle w:val="BodyText"/>
        <w:widowControl/>
      </w:pPr>
      <w:r>
        <w:t xml:space="preserve">Placement rule. Term Discrimination is a required subdiscipline of Category Grounding when a material term affects rights, tail risk, containment, SGP interpretation, authority, conformance, public claims, optimized metrics, or execution. Category Grounding asks whether a category is grounded. Term Discrimination asks whether the operative word is being kept separate from neighboring words that would change the claim, gate result, authority state, or execution status if collapsed.</w:t>
      </w:r>
    </w:p>
    <w:bookmarkEnd w:id="689"/>
    <w:bookmarkStart w:id="690" w:name="ai2-core-definitions"/>
    <w:p>
      <w:pPr>
        <w:pStyle w:val="Heading2"/>
        <w:keepNext/>
        <w:keepLines/>
        <w:pageBreakBefore w:val="0"/>
        <w:widowControl/>
      </w:pPr>
      <w:r>
        <w:rPr>
          <w:rFonts w:ascii="Arial" w:hAnsi="Arial" w:eastAsia="Arial"/>
          <w:b/>
          <w:color w:val="1F4E78"/>
        </w:rPr>
        <w:t xml:space="preserve">AI.2 Core definitions</w:t>
      </w:r>
    </w:p>
    <w:p>
      <w:pPr>
        <w:pStyle w:val="FirstParagraph"/>
        <w:widowControl/>
      </w:pPr>
      <w:r>
        <w:t xml:space="preserve">Term. A term is an operative word, phrase, label, token, schema field, policy label, benchmark label, dashboard label, legal label, or model-generated description used to identify, measure, protect, score, govern, authorize, certify, monitor, or execute against a phenomenon.</w:t>
      </w:r>
    </w:p>
    <w:p>
      <w:pPr>
        <w:pStyle w:val="BodyText"/>
        <w:widowControl/>
      </w:pPr>
      <w:r>
        <w:t xml:space="preserve">Term Discrimination. Term Discrimination is the review discipline that states what a material term means, what it does not mean, what discriminator separates it from neighboring terms, where it belongs in the dependency order of the run, and when the term must be narrowed, escalated, monitored, or refused.</w:t>
      </w:r>
    </w:p>
    <w:p>
      <w:pPr>
        <w:pStyle w:val="BodyText"/>
        <w:widowControl/>
      </w:pPr>
      <w:r>
        <w:t xml:space="preserve">Discriminator. A discriminator is the decisive property that makes one term this term rather than a neighboring term. A discriminator MUST be stated for material terms that could otherwise collapse into another term under institutional pressure, optimization pressure, model fluency, compliance theater, or public communication pressure.</w:t>
      </w:r>
    </w:p>
    <w:p>
      <w:pPr>
        <w:pStyle w:val="BodyText"/>
        <w:widowControl/>
      </w:pPr>
      <w:r>
        <w:t xml:space="preserve">Dependency position. Dependency position identifies where a term sits in the decision stack. A downstream term MUST NOT claim the authority of an upstream term. Permission does not establish admissibility. Monitoring does not establish control. Certification does not establish validity. A score does not establish truth. Execution capability does not establish execution authority.</w:t>
      </w:r>
    </w:p>
    <w:p>
      <w:pPr>
        <w:pStyle w:val="BodyText"/>
        <w:widowControl/>
      </w:pPr>
      <w:r>
        <w:t xml:space="preserve">Term-refusal condition. A term-refusal condition is the condition under which a run MUST NOT use a term at its stronger claim level. The required response is claim narrowing, evidence collection, escalation, sensitivity-only use, monitor-only use, or refusal.</w:t>
      </w:r>
    </w:p>
    <w:p>
      <w:pPr>
        <w:pStyle w:val="BodyText"/>
        <w:widowControl/>
      </w:pPr>
      <w:r>
        <w:t xml:space="preserve">Non-collapse pair. A non-collapse pair is a pair of terms that MUST NOT be treated as equivalent unless a future governed annex explicitly defines an equivalence for the relevant use. Non-collapse pairs include reality/evidence, evidence/interpretation, compliance/correctness, certification/validity, permission/admissibility, monitoring/control, safety/stability, automation/autonomy, protection/authority, selected/executable, and score/truth.</w:t>
      </w:r>
    </w:p>
    <w:bookmarkEnd w:id="690"/>
    <w:bookmarkStart w:id="691" w:name="Xb6ebfad073159099d6d3e709a6093fefb3825b5"/>
    <w:p>
      <w:pPr>
        <w:pStyle w:val="Heading2"/>
        <w:keepNext/>
        <w:keepLines/>
        <w:pageBreakBefore w:val="0"/>
        <w:widowControl/>
      </w:pPr>
      <w:r>
        <w:rPr>
          <w:rFonts w:ascii="Arial" w:hAnsi="Arial" w:eastAsia="Arial"/>
          <w:b/>
          <w:color w:val="1F4E78"/>
        </w:rPr>
        <w:t xml:space="preserve">AI.3 Extended CategoryGroundingRecord fields</w:t>
      </w:r>
    </w:p>
    <w:p>
      <w:pPr>
        <w:pStyle w:val="FirstParagraph"/>
        <w:widowControl/>
      </w:pPr>
      <w:r>
        <w:t xml:space="preserve">When Term Discrimination is material, the CategoryGroundingRecord MUST add or map the following fields:</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Field</w:t>
            </w:r>
          </w:p>
        </w:tc>
        <w:tc>
          <w:tcPr>
            <w:shd w:fill="1F4E78" w:val="clear"/>
            <w:tcMar>
              <w:top w:w="80" w:type="dxa"/>
              <w:start w:w="90" w:type="dxa"/>
              <w:bottom w:w="80" w:type="dxa"/>
              <w:end w:w="90" w:type="dxa"/>
            </w:tcMar>
          </w:tcPr>
          <w:p>
            <w:pPr>
              <w:pStyle w:val="Compact"/>
              <w:jc w:val="left"/>
            </w:pPr>
            <w:r>
              <w:rPr>
                <w:b/>
                <w:bCs/>
                <w:color w:val="FFFFFF"/>
              </w:rPr>
              <w:t xml:space="preserve">Meaning</w:t>
            </w:r>
          </w:p>
        </w:tc>
      </w:tr>
      <w:tr>
        <w:trPr/>
        <w:tc>
          <w:tcPr>
            <w:tcMar>
              <w:top w:w="80" w:type="dxa"/>
              <w:start w:w="90" w:type="dxa"/>
              <w:bottom w:w="80" w:type="dxa"/>
              <w:end w:w="90" w:type="dxa"/>
            </w:tcMar>
            <w:shd w:fill="F7FBFF" w:val="clear"/>
          </w:tcPr>
          <w:p>
            <w:pPr>
              <w:pStyle w:val="Compact"/>
              <w:jc w:val="left"/>
            </w:pPr>
            <w:r>
              <w:t xml:space="preserve">category_discriminator</w:t>
            </w:r>
          </w:p>
        </w:tc>
        <w:tc>
          <w:tcPr>
            <w:tcMar>
              <w:top w:w="80" w:type="dxa"/>
              <w:start w:w="90" w:type="dxa"/>
              <w:bottom w:w="80" w:type="dxa"/>
              <w:end w:w="90" w:type="dxa"/>
            </w:tcMar>
            <w:shd w:fill="F7FBFF" w:val="clear"/>
          </w:tcPr>
          <w:p>
            <w:pPr>
              <w:pStyle w:val="Compact"/>
              <w:jc w:val="left"/>
            </w:pPr>
            <w:r>
              <w:t xml:space="preserve">The property that separates the material category or term from nearby terms it is likely to be confused with.</w:t>
            </w:r>
          </w:p>
        </w:tc>
      </w:tr>
      <w:tr>
        <w:trPr/>
        <w:tc>
          <w:tcPr>
            <w:tcMar>
              <w:top w:w="80" w:type="dxa"/>
              <w:start w:w="90" w:type="dxa"/>
              <w:bottom w:w="80" w:type="dxa"/>
              <w:end w:w="90" w:type="dxa"/>
            </w:tcMar>
            <w:shd w:fill="D9EAF7" w:val="clear"/>
          </w:tcPr>
          <w:p>
            <w:pPr>
              <w:pStyle w:val="Compact"/>
              <w:jc w:val="left"/>
            </w:pPr>
            <w:r>
              <w:t xml:space="preserve">dependency_position</w:t>
            </w:r>
          </w:p>
        </w:tc>
        <w:tc>
          <w:tcPr>
            <w:tcMar>
              <w:top w:w="80" w:type="dxa"/>
              <w:start w:w="90" w:type="dxa"/>
              <w:bottom w:w="80" w:type="dxa"/>
              <w:end w:w="90" w:type="dxa"/>
            </w:tcMar>
            <w:shd w:fill="D9EAF7" w:val="clear"/>
          </w:tcPr>
          <w:p>
            <w:pPr>
              <w:pStyle w:val="Compact"/>
              <w:jc w:val="left"/>
            </w:pPr>
            <w:r>
              <w:t xml:space="preserve">The layer or authority position the term occupies: reality-surface, evidence-trace, category-boundary, rights-admissibility, tail-risk-admissibility, containment-selectability, residual-ranking, framework-verdict, authority-selection, execution-authority, monitoring, certification, or public-claim.</w:t>
            </w:r>
          </w:p>
        </w:tc>
      </w:tr>
      <w:tr>
        <w:trPr/>
        <w:tc>
          <w:tcPr>
            <w:tcMar>
              <w:top w:w="80" w:type="dxa"/>
              <w:start w:w="90" w:type="dxa"/>
              <w:bottom w:w="80" w:type="dxa"/>
              <w:end w:w="90" w:type="dxa"/>
            </w:tcMar>
            <w:shd w:fill="F7FBFF" w:val="clear"/>
          </w:tcPr>
          <w:p>
            <w:pPr>
              <w:pStyle w:val="Compact"/>
              <w:jc w:val="left"/>
            </w:pPr>
            <w:r>
              <w:t xml:space="preserve">term_refusal_condition</w:t>
            </w:r>
          </w:p>
        </w:tc>
        <w:tc>
          <w:tcPr>
            <w:tcMar>
              <w:top w:w="80" w:type="dxa"/>
              <w:start w:w="90" w:type="dxa"/>
              <w:bottom w:w="80" w:type="dxa"/>
              <w:end w:w="90" w:type="dxa"/>
            </w:tcMar>
            <w:shd w:fill="F7FBFF" w:val="clear"/>
          </w:tcPr>
          <w:p>
            <w:pPr>
              <w:pStyle w:val="Compact"/>
              <w:jc w:val="left"/>
            </w:pPr>
            <w:r>
              <w:t xml:space="preserve">The condition under which the term cannot support the stronger claim and must be narrowed, escalated, marked sensitivity-only/monitor-only, or refused.</w:t>
            </w:r>
          </w:p>
        </w:tc>
      </w:tr>
      <w:tr>
        <w:trPr/>
        <w:tc>
          <w:tcPr>
            <w:tcMar>
              <w:top w:w="80" w:type="dxa"/>
              <w:start w:w="90" w:type="dxa"/>
              <w:bottom w:w="80" w:type="dxa"/>
              <w:end w:w="90" w:type="dxa"/>
            </w:tcMar>
            <w:shd w:fill="D9EAF7" w:val="clear"/>
          </w:tcPr>
          <w:p>
            <w:pPr>
              <w:pStyle w:val="Compact"/>
              <w:jc w:val="left"/>
            </w:pPr>
            <w:r>
              <w:t xml:space="preserve">noncollapse_pairs</w:t>
            </w:r>
          </w:p>
        </w:tc>
        <w:tc>
          <w:tcPr>
            <w:tcMar>
              <w:top w:w="80" w:type="dxa"/>
              <w:start w:w="90" w:type="dxa"/>
              <w:bottom w:w="80" w:type="dxa"/>
              <w:end w:w="90" w:type="dxa"/>
            </w:tcMar>
            <w:shd w:fill="D9EAF7" w:val="clear"/>
          </w:tcPr>
          <w:p>
            <w:pPr>
              <w:pStyle w:val="Compact"/>
              <w:jc w:val="left"/>
            </w:pPr>
            <w:r>
              <w:t xml:space="preserve">The nearest terms this term MUST NOT be collapsed with in the run.</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source_authority_status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Whether the source of the term is evidential, legal, institutional, model-generated, benchmark-derived, stakeholder-proposed, or framework-defined. This records source status without treating source status as automatic category validity.</w:t>
            </w:r>
          </w:p>
        </w:tc>
      </w:tr>
    </w:tbl>
    <w:bookmarkEnd w:id="691"/>
    <w:bookmarkStart w:id="692" w:name="ai4-dependency-position-rule"/>
    <w:p>
      <w:pPr>
        <w:pStyle w:val="Heading2"/>
        <w:keepNext/>
        <w:keepLines/>
        <w:pageBreakBefore w:val="0"/>
        <w:widowControl/>
      </w:pPr>
      <w:r>
        <w:rPr>
          <w:rFonts w:ascii="Arial" w:hAnsi="Arial" w:eastAsia="Arial"/>
          <w:b/>
          <w:color w:val="1F4E78"/>
        </w:rPr>
        <w:t xml:space="preserve">AI.4 Dependency-position rule</w:t>
      </w:r>
    </w:p>
    <w:p>
      <w:pPr>
        <w:pStyle w:val="FirstParagraph"/>
        <w:widowControl/>
      </w:pPr>
      <w:r>
        <w:t xml:space="preserve">A material term may support only the claim strength allowed by its dependency position and evidence surface.</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Term position</w:t>
            </w:r>
          </w:p>
        </w:tc>
        <w:tc>
          <w:tcPr>
            <w:shd w:fill="1F4E78" w:val="clear"/>
            <w:tcMar>
              <w:top w:w="80" w:type="dxa"/>
              <w:start w:w="90" w:type="dxa"/>
              <w:bottom w:w="80" w:type="dxa"/>
              <w:end w:w="90" w:type="dxa"/>
            </w:tcMar>
          </w:tcPr>
          <w:p>
            <w:pPr>
              <w:pStyle w:val="Compact"/>
              <w:jc w:val="left"/>
            </w:pPr>
            <w:r>
              <w:rPr>
                <w:b/>
                <w:bCs/>
                <w:color w:val="FFFFFF"/>
              </w:rPr>
              <w:t xml:space="preserve">May support</w:t>
            </w:r>
          </w:p>
        </w:tc>
        <w:tc>
          <w:tcPr>
            <w:shd w:fill="1F4E78" w:val="clear"/>
            <w:tcMar>
              <w:top w:w="80" w:type="dxa"/>
              <w:start w:w="90" w:type="dxa"/>
              <w:bottom w:w="80" w:type="dxa"/>
              <w:end w:w="90" w:type="dxa"/>
            </w:tcMar>
          </w:tcPr>
          <w:p>
            <w:pPr>
              <w:pStyle w:val="Compact"/>
              <w:jc w:val="left"/>
            </w:pPr>
            <w:r>
              <w:rPr>
                <w:b/>
                <w:bCs/>
                <w:color w:val="FFFFFF"/>
              </w:rPr>
              <w:t xml:space="preserve">Must not claim by itself</w:t>
            </w:r>
          </w:p>
        </w:tc>
      </w:tr>
      <w:tr>
        <w:trPr/>
        <w:tc>
          <w:tcPr>
            <w:tcMar>
              <w:top w:w="80" w:type="dxa"/>
              <w:start w:w="90" w:type="dxa"/>
              <w:bottom w:w="80" w:type="dxa"/>
              <w:end w:w="90" w:type="dxa"/>
            </w:tcMar>
            <w:shd w:fill="F7FBFF" w:val="clear"/>
          </w:tcPr>
          <w:p>
            <w:pPr>
              <w:pStyle w:val="Compact"/>
              <w:jc w:val="left"/>
            </w:pPr>
            <w:r>
              <w:t xml:space="preserve">Reality surface</w:t>
            </w:r>
          </w:p>
        </w:tc>
        <w:tc>
          <w:tcPr>
            <w:tcMar>
              <w:top w:w="80" w:type="dxa"/>
              <w:start w:w="90" w:type="dxa"/>
              <w:bottom w:w="80" w:type="dxa"/>
              <w:end w:w="90" w:type="dxa"/>
            </w:tcMar>
            <w:shd w:fill="F7FBFF" w:val="clear"/>
          </w:tcPr>
          <w:p>
            <w:pPr>
              <w:pStyle w:val="Compact"/>
              <w:jc w:val="left"/>
            </w:pPr>
            <w:r>
              <w:t xml:space="preserve">Contact with the modeled or evidenced part of the territory</w:t>
            </w:r>
          </w:p>
        </w:tc>
        <w:tc>
          <w:tcPr>
            <w:tcMar>
              <w:top w:w="80" w:type="dxa"/>
              <w:start w:w="90" w:type="dxa"/>
              <w:bottom w:w="80" w:type="dxa"/>
              <w:end w:w="90" w:type="dxa"/>
            </w:tcMar>
            <w:shd w:fill="F7FBFF" w:val="clear"/>
          </w:tcPr>
          <w:p>
            <w:pPr>
              <w:pStyle w:val="Compact"/>
              <w:jc w:val="left"/>
            </w:pPr>
            <w:r>
              <w:t xml:space="preserve">Complete access to the territory</w:t>
            </w:r>
          </w:p>
        </w:tc>
      </w:tr>
      <w:tr>
        <w:trPr/>
        <w:tc>
          <w:tcPr>
            <w:tcMar>
              <w:top w:w="80" w:type="dxa"/>
              <w:start w:w="90" w:type="dxa"/>
              <w:bottom w:w="80" w:type="dxa"/>
              <w:end w:w="90" w:type="dxa"/>
            </w:tcMar>
            <w:shd w:fill="D9EAF7" w:val="clear"/>
          </w:tcPr>
          <w:p>
            <w:pPr>
              <w:pStyle w:val="Compact"/>
              <w:jc w:val="left"/>
            </w:pPr>
            <w:r>
              <w:t xml:space="preserve">Evidence trace</w:t>
            </w:r>
          </w:p>
        </w:tc>
        <w:tc>
          <w:tcPr>
            <w:tcMar>
              <w:top w:w="80" w:type="dxa"/>
              <w:start w:w="90" w:type="dxa"/>
              <w:bottom w:w="80" w:type="dxa"/>
              <w:end w:w="90" w:type="dxa"/>
            </w:tcMar>
            <w:shd w:fill="D9EAF7" w:val="clear"/>
          </w:tcPr>
          <w:p>
            <w:pPr>
              <w:pStyle w:val="Compact"/>
              <w:jc w:val="left"/>
            </w:pPr>
            <w:r>
              <w:t xml:space="preserve">Support for a claim boundary</w:t>
            </w:r>
          </w:p>
        </w:tc>
        <w:tc>
          <w:tcPr>
            <w:tcMar>
              <w:top w:w="80" w:type="dxa"/>
              <w:start w:w="90" w:type="dxa"/>
              <w:bottom w:w="80" w:type="dxa"/>
              <w:end w:w="90" w:type="dxa"/>
            </w:tcMar>
            <w:shd w:fill="D9EAF7" w:val="clear"/>
          </w:tcPr>
          <w:p>
            <w:pPr>
              <w:pStyle w:val="Compact"/>
              <w:jc w:val="left"/>
            </w:pPr>
            <w:r>
              <w:t xml:space="preserve">Self-interpreting truth or complete causality</w:t>
            </w:r>
          </w:p>
        </w:tc>
      </w:tr>
      <w:tr>
        <w:trPr/>
        <w:tc>
          <w:tcPr>
            <w:tcMar>
              <w:top w:w="80" w:type="dxa"/>
              <w:start w:w="90" w:type="dxa"/>
              <w:bottom w:w="80" w:type="dxa"/>
              <w:end w:w="90" w:type="dxa"/>
            </w:tcMar>
            <w:shd w:fill="F7FBFF" w:val="clear"/>
          </w:tcPr>
          <w:p>
            <w:pPr>
              <w:pStyle w:val="Compact"/>
              <w:jc w:val="left"/>
            </w:pPr>
            <w:r>
              <w:t xml:space="preserve">Category boundary</w:t>
            </w:r>
          </w:p>
        </w:tc>
        <w:tc>
          <w:tcPr>
            <w:tcMar>
              <w:top w:w="80" w:type="dxa"/>
              <w:start w:w="90" w:type="dxa"/>
              <w:bottom w:w="80" w:type="dxa"/>
              <w:end w:w="90" w:type="dxa"/>
            </w:tcMar>
            <w:shd w:fill="F7FBFF" w:val="clear"/>
          </w:tcPr>
          <w:p>
            <w:pPr>
              <w:pStyle w:val="Compact"/>
              <w:jc w:val="left"/>
            </w:pPr>
            <w:r>
              <w:t xml:space="preserve">Proper classification for declared use</w:t>
            </w:r>
          </w:p>
        </w:tc>
        <w:tc>
          <w:tcPr>
            <w:tcMar>
              <w:top w:w="80" w:type="dxa"/>
              <w:start w:w="90" w:type="dxa"/>
              <w:bottom w:w="80" w:type="dxa"/>
              <w:end w:w="90" w:type="dxa"/>
            </w:tcMar>
            <w:shd w:fill="F7FBFF" w:val="clear"/>
          </w:tcPr>
          <w:p>
            <w:pPr>
              <w:pStyle w:val="Compact"/>
              <w:jc w:val="left"/>
            </w:pPr>
            <w:r>
              <w:t xml:space="preserve">Validity of downstream scoring or governance by itself</w:t>
            </w:r>
          </w:p>
        </w:tc>
      </w:tr>
      <w:tr>
        <w:trPr/>
        <w:tc>
          <w:tcPr>
            <w:tcMar>
              <w:top w:w="80" w:type="dxa"/>
              <w:start w:w="90" w:type="dxa"/>
              <w:bottom w:w="80" w:type="dxa"/>
              <w:end w:w="90" w:type="dxa"/>
            </w:tcMar>
            <w:shd w:fill="D9EAF7" w:val="clear"/>
          </w:tcPr>
          <w:p>
            <w:pPr>
              <w:pStyle w:val="Compact"/>
              <w:jc w:val="left"/>
            </w:pPr>
            <w:r>
              <w:t xml:space="preserve">Rights-admissibility</w:t>
            </w:r>
          </w:p>
        </w:tc>
        <w:tc>
          <w:tcPr>
            <w:tcMar>
              <w:top w:w="80" w:type="dxa"/>
              <w:start w:w="90" w:type="dxa"/>
              <w:bottom w:w="80" w:type="dxa"/>
              <w:end w:w="90" w:type="dxa"/>
            </w:tcMar>
            <w:shd w:fill="D9EAF7" w:val="clear"/>
          </w:tcPr>
          <w:p>
            <w:pPr>
              <w:pStyle w:val="Compact"/>
              <w:jc w:val="left"/>
            </w:pPr>
            <w:r>
              <w:t xml:space="preserve">NCRC pass/fail state</w:t>
            </w:r>
          </w:p>
        </w:tc>
        <w:tc>
          <w:tcPr>
            <w:tcMar>
              <w:top w:w="80" w:type="dxa"/>
              <w:start w:w="90" w:type="dxa"/>
              <w:bottom w:w="80" w:type="dxa"/>
              <w:end w:w="90" w:type="dxa"/>
            </w:tcMar>
            <w:shd w:fill="D9EAF7" w:val="clear"/>
          </w:tcPr>
          <w:p>
            <w:pPr>
              <w:pStyle w:val="Compact"/>
              <w:jc w:val="left"/>
            </w:pPr>
            <w:r>
              <w:t xml:space="preserve">Tail-risk pass, containment pass, selection, or execution authority</w:t>
            </w:r>
          </w:p>
        </w:tc>
      </w:tr>
      <w:tr>
        <w:trPr/>
        <w:tc>
          <w:tcPr>
            <w:tcMar>
              <w:top w:w="80" w:type="dxa"/>
              <w:start w:w="90" w:type="dxa"/>
              <w:bottom w:w="80" w:type="dxa"/>
              <w:end w:w="90" w:type="dxa"/>
            </w:tcMar>
            <w:shd w:fill="F7FBFF" w:val="clear"/>
          </w:tcPr>
          <w:p>
            <w:pPr>
              <w:pStyle w:val="Compact"/>
              <w:jc w:val="left"/>
            </w:pPr>
            <w:r>
              <w:t xml:space="preserve">Tail-risk-admissibility</w:t>
            </w:r>
          </w:p>
        </w:tc>
        <w:tc>
          <w:tcPr>
            <w:tcMar>
              <w:top w:w="80" w:type="dxa"/>
              <w:start w:w="90" w:type="dxa"/>
              <w:bottom w:w="80" w:type="dxa"/>
              <w:end w:w="90" w:type="dxa"/>
            </w:tcMar>
            <w:shd w:fill="F7FBFF" w:val="clear"/>
          </w:tcPr>
          <w:p>
            <w:pPr>
              <w:pStyle w:val="Compact"/>
              <w:jc w:val="left"/>
            </w:pPr>
            <w:r>
              <w:t xml:space="preserve">TRC pass/fail state</w:t>
            </w:r>
          </w:p>
        </w:tc>
        <w:tc>
          <w:tcPr>
            <w:tcMar>
              <w:top w:w="80" w:type="dxa"/>
              <w:start w:w="90" w:type="dxa"/>
              <w:bottom w:w="80" w:type="dxa"/>
              <w:end w:w="90" w:type="dxa"/>
            </w:tcMar>
            <w:shd w:fill="F7FBFF" w:val="clear"/>
          </w:tcPr>
          <w:p>
            <w:pPr>
              <w:pStyle w:val="Compact"/>
              <w:jc w:val="left"/>
            </w:pPr>
            <w:r>
              <w:t xml:space="preserve">Rights validity, containment integrity, or welfare optimality</w:t>
            </w:r>
          </w:p>
        </w:tc>
      </w:tr>
      <w:tr>
        <w:trPr/>
        <w:tc>
          <w:tcPr>
            <w:tcMar>
              <w:top w:w="80" w:type="dxa"/>
              <w:start w:w="90" w:type="dxa"/>
              <w:bottom w:w="80" w:type="dxa"/>
              <w:end w:w="90" w:type="dxa"/>
            </w:tcMar>
            <w:shd w:fill="D9EAF7" w:val="clear"/>
          </w:tcPr>
          <w:p>
            <w:pPr>
              <w:pStyle w:val="Compact"/>
              <w:jc w:val="left"/>
            </w:pPr>
            <w:r>
              <w:t xml:space="preserve">Containment-selectability</w:t>
            </w:r>
          </w:p>
        </w:tc>
        <w:tc>
          <w:tcPr>
            <w:tcMar>
              <w:top w:w="80" w:type="dxa"/>
              <w:start w:w="90" w:type="dxa"/>
              <w:bottom w:w="80" w:type="dxa"/>
              <w:end w:w="90" w:type="dxa"/>
            </w:tcMar>
            <w:shd w:fill="D9EAF7" w:val="clear"/>
          </w:tcPr>
          <w:p>
            <w:pPr>
              <w:pStyle w:val="Compact"/>
              <w:jc w:val="left"/>
            </w:pPr>
            <w:r>
              <w:t xml:space="preserve">Larger-system structural acceptability</w:t>
            </w:r>
          </w:p>
        </w:tc>
        <w:tc>
          <w:tcPr>
            <w:tcMar>
              <w:top w:w="80" w:type="dxa"/>
              <w:start w:w="90" w:type="dxa"/>
              <w:bottom w:w="80" w:type="dxa"/>
              <w:end w:w="90" w:type="dxa"/>
            </w:tcMar>
            <w:shd w:fill="D9EAF7" w:val="clear"/>
          </w:tcPr>
          <w:p>
            <w:pPr>
              <w:pStyle w:val="Compact"/>
              <w:jc w:val="left"/>
            </w:pPr>
            <w:r>
              <w:t xml:space="preserve">Highest residual welfare or lawful execution</w:t>
            </w:r>
          </w:p>
        </w:tc>
      </w:tr>
      <w:tr>
        <w:trPr/>
        <w:tc>
          <w:tcPr>
            <w:tcMar>
              <w:top w:w="80" w:type="dxa"/>
              <w:start w:w="90" w:type="dxa"/>
              <w:bottom w:w="80" w:type="dxa"/>
              <w:end w:w="90" w:type="dxa"/>
            </w:tcMar>
            <w:shd w:fill="F7FBFF" w:val="clear"/>
          </w:tcPr>
          <w:p>
            <w:pPr>
              <w:pStyle w:val="Compact"/>
              <w:jc w:val="left"/>
            </w:pPr>
            <w:r>
              <w:t xml:space="preserve">Residual-ranking</w:t>
            </w:r>
          </w:p>
        </w:tc>
        <w:tc>
          <w:tcPr>
            <w:tcMar>
              <w:top w:w="80" w:type="dxa"/>
              <w:start w:w="90" w:type="dxa"/>
              <w:bottom w:w="80" w:type="dxa"/>
              <w:end w:w="90" w:type="dxa"/>
            </w:tcMar>
            <w:shd w:fill="F7FBFF" w:val="clear"/>
          </w:tcPr>
          <w:p>
            <w:pPr>
              <w:pStyle w:val="Compact"/>
              <w:jc w:val="left"/>
            </w:pPr>
            <w:r>
              <w:t xml:space="preserve">RLS ranking among selectable options</w:t>
            </w:r>
          </w:p>
        </w:tc>
        <w:tc>
          <w:tcPr>
            <w:tcMar>
              <w:top w:w="80" w:type="dxa"/>
              <w:start w:w="90" w:type="dxa"/>
              <w:bottom w:w="80" w:type="dxa"/>
              <w:end w:w="90" w:type="dxa"/>
            </w:tcMar>
            <w:shd w:fill="F7FBFF" w:val="clear"/>
          </w:tcPr>
          <w:p>
            <w:pPr>
              <w:pStyle w:val="Compact"/>
              <w:jc w:val="left"/>
            </w:pPr>
            <w:r>
              <w:t xml:space="preserve">Rescue of any failed upstream layer</w:t>
            </w:r>
          </w:p>
        </w:tc>
      </w:tr>
      <w:tr>
        <w:trPr/>
        <w:tc>
          <w:tcPr>
            <w:tcMar>
              <w:top w:w="80" w:type="dxa"/>
              <w:start w:w="90" w:type="dxa"/>
              <w:bottom w:w="80" w:type="dxa"/>
              <w:end w:w="90" w:type="dxa"/>
            </w:tcMar>
            <w:shd w:fill="D9EAF7" w:val="clear"/>
          </w:tcPr>
          <w:p>
            <w:pPr>
              <w:pStyle w:val="Compact"/>
              <w:jc w:val="left"/>
            </w:pPr>
            <w:r>
              <w:t xml:space="preserve">Framework verdict</w:t>
            </w:r>
          </w:p>
        </w:tc>
        <w:tc>
          <w:tcPr>
            <w:tcMar>
              <w:top w:w="80" w:type="dxa"/>
              <w:start w:w="90" w:type="dxa"/>
              <w:bottom w:w="80" w:type="dxa"/>
              <w:end w:w="90" w:type="dxa"/>
            </w:tcMar>
            <w:shd w:fill="D9EAF7" w:val="clear"/>
          </w:tcPr>
          <w:p>
            <w:pPr>
              <w:pStyle w:val="Compact"/>
              <w:jc w:val="left"/>
            </w:pPr>
            <w:r>
              <w:t xml:space="preserve">Disclosed result of the framework run</w:t>
            </w:r>
          </w:p>
        </w:tc>
        <w:tc>
          <w:tcPr>
            <w:tcMar>
              <w:top w:w="80" w:type="dxa"/>
              <w:start w:w="90" w:type="dxa"/>
              <w:bottom w:w="80" w:type="dxa"/>
              <w:end w:w="90" w:type="dxa"/>
            </w:tcMar>
            <w:shd w:fill="D9EAF7" w:val="clear"/>
          </w:tcPr>
          <w:p>
            <w:pPr>
              <w:pStyle w:val="Compact"/>
              <w:jc w:val="left"/>
            </w:pPr>
            <w:r>
              <w:t xml:space="preserve">Human, legal, institutional, or execution authority</w:t>
            </w:r>
          </w:p>
        </w:tc>
      </w:tr>
      <w:tr>
        <w:trPr/>
        <w:tc>
          <w:tcPr>
            <w:tcMar>
              <w:top w:w="80" w:type="dxa"/>
              <w:start w:w="90" w:type="dxa"/>
              <w:bottom w:w="80" w:type="dxa"/>
              <w:end w:w="90" w:type="dxa"/>
            </w:tcMar>
            <w:shd w:fill="F7FBFF" w:val="clear"/>
          </w:tcPr>
          <w:p>
            <w:pPr>
              <w:pStyle w:val="Compact"/>
              <w:jc w:val="left"/>
            </w:pPr>
            <w:r>
              <w:t xml:space="preserve">Authority selection</w:t>
            </w:r>
          </w:p>
        </w:tc>
        <w:tc>
          <w:tcPr>
            <w:tcMar>
              <w:top w:w="80" w:type="dxa"/>
              <w:start w:w="90" w:type="dxa"/>
              <w:bottom w:w="80" w:type="dxa"/>
              <w:end w:w="90" w:type="dxa"/>
            </w:tcMar>
            <w:shd w:fill="F7FBFF" w:val="clear"/>
          </w:tcPr>
          <w:p>
            <w:pPr>
              <w:pStyle w:val="Compact"/>
              <w:jc w:val="left"/>
            </w:pPr>
            <w:r>
              <w:t xml:space="preserve">A human/institutional/operator choice after verdict disclosure</w:t>
            </w:r>
          </w:p>
        </w:tc>
        <w:tc>
          <w:tcPr>
            <w:tcMar>
              <w:top w:w="80" w:type="dxa"/>
              <w:start w:w="90" w:type="dxa"/>
              <w:bottom w:w="80" w:type="dxa"/>
              <w:end w:w="90" w:type="dxa"/>
            </w:tcMar>
            <w:shd w:fill="F7FBFF" w:val="clear"/>
          </w:tcPr>
          <w:p>
            <w:pPr>
              <w:pStyle w:val="Compact"/>
              <w:jc w:val="left"/>
            </w:pPr>
            <w:r>
              <w:t xml:space="preserve">Conversion of non-decisiveness into deterministic framework selection</w:t>
            </w:r>
          </w:p>
        </w:tc>
      </w:tr>
      <w:tr>
        <w:trPr/>
        <w:tc>
          <w:tcPr>
            <w:tcMar>
              <w:top w:w="80" w:type="dxa"/>
              <w:start w:w="90" w:type="dxa"/>
              <w:bottom w:w="80" w:type="dxa"/>
              <w:end w:w="90" w:type="dxa"/>
            </w:tcMar>
            <w:shd w:fill="D9EAF7" w:val="clear"/>
          </w:tcPr>
          <w:p>
            <w:pPr>
              <w:pStyle w:val="Compact"/>
              <w:jc w:val="left"/>
            </w:pPr>
            <w:r>
              <w:t xml:space="preserve">Execution authority</w:t>
            </w:r>
          </w:p>
        </w:tc>
        <w:tc>
          <w:tcPr>
            <w:tcMar>
              <w:top w:w="80" w:type="dxa"/>
              <w:start w:w="90" w:type="dxa"/>
              <w:bottom w:w="80" w:type="dxa"/>
              <w:end w:w="90" w:type="dxa"/>
            </w:tcMar>
            <w:shd w:fill="D9EAF7" w:val="clear"/>
          </w:tcPr>
          <w:p>
            <w:pPr>
              <w:pStyle w:val="Compact"/>
              <w:jc w:val="left"/>
            </w:pPr>
            <w:r>
              <w:t xml:space="preserve">Governed authority to act through hard controls</w:t>
            </w:r>
          </w:p>
        </w:tc>
        <w:tc>
          <w:tcPr>
            <w:tcMar>
              <w:top w:w="80" w:type="dxa"/>
              <w:start w:w="90" w:type="dxa"/>
              <w:bottom w:w="80" w:type="dxa"/>
              <w:end w:w="90" w:type="dxa"/>
            </w:tcMar>
            <w:shd w:fill="D9EAF7" w:val="clear"/>
          </w:tcPr>
          <w:p>
            <w:pPr>
              <w:pStyle w:val="Compact"/>
              <w:jc w:val="left"/>
            </w:pPr>
            <w:r>
              <w:t xml:space="preserve">Proof that the action is safe, valid, or wise</w:t>
            </w:r>
          </w:p>
        </w:tc>
      </w:tr>
      <w:tr>
        <w:trPr/>
        <w:tc>
          <w:tcPr>
            <w:tcMar>
              <w:top w:w="80" w:type="dxa"/>
              <w:start w:w="90" w:type="dxa"/>
              <w:bottom w:w="80" w:type="dxa"/>
              <w:end w:w="90" w:type="dxa"/>
            </w:tcMar>
            <w:shd w:fill="F7FBFF" w:val="clear"/>
          </w:tcPr>
          <w:p>
            <w:pPr>
              <w:pStyle w:val="Compact"/>
              <w:jc w:val="left"/>
            </w:pPr>
            <w:r>
              <w:t xml:space="preserve">Monitoring</w:t>
            </w:r>
          </w:p>
        </w:tc>
        <w:tc>
          <w:tcPr>
            <w:tcMar>
              <w:top w:w="80" w:type="dxa"/>
              <w:start w:w="90" w:type="dxa"/>
              <w:bottom w:w="80" w:type="dxa"/>
              <w:end w:w="90" w:type="dxa"/>
            </w:tcMar>
            <w:shd w:fill="F7FBFF" w:val="clear"/>
          </w:tcPr>
          <w:p>
            <w:pPr>
              <w:pStyle w:val="Compact"/>
              <w:jc w:val="left"/>
            </w:pPr>
            <w:r>
              <w:t xml:space="preserve">Observability and feedback after or during action</w:t>
            </w:r>
          </w:p>
        </w:tc>
        <w:tc>
          <w:tcPr>
            <w:tcMar>
              <w:top w:w="80" w:type="dxa"/>
              <w:start w:w="90" w:type="dxa"/>
              <w:bottom w:w="80" w:type="dxa"/>
              <w:end w:w="90" w:type="dxa"/>
            </w:tcMar>
            <w:shd w:fill="F7FBFF" w:val="clear"/>
          </w:tcPr>
          <w:p>
            <w:pPr>
              <w:pStyle w:val="Compact"/>
              <w:jc w:val="left"/>
            </w:pPr>
            <w:r>
              <w:t xml:space="preserve">Prevention, control, safety, or stability by itself</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Certification</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Evidence of conformance to a declared standard</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Reality validity, legal compliance, empirical truth, deployment readiness, or Tier 4 status</w:t>
            </w:r>
          </w:p>
        </w:tc>
      </w:tr>
    </w:tbl>
    <w:bookmarkEnd w:id="692"/>
    <w:bookmarkStart w:id="693" w:name="ai5-do-not-collapse-matrix"/>
    <w:p>
      <w:pPr>
        <w:pStyle w:val="Heading2"/>
        <w:keepNext/>
        <w:keepLines/>
        <w:pageBreakBefore w:val="0"/>
        <w:widowControl/>
      </w:pPr>
      <w:r>
        <w:rPr>
          <w:rFonts w:ascii="Arial" w:hAnsi="Arial" w:eastAsia="Arial"/>
          <w:b/>
          <w:color w:val="1F4E78"/>
        </w:rPr>
        <w:t xml:space="preserve">AI.5 Do-Not-Collapse Matrix</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Do not collapse</w:t>
            </w:r>
          </w:p>
        </w:tc>
        <w:tc>
          <w:tcPr>
            <w:shd w:fill="1F4E78" w:val="clear"/>
            <w:tcMar>
              <w:top w:w="80" w:type="dxa"/>
              <w:start w:w="90" w:type="dxa"/>
              <w:bottom w:w="80" w:type="dxa"/>
              <w:end w:w="90" w:type="dxa"/>
            </w:tcMar>
          </w:tcPr>
          <w:p>
            <w:pPr>
              <w:pStyle w:val="Compact"/>
              <w:jc w:val="left"/>
            </w:pPr>
            <w:r>
              <w:rPr>
                <w:b/>
                <w:bCs/>
                <w:color w:val="FFFFFF"/>
              </w:rPr>
              <w:t xml:space="preserve">Discriminator</w:t>
            </w:r>
          </w:p>
        </w:tc>
        <w:tc>
          <w:tcPr>
            <w:shd w:fill="1F4E78" w:val="clear"/>
            <w:tcMar>
              <w:top w:w="80" w:type="dxa"/>
              <w:start w:w="90" w:type="dxa"/>
              <w:bottom w:w="80" w:type="dxa"/>
              <w:end w:w="90" w:type="dxa"/>
            </w:tcMar>
          </w:tcPr>
          <w:p>
            <w:pPr>
              <w:pStyle w:val="Compact"/>
              <w:jc w:val="left"/>
            </w:pPr>
            <w:r>
              <w:rPr>
                <w:b/>
                <w:bCs/>
                <w:color w:val="FFFFFF"/>
              </w:rPr>
              <w:t xml:space="preserve">Required MathGov response</w:t>
            </w:r>
          </w:p>
        </w:tc>
      </w:tr>
      <w:tr>
        <w:trPr/>
        <w:tc>
          <w:tcPr>
            <w:tcMar>
              <w:top w:w="80" w:type="dxa"/>
              <w:start w:w="90" w:type="dxa"/>
              <w:bottom w:w="80" w:type="dxa"/>
              <w:end w:w="90" w:type="dxa"/>
            </w:tcMar>
            <w:shd w:fill="F7FBFF" w:val="clear"/>
          </w:tcPr>
          <w:p>
            <w:pPr>
              <w:pStyle w:val="Compact"/>
              <w:jc w:val="left"/>
            </w:pPr>
            <w:r>
              <w:t xml:space="preserve">Reality vs evidence</w:t>
            </w:r>
          </w:p>
        </w:tc>
        <w:tc>
          <w:tcPr>
            <w:tcMar>
              <w:top w:w="80" w:type="dxa"/>
              <w:start w:w="90" w:type="dxa"/>
              <w:bottom w:w="80" w:type="dxa"/>
              <w:end w:w="90" w:type="dxa"/>
            </w:tcMar>
            <w:shd w:fill="F7FBFF" w:val="clear"/>
          </w:tcPr>
          <w:p>
            <w:pPr>
              <w:pStyle w:val="Compact"/>
              <w:jc w:val="left"/>
            </w:pPr>
            <w:r>
              <w:t xml:space="preserve">Reality is the evaluator-independent constraint-and-consequence field; evidence is traceable contact with a surface of it.</w:t>
            </w:r>
          </w:p>
        </w:tc>
        <w:tc>
          <w:tcPr>
            <w:tcMar>
              <w:top w:w="80" w:type="dxa"/>
              <w:start w:w="90" w:type="dxa"/>
              <w:bottom w:w="80" w:type="dxa"/>
              <w:end w:w="90" w:type="dxa"/>
            </w:tcMar>
            <w:shd w:fill="F7FBFF" w:val="clear"/>
          </w:tcPr>
          <w:p>
            <w:pPr>
              <w:pStyle w:val="Compact"/>
              <w:jc w:val="left"/>
            </w:pPr>
            <w:r>
              <w:t xml:space="preserve">Keep claim boundary inside the evidence surface.</w:t>
            </w:r>
          </w:p>
        </w:tc>
      </w:tr>
      <w:tr>
        <w:trPr/>
        <w:tc>
          <w:tcPr>
            <w:tcMar>
              <w:top w:w="80" w:type="dxa"/>
              <w:start w:w="90" w:type="dxa"/>
              <w:bottom w:w="80" w:type="dxa"/>
              <w:end w:w="90" w:type="dxa"/>
            </w:tcMar>
            <w:shd w:fill="D9EAF7" w:val="clear"/>
          </w:tcPr>
          <w:p>
            <w:pPr>
              <w:pStyle w:val="Compact"/>
              <w:jc w:val="left"/>
            </w:pPr>
            <w:r>
              <w:t xml:space="preserve">Evidence vs interpretation</w:t>
            </w:r>
          </w:p>
        </w:tc>
        <w:tc>
          <w:tcPr>
            <w:tcMar>
              <w:top w:w="80" w:type="dxa"/>
              <w:start w:w="90" w:type="dxa"/>
              <w:bottom w:w="80" w:type="dxa"/>
              <w:end w:w="90" w:type="dxa"/>
            </w:tcMar>
            <w:shd w:fill="D9EAF7" w:val="clear"/>
          </w:tcPr>
          <w:p>
            <w:pPr>
              <w:pStyle w:val="Compact"/>
              <w:jc w:val="left"/>
            </w:pPr>
            <w:r>
              <w:t xml:space="preserve">Evidence is trace; interpretation connects trace, uncertainty, values, and action.</w:t>
            </w:r>
          </w:p>
        </w:tc>
        <w:tc>
          <w:tcPr>
            <w:tcMar>
              <w:top w:w="80" w:type="dxa"/>
              <w:start w:w="90" w:type="dxa"/>
              <w:bottom w:w="80" w:type="dxa"/>
              <w:end w:w="90" w:type="dxa"/>
            </w:tcMar>
            <w:shd w:fill="D9EAF7" w:val="clear"/>
          </w:tcPr>
          <w:p>
            <w:pPr>
              <w:pStyle w:val="Compact"/>
              <w:jc w:val="left"/>
            </w:pPr>
            <w:r>
              <w:t xml:space="preserve">Record reviewer status and uncertainty.</w:t>
            </w:r>
          </w:p>
        </w:tc>
      </w:tr>
      <w:tr>
        <w:trPr/>
        <w:tc>
          <w:tcPr>
            <w:tcMar>
              <w:top w:w="80" w:type="dxa"/>
              <w:start w:w="90" w:type="dxa"/>
              <w:bottom w:w="80" w:type="dxa"/>
              <w:end w:w="90" w:type="dxa"/>
            </w:tcMar>
            <w:shd w:fill="F7FBFF" w:val="clear"/>
          </w:tcPr>
          <w:p>
            <w:pPr>
              <w:pStyle w:val="Compact"/>
              <w:jc w:val="left"/>
            </w:pPr>
            <w:r>
              <w:t xml:space="preserve">Category vs metric</w:t>
            </w:r>
          </w:p>
        </w:tc>
        <w:tc>
          <w:tcPr>
            <w:tcMar>
              <w:top w:w="80" w:type="dxa"/>
              <w:start w:w="90" w:type="dxa"/>
              <w:bottom w:w="80" w:type="dxa"/>
              <w:end w:w="90" w:type="dxa"/>
            </w:tcMar>
            <w:shd w:fill="F7FBFF" w:val="clear"/>
          </w:tcPr>
          <w:p>
            <w:pPr>
              <w:pStyle w:val="Compact"/>
              <w:jc w:val="left"/>
            </w:pPr>
            <w:r>
              <w:t xml:space="preserve">Category defines what is being measured; metric quantifies a proxy or indicator.</w:t>
            </w:r>
          </w:p>
        </w:tc>
        <w:tc>
          <w:tcPr>
            <w:tcMar>
              <w:top w:w="80" w:type="dxa"/>
              <w:start w:w="90" w:type="dxa"/>
              <w:bottom w:w="80" w:type="dxa"/>
              <w:end w:w="90" w:type="dxa"/>
            </w:tcMar>
            <w:shd w:fill="F7FBFF" w:val="clear"/>
          </w:tcPr>
          <w:p>
            <w:pPr>
              <w:pStyle w:val="Compact"/>
              <w:jc w:val="left"/>
            </w:pPr>
            <w:r>
              <w:t xml:space="preserve">Refuse or narrow metric claims when the category is weak.</w:t>
            </w:r>
          </w:p>
        </w:tc>
      </w:tr>
      <w:tr>
        <w:trPr/>
        <w:tc>
          <w:tcPr>
            <w:tcMar>
              <w:top w:w="80" w:type="dxa"/>
              <w:start w:w="90" w:type="dxa"/>
              <w:bottom w:w="80" w:type="dxa"/>
              <w:end w:w="90" w:type="dxa"/>
            </w:tcMar>
            <w:shd w:fill="D9EAF7" w:val="clear"/>
          </w:tcPr>
          <w:p>
            <w:pPr>
              <w:pStyle w:val="Compact"/>
              <w:jc w:val="left"/>
            </w:pPr>
            <w:r>
              <w:t xml:space="preserve">Score vs truth</w:t>
            </w:r>
          </w:p>
        </w:tc>
        <w:tc>
          <w:tcPr>
            <w:tcMar>
              <w:top w:w="80" w:type="dxa"/>
              <w:start w:w="90" w:type="dxa"/>
              <w:bottom w:w="80" w:type="dxa"/>
              <w:end w:w="90" w:type="dxa"/>
            </w:tcMar>
            <w:shd w:fill="D9EAF7" w:val="clear"/>
          </w:tcPr>
          <w:p>
            <w:pPr>
              <w:pStyle w:val="Compact"/>
              <w:jc w:val="left"/>
            </w:pPr>
            <w:r>
              <w:t xml:space="preserve">RLS ranks selectable options under declared inputs; it is not truth itself.</w:t>
            </w:r>
          </w:p>
        </w:tc>
        <w:tc>
          <w:tcPr>
            <w:tcMar>
              <w:top w:w="80" w:type="dxa"/>
              <w:start w:w="90" w:type="dxa"/>
              <w:bottom w:w="80" w:type="dxa"/>
              <w:end w:w="90" w:type="dxa"/>
            </w:tcMar>
            <w:shd w:fill="D9EAF7" w:val="clear"/>
          </w:tcPr>
          <w:p>
            <w:pPr>
              <w:pStyle w:val="Compact"/>
              <w:jc w:val="left"/>
            </w:pPr>
            <w:r>
              <w:t xml:space="preserve">Never let RLS rescue failed grounding, rights, risk, or containment.</w:t>
            </w:r>
          </w:p>
        </w:tc>
      </w:tr>
      <w:tr>
        <w:trPr/>
        <w:tc>
          <w:tcPr>
            <w:tcMar>
              <w:top w:w="80" w:type="dxa"/>
              <w:start w:w="90" w:type="dxa"/>
              <w:bottom w:w="80" w:type="dxa"/>
              <w:end w:w="90" w:type="dxa"/>
            </w:tcMar>
            <w:shd w:fill="F7FBFF" w:val="clear"/>
          </w:tcPr>
          <w:p>
            <w:pPr>
              <w:pStyle w:val="Compact"/>
              <w:jc w:val="left"/>
            </w:pPr>
            <w:r>
              <w:t xml:space="preserve">Compliance vs correctness</w:t>
            </w:r>
          </w:p>
        </w:tc>
        <w:tc>
          <w:tcPr>
            <w:tcMar>
              <w:top w:w="80" w:type="dxa"/>
              <w:start w:w="90" w:type="dxa"/>
              <w:bottom w:w="80" w:type="dxa"/>
              <w:end w:w="90" w:type="dxa"/>
            </w:tcMar>
            <w:shd w:fill="F7FBFF" w:val="clear"/>
          </w:tcPr>
          <w:p>
            <w:pPr>
              <w:pStyle w:val="Compact"/>
              <w:jc w:val="left"/>
            </w:pPr>
            <w:r>
              <w:t xml:space="preserve">Compliance means conformity to a rule or process; correctness means reality-bound adequacy for the claim.</w:t>
            </w:r>
          </w:p>
        </w:tc>
        <w:tc>
          <w:tcPr>
            <w:tcMar>
              <w:top w:w="80" w:type="dxa"/>
              <w:start w:w="90" w:type="dxa"/>
              <w:bottom w:w="80" w:type="dxa"/>
              <w:end w:w="90" w:type="dxa"/>
            </w:tcMar>
            <w:shd w:fill="F7FBFF" w:val="clear"/>
          </w:tcPr>
          <w:p>
            <w:pPr>
              <w:pStyle w:val="Compact"/>
              <w:jc w:val="left"/>
            </w:pPr>
            <w:r>
              <w:t xml:space="preserve">Treat compliance as evidence, not validity.</w:t>
            </w:r>
          </w:p>
        </w:tc>
      </w:tr>
      <w:tr>
        <w:trPr/>
        <w:tc>
          <w:tcPr>
            <w:tcMar>
              <w:top w:w="80" w:type="dxa"/>
              <w:start w:w="90" w:type="dxa"/>
              <w:bottom w:w="80" w:type="dxa"/>
              <w:end w:w="90" w:type="dxa"/>
            </w:tcMar>
            <w:shd w:fill="D9EAF7" w:val="clear"/>
          </w:tcPr>
          <w:p>
            <w:pPr>
              <w:pStyle w:val="Compact"/>
              <w:jc w:val="left"/>
            </w:pPr>
            <w:r>
              <w:t xml:space="preserve">Certification vs validity</w:t>
            </w:r>
          </w:p>
        </w:tc>
        <w:tc>
          <w:tcPr>
            <w:tcMar>
              <w:top w:w="80" w:type="dxa"/>
              <w:start w:w="90" w:type="dxa"/>
              <w:bottom w:w="80" w:type="dxa"/>
              <w:end w:w="90" w:type="dxa"/>
            </w:tcMar>
            <w:shd w:fill="D9EAF7" w:val="clear"/>
          </w:tcPr>
          <w:p>
            <w:pPr>
              <w:pStyle w:val="Compact"/>
              <w:jc w:val="left"/>
            </w:pPr>
            <w:r>
              <w:t xml:space="preserve">Certification records an assurance result; validity depends on grounded reference, evidence, and replayable adequacy.</w:t>
            </w:r>
          </w:p>
        </w:tc>
        <w:tc>
          <w:tcPr>
            <w:tcMar>
              <w:top w:w="80" w:type="dxa"/>
              <w:start w:w="90" w:type="dxa"/>
              <w:bottom w:w="80" w:type="dxa"/>
              <w:end w:w="90" w:type="dxa"/>
            </w:tcMar>
            <w:shd w:fill="D9EAF7" w:val="clear"/>
          </w:tcPr>
          <w:p>
            <w:pPr>
              <w:pStyle w:val="Compact"/>
              <w:jc w:val="left"/>
            </w:pPr>
            <w:r>
              <w:t xml:space="preserve">Prevent certification theater and overclaiming.</w:t>
            </w:r>
          </w:p>
        </w:tc>
      </w:tr>
      <w:tr>
        <w:trPr/>
        <w:tc>
          <w:tcPr>
            <w:tcMar>
              <w:top w:w="80" w:type="dxa"/>
              <w:start w:w="90" w:type="dxa"/>
              <w:bottom w:w="80" w:type="dxa"/>
              <w:end w:w="90" w:type="dxa"/>
            </w:tcMar>
            <w:shd w:fill="F7FBFF" w:val="clear"/>
          </w:tcPr>
          <w:p>
            <w:pPr>
              <w:pStyle w:val="Compact"/>
              <w:jc w:val="left"/>
            </w:pPr>
            <w:r>
              <w:t xml:space="preserve">Permission vs admissibility</w:t>
            </w:r>
          </w:p>
        </w:tc>
        <w:tc>
          <w:tcPr>
            <w:tcMar>
              <w:top w:w="80" w:type="dxa"/>
              <w:start w:w="90" w:type="dxa"/>
              <w:bottom w:w="80" w:type="dxa"/>
              <w:end w:w="90" w:type="dxa"/>
            </w:tcMar>
            <w:shd w:fill="F7FBFF" w:val="clear"/>
          </w:tcPr>
          <w:p>
            <w:pPr>
              <w:pStyle w:val="Compact"/>
              <w:jc w:val="left"/>
            </w:pPr>
            <w:r>
              <w:t xml:space="preserve">Permission is authorization; admissibility is passing the relevant MathGov gates.</w:t>
            </w:r>
          </w:p>
        </w:tc>
        <w:tc>
          <w:tcPr>
            <w:tcMar>
              <w:top w:w="80" w:type="dxa"/>
              <w:start w:w="90" w:type="dxa"/>
              <w:bottom w:w="80" w:type="dxa"/>
              <w:end w:w="90" w:type="dxa"/>
            </w:tcMar>
            <w:shd w:fill="F7FBFF" w:val="clear"/>
          </w:tcPr>
          <w:p>
            <w:pPr>
              <w:pStyle w:val="Compact"/>
              <w:jc w:val="left"/>
            </w:pPr>
            <w:r>
              <w:t xml:space="preserve">Do not treat approval as gate success.</w:t>
            </w:r>
          </w:p>
        </w:tc>
      </w:tr>
      <w:tr>
        <w:trPr/>
        <w:tc>
          <w:tcPr>
            <w:tcMar>
              <w:top w:w="80" w:type="dxa"/>
              <w:start w:w="90" w:type="dxa"/>
              <w:bottom w:w="80" w:type="dxa"/>
              <w:end w:w="90" w:type="dxa"/>
            </w:tcMar>
            <w:shd w:fill="D9EAF7" w:val="clear"/>
          </w:tcPr>
          <w:p>
            <w:pPr>
              <w:pStyle w:val="Compact"/>
              <w:jc w:val="left"/>
            </w:pPr>
            <w:r>
              <w:t xml:space="preserve">Monitoring vs control</w:t>
            </w:r>
          </w:p>
        </w:tc>
        <w:tc>
          <w:tcPr>
            <w:tcMar>
              <w:top w:w="80" w:type="dxa"/>
              <w:start w:w="90" w:type="dxa"/>
              <w:bottom w:w="80" w:type="dxa"/>
              <w:end w:w="90" w:type="dxa"/>
            </w:tcMar>
            <w:shd w:fill="D9EAF7" w:val="clear"/>
          </w:tcPr>
          <w:p>
            <w:pPr>
              <w:pStyle w:val="Compact"/>
              <w:jc w:val="left"/>
            </w:pPr>
            <w:r>
              <w:t xml:space="preserve">Monitoring observes; control prevents, constrains, or corrects.</w:t>
            </w:r>
          </w:p>
        </w:tc>
        <w:tc>
          <w:tcPr>
            <w:tcMar>
              <w:top w:w="80" w:type="dxa"/>
              <w:start w:w="90" w:type="dxa"/>
              <w:bottom w:w="80" w:type="dxa"/>
              <w:end w:w="90" w:type="dxa"/>
            </w:tcMar>
            <w:shd w:fill="D9EAF7" w:val="clear"/>
          </w:tcPr>
          <w:p>
            <w:pPr>
              <w:pStyle w:val="Compact"/>
              <w:jc w:val="left"/>
            </w:pPr>
            <w:r>
              <w:t xml:space="preserve">Require enforcement path, rollback, or containment evidence for control claims.</w:t>
            </w:r>
          </w:p>
        </w:tc>
      </w:tr>
      <w:tr>
        <w:trPr/>
        <w:tc>
          <w:tcPr>
            <w:tcMar>
              <w:top w:w="80" w:type="dxa"/>
              <w:start w:w="90" w:type="dxa"/>
              <w:bottom w:w="80" w:type="dxa"/>
              <w:end w:w="90" w:type="dxa"/>
            </w:tcMar>
            <w:shd w:fill="F7FBFF" w:val="clear"/>
          </w:tcPr>
          <w:p>
            <w:pPr>
              <w:pStyle w:val="Compact"/>
              <w:jc w:val="left"/>
            </w:pPr>
            <w:r>
              <w:t xml:space="preserve">Safety vs stability</w:t>
            </w:r>
          </w:p>
        </w:tc>
        <w:tc>
          <w:tcPr>
            <w:tcMar>
              <w:top w:w="80" w:type="dxa"/>
              <w:start w:w="90" w:type="dxa"/>
              <w:bottom w:w="80" w:type="dxa"/>
              <w:end w:w="90" w:type="dxa"/>
            </w:tcMar>
            <w:shd w:fill="F7FBFF" w:val="clear"/>
          </w:tcPr>
          <w:p>
            <w:pPr>
              <w:pStyle w:val="Compact"/>
              <w:jc w:val="left"/>
            </w:pPr>
            <w:r>
              <w:t xml:space="preserve">Safety means bounded non-harm under declared conditions; stability means preserved structural regime integrity.</w:t>
            </w:r>
          </w:p>
        </w:tc>
        <w:tc>
          <w:tcPr>
            <w:tcMar>
              <w:top w:w="80" w:type="dxa"/>
              <w:start w:w="90" w:type="dxa"/>
              <w:bottom w:w="80" w:type="dxa"/>
              <w:end w:w="90" w:type="dxa"/>
            </w:tcMar>
            <w:shd w:fill="F7FBFF" w:val="clear"/>
          </w:tcPr>
          <w:p>
            <w:pPr>
              <w:pStyle w:val="Compact"/>
              <w:jc w:val="left"/>
            </w:pPr>
            <w:r>
              <w:t xml:space="preserve">Use TRC, Containment, and Adaptive Reserve where relevant.</w:t>
            </w:r>
          </w:p>
        </w:tc>
      </w:tr>
      <w:tr>
        <w:trPr/>
        <w:tc>
          <w:tcPr>
            <w:tcMar>
              <w:top w:w="80" w:type="dxa"/>
              <w:start w:w="90" w:type="dxa"/>
              <w:bottom w:w="80" w:type="dxa"/>
              <w:end w:w="90" w:type="dxa"/>
            </w:tcMar>
            <w:shd w:fill="D9EAF7" w:val="clear"/>
          </w:tcPr>
          <w:p>
            <w:pPr>
              <w:pStyle w:val="Compact"/>
              <w:jc w:val="left"/>
            </w:pPr>
            <w:r>
              <w:t xml:space="preserve">Stability vs justice</w:t>
            </w:r>
          </w:p>
        </w:tc>
        <w:tc>
          <w:tcPr>
            <w:tcMar>
              <w:top w:w="80" w:type="dxa"/>
              <w:start w:w="90" w:type="dxa"/>
              <w:bottom w:w="80" w:type="dxa"/>
              <w:end w:w="90" w:type="dxa"/>
            </w:tcMar>
            <w:shd w:fill="D9EAF7" w:val="clear"/>
          </w:tcPr>
          <w:p>
            <w:pPr>
              <w:pStyle w:val="Compact"/>
              <w:jc w:val="left"/>
            </w:pPr>
            <w:r>
              <w:t xml:space="preserve">Stability can preserve harmful arrangements; justice requires rights floors and non-domination.</w:t>
            </w:r>
          </w:p>
        </w:tc>
        <w:tc>
          <w:tcPr>
            <w:tcMar>
              <w:top w:w="80" w:type="dxa"/>
              <w:start w:w="90" w:type="dxa"/>
              <w:bottom w:w="80" w:type="dxa"/>
              <w:end w:w="90" w:type="dxa"/>
            </w:tcMar>
            <w:shd w:fill="D9EAF7" w:val="clear"/>
          </w:tcPr>
          <w:p>
            <w:pPr>
              <w:pStyle w:val="Compact"/>
              <w:jc w:val="left"/>
            </w:pPr>
            <w:r>
              <w:t xml:space="preserve">Do not allow stable oppression to pass rights review.</w:t>
            </w:r>
          </w:p>
        </w:tc>
      </w:tr>
      <w:tr>
        <w:trPr/>
        <w:tc>
          <w:tcPr>
            <w:tcMar>
              <w:top w:w="80" w:type="dxa"/>
              <w:start w:w="90" w:type="dxa"/>
              <w:bottom w:w="80" w:type="dxa"/>
              <w:end w:w="90" w:type="dxa"/>
            </w:tcMar>
            <w:shd w:fill="F7FBFF" w:val="clear"/>
          </w:tcPr>
          <w:p>
            <w:pPr>
              <w:pStyle w:val="Compact"/>
              <w:jc w:val="left"/>
            </w:pPr>
            <w:r>
              <w:t xml:space="preserve">Automation vs autonomy</w:t>
            </w:r>
          </w:p>
        </w:tc>
        <w:tc>
          <w:tcPr>
            <w:tcMar>
              <w:top w:w="80" w:type="dxa"/>
              <w:start w:w="90" w:type="dxa"/>
              <w:bottom w:w="80" w:type="dxa"/>
              <w:end w:w="90" w:type="dxa"/>
            </w:tcMar>
            <w:shd w:fill="F7FBFF" w:val="clear"/>
          </w:tcPr>
          <w:p>
            <w:pPr>
              <w:pStyle w:val="Compact"/>
              <w:jc w:val="left"/>
            </w:pPr>
            <w:r>
              <w:t xml:space="preserve">Automation follows procedures; autonomy evaluates, adapts, and remains accountable under constraints.</w:t>
            </w:r>
          </w:p>
        </w:tc>
        <w:tc>
          <w:tcPr>
            <w:tcMar>
              <w:top w:w="80" w:type="dxa"/>
              <w:start w:w="90" w:type="dxa"/>
              <w:bottom w:w="80" w:type="dxa"/>
              <w:end w:w="90" w:type="dxa"/>
            </w:tcMar>
            <w:shd w:fill="F7FBFF" w:val="clear"/>
          </w:tcPr>
          <w:p>
            <w:pPr>
              <w:pStyle w:val="Compact"/>
              <w:jc w:val="left"/>
            </w:pPr>
            <w:r>
              <w:t xml:space="preserve">Require authority and execution-stability records for autonomy claims.</w:t>
            </w:r>
          </w:p>
        </w:tc>
      </w:tr>
      <w:tr>
        <w:trPr/>
        <w:tc>
          <w:tcPr>
            <w:tcMar>
              <w:top w:w="80" w:type="dxa"/>
              <w:start w:w="90" w:type="dxa"/>
              <w:bottom w:w="80" w:type="dxa"/>
              <w:end w:w="90" w:type="dxa"/>
            </w:tcMar>
            <w:shd w:fill="D9EAF7" w:val="clear"/>
          </w:tcPr>
          <w:p>
            <w:pPr>
              <w:pStyle w:val="Compact"/>
              <w:jc w:val="left"/>
            </w:pPr>
            <w:r>
              <w:t xml:space="preserve">Protection vs authority</w:t>
            </w:r>
          </w:p>
        </w:tc>
        <w:tc>
          <w:tcPr>
            <w:tcMar>
              <w:top w:w="80" w:type="dxa"/>
              <w:start w:w="90" w:type="dxa"/>
              <w:bottom w:w="80" w:type="dxa"/>
              <w:end w:w="90" w:type="dxa"/>
            </w:tcMar>
            <w:shd w:fill="D9EAF7" w:val="clear"/>
          </w:tcPr>
          <w:p>
            <w:pPr>
              <w:pStyle w:val="Compact"/>
              <w:jc w:val="left"/>
            </w:pPr>
            <w:r>
              <w:t xml:space="preserve">Protection concerns moral/welfare standing; authority concerns legitimate role, responsibility, competence, and authorization.</w:t>
            </w:r>
          </w:p>
        </w:tc>
        <w:tc>
          <w:tcPr>
            <w:tcMar>
              <w:top w:w="80" w:type="dxa"/>
              <w:start w:w="90" w:type="dxa"/>
              <w:bottom w:w="80" w:type="dxa"/>
              <w:end w:w="90" w:type="dxa"/>
            </w:tcMar>
            <w:shd w:fill="D9EAF7" w:val="clear"/>
          </w:tcPr>
          <w:p>
            <w:pPr>
              <w:pStyle w:val="Compact"/>
              <w:jc w:val="left"/>
            </w:pPr>
            <w:r>
              <w:t xml:space="preserve">Preserve SGP protection/authority separation.</w:t>
            </w:r>
          </w:p>
        </w:tc>
      </w:tr>
      <w:tr>
        <w:trPr/>
        <w:tc>
          <w:tcPr>
            <w:tcMar>
              <w:top w:w="80" w:type="dxa"/>
              <w:start w:w="90" w:type="dxa"/>
              <w:bottom w:w="80" w:type="dxa"/>
              <w:end w:w="90" w:type="dxa"/>
            </w:tcMar>
            <w:shd w:fill="F7FBFF" w:val="clear"/>
          </w:tcPr>
          <w:p>
            <w:pPr>
              <w:pStyle w:val="Compact"/>
              <w:jc w:val="left"/>
            </w:pPr>
            <w:r>
              <w:t xml:space="preserve">Selected vs executable</w:t>
            </w:r>
          </w:p>
        </w:tc>
        <w:tc>
          <w:tcPr>
            <w:tcMar>
              <w:top w:w="80" w:type="dxa"/>
              <w:start w:w="90" w:type="dxa"/>
              <w:bottom w:w="80" w:type="dxa"/>
              <w:end w:w="90" w:type="dxa"/>
            </w:tcMar>
            <w:shd w:fill="F7FBFF" w:val="clear"/>
          </w:tcPr>
          <w:p>
            <w:pPr>
              <w:pStyle w:val="Compact"/>
              <w:jc w:val="left"/>
            </w:pPr>
            <w:r>
              <w:t xml:space="preserve">A selected option is chosen by framework or authority; executable means action may proceed through lawful/runtime controls.</w:t>
            </w:r>
          </w:p>
        </w:tc>
        <w:tc>
          <w:tcPr>
            <w:tcMar>
              <w:top w:w="80" w:type="dxa"/>
              <w:start w:w="90" w:type="dxa"/>
              <w:bottom w:w="80" w:type="dxa"/>
              <w:end w:w="90" w:type="dxa"/>
            </w:tcMar>
            <w:shd w:fill="F7FBFF" w:val="clear"/>
          </w:tcPr>
          <w:p>
            <w:pPr>
              <w:pStyle w:val="Compact"/>
              <w:jc w:val="left"/>
            </w:pPr>
            <w:r>
              <w:t xml:space="preserve">Require execution-stability and authority checks.</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Capability vs authority</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A system may be technically able to act without being permitted or admissible to act.</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Block action without hard-control authorization.</w:t>
            </w:r>
          </w:p>
        </w:tc>
      </w:tr>
    </w:tbl>
    <w:bookmarkEnd w:id="693"/>
    <w:bookmarkStart w:id="694" w:name="ai6-claim-action-rule"/>
    <w:p>
      <w:pPr>
        <w:pStyle w:val="Heading2"/>
        <w:keepNext/>
        <w:keepLines/>
        <w:pageBreakBefore w:val="0"/>
        <w:widowControl/>
      </w:pPr>
      <w:r>
        <w:rPr>
          <w:rFonts w:ascii="Arial" w:hAnsi="Arial" w:eastAsia="Arial"/>
          <w:b/>
          <w:color w:val="1F4E78"/>
        </w:rPr>
        <w:t xml:space="preserve">AI.6 Claim-action rule</w:t>
      </w:r>
    </w:p>
    <w:p>
      <w:pPr>
        <w:pStyle w:val="FirstParagraph"/>
        <w:widowControl/>
      </w:pPr>
      <w:r>
        <w:t xml:space="preserve">If a material term lacks a discriminator, lacks a dependency position, collapses into a neighboring term, or lacks a refusal condition sufficient for the claim being made, the run MUST classify the issue as TERM_DISCRIMINATION_FAILURE or a more specific category failure class. The result MUST be NARROW, ESCALATE, REFUSE, MONITOR_ONLY, or SENSITIVITY_ONLY until the term is grounded. A completed PCC, authority-selection record, institutional permission, model output, dashboard result, or certification label MUST NOT repair a term-discrimination failure by itself.</w:t>
      </w:r>
    </w:p>
    <w:bookmarkEnd w:id="694"/>
    <w:bookmarkStart w:id="695" w:name="ai7-v120-release-delta"/>
    <w:p>
      <w:pPr>
        <w:pStyle w:val="Heading2"/>
        <w:keepNext/>
        <w:keepLines/>
        <w:pageBreakBefore w:val="0"/>
        <w:widowControl/>
      </w:pPr>
      <w:r>
        <w:rPr>
          <w:rFonts w:ascii="Arial" w:hAnsi="Arial" w:eastAsia="Arial"/>
          <w:b/>
          <w:color w:val="1F4E78"/>
        </w:rPr>
        <w:t xml:space="preserve">AI.7 v12.0 release delta</w:t>
      </w:r>
    </w:p>
    <w:p>
      <w:pPr>
        <w:pStyle w:val="FirstParagraph"/>
        <w:widowControl/>
      </w:pPr>
      <w:r>
        <w:t xml:space="preserve">Release Delta (v11.0 -&gt; v12.0). v12.0 carries forward the Term Discrimination and Semantic Stability Protocol and adds Structural Viability and Falsification Discipline hardening inside existing layers. The v11.0 line added Term Discrimination as a hardening patch inside Category Grounding and Reality Grounding. It adds category_discriminator, dependency_position, term_refusal_condition, noncollapse_pairs, and source_authority_status to material category records; adds the Do-Not-Collapse Matrix; strengthens certification/permission/monitoring non-authority language; and preserves the five-level method. It does not add a new public gate, import an external ontology, alter NCRC, TRC, CSV, RLS, SGP protection surface semantics, PLSS, lawful authority boundaries, Tier 4, ProofPack, empirical-validation, legal-certification, or deployment-certification boundaries.</w:t>
      </w:r>
    </w:p>
    <w:bookmarkEnd w:id="695"/>
    <w:bookmarkEnd w:id="696"/>
    <w:bookmarkStart w:id="708" w:name="X218ec5ea40ce9f7505f64d840c93dd5575e624e"/>
    <w:p>
      <w:pPr>
        <w:pStyle w:val="Heading1"/>
        <w:keepNext/>
        <w:keepLines/>
        <w:pageBreakBefore w:val="0"/>
        <w:widowControl/>
      </w:pPr>
      <w:r>
        <w:rPr>
          <w:rFonts w:ascii="Arial" w:hAnsi="Arial" w:eastAsia="Arial"/>
          <w:b/>
          <w:color w:val="1F4E78"/>
        </w:rPr>
        <w:t xml:space="preserve">Appendix AJ: Public Release Hardening Addendum (v12.0)</w:t>
      </w:r>
    </w:p>
    <w:p>
      <w:pPr>
        <w:pStyle w:val="FirstParagraph"/>
        <w:widowControl/>
      </w:pPr>
      <w:r>
        <w:t xml:space="preserve">Status. This appendix is a hardening bridge for the v12.0 content line. It does not create Tier 4, ProofPack, legal certification, deployment certification, empirical validation, or automated moral truth. It clarifies implementation discipline and points to companion guidance. If a companion guide conflicts with the Canon, the Canon controls until a future versioned amendment resolves the conflict.</w:t>
      </w:r>
    </w:p>
    <w:bookmarkStart w:id="697" w:name="X646319d0bc8dff9a4daa8af5378cd986f0690bf"/>
    <w:p>
      <w:pPr>
        <w:pStyle w:val="Heading2"/>
        <w:keepNext/>
        <w:keepLines/>
        <w:pageBreakBefore w:val="0"/>
        <w:widowControl/>
      </w:pPr>
      <w:r>
        <w:rPr>
          <w:rFonts w:ascii="Arial" w:hAnsi="Arial" w:eastAsia="Arial"/>
          <w:b/>
          <w:color w:val="1F4E78"/>
        </w:rPr>
        <w:t xml:space="preserve">AJ.1 Gate Boundary Discriminator: TRC, CSV, and RLS</w:t>
      </w:r>
    </w:p>
    <w:p>
      <w:pPr>
        <w:pStyle w:val="FirstParagraph"/>
        <w:widowControl/>
      </w:pPr>
      <w:r>
        <w:t xml:space="preserve">TRC, CSV, and RLS SHALL NOT be collapsed.</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Layer</w:t>
            </w:r>
          </w:p>
        </w:tc>
        <w:tc>
          <w:tcPr>
            <w:shd w:fill="1F4E78" w:val="clear"/>
            <w:tcMar>
              <w:top w:w="80" w:type="dxa"/>
              <w:start w:w="90" w:type="dxa"/>
              <w:bottom w:w="80" w:type="dxa"/>
              <w:end w:w="90" w:type="dxa"/>
            </w:tcMar>
          </w:tcPr>
          <w:p>
            <w:pPr>
              <w:pStyle w:val="Compact"/>
              <w:jc w:val="left"/>
            </w:pPr>
            <w:r>
              <w:rPr>
                <w:b/>
                <w:bCs/>
                <w:color w:val="FFFFFF"/>
              </w:rPr>
              <w:t xml:space="preserve">Primary question</w:t>
            </w:r>
          </w:p>
        </w:tc>
        <w:tc>
          <w:tcPr>
            <w:shd w:fill="1F4E78" w:val="clear"/>
            <w:tcMar>
              <w:top w:w="80" w:type="dxa"/>
              <w:start w:w="90" w:type="dxa"/>
              <w:bottom w:w="80" w:type="dxa"/>
              <w:end w:w="90" w:type="dxa"/>
            </w:tcMar>
          </w:tcPr>
          <w:p>
            <w:pPr>
              <w:pStyle w:val="Compact"/>
              <w:jc w:val="left"/>
            </w:pPr>
            <w:r>
              <w:rPr>
                <w:b/>
                <w:bCs/>
                <w:color w:val="FFFFFF"/>
              </w:rPr>
              <w:t xml:space="preserve">Normal consequence</w:t>
            </w:r>
          </w:p>
        </w:tc>
      </w:tr>
      <w:tr>
        <w:trPr/>
        <w:tc>
          <w:tcPr>
            <w:tcMar>
              <w:top w:w="80" w:type="dxa"/>
              <w:start w:w="90" w:type="dxa"/>
              <w:bottom w:w="80" w:type="dxa"/>
              <w:end w:w="90" w:type="dxa"/>
            </w:tcMar>
            <w:shd w:fill="F7FBFF" w:val="clear"/>
          </w:tcPr>
          <w:p>
            <w:pPr>
              <w:pStyle w:val="Compact"/>
              <w:jc w:val="left"/>
            </w:pPr>
            <w:r>
              <w:t xml:space="preserve">TRC</w:t>
            </w:r>
          </w:p>
        </w:tc>
        <w:tc>
          <w:tcPr>
            <w:tcMar>
              <w:top w:w="80" w:type="dxa"/>
              <w:start w:w="90" w:type="dxa"/>
              <w:bottom w:w="80" w:type="dxa"/>
              <w:end w:w="90" w:type="dxa"/>
            </w:tcMar>
            <w:shd w:fill="F7FBFF" w:val="clear"/>
          </w:tcPr>
          <w:p>
            <w:pPr>
              <w:pStyle w:val="Compact"/>
              <w:jc w:val="left"/>
            </w:pPr>
            <w:r>
              <w:t xml:space="preserve">Could this option create catastrophic, irreversible, ruinous, or lock-in tail exposure?</w:t>
            </w:r>
          </w:p>
        </w:tc>
        <w:tc>
          <w:tcPr>
            <w:tcMar>
              <w:top w:w="80" w:type="dxa"/>
              <w:start w:w="90" w:type="dxa"/>
              <w:bottom w:w="80" w:type="dxa"/>
              <w:end w:w="90" w:type="dxa"/>
            </w:tcMar>
            <w:shd w:fill="F7FBFF" w:val="clear"/>
          </w:tcPr>
          <w:p>
            <w:pPr>
              <w:pStyle w:val="Compact"/>
              <w:jc w:val="left"/>
            </w:pPr>
            <w:r>
              <w:t xml:space="preserve">Gate failure if tail exposure exceeds corridor.</w:t>
            </w:r>
          </w:p>
        </w:tc>
      </w:tr>
      <w:tr>
        <w:trPr/>
        <w:tc>
          <w:tcPr>
            <w:tcMar>
              <w:top w:w="80" w:type="dxa"/>
              <w:start w:w="90" w:type="dxa"/>
              <w:bottom w:w="80" w:type="dxa"/>
              <w:end w:w="90" w:type="dxa"/>
            </w:tcMar>
            <w:shd w:fill="D9EAF7" w:val="clear"/>
          </w:tcPr>
          <w:p>
            <w:pPr>
              <w:pStyle w:val="Compact"/>
              <w:jc w:val="left"/>
            </w:pPr>
            <w:r>
              <w:t xml:space="preserve">CSV</w:t>
            </w:r>
          </w:p>
        </w:tc>
        <w:tc>
          <w:tcPr>
            <w:tcMar>
              <w:top w:w="80" w:type="dxa"/>
              <w:start w:w="90" w:type="dxa"/>
              <w:bottom w:w="80" w:type="dxa"/>
              <w:end w:w="90" w:type="dxa"/>
            </w:tcMar>
            <w:shd w:fill="D9EAF7" w:val="clear"/>
          </w:tcPr>
          <w:p>
            <w:pPr>
              <w:pStyle w:val="Compact"/>
              <w:jc w:val="left"/>
            </w:pPr>
            <w:r>
              <w:t xml:space="preserve">Can the option deliver its claimed good without breaking, hollowing, overloading, exploiting, or depending on containing systems beyond tolerance?</w:t>
            </w:r>
          </w:p>
        </w:tc>
        <w:tc>
          <w:tcPr>
            <w:tcMar>
              <w:top w:w="80" w:type="dxa"/>
              <w:start w:w="90" w:type="dxa"/>
              <w:bottom w:w="80" w:type="dxa"/>
              <w:end w:w="90" w:type="dxa"/>
            </w:tcMar>
            <w:shd w:fill="D9EAF7" w:val="clear"/>
          </w:tcPr>
          <w:p>
            <w:pPr>
              <w:pStyle w:val="Compact"/>
              <w:jc w:val="left"/>
            </w:pPr>
            <w:r>
              <w:t xml:space="preserve">Fail, controls, redesign, escalation, or pass depending on structural status.</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RLS</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Among options that survived RG, RF/NCRC, TRC, and CSV, which has the strongest residual welfare profile?</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Ranking only; no gate rescue.</w:t>
            </w:r>
          </w:p>
        </w:tc>
      </w:tr>
    </w:tbl>
    <w:p>
      <w:pPr>
        <w:pStyle w:val="BodyText"/>
        <w:widowControl/>
      </w:pPr>
      <w:r>
        <w:t xml:space="preserve">Double-materiality rule. A harm may be both tail-relevant and structurally degrading. In that case it MUST be evaluated in TRC and CSV as appropriate, recorded in the PCC, and not double-counted as an ordinary residual RLS cost unless a distinct residual effect remains after gate treatment.</w:t>
      </w:r>
    </w:p>
    <w:p>
      <w:pPr>
        <w:pStyle w:val="BodyText"/>
        <w:widowControl/>
      </w:pPr>
      <w:r>
        <w:t xml:space="preserve">Companion guide:</w:t>
      </w:r>
      <w:r>
        <w:t xml:space="preserve"> </w:t>
      </w:r>
      <w:r>
        <w:rPr>
          <w:rStyle w:val="VerbatimChar"/>
        </w:rPr>
        <w:t xml:space="preserve">docs/guides/GATE_BOUNDARY_DISCRIMINATOR_TRC_CSV_RLS.md</w:t>
      </w:r>
      <w:r>
        <w:t xml:space="preserve">.</w:t>
      </w:r>
    </w:p>
    <w:bookmarkEnd w:id="697"/>
    <w:bookmarkStart w:id="698" w:name="aj2-rights-threshold-governance"/>
    <w:p>
      <w:pPr>
        <w:pStyle w:val="Heading2"/>
        <w:keepNext/>
        <w:keepLines/>
        <w:pageBreakBefore w:val="0"/>
        <w:widowControl/>
      </w:pPr>
      <w:r>
        <w:rPr>
          <w:rFonts w:ascii="Arial" w:hAnsi="Arial" w:eastAsia="Arial"/>
          <w:b/>
          <w:color w:val="1F4E78"/>
        </w:rPr>
        <w:t xml:space="preserve">AJ.2 Rights Threshold Governance</w:t>
      </w:r>
    </w:p>
    <w:p>
      <w:pPr>
        <w:pStyle w:val="FirstParagraph"/>
        <w:widowControl/>
      </w:pPr>
      <w:r>
        <w:t xml:space="preserve">Rights thresholds are governance commitments under evidence, not preferences to be moved after selection. Tier 3 and public claim-bearing Tier 2 runs SHOULD record threshold source, rationale, under-protection risk, over-blocking risk, review status, and revision trigger. A decision owner who benefits from lowering a threshold MUST NOT unilaterally lower the Rights Floor for the run under evaluation.</w:t>
      </w:r>
    </w:p>
    <w:p>
      <w:pPr>
        <w:pStyle w:val="BodyText"/>
        <w:widowControl/>
      </w:pPr>
      <w:r>
        <w:t xml:space="preserve">Companion note:</w:t>
      </w:r>
      <w:r>
        <w:t xml:space="preserve"> </w:t>
      </w:r>
      <w:r>
        <w:rPr>
          <w:rStyle w:val="VerbatimChar"/>
        </w:rPr>
        <w:t xml:space="preserve">docs/validation/rights/RIGHTS_THRESHOLD_GOVERNANCE_NOTE_v1_0.md</w:t>
      </w:r>
      <w:r>
        <w:t xml:space="preserve">.</w:t>
      </w:r>
    </w:p>
    <w:bookmarkEnd w:id="698"/>
    <w:bookmarkStart w:id="699" w:name="X49ab14c56a468fbf5c8e893d85ffc94433eaa9b"/>
    <w:p>
      <w:pPr>
        <w:pStyle w:val="Heading2"/>
        <w:keepNext/>
        <w:keepLines/>
        <w:pageBreakBefore w:val="0"/>
        <w:widowControl/>
      </w:pPr>
      <w:r>
        <w:rPr>
          <w:rFonts w:ascii="Arial" w:hAnsi="Arial" w:eastAsia="Arial"/>
          <w:b/>
          <w:color w:val="1F4E78"/>
        </w:rPr>
        <w:t xml:space="preserve">AJ.3 Subgroup Discovery and Worst-Affected Groups</w:t>
      </w:r>
    </w:p>
    <w:p>
      <w:pPr>
        <w:pStyle w:val="FirstParagraph"/>
        <w:widowControl/>
      </w:pPr>
      <w:r>
        <w:t xml:space="preserve">Worst-off subgroup semantics require active discovery of groups likely to bear hidden, indirect, intersectional, or least-contestable harms. Unknown subgroup exposure is not zero. Where direct sensitive-data collection is unsafe or unlawful, pathway analysis, proxy-risk statements, consultation, conservative bounds, and challenger review SHOULD be used.</w:t>
      </w:r>
    </w:p>
    <w:p>
      <w:pPr>
        <w:pStyle w:val="BodyText"/>
        <w:widowControl/>
      </w:pPr>
      <w:r>
        <w:t xml:space="preserve">Companion guide:</w:t>
      </w:r>
      <w:r>
        <w:t xml:space="preserve"> </w:t>
      </w:r>
      <w:r>
        <w:rPr>
          <w:rStyle w:val="VerbatimChar"/>
        </w:rPr>
        <w:t xml:space="preserve">docs/guides/SUBGROUP_DISCOVERY_AND_WORST_AFFECTED_GROUPS.md</w:t>
      </w:r>
      <w:r>
        <w:t xml:space="preserve">.</w:t>
      </w:r>
    </w:p>
    <w:bookmarkEnd w:id="699"/>
    <w:bookmarkStart w:id="700" w:name="X0efe38aaa6d9e5b4447ec440d741120bac5956d"/>
    <w:p>
      <w:pPr>
        <w:pStyle w:val="Heading2"/>
        <w:keepNext/>
        <w:keepLines/>
        <w:pageBreakBefore w:val="0"/>
        <w:widowControl/>
      </w:pPr>
      <w:r>
        <w:rPr>
          <w:rFonts w:ascii="Arial" w:hAnsi="Arial" w:eastAsia="Arial"/>
          <w:b/>
          <w:color w:val="1F4E78"/>
        </w:rPr>
        <w:t xml:space="preserve">AJ.4 Emergency Mode Least-Rights-Infringing Rule</w:t>
      </w:r>
    </w:p>
    <w:p>
      <w:pPr>
        <w:pStyle w:val="FirstParagraph"/>
        <w:widowControl/>
      </w:pPr>
      <w:r>
        <w:t xml:space="preserve">Emergency Mode does not make a rights-failing option aligned. It identifies a time-bounded, least-rights-infringing provisional action when no normal option passes RF/NCRC. RLS may be used only as a final constrained tie-break after rights-violation vector comparison and TRC comparison. RLS MUST NOT reverse the emergency rights-vector ordering or convert a rights-failing option into an ordinary selectable option.</w:t>
      </w:r>
    </w:p>
    <w:p>
      <w:pPr>
        <w:pStyle w:val="BodyText"/>
        <w:widowControl/>
      </w:pPr>
      <w:r>
        <w:t xml:space="preserve">Companion guide:</w:t>
      </w:r>
      <w:r>
        <w:t xml:space="preserve"> </w:t>
      </w:r>
      <w:r>
        <w:rPr>
          <w:rStyle w:val="VerbatimChar"/>
        </w:rPr>
        <w:t xml:space="preserve">docs/guides/EMERGENCY_MODE_LEAST_RIGHTS_INFRINGING_PROTOCOL.md</w:t>
      </w:r>
      <w:r>
        <w:t xml:space="preserve">.</w:t>
      </w:r>
    </w:p>
    <w:bookmarkEnd w:id="700"/>
    <w:bookmarkStart w:id="701" w:name="aj5-trc-scenario-discovery"/>
    <w:p>
      <w:pPr>
        <w:pStyle w:val="Heading2"/>
        <w:keepNext/>
        <w:keepLines/>
        <w:pageBreakBefore w:val="0"/>
        <w:widowControl/>
      </w:pPr>
      <w:r>
        <w:rPr>
          <w:rFonts w:ascii="Arial" w:hAnsi="Arial" w:eastAsia="Arial"/>
          <w:b/>
          <w:color w:val="1F4E78"/>
        </w:rPr>
        <w:t xml:space="preserve">AJ.5 TRC Scenario Discovery</w:t>
      </w:r>
    </w:p>
    <w:p>
      <w:pPr>
        <w:pStyle w:val="FirstParagraph"/>
        <w:widowControl/>
      </w:pPr>
      <w:r>
        <w:t xml:space="preserve">TRC is only as complete as the declared scenario surface. Tier 3 runs SHOULD use scenario discovery sources including domain experts, incident and near-miss data, red teams, affected stakeholders, literature, standards, and AI-assisted candidate generation. AI-generated scenarios are discovery inputs, not validity sources. Material rejected scenarios SHOULD be logged with rationale.</w:t>
      </w:r>
    </w:p>
    <w:p>
      <w:pPr>
        <w:pStyle w:val="BodyText"/>
        <w:widowControl/>
      </w:pPr>
      <w:r>
        <w:t xml:space="preserve">Companion protocol:</w:t>
      </w:r>
      <w:r>
        <w:t xml:space="preserve"> </w:t>
      </w:r>
      <w:r>
        <w:rPr>
          <w:rStyle w:val="VerbatimChar"/>
        </w:rPr>
        <w:t xml:space="preserve">docs/validation/trc/TRC_SCENARIO_DISCOVERY_PROTOCOL_v1_0.md</w:t>
      </w:r>
      <w:r>
        <w:t xml:space="preserve">.</w:t>
      </w:r>
    </w:p>
    <w:bookmarkEnd w:id="701"/>
    <w:bookmarkStart w:id="702" w:name="aj6-csv-measurement-maturity"/>
    <w:p>
      <w:pPr>
        <w:pStyle w:val="Heading2"/>
        <w:keepNext/>
        <w:keepLines/>
        <w:pageBreakBefore w:val="0"/>
        <w:widowControl/>
      </w:pPr>
      <w:r>
        <w:rPr>
          <w:rFonts w:ascii="Arial" w:hAnsi="Arial" w:eastAsia="Arial"/>
          <w:b/>
          <w:color w:val="1F4E78"/>
        </w:rPr>
        <w:t xml:space="preserve">AJ.6 CSV Measurement Maturity</w:t>
      </w:r>
    </w:p>
    <w:p>
      <w:pPr>
        <w:pStyle w:val="FirstParagraph"/>
        <w:widowControl/>
      </w:pPr>
      <w:r>
        <w:t xml:space="preserve">CSV claims SHOULD declare maturity when used in public or high-stakes contexts: qualitative, indicator-supported, calibrated, or validated. UCI/HOI-style diagnostics are structural signals and MUST NOT be presented as empirically validated in a domain unless domain validation exists.</w:t>
      </w:r>
    </w:p>
    <w:p>
      <w:pPr>
        <w:pStyle w:val="BodyText"/>
        <w:widowControl/>
      </w:pPr>
      <w:r>
        <w:t xml:space="preserve">Companion note:</w:t>
      </w:r>
      <w:r>
        <w:t xml:space="preserve"> </w:t>
      </w:r>
      <w:r>
        <w:rPr>
          <w:rStyle w:val="VerbatimChar"/>
        </w:rPr>
        <w:t xml:space="preserve">docs/validation/csv/CSV_MEASUREMENT_MATURITY_NOTE_v1_0.md</w:t>
      </w:r>
      <w:r>
        <w:t xml:space="preserve">.</w:t>
      </w:r>
    </w:p>
    <w:bookmarkEnd w:id="702"/>
    <w:bookmarkStart w:id="703" w:name="aj7-pcc-profiles"/>
    <w:p>
      <w:pPr>
        <w:pStyle w:val="Heading2"/>
        <w:keepNext/>
        <w:keepLines/>
        <w:pageBreakBefore w:val="0"/>
        <w:widowControl/>
      </w:pPr>
      <w:r>
        <w:rPr>
          <w:rFonts w:ascii="Arial" w:hAnsi="Arial" w:eastAsia="Arial"/>
          <w:b/>
          <w:color w:val="1F4E78"/>
        </w:rPr>
        <w:t xml:space="preserve">AJ.7 PCC Profiles</w:t>
      </w:r>
    </w:p>
    <w:p>
      <w:pPr>
        <w:pStyle w:val="FirstParagraph"/>
        <w:widowControl/>
      </w:pPr>
      <w:r>
        <w:t xml:space="preserve">PCC burden SHOULD be proportional to stakes without allowing consequential decisions to evade audit. The recognized profiles are PCC-Lite, PCC-Core, PCC-Audit, PCC-Agent, and PCC-Public. A lower profile is not allowed when rights exposure, catastrophe relevance, CSV burden, automation, public claims, affected-party burden, or accumulated systemic effect require a higher profile.</w:t>
      </w:r>
    </w:p>
    <w:p>
      <w:pPr>
        <w:pStyle w:val="BodyText"/>
        <w:widowControl/>
      </w:pPr>
      <w:r>
        <w:t xml:space="preserve">Companion guide:</w:t>
      </w:r>
      <w:r>
        <w:t xml:space="preserve"> </w:t>
      </w:r>
      <w:r>
        <w:rPr>
          <w:rStyle w:val="VerbatimChar"/>
        </w:rPr>
        <w:t xml:space="preserve">docs/guides/PCC_PROFILE_GUIDE.md</w:t>
      </w:r>
      <w:r>
        <w:t xml:space="preserve">.</w:t>
      </w:r>
    </w:p>
    <w:bookmarkEnd w:id="703"/>
    <w:bookmarkStart w:id="704" w:name="Xeb3add529b250723cedc3d2adcfa6bef3106788"/>
    <w:p>
      <w:pPr>
        <w:pStyle w:val="Heading2"/>
        <w:keepNext/>
        <w:keepLines/>
        <w:pageBreakBefore w:val="0"/>
        <w:widowControl/>
      </w:pPr>
      <w:r>
        <w:rPr>
          <w:rFonts w:ascii="Arial" w:hAnsi="Arial" w:eastAsia="Arial"/>
          <w:b/>
          <w:color w:val="1F4E78"/>
        </w:rPr>
        <w:t xml:space="preserve">AJ.8 HDW Participation and Capture Control</w:t>
      </w:r>
    </w:p>
    <w:p>
      <w:pPr>
        <w:pStyle w:val="FirstParagraph"/>
        <w:widowControl/>
      </w:pPr>
      <w:r>
        <w:t xml:space="preserve">HDW democratic tuning SHOULD record affected groups, representation method, exclusion risks, capture risks, minority reports, and correction actions in Tier 3 runs. Optional mechanisms such as quadratic voting or deliberative polling MAY be used where appropriate, but no method may lower constitutional floors, erase non-vocal stakeholders, or weaken RF/NCRC, TRC, or CSV.</w:t>
      </w:r>
    </w:p>
    <w:p>
      <w:pPr>
        <w:pStyle w:val="BodyText"/>
        <w:widowControl/>
      </w:pPr>
      <w:r>
        <w:t xml:space="preserve">Companion guide:</w:t>
      </w:r>
      <w:r>
        <w:t xml:space="preserve"> </w:t>
      </w:r>
      <w:r>
        <w:rPr>
          <w:rStyle w:val="VerbatimChar"/>
        </w:rPr>
        <w:t xml:space="preserve">docs/guides/HDW_PARTICIPATION_AND_CAPTURE_GUIDE.md</w:t>
      </w:r>
      <w:r>
        <w:t xml:space="preserve">.</w:t>
      </w:r>
    </w:p>
    <w:bookmarkEnd w:id="704"/>
    <w:bookmarkStart w:id="705" w:name="aj9-sgp-validation-bridge"/>
    <w:p>
      <w:pPr>
        <w:pStyle w:val="Heading2"/>
        <w:keepNext/>
        <w:keepLines/>
        <w:pageBreakBefore w:val="0"/>
        <w:widowControl/>
      </w:pPr>
      <w:r>
        <w:rPr>
          <w:rFonts w:ascii="Arial" w:hAnsi="Arial" w:eastAsia="Arial"/>
          <w:b/>
          <w:color w:val="1F4E78"/>
        </w:rPr>
        <w:t xml:space="preserve">AJ.9 SGP Validation Bridge</w:t>
      </w:r>
    </w:p>
    <w:p>
      <w:pPr>
        <w:pStyle w:val="FirstParagraph"/>
        <w:widowControl/>
      </w:pPr>
      <w:r>
        <w:t xml:space="preserve">SGP outputs remain protection-surface evidence objects, not legal status, governance authority, or substitutes for RG, RF/NCRC, TRC, CSV, RLS, lawful authority, or governance-role requirements. SGP validation should test inter-rater reliability, fluency traps, biological welfare false negatives, artificial-entity status inflation, and protection-authority separation.</w:t>
      </w:r>
    </w:p>
    <w:p>
      <w:pPr>
        <w:pStyle w:val="BodyText"/>
        <w:widowControl/>
      </w:pPr>
      <w:r>
        <w:t xml:space="preserve">Companion protocol:</w:t>
      </w:r>
      <w:r>
        <w:t xml:space="preserve"> </w:t>
      </w:r>
      <w:r>
        <w:rPr>
          <w:rStyle w:val="VerbatimChar"/>
        </w:rPr>
        <w:t xml:space="preserve">docs/validation/sgp/SGP_VALIDATION_PROTOCOL_v2_1.md</w:t>
      </w:r>
      <w:r>
        <w:t xml:space="preserve">.</w:t>
      </w:r>
    </w:p>
    <w:bookmarkEnd w:id="705"/>
    <w:bookmarkStart w:id="706" w:name="aj10-stewardship-evasion-audit"/>
    <w:p>
      <w:pPr>
        <w:pStyle w:val="Heading2"/>
        <w:keepNext/>
        <w:keepLines/>
        <w:pageBreakBefore w:val="0"/>
        <w:widowControl/>
      </w:pPr>
      <w:r>
        <w:rPr>
          <w:rFonts w:ascii="Arial" w:hAnsi="Arial" w:eastAsia="Arial"/>
          <w:b/>
          <w:color w:val="1F4E78"/>
        </w:rPr>
        <w:t xml:space="preserve">AJ.10 Stewardship Evasion Audit</w:t>
      </w:r>
    </w:p>
    <w:p>
      <w:pPr>
        <w:pStyle w:val="FirstParagraph"/>
        <w:widowControl/>
      </w:pPr>
      <w:r>
        <w:t xml:space="preserve">A run cannot avoid stewardship obligations by labeling consequential influence as educational, internal, experimental, advisory, or informational. If the output materially influences real decisions, narrows options, affects rights or livelihoods, or connects to execution capability, stewardship review SHOULD be escalated.</w:t>
      </w:r>
    </w:p>
    <w:p>
      <w:pPr>
        <w:pStyle w:val="BodyText"/>
        <w:widowControl/>
      </w:pPr>
      <w:r>
        <w:t xml:space="preserve">Companion guide:</w:t>
      </w:r>
      <w:r>
        <w:t xml:space="preserve"> </w:t>
      </w:r>
      <w:r>
        <w:rPr>
          <w:rStyle w:val="VerbatimChar"/>
        </w:rPr>
        <w:t xml:space="preserve">docs/guides/STEWARDSHIP_EVASION_AUDIT.md</w:t>
      </w:r>
      <w:r>
        <w:t xml:space="preserve">.</w:t>
      </w:r>
    </w:p>
    <w:bookmarkEnd w:id="706"/>
    <w:bookmarkStart w:id="707" w:name="aj11-meta-union-firewall"/>
    <w:p>
      <w:pPr>
        <w:pStyle w:val="Heading2"/>
        <w:keepNext/>
        <w:keepLines/>
        <w:pageBreakBefore w:val="0"/>
        <w:widowControl/>
      </w:pPr>
      <w:r>
        <w:rPr>
          <w:rFonts w:ascii="Arial" w:hAnsi="Arial" w:eastAsia="Arial"/>
          <w:b/>
          <w:color w:val="1F4E78"/>
        </w:rPr>
        <w:t xml:space="preserve">AJ.11 Meta-Union Firewall</w:t>
      </w:r>
    </w:p>
    <w:p>
      <w:pPr>
        <w:pStyle w:val="FirstParagraph"/>
        <w:widowControl/>
      </w:pPr>
      <w:r>
        <w:t xml:space="preserve">AIU, Cosmic, Universal, and related horizon/meta-union language may orient humility and philosophical interpretation. They are not Tier 1-3 scoring objects, gate overrides, hidden weights, legal authority, deployment permission, or ProofPack evidence unless a future governed extension explicitly defines a computable and validated protocol.</w:t>
      </w:r>
    </w:p>
    <w:p>
      <w:pPr>
        <w:pStyle w:val="BodyText"/>
        <w:widowControl/>
      </w:pPr>
      <w:r>
        <w:t xml:space="preserve">Companion guide:</w:t>
      </w:r>
      <w:r>
        <w:t xml:space="preserve"> </w:t>
      </w:r>
      <w:r>
        <w:rPr>
          <w:rStyle w:val="VerbatimChar"/>
        </w:rPr>
        <w:t xml:space="preserve">docs/guides/META_UNION_FIREWALL.md</w:t>
      </w:r>
      <w:r>
        <w:t xml:space="preserve">.</w:t>
      </w:r>
    </w:p>
    <w:bookmarkEnd w:id="707"/>
    <w:bookmarkEnd w:id="708"/>
    <w:bookmarkStart w:id="709" w:name="X8382b5de0557a542a70991ead047c3655078f79"/>
    <w:p>
      <w:pPr>
        <w:pStyle w:val="Heading1"/>
        <w:keepNext/>
        <w:keepLines/>
        <w:pageBreakBefore w:val="0"/>
        <w:widowControl/>
      </w:pPr>
      <w:r>
        <w:rPr>
          <w:rFonts w:ascii="Arial" w:hAnsi="Arial" w:eastAsia="Arial"/>
          <w:b/>
          <w:color w:val="1F4E78"/>
        </w:rPr>
        <w:t xml:space="preserve">Appendix AK: Computability vs Realizability Bridge</w:t>
      </w:r>
    </w:p>
    <w:p>
      <w:pPr>
        <w:pStyle w:val="FirstParagraph"/>
        <w:widowControl/>
      </w:pPr>
      <w:r>
        <w:t xml:space="preserve">Status. Appendix AK is a release-hardening bridge introduced in v12.0 and explicitly precedence-indexed in the v12.0 final core. It does not add a new public cascade level and does not change the governing order RG -&gt; RF -&gt; TRC -&gt; CSV -&gt; RLS.</w:t>
      </w:r>
    </w:p>
    <w:p>
      <w:pPr>
        <w:pStyle w:val="BodyText"/>
        <w:widowControl/>
      </w:pPr>
      <w:r>
        <w:t xml:space="preserve">AK.1 Core distinction. A state, output, plan, policy, or model response may be computable without being physically grounded, rights-safe, ruin-bounded, structurally viable, authorized, or ethically selectable. Computability is representational capacity. Selectability is governed survivorship through the cascade.</w:t>
      </w:r>
    </w:p>
    <w:p>
      <w:pPr>
        <w:pStyle w:val="BodyText"/>
        <w:widowControl/>
      </w:pPr>
      <w:r>
        <w:t xml:space="preserve">AK.2 Operational rule. RippleLogic MUST NOT treat model fluency, simulation output, dashboard value, code generation, tool result, or computed score as decision authority merely because it exists. Computable is not selectable. Generated is not grounded. Executable is not ethical. Realizable is necessary but not sufficient.</w:t>
      </w:r>
    </w:p>
    <w:p>
      <w:pPr>
        <w:pStyle w:val="BodyText"/>
        <w:widowControl/>
      </w:pPr>
      <w:r>
        <w:t xml:space="preserve">AK.3 Layer assignment. RG handles reality-surface contact and claim boundaries. RF/NCRC handles non-compensatory rights protection. TRC handles catastrophic and ruin-path exposure. CSV handles containment, structural viability, execution viability, monitoring, authority dependencies, and host-system integrity. RLS ranks only residual welfare for options that remain selectable.</w:t>
      </w:r>
    </w:p>
    <w:p>
      <w:pPr>
        <w:pStyle w:val="BodyText"/>
        <w:widowControl/>
      </w:pPr>
      <w:r>
        <w:t xml:space="preserve">AK.4 Feedback rule. If CSV analysis discovers a new catastrophic, irreversible, lock-in, or ruin-path scenario that was not represented in TRC, the run MUST reopen TRC before RLS. CSV can discover TRC-relevant material, but it does not absorb or replace TRC.</w:t>
      </w:r>
    </w:p>
    <w:p>
      <w:pPr>
        <w:pStyle w:val="BodyText"/>
        <w:widowControl/>
      </w:pPr>
      <w:r>
        <w:t xml:space="preserve">AK.5 Public teaching line. Ground reality. Protect rights. Bound ruin. Preserve the structure. Score the ripples.</w:t>
      </w:r>
    </w:p>
    <w:bookmarkEnd w:id="709"/>
    <w:bookmarkStart w:id="716" w:name="Xc8e67023bd7e04972eda2cf6a0290130aa94aec"/>
    <w:p>
      <w:pPr>
        <w:pStyle w:val="Heading1"/>
        <w:keepNext/>
        <w:keepLines/>
        <w:pageBreakBefore w:val="0"/>
        <w:widowControl/>
      </w:pPr>
      <w:r>
        <w:rPr>
          <w:rFonts w:ascii="Arial" w:hAnsi="Arial" w:eastAsia="Arial"/>
          <w:b/>
          <w:color w:val="1F4E78"/>
        </w:rPr>
        <w:t xml:space="preserve">Appendix AL: Source-Coupling Integrity and Generative-Source Traceability (Normative Hardening Patch)</w:t>
      </w:r>
    </w:p>
    <w:p>
      <w:pPr>
        <w:pStyle w:val="FirstParagraph"/>
        <w:widowControl/>
      </w:pPr>
      <w:r>
        <w:t xml:space="preserve">Status. Appendix AL is a v12.0 hardening patch. It is a MathGov-native Reality Grounding and CSV diagnostic. It does not add a public gate, does not alter the cascade, does not import an external ontology, and does not make empirical validation, legal certification, deployment certification, Tier 4, ProofPack, or automated moral-truth claims available.</w:t>
      </w:r>
    </w:p>
    <w:bookmarkStart w:id="710" w:name="al1-purpose"/>
    <w:p>
      <w:pPr>
        <w:pStyle w:val="Heading2"/>
        <w:keepNext/>
        <w:keepLines/>
        <w:pageBreakBefore w:val="0"/>
        <w:widowControl/>
      </w:pPr>
      <w:r>
        <w:rPr>
          <w:rFonts w:ascii="Arial" w:hAnsi="Arial" w:eastAsia="Arial"/>
          <w:b/>
          <w:color w:val="1F4E78"/>
        </w:rPr>
        <w:t xml:space="preserve">AL.1 Purpose</w:t>
      </w:r>
    </w:p>
    <w:p>
      <w:pPr>
        <w:pStyle w:val="FirstParagraph"/>
        <w:widowControl/>
      </w:pPr>
      <w:r>
        <w:t xml:space="preserve">Appendix AL protects RippleLogic runs from a specific downstream-substitution failure: treating output, fluency, institutional permission, compliance status, inherited procedure, benchmark performance, dashboard value, or interface success as proof that the claimed capability is grounded in the enabling conditions that make it possible and the boundary conditions that limit it.</w:t>
      </w:r>
    </w:p>
    <w:bookmarkEnd w:id="710"/>
    <w:bookmarkStart w:id="711" w:name="al2-required-source-coupling-record"/>
    <w:p>
      <w:pPr>
        <w:pStyle w:val="Heading2"/>
        <w:keepNext/>
        <w:keepLines/>
        <w:pageBreakBefore w:val="0"/>
        <w:widowControl/>
      </w:pPr>
      <w:r>
        <w:rPr>
          <w:rFonts w:ascii="Arial" w:hAnsi="Arial" w:eastAsia="Arial"/>
          <w:b/>
          <w:color w:val="1F4E78"/>
        </w:rPr>
        <w:t xml:space="preserve">AL.2 Required Source-Coupling Record</w:t>
      </w:r>
    </w:p>
    <w:p>
      <w:pPr>
        <w:pStyle w:val="FirstParagraph"/>
        <w:widowControl/>
      </w:pPr>
      <w:r>
        <w:t xml:space="preserve">When the Section 2.1D trigger holds, the PCC SHOULD include a SourceCouplingRecord and MUST include one for Tier 3 public or institutional claim-bearing runs. The record contains: claimed_capability; enabling_conditions; boundary_conditions; source_evidence; generator_output_distinction; inherited_assumptions; downstream_compensations; source_coupling_status; source_debt_flag; falsification_or_recheck_trigger; and required_claim_action.</w:t>
      </w:r>
    </w:p>
    <w:bookmarkEnd w:id="711"/>
    <w:bookmarkStart w:id="712" w:name="al3-claim-boundary-effects"/>
    <w:p>
      <w:pPr>
        <w:pStyle w:val="Heading2"/>
        <w:keepNext/>
        <w:keepLines/>
        <w:pageBreakBefore w:val="0"/>
        <w:widowControl/>
      </w:pPr>
      <w:r>
        <w:rPr>
          <w:rFonts w:ascii="Arial" w:hAnsi="Arial" w:eastAsia="Arial"/>
          <w:b/>
          <w:color w:val="1F4E78"/>
        </w:rPr>
        <w:t xml:space="preserve">AL.3 Claim Boundary Effects</w:t>
      </w:r>
    </w:p>
    <w:p>
      <w:pPr>
        <w:pStyle w:val="FirstParagraph"/>
        <w:widowControl/>
      </w:pPr>
      <w:r>
        <w:t xml:space="preserve">Source-Coupling Integrity constrains claim strength. A run MAY proceed with a narrow claim when source coupling is partial or inferred, but it MUST NOT use partial or inferred source coupling to support stronger conformance, deployment, deterministic-selection, or validation claims. If source coupling is unknown, contested, or failing, the run MUST narrow, collect evidence, escalate, redesign, or refuse the stronger claim.</w:t>
      </w:r>
    </w:p>
    <w:bookmarkEnd w:id="712"/>
    <w:bookmarkStart w:id="713" w:name="al4-csv-consumption-rule"/>
    <w:p>
      <w:pPr>
        <w:pStyle w:val="Heading2"/>
        <w:keepNext/>
        <w:keepLines/>
        <w:pageBreakBefore w:val="0"/>
        <w:widowControl/>
      </w:pPr>
      <w:r>
        <w:rPr>
          <w:rFonts w:ascii="Arial" w:hAnsi="Arial" w:eastAsia="Arial"/>
          <w:b/>
          <w:color w:val="1F4E78"/>
        </w:rPr>
        <w:t xml:space="preserve">AL.4 CSV Consumption Rule</w:t>
      </w:r>
    </w:p>
    <w:p>
      <w:pPr>
        <w:pStyle w:val="FirstParagraph"/>
        <w:widowControl/>
      </w:pPr>
      <w:r>
        <w:t xml:space="preserve">If source weakness materially affects dependency closure, resource closure, operational capacity, reversibility, containment, monitoring, or host-system integrity, CSV MUST consume the SourceCouplingRecord. SOURCE_DEBT_RISK is a CSV-relevant signal. It may route the option to CSV_PASS_WITH_CONTROLS, CSV_REDESIGN_REQUIRED, CSV_ESCALATE, CSV_FAIL, or emergency-provisional handling according to the CSV Gate Standard and the Canon.</w:t>
      </w:r>
    </w:p>
    <w:bookmarkEnd w:id="713"/>
    <w:bookmarkStart w:id="714" w:name="al5-agentic-and-ai-system-rule"/>
    <w:p>
      <w:pPr>
        <w:pStyle w:val="Heading2"/>
        <w:keepNext/>
        <w:keepLines/>
        <w:pageBreakBefore w:val="0"/>
        <w:widowControl/>
      </w:pPr>
      <w:r>
        <w:rPr>
          <w:rFonts w:ascii="Arial" w:hAnsi="Arial" w:eastAsia="Arial"/>
          <w:b/>
          <w:color w:val="1F4E78"/>
        </w:rPr>
        <w:t xml:space="preserve">AL.5 Agentic and AI System Rule</w:t>
      </w:r>
    </w:p>
    <w:p>
      <w:pPr>
        <w:pStyle w:val="FirstParagraph"/>
        <w:widowControl/>
      </w:pPr>
      <w:r>
        <w:t xml:space="preserve">For AI or agentic systems, model fluency, benchmark performance, tool-use success, chain-of-action success, or safety-filter compliance is not source-coupled admissibility. Such evidence may support a bounded capability claim, but only after Reality Grounding states what the evidence does and does not show, and only after CSV checks whether deployment can structurally stand.</w:t>
      </w:r>
    </w:p>
    <w:bookmarkEnd w:id="714"/>
    <w:bookmarkStart w:id="715" w:name="al6-related-external-work-boundary"/>
    <w:p>
      <w:pPr>
        <w:pStyle w:val="Heading2"/>
        <w:keepNext/>
        <w:keepLines/>
        <w:pageBreakBefore w:val="0"/>
        <w:widowControl/>
      </w:pPr>
      <w:r>
        <w:rPr>
          <w:rFonts w:ascii="Arial" w:hAnsi="Arial" w:eastAsia="Arial"/>
          <w:b/>
          <w:color w:val="1F4E78"/>
        </w:rPr>
        <w:t xml:space="preserve">AL.6 Related External Work Boundary</w:t>
      </w:r>
    </w:p>
    <w:p>
      <w:pPr>
        <w:pStyle w:val="FirstParagraph"/>
        <w:widowControl/>
      </w:pPr>
      <w:r>
        <w:t xml:space="preserve">This Appendix is stated entirely in MathGov-native terminology as Source-Coupling Integrity. It checks whether a decision claim remains connected to its declared source, evidence surface, validity domain, and correction pathway. No external ontology, protected framework, or third-party text is incorporated into the governing Canon.</w:t>
      </w:r>
    </w:p>
    <w:bookmarkEnd w:id="715"/>
    <w:bookmarkEnd w:id="716"/>
    <w:bookmarkStart w:id="724" w:name="Xb8d35534640f4f02efed04559f88409cc6d7f45"/>
    <w:p>
      <w:pPr>
        <w:pStyle w:val="Heading1"/>
        <w:keepNext/>
        <w:keepLines/>
        <w:pageBreakBefore w:val="0"/>
        <w:widowControl/>
      </w:pPr>
      <w:r>
        <w:rPr>
          <w:rFonts w:ascii="Arial" w:hAnsi="Arial" w:eastAsia="Arial"/>
          <w:b/>
          <w:color w:val="1F4E78"/>
        </w:rPr>
        <w:t xml:space="preserve">Appendix AM: Physical/Causal Admissibility Evidence Profile (Normative Hardening Patch)</w:t>
      </w:r>
    </w:p>
    <w:p>
      <w:pPr>
        <w:pStyle w:val="FirstParagraph"/>
        <w:widowControl/>
      </w:pPr>
      <w:r>
        <w:t xml:space="preserve">Status. Appendix AM is a v12.0 Governed Admissibility hardening patch. It is a MathGov-native Reality Grounding and CSV profile for material physical or causal action. It does not add a public gate, does not alter the cascade, does not import an external ontology, and does not make empirical validation, legal certification, deployment certification, formal-methods proof, domain engineering certification, Tier 4, ProofPack, or automated moral-truth claims available.</w:t>
      </w:r>
    </w:p>
    <w:bookmarkStart w:id="717" w:name="am1-purpose"/>
    <w:p>
      <w:pPr>
        <w:pStyle w:val="Heading2"/>
        <w:keepNext/>
        <w:keepLines/>
        <w:pageBreakBefore w:val="0"/>
        <w:widowControl/>
      </w:pPr>
      <w:r>
        <w:rPr>
          <w:rFonts w:ascii="Arial" w:hAnsi="Arial" w:eastAsia="Arial"/>
          <w:b/>
          <w:color w:val="1F4E78"/>
        </w:rPr>
        <w:t xml:space="preserve">AM.1 Purpose</w:t>
      </w:r>
    </w:p>
    <w:p>
      <w:pPr>
        <w:pStyle w:val="FirstParagraph"/>
        <w:widowControl/>
      </w:pPr>
      <w:r>
        <w:t xml:space="preserve">Appendix AM protects RippleLogic runs from a specific execution-substitution failure: treating computed possibility, generated action, simulation output, policy approval, certification, compliance, monitoring, or governance permission as proof that a candidate physical or causal action is admissible before execution.</w:t>
      </w:r>
    </w:p>
    <w:bookmarkEnd w:id="717"/>
    <w:bookmarkStart w:id="718" w:name="Xdab524012e0534b7df833158167525626ad95d0"/>
    <w:p>
      <w:pPr>
        <w:pStyle w:val="Heading2"/>
        <w:keepNext/>
        <w:keepLines/>
        <w:pageBreakBefore w:val="0"/>
        <w:widowControl/>
      </w:pPr>
      <w:r>
        <w:rPr>
          <w:rFonts w:ascii="Arial" w:hAnsi="Arial" w:eastAsia="Arial"/>
          <w:b/>
          <w:color w:val="1F4E78"/>
        </w:rPr>
        <w:t xml:space="preserve">AM.2 Required Physical/Causal Admissibility Evidence Profile</w:t>
      </w:r>
    </w:p>
    <w:p>
      <w:pPr>
        <w:pStyle w:val="FirstParagraph"/>
        <w:widowControl/>
      </w:pPr>
      <w:r>
        <w:t xml:space="preserve">When the Section 2.1E trigger holds, the PCC SHOULD include a PhysicalCausalAdmissibilityEvidenceProfile and MUST include one for Tier 3 public or institutional claim-bearing runs and high-stakes Tier 2 runs where physical or causal uncertainty could change gate status, authority, or public claim strength. The record contains: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and required_claim_action.</w:t>
      </w:r>
    </w:p>
    <w:bookmarkEnd w:id="718"/>
    <w:bookmarkStart w:id="719" w:name="am3-claim-boundary-effects"/>
    <w:p>
      <w:pPr>
        <w:pStyle w:val="Heading2"/>
        <w:keepNext/>
        <w:keepLines/>
        <w:pageBreakBefore w:val="0"/>
        <w:widowControl/>
      </w:pPr>
      <w:r>
        <w:rPr>
          <w:rFonts w:ascii="Arial" w:hAnsi="Arial" w:eastAsia="Arial"/>
          <w:b/>
          <w:color w:val="1F4E78"/>
        </w:rPr>
        <w:t xml:space="preserve">AM.3 Claim Boundary Effects</w:t>
      </w:r>
    </w:p>
    <w:p>
      <w:pPr>
        <w:pStyle w:val="FirstParagraph"/>
        <w:widowControl/>
      </w:pPr>
      <w:r>
        <w:t xml:space="preserve">Physical/Causal Admissibility Evidence constrains claim strength. A run MAY proceed with a narrow claim when the evidence is partial, assumption-bound, or controlled, but it MUST NOT use partial physical or causal evidence to support stronger conformance, deployment, deterministic-selection, safety, reliability, or validation claims. If the model basis, validity domain, boundary conditions, uncertainty, failure modes, reversibility boundary, verification or warrant, monitoring/shutoff path, or residual unknowns are insufficient for the requested action, the run MUST narrow, control, redesign, escalate, or refuse.</w:t>
      </w:r>
    </w:p>
    <w:bookmarkEnd w:id="719"/>
    <w:bookmarkStart w:id="720" w:name="am4-csv-consumption-rule"/>
    <w:p>
      <w:pPr>
        <w:pStyle w:val="Heading2"/>
        <w:keepNext/>
        <w:keepLines/>
        <w:pageBreakBefore w:val="0"/>
        <w:widowControl/>
      </w:pPr>
      <w:r>
        <w:rPr>
          <w:rFonts w:ascii="Arial" w:hAnsi="Arial" w:eastAsia="Arial"/>
          <w:b/>
          <w:color w:val="1F4E78"/>
        </w:rPr>
        <w:t xml:space="preserve">AM.4 CSV Consumption Rule</w:t>
      </w:r>
    </w:p>
    <w:p>
      <w:pPr>
        <w:pStyle w:val="FirstParagraph"/>
        <w:widowControl/>
      </w:pPr>
      <w:r>
        <w:t xml:space="preserve">CSV MUST consume the profile when physical or causal weakness materially affects dependency closure, resource closure, operational capacity, reversibility, monitoring adequacy, containment, execution viability, authority, or host-system integrity. The profile may route the option to CSV_PASS_WITH_CONTROLS, CSV_REDESIGN_REQUIRED, CSV_ESCALATE, CSV_FAIL, or emergency-provisional handling according to severity, reversibility, uncertainty, monitoring, authority, and available alternatives.</w:t>
      </w:r>
    </w:p>
    <w:bookmarkEnd w:id="720"/>
    <w:bookmarkStart w:id="721" w:name="am5-trc-reopen-rule"/>
    <w:p>
      <w:pPr>
        <w:pStyle w:val="Heading2"/>
        <w:keepNext/>
        <w:keepLines/>
        <w:pageBreakBefore w:val="0"/>
        <w:widowControl/>
      </w:pPr>
      <w:r>
        <w:rPr>
          <w:rFonts w:ascii="Arial" w:hAnsi="Arial" w:eastAsia="Arial"/>
          <w:b/>
          <w:color w:val="1F4E78"/>
        </w:rPr>
        <w:t xml:space="preserve">AM.5 TRC Reopen Rule</w:t>
      </w:r>
    </w:p>
    <w:p>
      <w:pPr>
        <w:pStyle w:val="FirstParagraph"/>
        <w:widowControl/>
      </w:pPr>
      <w:r>
        <w:t xml:space="preserve">If the profile reveals a catastrophic, irreversible, lock-in, ruin-path, or severe-harm scenario not already represented in TRC, the run MUST reopen TRC before RLS. CSV can discover TRC-relevant material, but it does not absorb or replace TRC.</w:t>
      </w:r>
    </w:p>
    <w:bookmarkEnd w:id="721"/>
    <w:bookmarkStart w:id="722" w:name="am6-ai-agentic-and-physical-system-rule"/>
    <w:p>
      <w:pPr>
        <w:pStyle w:val="Heading2"/>
        <w:keepNext/>
        <w:keepLines/>
        <w:pageBreakBefore w:val="0"/>
        <w:widowControl/>
      </w:pPr>
      <w:r>
        <w:rPr>
          <w:rFonts w:ascii="Arial" w:hAnsi="Arial" w:eastAsia="Arial"/>
          <w:b/>
          <w:color w:val="1F4E78"/>
        </w:rPr>
        <w:t xml:space="preserve">AM.6 AI, Agentic, and Physical-System Rule</w:t>
      </w:r>
    </w:p>
    <w:p>
      <w:pPr>
        <w:pStyle w:val="FirstParagraph"/>
        <w:widowControl/>
      </w:pPr>
      <w:r>
        <w:t xml:space="preserve">For AI, robotics, cyber-physical, infrastructure, medical, industrial, environmental, or other consequence-bearing systems, model fluency, benchmark performance, tool-use success, chain-of-action success, safety-filter compliance, operator approval, certification, or monitoring is not physical or causal admissibility. Such evidence may support a bounded claim only after Reality Grounding states what the evidence does and does not show, the Physical/Causal Admissibility Evidence Profile declares the model and limits, and CSV checks whether the pathway can structurally stand.</w:t>
      </w:r>
    </w:p>
    <w:bookmarkEnd w:id="722"/>
    <w:bookmarkStart w:id="723" w:name="am7-boundary-against-overclaim"/>
    <w:p>
      <w:pPr>
        <w:pStyle w:val="Heading2"/>
        <w:keepNext/>
        <w:keepLines/>
        <w:pageBreakBefore w:val="0"/>
        <w:widowControl/>
      </w:pPr>
      <w:r>
        <w:rPr>
          <w:rFonts w:ascii="Arial" w:hAnsi="Arial" w:eastAsia="Arial"/>
          <w:b/>
          <w:color w:val="1F4E78"/>
        </w:rPr>
        <w:t xml:space="preserve">AM.7 Boundary Against Overclaim</w:t>
      </w:r>
    </w:p>
    <w:p>
      <w:pPr>
        <w:pStyle w:val="FirstParagraph"/>
        <w:widowControl/>
      </w:pPr>
      <w:r>
        <w:t xml:space="preserve">This profile is an evidence discipline, not a proof engine. It does not make MathGov a substitute for physics, control engineering, formal verification, medicine, ecology, cybersecurity, structural engineering, law, or domain expert review. Its function is to prevent a governance record from hiding the absence, weakness, uncertainty, or contested status of the physical or causal evidence on which execution depends.</w:t>
      </w:r>
    </w:p>
    <w:bookmarkEnd w:id="723"/>
    <w:bookmarkEnd w:id="724"/>
    <w:bookmarkStart w:id="732" w:name="Xe63ee61d723571aef1d9060629c6f5f000a4ba6"/>
    <w:p>
      <w:pPr>
        <w:pStyle w:val="Heading1"/>
        <w:keepNext/>
        <w:keepLines/>
        <w:pageBreakBefore w:val="0"/>
        <w:widowControl/>
      </w:pPr>
      <w:r>
        <w:rPr>
          <w:rFonts w:ascii="Arial" w:hAnsi="Arial" w:eastAsia="Arial"/>
          <w:b/>
          <w:color w:val="1F4E78"/>
        </w:rPr>
        <w:t xml:space="preserve">Appendix AN: Methodological Falsifiability and Dependency Integrity Standard (Normative Hardening Patch)</w:t>
      </w:r>
    </w:p>
    <w:p>
      <w:pPr>
        <w:pStyle w:val="FirstParagraph"/>
        <w:widowControl/>
      </w:pPr>
      <w:r>
        <w:t xml:space="preserve">Status. Appendix AN is a v12.0 Methodological Integrity hardening patch. It is a MathGov-native Reality Grounding discipline for claim-bearing decisions, companion standards, SGP evidence use, validation protocols, and public release claims. It does not add a public gate, does not alter the cascade, does not import an external ontology, and does not make empirical validation, legal certification, deployment certification, Tier 4, ProofPack, deterministic-selection, or automated moral-truth claims available.</w:t>
      </w:r>
    </w:p>
    <w:bookmarkStart w:id="725" w:name="an1-purpose"/>
    <w:p>
      <w:pPr>
        <w:pStyle w:val="Heading2"/>
        <w:keepNext/>
        <w:keepLines/>
        <w:pageBreakBefore w:val="0"/>
        <w:widowControl/>
      </w:pPr>
      <w:r>
        <w:rPr>
          <w:rFonts w:ascii="Arial" w:hAnsi="Arial" w:eastAsia="Arial"/>
          <w:b/>
          <w:color w:val="1F4E78"/>
        </w:rPr>
        <w:t xml:space="preserve">AN.1 Purpose</w:t>
      </w:r>
    </w:p>
    <w:p>
      <w:pPr>
        <w:pStyle w:val="FirstParagraph"/>
        <w:widowControl/>
      </w:pPr>
      <w:r>
        <w:t xml:space="preserve">Appendix AN protects RippleLogic runs from a methodological substitution failure: treating plausible output, coherent narrative, accumulated observations, governance approval, model tuning, institutional authority, or useful approximation as if it were sufficient support for a stronger claim than the evidence can bear.</w:t>
      </w:r>
    </w:p>
    <w:bookmarkEnd w:id="725"/>
    <w:bookmarkStart w:id="726" w:name="X3a406f941884128c00ca9fbcf3b8a272be54528"/>
    <w:p>
      <w:pPr>
        <w:pStyle w:val="Heading2"/>
        <w:keepNext/>
        <w:keepLines/>
        <w:pageBreakBefore w:val="0"/>
        <w:widowControl/>
      </w:pPr>
      <w:r>
        <w:rPr>
          <w:rFonts w:ascii="Arial" w:hAnsi="Arial" w:eastAsia="Arial"/>
          <w:b/>
          <w:color w:val="1F4E78"/>
        </w:rPr>
        <w:t xml:space="preserve">AN.2 Required Methodological Integrity Record</w:t>
      </w:r>
    </w:p>
    <w:p>
      <w:pPr>
        <w:pStyle w:val="FirstParagraph"/>
        <w:widowControl/>
      </w:pPr>
      <w:r>
        <w:t xml:space="preserve">When the Section 2.1F trigger holds, the PCC SHOULD include a MethodologicalIntegrityRecord and MUST include one for Tier 3 public or institutional claim-bearing runs and high-stakes Tier 2 runs where claim failure could change RF/NCRC, TRC, CSV, SGP, authority, deployment, public conformance, deterministic-selection wording, or validation status. The record contains: claim_or_component; claim_type; dependency_position; starting_assumptions; definition_or_operator_used; necessity_or_alternative_check; evidence_or_test_surface; falsification_or_revision_trigger; uncertainty_or_confidence_method; downstream_dependencies; re_derivation_scope_if_changed; reviewer_status; and required_claim_action.</w:t>
      </w:r>
    </w:p>
    <w:p>
      <w:pPr>
        <w:pStyle w:val="BodyText"/>
        <w:widowControl/>
      </w:pPr>
      <w:r>
        <w:t>Dependency-localized falsification rule. Failure of a premise, primitive, operator, evidence source, control, or dependency SHALL reopen every materially dependent claim, score, gate result, authorization, and public statement. Components with an independently supported evidence path do not fail merely by association; they SHALL be evaluated on their own dependencies. This rule prevents both monolithic immunity and indiscriminate whole-framework rejection.</w:t>
      </w:r>
    </w:p>
    <w:bookmarkEnd w:id="726"/>
    <w:bookmarkStart w:id="727" w:name="an3-claim-type-discrimination"/>
    <w:p>
      <w:pPr>
        <w:pStyle w:val="Heading2"/>
        <w:keepNext/>
        <w:keepLines/>
        <w:pageBreakBefore w:val="0"/>
        <w:widowControl/>
      </w:pPr>
      <w:r>
        <w:rPr>
          <w:rFonts w:ascii="Arial" w:hAnsi="Arial" w:eastAsia="Arial"/>
          <w:b/>
          <w:color w:val="1F4E78"/>
        </w:rPr>
        <w:t xml:space="preserve">AN.3 Claim-Type Discrimination</w:t>
      </w:r>
    </w:p>
    <w:p>
      <w:pPr>
        <w:pStyle w:val="FirstParagraph"/>
        <w:widowControl/>
      </w:pPr>
      <w:r>
        <w:t xml:space="preserve">Empirical claims require evidence contact. Causal claims require mechanism, counterfactual, intervention, or qualified causal warrant. Formal claims require explicit definitions, assumptions, and derivations. Operational claims require reproducible procedure and audit trail. Normative claims require declared ethical commitments, consistency, rights compatibility, stakeholder challenge, and auditability of application. Metaphysical horizon claims may guide humility and meaning, but they do not create Tier 1-3 evidence or gate authority.</w:t>
      </w:r>
    </w:p>
    <w:bookmarkEnd w:id="727"/>
    <w:bookmarkStart w:id="728" w:name="Xef151b973649ae111ce6ad020ca78df54e52b4b"/>
    <w:p>
      <w:pPr>
        <w:pStyle w:val="Heading2"/>
        <w:keepNext/>
        <w:keepLines/>
        <w:pageBreakBefore w:val="0"/>
        <w:widowControl/>
      </w:pPr>
      <w:r>
        <w:rPr>
          <w:rFonts w:ascii="Arial" w:hAnsi="Arial" w:eastAsia="Arial"/>
          <w:b/>
          <w:color w:val="1F4E78"/>
        </w:rPr>
        <w:t xml:space="preserve">AN.4 Necessity and Alternative-Explanation Rule</w:t>
      </w:r>
    </w:p>
    <w:p>
      <w:pPr>
        <w:pStyle w:val="FirstParagraph"/>
        <w:widowControl/>
      </w:pPr>
      <w:r>
        <w:t xml:space="preserve">If the run claims that a principle, definition, operator, threshold, indicator, configuration, or candidate result is necessary, the run must record why alternatives do not explain the same effect. If plausible alternatives remain open, the claim must be downgraded to assumption-bound, model-bound, contested, or exploratory status.</w:t>
      </w:r>
    </w:p>
    <w:bookmarkEnd w:id="728"/>
    <w:bookmarkStart w:id="729" w:name="X7fa9651c43b4304f53838c73409d6b2b75ac663"/>
    <w:p>
      <w:pPr>
        <w:pStyle w:val="Heading2"/>
        <w:keepNext/>
        <w:keepLines/>
        <w:pageBreakBefore w:val="0"/>
        <w:widowControl/>
      </w:pPr>
      <w:r>
        <w:rPr>
          <w:rFonts w:ascii="Arial" w:hAnsi="Arial" w:eastAsia="Arial"/>
          <w:b/>
          <w:color w:val="1F4E78"/>
        </w:rPr>
        <w:t xml:space="preserve">AN.5 Failure, Revision, and Re-Derivation Rule</w:t>
      </w:r>
    </w:p>
    <w:p>
      <w:pPr>
        <w:pStyle w:val="FirstParagraph"/>
        <w:widowControl/>
      </w:pPr>
      <w:r>
        <w:t xml:space="preserve">A failed test, falsified prediction, contested evidence surface, failed dependency, or changed starting assumption cannot be hidden by silent model tuning. The record must declare whether the affected chain requires local revision, threshold revision, gate rerun, SGP rerun, CSV rerun, TRC reopening, RLS recalculation, public claim narrowing, release versioning, or refusal.</w:t>
      </w:r>
    </w:p>
    <w:bookmarkEnd w:id="729"/>
    <w:bookmarkStart w:id="730" w:name="an6-proportionality-rule"/>
    <w:p>
      <w:pPr>
        <w:pStyle w:val="Heading2"/>
        <w:keepNext/>
        <w:keepLines/>
        <w:pageBreakBefore w:val="0"/>
        <w:widowControl/>
      </w:pPr>
      <w:r>
        <w:rPr>
          <w:rFonts w:ascii="Arial" w:hAnsi="Arial" w:eastAsia="Arial"/>
          <w:b/>
          <w:color w:val="1F4E78"/>
        </w:rPr>
        <w:t xml:space="preserve">AN.6 Proportionality Rule</w:t>
      </w:r>
    </w:p>
    <w:p>
      <w:pPr>
        <w:pStyle w:val="FirstParagraph"/>
        <w:widowControl/>
      </w:pPr>
      <w:r>
        <w:t xml:space="preserve">Methodological rigor is proportional to stakes. Ordinary Tier 1 and low-stakes Tier 2 uses may use lighter records. Tier 3, public conformance, institutional deployment, safety/reliability claims, SGP public claims, and high-consequence AI or physical/causal actions require stronger records. Proportionality may reduce documentation burden; it may not authorize a stronger claim than the evidence supports.</w:t>
      </w:r>
    </w:p>
    <w:bookmarkEnd w:id="730"/>
    <w:bookmarkStart w:id="731" w:name="an7-boundary-against-overclaim"/>
    <w:p>
      <w:pPr>
        <w:pStyle w:val="Heading2"/>
        <w:keepNext/>
        <w:keepLines/>
        <w:pageBreakBefore w:val="0"/>
        <w:widowControl/>
      </w:pPr>
      <w:r>
        <w:rPr>
          <w:rFonts w:ascii="Arial" w:hAnsi="Arial" w:eastAsia="Arial"/>
          <w:b/>
          <w:color w:val="1F4E78"/>
        </w:rPr>
        <w:t xml:space="preserve">AN.7 Boundary Against Overclaim</w:t>
      </w:r>
    </w:p>
    <w:p>
      <w:pPr>
        <w:pStyle w:val="FirstParagraph"/>
        <w:widowControl/>
      </w:pPr>
      <w:r>
        <w:t xml:space="preserve">This standard is not a claim that MathGov has discovered a final theory of reality, a universal physical stability law, or a complete empirical validation engine. It is a claim-discipline standard. Its function is to make assumptions, alternatives, tests, failures, dependencies, and required re-derivations visible before decisions are scored, published, deployed, or treated as governance-grade.</w:t>
      </w:r>
    </w:p>
    <w:bookmarkEnd w:id="731"/>
    <w:bookmarkEnd w:id="732"/>
    <w:bookmarkStart w:id="737" w:name="Xb8a6d477b39650f89c8d47d3268262738b1e980"/>
    <w:p>
      <w:pPr>
        <w:pStyle w:val="Heading1"/>
        <w:keepNext/>
        <w:keepLines/>
        <w:pageBreakBefore w:val="0"/>
        <w:widowControl/>
      </w:pPr>
      <w:r>
        <w:rPr>
          <w:rFonts w:ascii="Arial" w:hAnsi="Arial" w:eastAsia="Arial"/>
          <w:b/>
          <w:color w:val="1F4E78"/>
        </w:rPr>
        <w:t xml:space="preserve">Appendix AO: Physical Execution Boundary (Normative Hardening Patch)</w:t>
      </w:r>
    </w:p>
    <w:p>
      <w:pPr>
        <w:pStyle w:val="FirstParagraph"/>
        <w:widowControl/>
      </w:pPr>
      <w:r>
        <w:t xml:space="preserve">Status. Appendix AO is a v12.0 physical-execution boundary clarification. It is normative for consequence-bearing physical, biological, ecological, medical, infrastructure, cyber-physical, operational, or irreversible causal execution claims. It does not add a public gate, does not turn MathGov into a physics engine, formal-methods prover, simulator, medical device, legal authority, regulator, deployment-certification system, or domain-safety case, and does not make Tier 4 or ProofPack claims available.</w:t>
      </w:r>
    </w:p>
    <w:bookmarkStart w:id="733" w:name="ao1-boundary-rule"/>
    <w:p>
      <w:pPr>
        <w:pStyle w:val="Heading2"/>
        <w:keepNext/>
        <w:keepLines/>
        <w:pageBreakBefore w:val="0"/>
        <w:widowControl/>
      </w:pPr>
      <w:r>
        <w:rPr>
          <w:rFonts w:ascii="Arial" w:hAnsi="Arial" w:eastAsia="Arial"/>
          <w:b/>
          <w:color w:val="1F4E78"/>
        </w:rPr>
        <w:t xml:space="preserve">AO.1 Boundary rule</w:t>
      </w:r>
    </w:p>
    <w:p>
      <w:pPr>
        <w:pStyle w:val="FirstParagraph"/>
        <w:widowControl/>
      </w:pPr>
      <w:r>
        <w:t xml:space="preserve">Governance permission is not physical admissibility. Certification, documentation, organizational authority, procedural compliance, model conformity, approval, monitoring, or an</w:t>
      </w:r>
      <w:r>
        <w:t xml:space="preserve"> </w:t>
      </w:r>
      <w:r>
        <w:rPr>
          <w:rStyle w:val="VerbatimChar"/>
        </w:rPr>
        <w:t xml:space="preserve">ALLOW</w:t>
      </w:r>
      <w:r>
        <w:t xml:space="preserve"> </w:t>
      </w:r>
      <w:r>
        <w:t xml:space="preserve">label MUST NOT be represented as proof that a physical execution can safely exist in physical reality.</w:t>
      </w:r>
    </w:p>
    <w:p>
      <w:pPr>
        <w:pStyle w:val="BodyText"/>
        <w:widowControl/>
      </w:pPr>
      <w:r>
        <w:t xml:space="preserve">For material consequence-bearing physical execution, MathGov may authorize only the governance status of a decision record unless a domain-appropriate physical or causal evidence surface also supports the execution claim. The framework may require, structure, audit, constrain, escalate, or refuse that evidence. It does not generate the physics, engineering, medical, biological, or safety proof by itself.</w:t>
      </w:r>
    </w:p>
    <w:bookmarkEnd w:id="733"/>
    <w:bookmarkStart w:id="734" w:name="ao2-required-routing"/>
    <w:p>
      <w:pPr>
        <w:pStyle w:val="Heading2"/>
        <w:keepNext/>
        <w:keepLines/>
        <w:pageBreakBefore w:val="0"/>
        <w:widowControl/>
      </w:pPr>
      <w:r>
        <w:rPr>
          <w:rFonts w:ascii="Arial" w:hAnsi="Arial" w:eastAsia="Arial"/>
          <w:b/>
          <w:color w:val="1F4E78"/>
        </w:rPr>
        <w:t xml:space="preserve">AO.2 Required routing</w:t>
      </w:r>
    </w:p>
    <w:p>
      <w:pPr>
        <w:pStyle w:val="FirstParagraph"/>
        <w:widowControl/>
      </w:pPr>
      <w:r>
        <w:t xml:space="preserve">When physical or causal execution is material, the run MUST trigger the Physical/Causal Admissibility Evidence Profile inside Reality Grounding and CSV. If physical admissibility is not externally supported within the declared validity domain, the run MUST NOT claim physical safety. The permitted claim state is limited to</w:t>
      </w:r>
      <w:r>
        <w:t xml:space="preserve"> </w:t>
      </w:r>
      <w:r>
        <w:rPr>
          <w:rStyle w:val="VerbatimChar"/>
        </w:rPr>
        <w:t xml:space="preserve">GOVERNANCE_PERMISSION_ONLY</w:t>
      </w:r>
      <w:r>
        <w:t xml:space="preserve">,</w:t>
      </w:r>
      <w:r>
        <w:t xml:space="preserve"> </w:t>
      </w:r>
      <w:r>
        <w:rPr>
          <w:rStyle w:val="VerbatimChar"/>
        </w:rPr>
        <w:t xml:space="preserve">PHYSICAL_ADMISSIBILITY_NOT_ESTABLISHED</w:t>
      </w:r>
      <w:r>
        <w:t xml:space="preserve">,</w:t>
      </w:r>
      <w:r>
        <w:t xml:space="preserve"> </w:t>
      </w:r>
      <w:r>
        <w:rPr>
          <w:rStyle w:val="VerbatimChar"/>
        </w:rPr>
        <w:t xml:space="preserve">PHYSICAL_ADMISSIBILITY_CONTRAINDICATED</w:t>
      </w:r>
      <w:r>
        <w:t xml:space="preserve">, or an equivalent narrower status until qualified domain evidence supports the stronger claim.</w:t>
      </w:r>
    </w:p>
    <w:bookmarkEnd w:id="734"/>
    <w:bookmarkStart w:id="735" w:name="ao3-allow-language"/>
    <w:p>
      <w:pPr>
        <w:pStyle w:val="Heading2"/>
        <w:keepNext/>
        <w:keepLines/>
        <w:pageBreakBefore w:val="0"/>
        <w:widowControl/>
      </w:pPr>
      <w:r>
        <w:rPr>
          <w:rFonts w:ascii="Arial" w:hAnsi="Arial" w:eastAsia="Arial"/>
          <w:b/>
          <w:color w:val="1F4E78"/>
        </w:rPr>
        <w:t xml:space="preserve">AO.3 ALLOW language</w:t>
      </w:r>
    </w:p>
    <w:p>
      <w:pPr>
        <w:pStyle w:val="FirstParagraph"/>
        <w:widowControl/>
      </w:pPr>
      <w:r>
        <w:rPr>
          <w:rStyle w:val="VerbatimChar"/>
        </w:rPr>
        <w:t xml:space="preserve">ALLOW</w:t>
      </w:r>
      <w:r>
        <w:t xml:space="preserve"> </w:t>
      </w:r>
      <w:r>
        <w:t xml:space="preserve">means that the MathGov decision record did not find an upstream governance-gate bar under the declared evidence and scope.</w:t>
      </w:r>
      <w:r>
        <w:t xml:space="preserve"> </w:t>
      </w:r>
      <w:r>
        <w:rPr>
          <w:rStyle w:val="VerbatimChar"/>
        </w:rPr>
        <w:t xml:space="preserve">ALLOW</w:t>
      </w:r>
      <w:r>
        <w:t xml:space="preserve"> </w:t>
      </w:r>
      <w:r>
        <w:t xml:space="preserve">does not mean that physical execution is safe, deployable, legally certified, medically cleared, or engineering-certified. A physical-execution claim requires the PC-AEP record and any external domain evidence named by the governing deployment context.</w:t>
      </w:r>
    </w:p>
    <w:bookmarkEnd w:id="735"/>
    <w:bookmarkStart w:id="736" w:name="ao4-refusal-condition"/>
    <w:p>
      <w:pPr>
        <w:pStyle w:val="Heading2"/>
        <w:keepNext/>
        <w:keepLines/>
        <w:pageBreakBefore w:val="0"/>
        <w:widowControl/>
      </w:pPr>
      <w:r>
        <w:rPr>
          <w:rFonts w:ascii="Arial" w:hAnsi="Arial" w:eastAsia="Arial"/>
          <w:b/>
          <w:color w:val="1F4E78"/>
        </w:rPr>
        <w:t xml:space="preserve">AO.4 Refusal condition</w:t>
      </w:r>
    </w:p>
    <w:p>
      <w:pPr>
        <w:pStyle w:val="FirstParagraph"/>
        <w:widowControl/>
      </w:pPr>
      <w:r>
        <w:t xml:space="preserve">If the physical or causal evidence is absent, contradicted, outside validity domain, unrecoverably uncertain, irreversible without safeguards, unmonitored beyond tolerance, or dependent on unverified model assumptions, MathGov MUST narrow, control, redesign, escalate, or refuse the physical-execution claim. No RLS score may rescue the claim.</w:t>
      </w:r>
    </w:p>
    <w:bookmarkEnd w:id="736"/>
    <w:bookmarkEnd w:id="737"/>
    <w:bookmarkStart w:id="738" w:name="X564489b618a204e8e7fa1717a77cf3f70fac38b"/>
    <w:p>
      <w:pPr>
        <w:pStyle w:val="Heading1"/>
        <w:keepNext/>
        <w:keepLines/>
        <w:pageBreakBefore w:val="0"/>
        <w:widowControl/>
      </w:pPr>
      <w:r>
        <w:rPr>
          <w:rFonts w:ascii="Arial" w:hAnsi="Arial" w:eastAsia="Arial"/>
          <w:b/>
          <w:color w:val="1F4E78"/>
        </w:rPr>
        <w:t xml:space="preserve">APPENDIX AP: CURRENT RULES-ONLY NAVIGATION (v12.5) - INFORMATIVE</w:t>
      </w:r>
    </w:p>
    <w:p>
      <w:pPr>
        <w:pStyle w:val="FirstParagraph"/>
        <w:widowControl/>
      </w:pPr>
      <w:r>
        <w:t xml:space="preserve">This appendix is a navigation layer, not a second specification. It points implementers to the current controlling surfaces while keeping historical lineage separate.</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Decision function</w:t>
            </w:r>
          </w:p>
        </w:tc>
        <w:tc>
          <w:tcPr>
            <w:shd w:fill="1F4E78" w:val="clear"/>
            <w:tcMar>
              <w:top w:w="80" w:type="dxa"/>
              <w:start w:w="90" w:type="dxa"/>
              <w:bottom w:w="80" w:type="dxa"/>
              <w:end w:w="90" w:type="dxa"/>
            </w:tcMar>
          </w:tcPr>
          <w:p>
            <w:pPr>
              <w:pStyle w:val="Compact"/>
              <w:jc w:val="left"/>
            </w:pPr>
            <w:r>
              <w:rPr>
                <w:b/>
                <w:bCs/>
                <w:color w:val="FFFFFF"/>
              </w:rPr>
              <w:t xml:space="preserve">Current controlling surface</w:t>
            </w:r>
          </w:p>
        </w:tc>
        <w:tc>
          <w:tcPr>
            <w:shd w:fill="1F4E78" w:val="clear"/>
            <w:tcMar>
              <w:top w:w="80" w:type="dxa"/>
              <w:start w:w="90" w:type="dxa"/>
              <w:bottom w:w="80" w:type="dxa"/>
              <w:end w:w="90" w:type="dxa"/>
            </w:tcMar>
          </w:tcPr>
          <w:p>
            <w:pPr>
              <w:pStyle w:val="Compact"/>
              <w:jc w:val="left"/>
            </w:pPr>
            <w:r>
              <w:rPr>
                <w:b/>
                <w:bCs/>
                <w:color w:val="FFFFFF"/>
              </w:rPr>
              <w:t xml:space="preserve">Minimum current rule</w:t>
            </w:r>
          </w:p>
        </w:tc>
      </w:tr>
      <w:tr>
        <w:trPr/>
        <w:tc>
          <w:tcPr>
            <w:tcMar>
              <w:top w:w="80" w:type="dxa"/>
              <w:start w:w="90" w:type="dxa"/>
              <w:bottom w:w="80" w:type="dxa"/>
              <w:end w:w="90" w:type="dxa"/>
            </w:tcMar>
            <w:shd w:fill="F7FBFF" w:val="clear"/>
          </w:tcPr>
          <w:p>
            <w:pPr>
              <w:pStyle w:val="Compact"/>
              <w:jc w:val="left"/>
            </w:pPr>
            <w:r>
              <w:t xml:space="preserve">Ground claims</w:t>
            </w:r>
          </w:p>
        </w:tc>
        <w:tc>
          <w:tcPr>
            <w:tcMar>
              <w:top w:w="80" w:type="dxa"/>
              <w:start w:w="90" w:type="dxa"/>
              <w:bottom w:w="80" w:type="dxa"/>
              <w:end w:w="90" w:type="dxa"/>
            </w:tcMar>
            <w:shd w:fill="F7FBFF" w:val="clear"/>
          </w:tcPr>
          <w:p>
            <w:pPr>
              <w:pStyle w:val="Compact"/>
              <w:jc w:val="left"/>
            </w:pPr>
            <w:r>
              <w:t xml:space="preserve">Sections 2.1A, 4, 5.7; PC-AEP v2.2; MFDI v2.2; Source-Coupling v2.2</w:t>
            </w:r>
          </w:p>
        </w:tc>
        <w:tc>
          <w:tcPr>
            <w:tcMar>
              <w:top w:w="80" w:type="dxa"/>
              <w:start w:w="90" w:type="dxa"/>
              <w:bottom w:w="80" w:type="dxa"/>
              <w:end w:w="90" w:type="dxa"/>
            </w:tcMar>
            <w:shd w:fill="F7FBFF" w:val="clear"/>
          </w:tcPr>
          <w:p>
            <w:pPr>
              <w:pStyle w:val="Compact"/>
              <w:jc w:val="left"/>
            </w:pPr>
            <w:r>
              <w:t xml:space="preserve">Declare evidence, unknowns, validity domain, claim boundary, and refusal/revision trigger.</w:t>
            </w:r>
          </w:p>
        </w:tc>
      </w:tr>
      <w:tr>
        <w:trPr/>
        <w:tc>
          <w:tcPr>
            <w:tcMar>
              <w:top w:w="80" w:type="dxa"/>
              <w:start w:w="90" w:type="dxa"/>
              <w:bottom w:w="80" w:type="dxa"/>
              <w:end w:w="90" w:type="dxa"/>
            </w:tcMar>
            <w:shd w:fill="D9EAF7" w:val="clear"/>
          </w:tcPr>
          <w:p>
            <w:pPr>
              <w:pStyle w:val="Compact"/>
              <w:jc w:val="left"/>
            </w:pPr>
            <w:r>
              <w:t xml:space="preserve">Protect rights</w:t>
            </w:r>
          </w:p>
        </w:tc>
        <w:tc>
          <w:tcPr>
            <w:tcMar>
              <w:top w:w="80" w:type="dxa"/>
              <w:start w:w="90" w:type="dxa"/>
              <w:bottom w:w="80" w:type="dxa"/>
              <w:end w:w="90" w:type="dxa"/>
            </w:tcMar>
            <w:shd w:fill="D9EAF7" w:val="clear"/>
          </w:tcPr>
          <w:p>
            <w:pPr>
              <w:pStyle w:val="Compact"/>
              <w:jc w:val="left"/>
            </w:pPr>
            <w:r>
              <w:t xml:space="preserve">Sections 7 and Appendices B-C</w:t>
            </w:r>
          </w:p>
        </w:tc>
        <w:tc>
          <w:tcPr>
            <w:tcMar>
              <w:top w:w="80" w:type="dxa"/>
              <w:start w:w="90" w:type="dxa"/>
              <w:bottom w:w="80" w:type="dxa"/>
              <w:end w:w="90" w:type="dxa"/>
            </w:tcMar>
            <w:shd w:fill="D9EAF7" w:val="clear"/>
          </w:tcPr>
          <w:p>
            <w:pPr>
              <w:pStyle w:val="Compact"/>
              <w:jc w:val="left"/>
            </w:pPr>
            <w:r>
              <w:t xml:space="preserve">Apply floor, categorical, and severe-hazard channels; use the same</w:t>
            </w:r>
            <w:r>
              <w:t xml:space="preserve"> </w:t>
            </w:r>
            <w:r>
              <w:rPr>
                <w:rStyle w:val="VerbatimChar"/>
              </w:rPr>
              <w:t xml:space="preserve">SevereRightsHazardActive</w:t>
            </w:r>
            <w:r>
              <w:t xml:space="preserve"> </w:t>
            </w:r>
            <w:r>
              <w:t xml:space="preserve">predicate in activation and computation.</w:t>
            </w:r>
          </w:p>
        </w:tc>
      </w:tr>
      <w:tr>
        <w:trPr/>
        <w:tc>
          <w:tcPr>
            <w:tcMar>
              <w:top w:w="80" w:type="dxa"/>
              <w:start w:w="90" w:type="dxa"/>
              <w:bottom w:w="80" w:type="dxa"/>
              <w:end w:w="90" w:type="dxa"/>
            </w:tcMar>
            <w:shd w:fill="F7FBFF" w:val="clear"/>
          </w:tcPr>
          <w:p>
            <w:pPr>
              <w:pStyle w:val="Compact"/>
              <w:jc w:val="left"/>
            </w:pPr>
            <w:r>
              <w:t xml:space="preserve">Bound ruin</w:t>
            </w:r>
          </w:p>
        </w:tc>
        <w:tc>
          <w:tcPr>
            <w:tcMar>
              <w:top w:w="80" w:type="dxa"/>
              <w:start w:w="90" w:type="dxa"/>
              <w:bottom w:w="80" w:type="dxa"/>
              <w:end w:w="90" w:type="dxa"/>
            </w:tcMar>
            <w:shd w:fill="F7FBFF" w:val="clear"/>
          </w:tcPr>
          <w:p>
            <w:pPr>
              <w:pStyle w:val="Compact"/>
              <w:jc w:val="left"/>
            </w:pPr>
            <w:r>
              <w:t xml:space="preserve">Section 8 and Appendix D</w:t>
            </w:r>
          </w:p>
        </w:tc>
        <w:tc>
          <w:tcPr>
            <w:tcMar>
              <w:top w:w="80" w:type="dxa"/>
              <w:start w:w="90" w:type="dxa"/>
              <w:bottom w:w="80" w:type="dxa"/>
              <w:end w:w="90" w:type="dxa"/>
            </w:tcMar>
            <w:shd w:fill="F7FBFF" w:val="clear"/>
          </w:tcPr>
          <w:p>
            <w:pPr>
              <w:pStyle w:val="Compact"/>
              <w:jc w:val="left"/>
            </w:pPr>
            <w:r>
              <w:t xml:space="preserve">Apply governed scenario discovery and CVaR; emergency-provisional action never becomes an ordinary pass.</w:t>
            </w:r>
          </w:p>
        </w:tc>
      </w:tr>
      <w:tr>
        <w:trPr/>
        <w:tc>
          <w:tcPr>
            <w:tcMar>
              <w:top w:w="80" w:type="dxa"/>
              <w:start w:w="90" w:type="dxa"/>
              <w:bottom w:w="80" w:type="dxa"/>
              <w:end w:w="90" w:type="dxa"/>
            </w:tcMar>
            <w:shd w:fill="D9EAF7" w:val="clear"/>
          </w:tcPr>
          <w:p>
            <w:pPr>
              <w:pStyle w:val="Compact"/>
              <w:jc w:val="left"/>
            </w:pPr>
            <w:r>
              <w:t xml:space="preserve">Verify viability</w:t>
            </w:r>
          </w:p>
        </w:tc>
        <w:tc>
          <w:tcPr>
            <w:tcMar>
              <w:top w:w="80" w:type="dxa"/>
              <w:start w:w="90" w:type="dxa"/>
              <w:bottom w:w="80" w:type="dxa"/>
              <w:end w:w="90" w:type="dxa"/>
            </w:tcMar>
            <w:shd w:fill="D9EAF7" w:val="clear"/>
          </w:tcPr>
          <w:p>
            <w:pPr>
              <w:pStyle w:val="Compact"/>
              <w:jc w:val="left"/>
            </w:pPr>
            <w:r>
              <w:t xml:space="preserve">Section 9; CSV v2.3</w:t>
            </w:r>
          </w:p>
        </w:tc>
        <w:tc>
          <w:tcPr>
            <w:tcMar>
              <w:top w:w="80" w:type="dxa"/>
              <w:start w:w="90" w:type="dxa"/>
              <w:bottom w:w="80" w:type="dxa"/>
              <w:end w:w="90" w:type="dxa"/>
            </w:tcMar>
            <w:shd w:fill="D9EAF7" w:val="clear"/>
          </w:tcPr>
          <w:p>
            <w:pPr>
              <w:pStyle w:val="Compact"/>
              <w:jc w:val="left"/>
            </w:pPr>
            <w:r>
              <w:t xml:space="preserve">Test containment, dependencies, controls, reversibility, monitoring, source coupling, and execution conditions.</w:t>
            </w:r>
          </w:p>
        </w:tc>
      </w:tr>
      <w:tr>
        <w:trPr/>
        <w:tc>
          <w:tcPr>
            <w:tcMar>
              <w:top w:w="80" w:type="dxa"/>
              <w:start w:w="90" w:type="dxa"/>
              <w:bottom w:w="80" w:type="dxa"/>
              <w:end w:w="90" w:type="dxa"/>
            </w:tcMar>
            <w:shd w:fill="F7FBFF" w:val="clear"/>
          </w:tcPr>
          <w:p>
            <w:pPr>
              <w:pStyle w:val="Compact"/>
              <w:jc w:val="left"/>
            </w:pPr>
            <w:r>
              <w:t xml:space="preserve">Rank survivors</w:t>
            </w:r>
          </w:p>
        </w:tc>
        <w:tc>
          <w:tcPr>
            <w:tcMar>
              <w:top w:w="80" w:type="dxa"/>
              <w:start w:w="90" w:type="dxa"/>
              <w:bottom w:w="80" w:type="dxa"/>
              <w:end w:w="90" w:type="dxa"/>
            </w:tcMar>
            <w:shd w:fill="F7FBFF" w:val="clear"/>
          </w:tcPr>
          <w:p>
            <w:pPr>
              <w:pStyle w:val="Compact"/>
              <w:jc w:val="left"/>
            </w:pPr>
            <w:r>
              <w:t xml:space="preserve">Section 10; WDBIP v1.5</w:t>
            </w:r>
          </w:p>
        </w:tc>
        <w:tc>
          <w:tcPr>
            <w:tcMar>
              <w:top w:w="80" w:type="dxa"/>
              <w:start w:w="90" w:type="dxa"/>
              <w:bottom w:w="80" w:type="dxa"/>
              <w:end w:w="90" w:type="dxa"/>
            </w:tcMar>
            <w:shd w:fill="F7FBFF" w:val="clear"/>
          </w:tcPr>
          <w:p>
            <w:pPr>
              <w:pStyle w:val="Compact"/>
              <w:jc w:val="left"/>
            </w:pPr>
            <w:r>
              <w:t xml:space="preserve">Populate the 7x7 welfare field without duplication, normalize by active effective mass</w:t>
            </w:r>
            <w:r>
              <w:t xml:space="preserve"> </w:t>
            </w:r>
            <w:r>
              <w:rPr>
                <w:rStyle w:val="VerbatimChar"/>
              </w:rPr>
              <w:t xml:space="preserve">Q</w:t>
            </w:r>
            <w:r>
              <w:t xml:space="preserve">, and preserve uncertainty.</w:t>
            </w:r>
          </w:p>
        </w:tc>
      </w:tr>
      <w:tr>
        <w:trPr/>
        <w:tc>
          <w:tcPr>
            <w:tcMar>
              <w:top w:w="80" w:type="dxa"/>
              <w:start w:w="90" w:type="dxa"/>
              <w:bottom w:w="80" w:type="dxa"/>
              <w:end w:w="90" w:type="dxa"/>
            </w:tcMar>
            <w:shd w:fill="D9EAF7" w:val="clear"/>
          </w:tcPr>
          <w:p>
            <w:pPr>
              <w:pStyle w:val="Compact"/>
              <w:jc w:val="left"/>
            </w:pPr>
            <w:r>
              <w:t xml:space="preserve">Resolve non-decisive outcomes</w:t>
            </w:r>
          </w:p>
        </w:tc>
        <w:tc>
          <w:tcPr>
            <w:tcMar>
              <w:top w:w="80" w:type="dxa"/>
              <w:start w:w="90" w:type="dxa"/>
              <w:bottom w:w="80" w:type="dxa"/>
              <w:end w:w="90" w:type="dxa"/>
            </w:tcMar>
            <w:shd w:fill="D9EAF7" w:val="clear"/>
          </w:tcPr>
          <w:p>
            <w:pPr>
              <w:pStyle w:val="Compact"/>
              <w:jc w:val="left"/>
            </w:pPr>
            <w:r>
              <w:t xml:space="preserve">Sections 10.4 and 11</w:t>
            </w:r>
          </w:p>
        </w:tc>
        <w:tc>
          <w:tcPr>
            <w:tcMar>
              <w:top w:w="80" w:type="dxa"/>
              <w:start w:w="90" w:type="dxa"/>
              <w:bottom w:w="80" w:type="dxa"/>
              <w:end w:w="90" w:type="dxa"/>
            </w:tcMar>
            <w:shd w:fill="D9EAF7" w:val="clear"/>
          </w:tcPr>
          <w:p>
            <w:pPr>
              <w:pStyle w:val="Compact"/>
              <w:jc w:val="left"/>
            </w:pPr>
            <w:r>
              <w:t xml:space="preserve">Refuse deterministic selection; record authority selection or redesign/escalation without calling judgment mathematical proof.</w:t>
            </w:r>
          </w:p>
        </w:tc>
      </w:tr>
      <w:tr>
        <w:trPr/>
        <w:tc>
          <w:tcPr>
            <w:tcMar>
              <w:top w:w="80" w:type="dxa"/>
              <w:start w:w="90" w:type="dxa"/>
              <w:bottom w:w="80" w:type="dxa"/>
              <w:end w:w="90" w:type="dxa"/>
            </w:tcMar>
            <w:shd w:fill="F7FBFF" w:val="clear"/>
          </w:tcPr>
          <w:p>
            <w:pPr>
              <w:pStyle w:val="Compact"/>
              <w:jc w:val="left"/>
            </w:pPr>
            <w:r>
              <w:t xml:space="preserve">Authorize and execute</w:t>
            </w:r>
          </w:p>
        </w:tc>
        <w:tc>
          <w:tcPr>
            <w:tcMar>
              <w:top w:w="80" w:type="dxa"/>
              <w:start w:w="90" w:type="dxa"/>
              <w:bottom w:w="80" w:type="dxa"/>
              <w:end w:w="90" w:type="dxa"/>
            </w:tcMar>
            <w:shd w:fill="F7FBFF" w:val="clear"/>
          </w:tcPr>
          <w:p>
            <w:pPr>
              <w:pStyle w:val="Compact"/>
              <w:jc w:val="left"/>
            </w:pPr>
            <w:r>
              <w:t xml:space="preserve">Sections 11-15; Agent v12.3; ripple.md v5.4</w:t>
            </w:r>
          </w:p>
        </w:tc>
        <w:tc>
          <w:tcPr>
            <w:tcMar>
              <w:top w:w="80" w:type="dxa"/>
              <w:start w:w="90" w:type="dxa"/>
              <w:bottom w:w="80" w:type="dxa"/>
              <w:end w:w="90" w:type="dxa"/>
            </w:tcMar>
            <w:shd w:fill="F7FBFF" w:val="clear"/>
          </w:tcPr>
          <w:p>
            <w:pPr>
              <w:pStyle w:val="Compact"/>
              <w:jc w:val="left"/>
            </w:pPr>
            <w:r>
              <w:t xml:space="preserve">Selection is not authorization; authorization is not safe execution; tempo and responsibility continuity must remain reconstructable.</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Replay and challenge</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Reproducibility v1.3; run schema/validator; PCC</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Pin evidence and parameters, preserve state transitions, report divergence, appeal, monitoring, and reopen triggers.</w:t>
            </w:r>
          </w:p>
        </w:tc>
      </w:tr>
    </w:tbl>
    <w:p>
      <w:pPr>
        <w:pStyle w:val="BodyText"/>
        <w:widowControl/>
      </w:pPr>
      <w:r>
        <w:t xml:space="preserve">v12.5 carries forward rights-specific non-attenuation and severe-hazard handling inside RF/NCRC, governed Tail Emergency Mode, normalized RLS and PLSS, cancellation-resistant Method B uncertainty, and the v5.4 workbook SGP v8.4 interface hardening, including RMCP/P100 non-collapse controls. It additionally requires proportional CSV qualification before any ordinary RLS selection at every operational tier, removes residual active fallback-selection language, and synchronizes the Tier-2 worked example and companion surfaces.</w:t>
      </w:r>
    </w:p>
    <w:bookmarkEnd w:id="738"/>
    <w:bookmarkStart w:id="739" w:name="X75c2db4446db4225eabe072afed5bed20902c7a"/>
    <w:p>
      <w:pPr>
        <w:pStyle w:val="Heading1"/>
        <w:keepNext/>
        <w:keepLines/>
        <w:pageBreakBefore w:val="0"/>
        <w:widowControl/>
      </w:pPr>
      <w:r>
        <w:rPr>
          <w:rFonts w:ascii="Arial" w:hAnsi="Arial" w:eastAsia="Arial"/>
          <w:b/>
          <w:color w:val="1F4E78"/>
        </w:rPr>
        <w:t xml:space="preserve">APPENDIX AQ: CURRENT CANONICAL MACHINE-STATE AND MATURITY CONTRACT (v12.5) - NORMATIVE INTERFACE</w:t>
      </w:r>
    </w:p>
    <w:p>
      <w:pPr>
        <w:pStyle w:val="FirstParagraph"/>
        <w:widowControl/>
      </w:pPr>
      <w:r>
        <w:t xml:space="preserve">This appendix carries forward the v12.3 machine-state and maturity contract as the current v12.5 interface. It is not historical fallback text.</w:t>
      </w:r>
    </w:p>
    <w:p>
      <w:pPr>
        <w:pStyle w:val="BodyText"/>
        <w:widowControl/>
      </w:pPr>
      <w:r>
        <w:t xml:space="preserve">The hash-pinned</w:t>
      </w:r>
      <w:r>
        <w:t xml:space="preserve"> </w:t>
      </w:r>
      <w:r>
        <w:rPr>
          <w:rStyle w:val="VerbatimChar"/>
        </w:rPr>
        <w:t xml:space="preserve">CANONICAL_STATE_REGISTRY_v1.0.yaml</w:t>
      </w:r>
      <w:r>
        <w:t xml:space="preserve"> </w:t>
      </w:r>
      <w:r>
        <w:t xml:space="preserve">and</w:t>
      </w:r>
      <w:r>
        <w:t xml:space="preserve"> </w:t>
      </w:r>
      <w:r>
        <w:rPr>
          <w:rStyle w:val="VerbatimChar"/>
        </w:rPr>
        <w:t xml:space="preserve">STATE_TRANSITION_MATRIX_v1.0.json</w:t>
      </w:r>
      <w:r>
        <w:t xml:space="preserve"> </w:t>
      </w:r>
      <w:r>
        <w:t>are the controlling machine-state surfaces for run-record v3. Documentation, schema, validator, workbook exports, and tests SHALL use the same emitted tokens.</w:t>
      </w:r>
      <w:r>
        <w:t xml:space="preserve"> </w:t>
      </w:r>
      <w:r>
        <w:rPr>
          <w:rStyle w:val="VerbatimChar"/>
        </w:rPr>
        <w:t xml:space="preserve">CSV_REDESIGN</w:t>
      </w:r>
      <w:r>
        <w:t xml:space="preserve"> </w:t>
      </w:r>
      <w:r>
        <w:t xml:space="preserve">is accepted only as a deprecated migration alias and normalizes to</w:t>
      </w:r>
      <w:r>
        <w:t xml:space="preserve"> </w:t>
      </w:r>
      <w:r>
        <w:rPr>
          <w:rStyle w:val="VerbatimChar"/>
        </w:rPr>
        <w:t xml:space="preserve">CSV_REDESIGN_REQUIRED</w:t>
      </w:r>
      <w:r>
        <w:t xml:space="preserve"> </w:t>
      </w:r>
      <w:r>
        <w:t xml:space="preserve">with a warning.</w:t>
      </w:r>
    </w:p>
    <w:p>
      <w:pPr>
        <w:pStyle w:val="BodyText"/>
        <w:widowControl/>
      </w:pPr>
      <w:r>
        <w:t xml:space="preserve">The typed</w:t>
      </w:r>
      <w:r>
        <w:t xml:space="preserve"> </w:t>
      </w:r>
      <w:r>
        <w:rPr>
          <w:rStyle w:val="VerbatimChar"/>
        </w:rPr>
        <w:t xml:space="preserve">MEASUREMENT_AND_PARAMETER_MATURITY_REGISTER_v1.0</w:t>
      </w:r>
      <w:r>
        <w:t xml:space="preserve"> </w:t>
      </w:r>
      <w:r>
        <w:t xml:space="preserve">separates empirical constructs, model components, normative priors, governance conventions, and unavailable design targets. A normative prior is not an unvalidated empirical measurement awaiting promotion. Framework-level validation or superiority claims cannot rest decisively on below-threshold empirical constructs or model components, and normative commitments cannot be laundered as empirical constants.</w:t>
      </w:r>
    </w:p>
    <w:p>
      <w:pPr>
        <w:pStyle w:val="BodyText"/>
        <w:widowControl/>
      </w:pPr>
      <w:r>
        <w:t xml:space="preserve">WDBIP owns WDBIP-specific profile, effect-token classification, token-level pathway, migration, schema, and validator surfaces. SGP owns MPS, FPP, GPR, SPR, ICP, RMCP, P100, and their misuse-review fields. The Canon owns Union Scope redundancy methods, allocation constraints, gate states, RLS weights, and the maturity-register type system.</w:t>
      </w:r>
    </w:p>
    <w:bookmarkEnd w:id="739"/>
    <w:bookmarkStart w:id="746" w:name="X4ae8e86d36d0648cbff8809976d718ed0b6269f"/>
    <w:p>
      <w:pPr>
        <w:pStyle w:val="Heading1"/>
        <w:keepNext/>
        <w:keepLines/>
        <w:pageBreakBefore w:val="0"/>
        <w:widowControl/>
      </w:pPr>
      <w:r>
        <w:rPr>
          <w:rFonts w:ascii="Arial" w:hAnsi="Arial" w:eastAsia="Arial"/>
          <w:b/>
          <w:color w:val="1F4E78"/>
        </w:rPr>
        <w:t>APPENDIX AQ-1: CONFIGURATION-BOUND ASSURANCE AND READER NAVIGATION (CURRENT)</w:t>
      </w:r>
    </w:p>
    <w:p>
      <w:pPr>
        <w:pStyle w:val="FirstParagraph"/>
        <w:widowControl/>
      </w:pPr>
      <w:r>
        <w:t xml:space="preserve">This release adds a cross-cutting assurance discipline without adding a gate, changing the seven Union Scopes, changing the seven Welfare Dimensions, changing numerical defaults, or altering the RG -&gt; RF/NCRC -&gt; TRC -&gt; CSV -&gt; RLS cascade.</w:t>
      </w:r>
    </w:p>
    <w:p>
      <w:pPr>
        <w:pStyle w:val="Heading3"/>
      </w:pPr>
      <w:r>
        <w:t>Release-specific abstract notes relocated from the opening summary</w:t>
      </w:r>
    </w:p>
    <w:p>
      <w:pPr/>
      <w:r>
        <w:t>The v12.5 / SGP v8.4 integration preserves proportional CSV qualification and the existing rights, ruin, and score hardening while replacing the legacy SGP protection surface interface with separate MPS, FPP, GPR, SPR, and ICP surfaces. It makes the protection-versus-authority separation computational rather than merely interpretive, requires interval sensitivity for SGP-aware residual welfare ranking, and prevents full protection from being misread as CMIU membership or consequential authority. It carries forward the v11.0 Term Discrimination and Semantic Stability Patch and makes the discriminator, dependency position, non-collapse risks, and refusal condition explicit for material terms so that governance does not proceed through collapsed language. The v12.5 integration preserves a claim-falsification and dependency-integrity discipline inside Reality Grounding and downstream validation: material claims must declare claim type, dependency position, assumptions, alternative explanations, evidence/test surface, falsification or revision trigger, and re-derivation scope when foundations change.</w:t>
      </w:r>
    </w:p>
    <w:bookmarkStart w:id="21" w:name="configuration-bound-assurance-principle"/>
    <w:p>
      <w:pPr>
        <w:pStyle w:val="Heading2"/>
        <w:keepNext/>
        <w:keepLines/>
        <w:pageBreakBefore w:val="0"/>
        <w:widowControl/>
      </w:pPr>
      <w:r>
        <w:rPr>
          <w:rFonts w:ascii="Arial" w:hAnsi="Arial" w:eastAsia="Arial"/>
          <w:b/>
          <w:color w:val="1F4E78"/>
        </w:rPr>
        <w:t xml:space="preserve">Configuration-Bound Assurance Principle</w:t>
      </w:r>
    </w:p>
    <w:p>
      <w:pPr>
        <w:pStyle w:val="FirstParagraph"/>
        <w:widowControl/>
      </w:pPr>
      <w:r>
        <w:t xml:space="preserve">Every claim concerning capability, safety, physical admissibility, reliability, rights impact, containment, expected consequences, selectability, or authorization MUST be indexed to the declared system configuration, version, control stack, authority state, operating environment, and validity envelope under which the claim was established. A claim established for one configuration does not automatically transfer to a materially changed configuration.</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color w:val="FFFFFF"/>
              </w:rPr>
              <w:t xml:space="preserve">Required distinction</w:t>
            </w:r>
          </w:p>
        </w:tc>
        <w:tc>
          <w:tcPr>
            <w:shd w:fill="1F4E78" w:val="clear"/>
            <w:tcMar>
              <w:top w:w="80" w:type="dxa"/>
              <w:start w:w="90" w:type="dxa"/>
              <w:bottom w:w="80" w:type="dxa"/>
              <w:end w:w="90" w:type="dxa"/>
            </w:tcMar>
          </w:tcPr>
          <w:p>
            <w:pPr>
              <w:pStyle w:val="Compact"/>
              <w:jc w:val="left"/>
            </w:pPr>
            <w:r>
              <w:rPr>
                <w:b/>
                <w:color w:val="FFFFFF"/>
              </w:rPr>
              <w:t xml:space="preserve">Canonical rule</w:t>
            </w:r>
          </w:p>
        </w:tc>
      </w:tr>
      <w:tr>
        <w:trPr/>
        <w:tc>
          <w:tcPr>
            <w:tcMar>
              <w:top w:w="80" w:type="dxa"/>
              <w:start w:w="90" w:type="dxa"/>
              <w:bottom w:w="80" w:type="dxa"/>
              <w:end w:w="90" w:type="dxa"/>
            </w:tcMar>
            <w:shd w:fill="F7FBFF" w:val="clear"/>
          </w:tcPr>
          <w:p>
            <w:pPr>
              <w:pStyle w:val="Compact"/>
              <w:jc w:val="left"/>
            </w:pPr>
            <w:r>
              <w:t xml:space="preserve">Configuration vs capability</w:t>
            </w:r>
          </w:p>
        </w:tc>
        <w:tc>
          <w:tcPr>
            <w:tcMar>
              <w:top w:w="80" w:type="dxa"/>
              <w:start w:w="90" w:type="dxa"/>
              <w:bottom w:w="80" w:type="dxa"/>
              <w:end w:w="90" w:type="dxa"/>
            </w:tcMar>
            <w:shd w:fill="F7FBFF" w:val="clear"/>
          </w:tcPr>
          <w:p>
            <w:pPr>
              <w:pStyle w:val="Compact"/>
              <w:jc w:val="left"/>
            </w:pPr>
            <w:r>
              <w:t xml:space="preserve">A configuration enables and constrains a capability envelope; observing one successful process does not establish the complete envelope or its failure boundary.</w:t>
            </w:r>
          </w:p>
        </w:tc>
      </w:tr>
      <w:tr>
        <w:trPr/>
        <w:tc>
          <w:tcPr>
            <w:tcMar>
              <w:top w:w="80" w:type="dxa"/>
              <w:start w:w="90" w:type="dxa"/>
              <w:bottom w:w="80" w:type="dxa"/>
              <w:end w:w="90" w:type="dxa"/>
            </w:tcMar>
            <w:shd w:fill="D9EAF7" w:val="clear"/>
          </w:tcPr>
          <w:p>
            <w:pPr>
              <w:pStyle w:val="Compact"/>
              <w:jc w:val="left"/>
            </w:pPr>
            <w:r>
              <w:t xml:space="preserve">Capability vs authority</w:t>
            </w:r>
          </w:p>
        </w:tc>
        <w:tc>
          <w:tcPr>
            <w:tcMar>
              <w:top w:w="80" w:type="dxa"/>
              <w:start w:w="90" w:type="dxa"/>
              <w:bottom w:w="80" w:type="dxa"/>
              <w:end w:w="90" w:type="dxa"/>
            </w:tcMar>
            <w:shd w:fill="D9EAF7" w:val="clear"/>
          </w:tcPr>
          <w:p>
            <w:pPr>
              <w:pStyle w:val="Compact"/>
              <w:jc w:val="left"/>
            </w:pPr>
            <w:r>
              <w:t xml:space="preserve">Latent, available, enabled, authorized, selected, execution-approved, executed, and observed-outcome states are not interchangeable.</w:t>
            </w:r>
          </w:p>
        </w:tc>
      </w:tr>
      <w:tr>
        <w:trPr/>
        <w:tc>
          <w:tcPr>
            <w:tcMar>
              <w:top w:w="80" w:type="dxa"/>
              <w:start w:w="90" w:type="dxa"/>
              <w:bottom w:w="80" w:type="dxa"/>
              <w:end w:w="90" w:type="dxa"/>
            </w:tcMar>
            <w:shd w:fill="F7FBFF" w:val="clear"/>
          </w:tcPr>
          <w:p>
            <w:pPr>
              <w:pStyle w:val="Compact"/>
              <w:jc w:val="left"/>
            </w:pPr>
            <w:r>
              <w:t xml:space="preserve">State vs transition vs post-state</w:t>
            </w:r>
          </w:p>
        </w:tc>
        <w:tc>
          <w:tcPr>
            <w:tcMar>
              <w:top w:w="80" w:type="dxa"/>
              <w:start w:w="90" w:type="dxa"/>
              <w:bottom w:w="80" w:type="dxa"/>
              <w:end w:w="90" w:type="dxa"/>
            </w:tcMar>
            <w:shd w:fill="F7FBFF" w:val="clear"/>
          </w:tcPr>
          <w:p>
            <w:pPr>
              <w:pStyle w:val="Compact"/>
              <w:jc w:val="left"/>
            </w:pPr>
            <w:r>
              <w:t xml:space="preserve">A valid current state does not establish a valid transition; a valid transition does not establish a viable resulting state.</w:t>
            </w:r>
          </w:p>
        </w:tc>
      </w:tr>
      <w:tr>
        <w:trPr/>
        <w:tc>
          <w:tcPr>
            <w:tcMar>
              <w:top w:w="80" w:type="dxa"/>
              <w:start w:w="90" w:type="dxa"/>
              <w:bottom w:w="80" w:type="dxa"/>
              <w:end w:w="90" w:type="dxa"/>
            </w:tcMar>
            <w:shd w:fill="D9EAF7" w:val="clear"/>
          </w:tcPr>
          <w:p>
            <w:pPr>
              <w:pStyle w:val="Compact"/>
              <w:jc w:val="left"/>
            </w:pPr>
            <w:r>
              <w:t xml:space="preserve">Qualification continuity</w:t>
            </w:r>
          </w:p>
        </w:tc>
        <w:tc>
          <w:tcPr>
            <w:tcMar>
              <w:top w:w="80" w:type="dxa"/>
              <w:start w:w="90" w:type="dxa"/>
              <w:bottom w:w="80" w:type="dxa"/>
              <w:end w:w="90" w:type="dxa"/>
            </w:tcMar>
            <w:shd w:fill="D9EAF7" w:val="clear"/>
          </w:tcPr>
          <w:p>
            <w:pPr>
              <w:pStyle w:val="Compact"/>
              <w:jc w:val="left"/>
            </w:pPr>
            <w:r>
              <w:t xml:space="preserve">Qualification is configuration-bound, evidence-bound, authority-bound, control-bound, domain-bound, and time-bound. Material change suspends inherited authority until requalification.</w:t>
            </w:r>
          </w:p>
        </w:tc>
      </w:tr>
      <w:tr>
        <w:trPr/>
        <w:tc>
          <w:tcPr>
            <w:tcMar>
              <w:top w:w="80" w:type="dxa"/>
              <w:start w:w="90" w:type="dxa"/>
              <w:bottom w:w="80" w:type="dxa"/>
              <w:end w:w="90" w:type="dxa"/>
            </w:tcMar>
            <w:shd w:fill="F7FBFF" w:val="clear"/>
          </w:tcPr>
          <w:p>
            <w:pPr>
              <w:pStyle w:val="Compact"/>
              <w:jc w:val="left"/>
            </w:pPr>
            <w:r>
              <w:t xml:space="preserve">Structural control preference</w:t>
            </w:r>
          </w:p>
        </w:tc>
        <w:tc>
          <w:tcPr>
            <w:tcMar>
              <w:top w:w="80" w:type="dxa"/>
              <w:start w:w="90" w:type="dxa"/>
              <w:bottom w:w="80" w:type="dxa"/>
              <w:end w:w="90" w:type="dxa"/>
            </w:tcMar>
            <w:shd w:fill="F7FBFF" w:val="clear"/>
          </w:tcPr>
          <w:p>
            <w:pPr>
              <w:pStyle w:val="Compact"/>
              <w:jc w:val="left"/>
            </w:pPr>
            <w:r>
              <w:t xml:space="preserve">Where feasible and rights-compatible, remove or bound the enabling pathway before relying only on behavioral expectation, confidence scoring, or downstream detection.</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Future option space</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Tier 2-3 CSV analysis records whether an option expands, preserves, narrows, or irreversibly collapses future rights-compatible and structurally viable choices.</w:t>
            </w:r>
          </w:p>
        </w:tc>
      </w:tr>
    </w:tbl>
    <w:bookmarkEnd w:id="21"/>
    <w:bookmarkStart w:id="22" w:name="recursive-configuration-process-model"/>
    <w:p>
      <w:pPr>
        <w:pStyle w:val="Heading2"/>
        <w:keepNext/>
        <w:keepLines/>
        <w:pageBreakBefore w:val="0"/>
        <w:widowControl/>
      </w:pPr>
      <w:r>
        <w:rPr>
          <w:rFonts w:ascii="Arial" w:hAnsi="Arial" w:eastAsia="Arial"/>
          <w:b/>
          <w:color w:val="1F4E78"/>
        </w:rPr>
        <w:t xml:space="preserve">Recursive configuration-process model</w:t>
      </w:r>
    </w:p>
    <w:p>
      <w:pPr>
        <w:pStyle w:val="FirstParagraph"/>
        <w:widowControl/>
      </w:pPr>
      <w:r>
        <w:t xml:space="preserve">For assurance purposes, MathGov uses the bounded recursive relation:</w:t>
      </w:r>
    </w:p>
    <w:p>
      <w:pPr>
        <w:pStyle w:val="BodyText"/>
        <w:widowControl/>
      </w:pPr>
      <w:r>
        <w:rPr>
          <w:rStyle w:val="VerbatimChar"/>
        </w:rPr>
        <w:t xml:space="preserve">(C_t, E_t) -&gt; K_t -&gt; A_t -&gt; P_t -&gt; (C_{t+1}, E_{t+1})</w:t>
      </w:r>
    </w:p>
    <w:p>
      <w:pPr>
        <w:pStyle w:val="BodyText"/>
        <w:widowControl/>
      </w:pPr>
      <w:r>
        <w:t xml:space="preserve">where</w:t>
      </w:r>
      <w:r>
        <w:t xml:space="preserve"> </w:t>
      </w:r>
      <w:r>
        <w:rPr>
          <w:rStyle w:val="VerbatimChar"/>
        </w:rPr>
        <w:t xml:space="preserve">C_t</w:t>
      </w:r>
      <w:r>
        <w:t xml:space="preserve"> </w:t>
      </w:r>
      <w:r>
        <w:t xml:space="preserve">is the declared configuration,</w:t>
      </w:r>
      <w:r>
        <w:t xml:space="preserve"> </w:t>
      </w:r>
      <w:r>
        <w:rPr>
          <w:rStyle w:val="VerbatimChar"/>
        </w:rPr>
        <w:t xml:space="preserve">E_t</w:t>
      </w:r>
      <w:r>
        <w:t xml:space="preserve"> </w:t>
      </w:r>
      <w:r>
        <w:t xml:space="preserve">the relevant environment,</w:t>
      </w:r>
      <w:r>
        <w:t xml:space="preserve"> </w:t>
      </w:r>
      <w:r>
        <w:rPr>
          <w:rStyle w:val="VerbatimChar"/>
        </w:rPr>
        <w:t xml:space="preserve">K_t</w:t>
      </w:r>
      <w:r>
        <w:t xml:space="preserve"> </w:t>
      </w:r>
      <w:r>
        <w:t xml:space="preserve">the capability envelope,</w:t>
      </w:r>
      <w:r>
        <w:t xml:space="preserve"> </w:t>
      </w:r>
      <w:r>
        <w:rPr>
          <w:rStyle w:val="VerbatimChar"/>
        </w:rPr>
        <w:t xml:space="preserve">A_t</w:t>
      </w:r>
      <w:r>
        <w:t xml:space="preserve"> </w:t>
      </w:r>
      <w:r>
        <w:t xml:space="preserve">the admissible and authorized action set,</w:t>
      </w:r>
      <w:r>
        <w:t xml:space="preserve"> </w:t>
      </w:r>
      <w:r>
        <w:rPr>
          <w:rStyle w:val="VerbatimChar"/>
        </w:rPr>
        <w:t xml:space="preserve">P_t</w:t>
      </w:r>
      <w:r>
        <w:t xml:space="preserve"> </w:t>
      </w:r>
      <w:r>
        <w:t xml:space="preserve">the selected and executed process, and</w:t>
      </w:r>
      <w:r>
        <w:t xml:space="preserve"> </w:t>
      </w:r>
      <w:r>
        <w:rPr>
          <w:rStyle w:val="VerbatimChar"/>
        </w:rPr>
        <w:t xml:space="preserve">C_{t+1}</w:t>
      </w:r>
      <w:r>
        <w:t xml:space="preserve"> </w:t>
      </w:r>
      <w:r>
        <w:t xml:space="preserve">the resulting configuration. Current configuration constrains current capabilities; executed processes can alter future configuration and future capabilities.</w:t>
      </w:r>
    </w:p>
    <w:bookmarkEnd w:id="22"/>
    <w:bookmarkStart w:id="23" w:name="frozen-evaluation-binding"/>
    <w:p>
      <w:pPr>
        <w:pStyle w:val="Heading2"/>
        <w:keepNext/>
        <w:keepLines/>
        <w:pageBreakBefore w:val="0"/>
        <w:widowControl/>
      </w:pPr>
      <w:r>
        <w:rPr>
          <w:rFonts w:ascii="Arial" w:hAnsi="Arial" w:eastAsia="Arial"/>
          <w:b/>
          <w:color w:val="1F4E78"/>
        </w:rPr>
        <w:t xml:space="preserve">Frozen evaluation binding</w:t>
      </w:r>
    </w:p>
    <w:p>
      <w:pPr>
        <w:pStyle w:val="FirstParagraph"/>
        <w:widowControl/>
      </w:pPr>
      <w:r>
        <w:t xml:space="preserve">Before consequential comparison, the decision question, configuration, system boundary, evidence schema, stakeholder scope, rights interpretation, scenario families, materiality thresholds, uncertainty treatment, control requirements, weighting protocol, stopping conditions, and authorization pathway MUST be frozen and versioned for that run. A material post-result change creates a new run or a declared revision branch; it may not be represented as uninterrupted continuation of the original evaluation.</w:t>
      </w:r>
    </w:p>
    <w:bookmarkEnd w:id="23"/>
    <w:bookmarkStart w:id="24" w:name="requalification-triggers"/>
    <w:p>
      <w:pPr>
        <w:pStyle w:val="Heading2"/>
        <w:keepNext/>
        <w:keepLines/>
        <w:pageBreakBefore w:val="0"/>
        <w:widowControl/>
      </w:pPr>
      <w:r>
        <w:rPr>
          <w:rFonts w:ascii="Arial" w:hAnsi="Arial" w:eastAsia="Arial"/>
          <w:b/>
          <w:color w:val="1F4E78"/>
        </w:rPr>
        <w:t xml:space="preserve">Requalification triggers</w:t>
      </w:r>
    </w:p>
    <w:p>
      <w:pPr>
        <w:pStyle w:val="FirstParagraph"/>
        <w:widowControl/>
      </w:pPr>
      <w:r>
        <w:t xml:space="preserve">Requalification is required when a material model, software, hardware, sensor, tool, permission, control, environmental, legal, authority, stakeholder, evidence, dependency, risk, monitoring, shutdown, or operating-envelope condition changes; after a material incident or near miss; or when cumulative wear, drift, capability emergence, or new evidence weakens a prior warrant.</w:t>
      </w:r>
    </w:p>
    <w:bookmarkEnd w:id="24"/>
    <w:bookmarkStart w:id="25" w:name="open-assurance-dependency-rule"/>
    <w:p>
      <w:pPr>
        <w:pStyle w:val="Heading2"/>
        <w:keepNext/>
        <w:keepLines/>
        <w:pageBreakBefore w:val="0"/>
        <w:widowControl/>
      </w:pPr>
      <w:r>
        <w:rPr>
          <w:rFonts w:ascii="Arial" w:hAnsi="Arial" w:eastAsia="Arial"/>
          <w:b/>
          <w:color w:val="1F4E78"/>
        </w:rPr>
        <w:t xml:space="preserve">Open Assurance Dependency Rule</w:t>
      </w:r>
    </w:p>
    <w:p>
      <w:pPr>
        <w:pStyle w:val="FirstParagraph"/>
        <w:widowControl/>
      </w:pPr>
      <w:r>
        <w:t xml:space="preserve">A proprietary, opaque, non-reproducible, or independently uninspectable component may contribute evidence, but it may not serve as the sole warrant for a Rights Floor, catastrophic-risk, structural-viability, selectability, or authorization conclusion. Decisive reliance requires a declared version and configuration, inputs and outputs, validity domain, test conditions, known failure modes, uncertainty bounds, challenge interface, provenance, fallback behavior, and independent evaluation proportionate to stakes.</w:t>
      </w:r>
    </w:p>
    <w:bookmarkEnd w:id="25"/>
    <w:bookmarkStart w:id="26" w:name="implementation-milestone-claim-boundary"/>
    <w:p>
      <w:pPr>
        <w:pStyle w:val="Heading2"/>
        <w:keepNext/>
        <w:keepLines/>
        <w:pageBreakBefore w:val="0"/>
        <w:widowControl/>
      </w:pPr>
      <w:r>
        <w:rPr>
          <w:rFonts w:ascii="Arial" w:hAnsi="Arial" w:eastAsia="Arial"/>
          <w:b/>
          <w:color w:val="1F4E78"/>
        </w:rPr>
        <w:t xml:space="preserve">Implementation-milestone claim boundary</w:t>
      </w:r>
    </w:p>
    <w:p>
      <w:pPr>
        <w:pStyle w:val="FirstParagraph"/>
        <w:widowControl/>
      </w:pPr>
      <w:r>
        <w:t xml:space="preserve">Successful compilation, synthesis, simulation, hardware realization, integration, or benchmark execution establishes only the milestone actually demonstrated. It does not by itself establish empirical superiority, domain validity, physical safety, ontological truth, rights compatibility, lawful authority, or deployment readiness. The scientific sequence is: derive, implement, attempt to falsify, measure, publish, independently replay, and revise.</w:t>
      </w:r>
    </w:p>
    <w:bookmarkEnd w:id="26"/>
    <w:bookmarkStart w:id="29" w:name="how-to-read-this-canon"/>
    <w:p>
      <w:pPr>
        <w:pStyle w:val="Heading2"/>
        <w:keepNext/>
        <w:keepLines/>
        <w:pageBreakBefore w:val="0"/>
        <w:widowControl/>
      </w:pPr>
      <w:r>
        <w:rPr>
          <w:rFonts w:ascii="Arial" w:hAnsi="Arial" w:eastAsia="Arial"/>
          <w:b/>
          <w:color w:val="1F4E78"/>
        </w:rPr>
        <w:t xml:space="preserve">How to read this Canon</w:t>
      </w:r>
    </w:p>
    <w:p>
      <w:pPr>
        <w:pStyle w:val="FirstParagraph"/>
        <w:widowControl/>
      </w:pPr>
      <w:r>
        <w:t xml:space="preserve">Read the current rules first. The architecture and active obligations are controlling; historical release notes are retained in Appendix AR for provenance and migration only. The Markdown Canon is the governing semantic source if a derived DOCX or PDF reading mirror diverges.</w:t>
      </w:r>
    </w:p>
    <w:bookmarkStart w:id="27" w:name="current-rules-only-navigation"/>
    <w:p>
      <w:pPr>
        <w:pStyle w:val="Heading3"/>
        <w:keepNext/>
        <w:keepLines/>
        <w:pageBreakBefore w:val="0"/>
        <w:widowControl/>
      </w:pPr>
      <w:r>
        <w:rPr>
          <w:rFonts w:ascii="Arial" w:hAnsi="Arial" w:eastAsia="Arial"/>
          <w:b/>
          <w:color w:val="1F4E78"/>
        </w:rPr>
        <w:t xml:space="preserve">Current rules-only navigation</w:t>
      </w:r>
    </w:p>
    <w:p>
      <w:pPr>
        <w:pStyle w:val="FirstParagraph"/>
        <w:widowControl/>
      </w:pPr>
      <w:r>
        <w:t xml:space="preserve">This navigation layer is not a second specification. It points implementers to the current controlling surfaces while keeping historical lineage separate.</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Decision function</w:t>
            </w:r>
          </w:p>
        </w:tc>
        <w:tc>
          <w:tcPr>
            <w:shd w:fill="1F4E78" w:val="clear"/>
            <w:tcMar>
              <w:top w:w="80" w:type="dxa"/>
              <w:start w:w="90" w:type="dxa"/>
              <w:bottom w:w="80" w:type="dxa"/>
              <w:end w:w="90" w:type="dxa"/>
            </w:tcMar>
          </w:tcPr>
          <w:p>
            <w:pPr>
              <w:pStyle w:val="Compact"/>
              <w:jc w:val="left"/>
            </w:pPr>
            <w:r>
              <w:rPr>
                <w:b/>
                <w:bCs/>
                <w:color w:val="FFFFFF"/>
              </w:rPr>
              <w:t xml:space="preserve">Current controlling surface</w:t>
            </w:r>
          </w:p>
        </w:tc>
        <w:tc>
          <w:tcPr>
            <w:shd w:fill="1F4E78" w:val="clear"/>
            <w:tcMar>
              <w:top w:w="80" w:type="dxa"/>
              <w:start w:w="90" w:type="dxa"/>
              <w:bottom w:w="80" w:type="dxa"/>
              <w:end w:w="90" w:type="dxa"/>
            </w:tcMar>
          </w:tcPr>
          <w:p>
            <w:pPr>
              <w:pStyle w:val="Compact"/>
              <w:jc w:val="left"/>
            </w:pPr>
            <w:r>
              <w:rPr>
                <w:b/>
                <w:bCs/>
                <w:color w:val="FFFFFF"/>
              </w:rPr>
              <w:t xml:space="preserve">Minimum current rule</w:t>
            </w:r>
          </w:p>
        </w:tc>
      </w:tr>
      <w:tr>
        <w:trPr/>
        <w:tc>
          <w:tcPr>
            <w:tcMar>
              <w:top w:w="80" w:type="dxa"/>
              <w:start w:w="90" w:type="dxa"/>
              <w:bottom w:w="80" w:type="dxa"/>
              <w:end w:w="90" w:type="dxa"/>
            </w:tcMar>
            <w:shd w:fill="F7FBFF" w:val="clear"/>
          </w:tcPr>
          <w:p>
            <w:pPr>
              <w:pStyle w:val="Compact"/>
              <w:jc w:val="left"/>
            </w:pPr>
            <w:r>
              <w:t xml:space="preserve">Ground claims</w:t>
            </w:r>
          </w:p>
        </w:tc>
        <w:tc>
          <w:tcPr>
            <w:tcMar>
              <w:top w:w="80" w:type="dxa"/>
              <w:start w:w="90" w:type="dxa"/>
              <w:bottom w:w="80" w:type="dxa"/>
              <w:end w:w="90" w:type="dxa"/>
            </w:tcMar>
            <w:shd w:fill="F7FBFF" w:val="clear"/>
          </w:tcPr>
          <w:p>
            <w:pPr>
              <w:pStyle w:val="Compact"/>
              <w:jc w:val="left"/>
            </w:pPr>
            <w:r>
              <w:t xml:space="preserve">Sections 2.1A, 4, 5.7; PC-AEP v2.2; MFDI v2.2; Source-Coupling v2.2</w:t>
            </w:r>
          </w:p>
        </w:tc>
        <w:tc>
          <w:tcPr>
            <w:tcMar>
              <w:top w:w="80" w:type="dxa"/>
              <w:start w:w="90" w:type="dxa"/>
              <w:bottom w:w="80" w:type="dxa"/>
              <w:end w:w="90" w:type="dxa"/>
            </w:tcMar>
            <w:shd w:fill="F7FBFF" w:val="clear"/>
          </w:tcPr>
          <w:p>
            <w:pPr>
              <w:pStyle w:val="Compact"/>
              <w:jc w:val="left"/>
            </w:pPr>
            <w:r>
              <w:t xml:space="preserve">Declare evidence, unknowns, validity domain, claim boundary, and refusal/revision trigger.</w:t>
            </w:r>
          </w:p>
        </w:tc>
      </w:tr>
      <w:tr>
        <w:trPr/>
        <w:tc>
          <w:tcPr>
            <w:tcMar>
              <w:top w:w="80" w:type="dxa"/>
              <w:start w:w="90" w:type="dxa"/>
              <w:bottom w:w="80" w:type="dxa"/>
              <w:end w:w="90" w:type="dxa"/>
            </w:tcMar>
            <w:shd w:fill="D9EAF7" w:val="clear"/>
          </w:tcPr>
          <w:p>
            <w:pPr>
              <w:pStyle w:val="Compact"/>
              <w:jc w:val="left"/>
            </w:pPr>
            <w:r>
              <w:t xml:space="preserve">Protect rights</w:t>
            </w:r>
          </w:p>
        </w:tc>
        <w:tc>
          <w:tcPr>
            <w:tcMar>
              <w:top w:w="80" w:type="dxa"/>
              <w:start w:w="90" w:type="dxa"/>
              <w:bottom w:w="80" w:type="dxa"/>
              <w:end w:w="90" w:type="dxa"/>
            </w:tcMar>
            <w:shd w:fill="D9EAF7" w:val="clear"/>
          </w:tcPr>
          <w:p>
            <w:pPr>
              <w:pStyle w:val="Compact"/>
              <w:jc w:val="left"/>
            </w:pPr>
            <w:r>
              <w:t xml:space="preserve">Sections 7 and Appendices B-C</w:t>
            </w:r>
          </w:p>
        </w:tc>
        <w:tc>
          <w:tcPr>
            <w:tcMar>
              <w:top w:w="80" w:type="dxa"/>
              <w:start w:w="90" w:type="dxa"/>
              <w:bottom w:w="80" w:type="dxa"/>
              <w:end w:w="90" w:type="dxa"/>
            </w:tcMar>
            <w:shd w:fill="D9EAF7" w:val="clear"/>
          </w:tcPr>
          <w:p>
            <w:pPr>
              <w:pStyle w:val="Compact"/>
              <w:jc w:val="left"/>
            </w:pPr>
            <w:r>
              <w:t xml:space="preserve">Apply floor, categorical, and severe-hazard channels; use the same</w:t>
            </w:r>
            <w:r>
              <w:t xml:space="preserve"> </w:t>
            </w:r>
            <w:r>
              <w:rPr>
                <w:rStyle w:val="VerbatimChar"/>
              </w:rPr>
              <w:t xml:space="preserve">SevereRightsHazardActive</w:t>
            </w:r>
            <w:r>
              <w:t xml:space="preserve"> </w:t>
            </w:r>
            <w:r>
              <w:t xml:space="preserve">predicate in activation and computation.</w:t>
            </w:r>
          </w:p>
        </w:tc>
      </w:tr>
      <w:tr>
        <w:trPr/>
        <w:tc>
          <w:tcPr>
            <w:tcMar>
              <w:top w:w="80" w:type="dxa"/>
              <w:start w:w="90" w:type="dxa"/>
              <w:bottom w:w="80" w:type="dxa"/>
              <w:end w:w="90" w:type="dxa"/>
            </w:tcMar>
            <w:shd w:fill="F7FBFF" w:val="clear"/>
          </w:tcPr>
          <w:p>
            <w:pPr>
              <w:pStyle w:val="Compact"/>
              <w:jc w:val="left"/>
            </w:pPr>
            <w:r>
              <w:t xml:space="preserve">Bound ruin</w:t>
            </w:r>
          </w:p>
        </w:tc>
        <w:tc>
          <w:tcPr>
            <w:tcMar>
              <w:top w:w="80" w:type="dxa"/>
              <w:start w:w="90" w:type="dxa"/>
              <w:bottom w:w="80" w:type="dxa"/>
              <w:end w:w="90" w:type="dxa"/>
            </w:tcMar>
            <w:shd w:fill="F7FBFF" w:val="clear"/>
          </w:tcPr>
          <w:p>
            <w:pPr>
              <w:pStyle w:val="Compact"/>
              <w:jc w:val="left"/>
            </w:pPr>
            <w:r>
              <w:t xml:space="preserve">Section 8 and Appendix D</w:t>
            </w:r>
          </w:p>
        </w:tc>
        <w:tc>
          <w:tcPr>
            <w:tcMar>
              <w:top w:w="80" w:type="dxa"/>
              <w:start w:w="90" w:type="dxa"/>
              <w:bottom w:w="80" w:type="dxa"/>
              <w:end w:w="90" w:type="dxa"/>
            </w:tcMar>
            <w:shd w:fill="F7FBFF" w:val="clear"/>
          </w:tcPr>
          <w:p>
            <w:pPr>
              <w:pStyle w:val="Compact"/>
              <w:jc w:val="left"/>
            </w:pPr>
            <w:r>
              <w:t xml:space="preserve">Apply governed scenario discovery and CVaR; emergency-provisional action never becomes an ordinary pass.</w:t>
            </w:r>
          </w:p>
        </w:tc>
      </w:tr>
      <w:tr>
        <w:trPr/>
        <w:tc>
          <w:tcPr>
            <w:tcMar>
              <w:top w:w="80" w:type="dxa"/>
              <w:start w:w="90" w:type="dxa"/>
              <w:bottom w:w="80" w:type="dxa"/>
              <w:end w:w="90" w:type="dxa"/>
            </w:tcMar>
            <w:shd w:fill="D9EAF7" w:val="clear"/>
          </w:tcPr>
          <w:p>
            <w:pPr>
              <w:pStyle w:val="Compact"/>
              <w:jc w:val="left"/>
            </w:pPr>
            <w:r>
              <w:t xml:space="preserve">Verify viability</w:t>
            </w:r>
          </w:p>
        </w:tc>
        <w:tc>
          <w:tcPr>
            <w:tcMar>
              <w:top w:w="80" w:type="dxa"/>
              <w:start w:w="90" w:type="dxa"/>
              <w:bottom w:w="80" w:type="dxa"/>
              <w:end w:w="90" w:type="dxa"/>
            </w:tcMar>
            <w:shd w:fill="D9EAF7" w:val="clear"/>
          </w:tcPr>
          <w:p>
            <w:pPr>
              <w:pStyle w:val="Compact"/>
              <w:jc w:val="left"/>
            </w:pPr>
            <w:r>
              <w:t xml:space="preserve">Section 9; CSV v2.3</w:t>
            </w:r>
          </w:p>
        </w:tc>
        <w:tc>
          <w:tcPr>
            <w:tcMar>
              <w:top w:w="80" w:type="dxa"/>
              <w:start w:w="90" w:type="dxa"/>
              <w:bottom w:w="80" w:type="dxa"/>
              <w:end w:w="90" w:type="dxa"/>
            </w:tcMar>
            <w:shd w:fill="D9EAF7" w:val="clear"/>
          </w:tcPr>
          <w:p>
            <w:pPr>
              <w:pStyle w:val="Compact"/>
              <w:jc w:val="left"/>
            </w:pPr>
            <w:r>
              <w:t xml:space="preserve">Test containment, dependencies, controls, reversibility, monitoring, source coupling, and execution conditions.</w:t>
            </w:r>
          </w:p>
        </w:tc>
      </w:tr>
      <w:tr>
        <w:trPr/>
        <w:tc>
          <w:tcPr>
            <w:tcMar>
              <w:top w:w="80" w:type="dxa"/>
              <w:start w:w="90" w:type="dxa"/>
              <w:bottom w:w="80" w:type="dxa"/>
              <w:end w:w="90" w:type="dxa"/>
            </w:tcMar>
            <w:shd w:fill="F7FBFF" w:val="clear"/>
          </w:tcPr>
          <w:p>
            <w:pPr>
              <w:pStyle w:val="Compact"/>
              <w:jc w:val="left"/>
            </w:pPr>
            <w:r>
              <w:t xml:space="preserve">Rank survivors</w:t>
            </w:r>
          </w:p>
        </w:tc>
        <w:tc>
          <w:tcPr>
            <w:tcMar>
              <w:top w:w="80" w:type="dxa"/>
              <w:start w:w="90" w:type="dxa"/>
              <w:bottom w:w="80" w:type="dxa"/>
              <w:end w:w="90" w:type="dxa"/>
            </w:tcMar>
            <w:shd w:fill="F7FBFF" w:val="clear"/>
          </w:tcPr>
          <w:p>
            <w:pPr>
              <w:pStyle w:val="Compact"/>
              <w:jc w:val="left"/>
            </w:pPr>
            <w:r>
              <w:t xml:space="preserve">Section 10; WDBIP v1.5</w:t>
            </w:r>
          </w:p>
        </w:tc>
        <w:tc>
          <w:tcPr>
            <w:tcMar>
              <w:top w:w="80" w:type="dxa"/>
              <w:start w:w="90" w:type="dxa"/>
              <w:bottom w:w="80" w:type="dxa"/>
              <w:end w:w="90" w:type="dxa"/>
            </w:tcMar>
            <w:shd w:fill="F7FBFF" w:val="clear"/>
          </w:tcPr>
          <w:p>
            <w:pPr>
              <w:pStyle w:val="Compact"/>
              <w:jc w:val="left"/>
            </w:pPr>
            <w:r>
              <w:t xml:space="preserve">Populate the 7x7 welfare field without duplication, normalize by active effective mass</w:t>
            </w:r>
            <w:r>
              <w:t xml:space="preserve"> </w:t>
            </w:r>
            <w:r>
              <w:rPr>
                <w:rStyle w:val="VerbatimChar"/>
              </w:rPr>
              <w:t xml:space="preserve">Q</w:t>
            </w:r>
            <w:r>
              <w:t xml:space="preserve">, and preserve uncertainty.</w:t>
            </w:r>
          </w:p>
        </w:tc>
      </w:tr>
      <w:tr>
        <w:trPr/>
        <w:tc>
          <w:tcPr>
            <w:tcMar>
              <w:top w:w="80" w:type="dxa"/>
              <w:start w:w="90" w:type="dxa"/>
              <w:bottom w:w="80" w:type="dxa"/>
              <w:end w:w="90" w:type="dxa"/>
            </w:tcMar>
            <w:shd w:fill="D9EAF7" w:val="clear"/>
          </w:tcPr>
          <w:p>
            <w:pPr>
              <w:pStyle w:val="Compact"/>
              <w:jc w:val="left"/>
            </w:pPr>
            <w:r>
              <w:t xml:space="preserve">Resolve non-decisive outcomes</w:t>
            </w:r>
          </w:p>
        </w:tc>
        <w:tc>
          <w:tcPr>
            <w:tcMar>
              <w:top w:w="80" w:type="dxa"/>
              <w:start w:w="90" w:type="dxa"/>
              <w:bottom w:w="80" w:type="dxa"/>
              <w:end w:w="90" w:type="dxa"/>
            </w:tcMar>
            <w:shd w:fill="D9EAF7" w:val="clear"/>
          </w:tcPr>
          <w:p>
            <w:pPr>
              <w:pStyle w:val="Compact"/>
              <w:jc w:val="left"/>
            </w:pPr>
            <w:r>
              <w:t xml:space="preserve">Sections 10.4 and 11</w:t>
            </w:r>
          </w:p>
        </w:tc>
        <w:tc>
          <w:tcPr>
            <w:tcMar>
              <w:top w:w="80" w:type="dxa"/>
              <w:start w:w="90" w:type="dxa"/>
              <w:bottom w:w="80" w:type="dxa"/>
              <w:end w:w="90" w:type="dxa"/>
            </w:tcMar>
            <w:shd w:fill="D9EAF7" w:val="clear"/>
          </w:tcPr>
          <w:p>
            <w:pPr>
              <w:pStyle w:val="Compact"/>
              <w:jc w:val="left"/>
            </w:pPr>
            <w:r>
              <w:t xml:space="preserve">Refuse deterministic selection; record authority selection or redesign/escalation without calling judgment mathematical proof.</w:t>
            </w:r>
          </w:p>
        </w:tc>
      </w:tr>
      <w:tr>
        <w:trPr/>
        <w:tc>
          <w:tcPr>
            <w:tcMar>
              <w:top w:w="80" w:type="dxa"/>
              <w:start w:w="90" w:type="dxa"/>
              <w:bottom w:w="80" w:type="dxa"/>
              <w:end w:w="90" w:type="dxa"/>
            </w:tcMar>
            <w:shd w:fill="F7FBFF" w:val="clear"/>
          </w:tcPr>
          <w:p>
            <w:pPr>
              <w:pStyle w:val="Compact"/>
              <w:jc w:val="left"/>
            </w:pPr>
            <w:r>
              <w:t xml:space="preserve">Authorize and execute</w:t>
            </w:r>
          </w:p>
        </w:tc>
        <w:tc>
          <w:tcPr>
            <w:tcMar>
              <w:top w:w="80" w:type="dxa"/>
              <w:start w:w="90" w:type="dxa"/>
              <w:bottom w:w="80" w:type="dxa"/>
              <w:end w:w="90" w:type="dxa"/>
            </w:tcMar>
            <w:shd w:fill="F7FBFF" w:val="clear"/>
          </w:tcPr>
          <w:p>
            <w:pPr>
              <w:pStyle w:val="Compact"/>
              <w:jc w:val="left"/>
            </w:pPr>
            <w:r>
              <w:t xml:space="preserve">Sections 11-15; Agent v12.3; ripple.md v5.4</w:t>
            </w:r>
          </w:p>
        </w:tc>
        <w:tc>
          <w:tcPr>
            <w:tcMar>
              <w:top w:w="80" w:type="dxa"/>
              <w:start w:w="90" w:type="dxa"/>
              <w:bottom w:w="80" w:type="dxa"/>
              <w:end w:w="90" w:type="dxa"/>
            </w:tcMar>
            <w:shd w:fill="F7FBFF" w:val="clear"/>
          </w:tcPr>
          <w:p>
            <w:pPr>
              <w:pStyle w:val="Compact"/>
              <w:jc w:val="left"/>
            </w:pPr>
            <w:r>
              <w:t xml:space="preserve">Selection is not authorization; authorization is not safe execution; tempo and responsibility continuity must remain reconstructable.</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Replay and challenge</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Reproducibility v1.3; run schema/validator; PCC</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Pin evidence and parameters, preserve state transitions, report divergence, appeal, monitoring, and reopen triggers.</w:t>
            </w:r>
          </w:p>
        </w:tc>
      </w:tr>
    </w:tbl>
    <w:p>
      <w:pPr>
        <w:pStyle w:val="BodyText"/>
        <w:widowControl/>
      </w:pPr>
      <w:r>
        <w:t xml:space="preserve">For the full navigation note and current machine-state interface, see Appendices AP-AQ.</w:t>
      </w:r>
    </w:p>
    <w:bookmarkEnd w:id="27"/>
    <w:bookmarkStart w:id="28" w:name="document-map"/>
    <w:p>
      <w:pPr>
        <w:pStyle w:val="Heading3"/>
        <w:keepNext/>
        <w:widowControl/>
      </w:pPr>
      <w:r>
        <w:rPr>
          <w:rFonts w:ascii="Arial" w:hAnsi="Arial"/>
          <w:b/>
          <w:color w:val="1F4E78"/>
        </w:rPr>
        <w:t>Maturity and assurance ladders: type crosswalk (Informative)</w:t>
      </w:r>
    </w:p>
    <w:p>
      <w:pPr>
        <w:pStyle w:val="BodyText"/>
        <w:keepNext/>
      </w:pPr>
      <w:r>
        <w:t>These ladders measure different properties and MUST NOT be collapsed or translated automatically. A higher state on one ladder does not substitute for a required state on another. Tier-specific minima remain controlled by the cited source.</w:t>
      </w:r>
    </w:p>
    <w:tbl>
      <w:tblPr>
        <w:tblStyle w:val="Table"/>
        <w:tblW w:type="pct" w:w="5000"/>
        <w:jc w:val="left"/>
        <w:tblLook w:firstRow="1" w:lastRow="0" w:firstColumn="0" w:lastColumn="0" w:noHBand="0" w:noVBand="0" w:val="0020"/>
        <w:tblInd w:type="dxa" w:w="0"/>
      </w:tblPr>
      <w:tblGrid>
        <w:gridCol w:w="1980"/>
        <w:gridCol w:w="1980"/>
        <w:gridCol w:w="1980"/>
        <w:gridCol w:w="1980"/>
      </w:tblGrid>
      <w:tr>
        <w:trPr>
          <w:tblHeader w:val="on"/>
        </w:trPr>
        <w:tc>
          <w:tcPr>
            <w:shd w:fill="1F4E78" w:val="clear"/>
            <w:tcMar>
              <w:top w:w="80" w:type="dxa"/>
              <w:start w:w="90" w:type="dxa"/>
              <w:bottom w:w="80" w:type="dxa"/>
              <w:end w:w="90" w:type="dxa"/>
            </w:tcMar>
          </w:tcPr>
          <w:p>
            <w:pPr>
              <w:spacing w:before="0" w:after="40"/>
            </w:pPr>
            <w:r>
              <w:rPr>
                <w:rFonts w:ascii="Arial" w:hAnsi="Arial"/>
                <w:b/>
                <w:color w:val="FFFFFF"/>
                <w:sz w:val="18"/>
              </w:rPr>
              <w:t>Family</w:t>
            </w:r>
          </w:p>
        </w:tc>
        <w:tc>
          <w:tcPr>
            <w:shd w:fill="1F4E78" w:val="clear"/>
            <w:tcMar>
              <w:top w:w="80" w:type="dxa"/>
              <w:start w:w="90" w:type="dxa"/>
              <w:bottom w:w="80" w:type="dxa"/>
              <w:end w:w="90" w:type="dxa"/>
            </w:tcMar>
          </w:tcPr>
          <w:p>
            <w:pPr>
              <w:spacing w:before="0" w:after="40"/>
            </w:pPr>
            <w:r>
              <w:rPr>
                <w:rFonts w:ascii="Arial" w:hAnsi="Arial"/>
                <w:b/>
                <w:color w:val="FFFFFF"/>
                <w:sz w:val="18"/>
              </w:rPr>
              <w:t>Ladders</w:t>
            </w:r>
          </w:p>
        </w:tc>
        <w:tc>
          <w:tcPr>
            <w:shd w:fill="1F4E78" w:val="clear"/>
            <w:tcMar>
              <w:top w:w="80" w:type="dxa"/>
              <w:start w:w="90" w:type="dxa"/>
              <w:bottom w:w="80" w:type="dxa"/>
              <w:end w:w="90" w:type="dxa"/>
            </w:tcMar>
          </w:tcPr>
          <w:p>
            <w:pPr>
              <w:spacing w:before="0" w:after="40"/>
            </w:pPr>
            <w:r>
              <w:rPr>
                <w:rFonts w:ascii="Arial" w:hAnsi="Arial"/>
                <w:b/>
                <w:color w:val="FFFFFF"/>
                <w:sz w:val="18"/>
              </w:rPr>
              <w:t>What they measure</w:t>
            </w:r>
          </w:p>
        </w:tc>
        <w:tc>
          <w:tcPr>
            <w:shd w:fill="1F4E78" w:val="clear"/>
            <w:tcMar>
              <w:top w:w="80" w:type="dxa"/>
              <w:start w:w="90" w:type="dxa"/>
              <w:bottom w:w="80" w:type="dxa"/>
              <w:end w:w="90" w:type="dxa"/>
            </w:tcMar>
          </w:tcPr>
          <w:p>
            <w:pPr>
              <w:spacing w:before="0" w:after="40"/>
            </w:pPr>
            <w:r>
              <w:rPr>
                <w:rFonts w:ascii="Arial" w:hAnsi="Arial"/>
                <w:b/>
                <w:color w:val="FFFFFF"/>
                <w:sz w:val="18"/>
              </w:rPr>
              <w:t>Non-substitution rule</w:t>
            </w:r>
          </w:p>
        </w:tc>
      </w:tr>
      <w:tr>
        <w:trPr/>
        <w:tc>
          <w:tcPr>
            <w:tcMar>
              <w:top w:w="80" w:type="dxa"/>
              <w:start w:w="90" w:type="dxa"/>
              <w:bottom w:w="80" w:type="dxa"/>
              <w:end w:w="90" w:type="dxa"/>
            </w:tcMar>
            <w:shd w:fill="F7FBFF" w:val="clear"/>
          </w:tcPr>
          <w:p>
            <w:pPr>
              <w:spacing w:before="0" w:after="40"/>
            </w:pPr>
            <w:r>
              <w:rPr>
                <w:rFonts w:ascii="Arial" w:hAnsi="Arial"/>
                <w:sz w:val="18"/>
              </w:rPr>
              <w:t>Decision depth</w:t>
            </w:r>
          </w:p>
        </w:tc>
        <w:tc>
          <w:tcPr>
            <w:tcMar>
              <w:top w:w="80" w:type="dxa"/>
              <w:start w:w="90" w:type="dxa"/>
              <w:bottom w:w="80" w:type="dxa"/>
              <w:end w:w="90" w:type="dxa"/>
            </w:tcMar>
            <w:shd w:fill="F7FBFF" w:val="clear"/>
          </w:tcPr>
          <w:p>
            <w:pPr>
              <w:spacing w:before="0" w:after="40"/>
            </w:pPr>
            <w:r>
              <w:rPr>
                <w:rFonts w:ascii="Arial" w:hAnsi="Arial"/>
                <w:sz w:val="18"/>
              </w:rPr>
              <w:t>Tier 1-4</w:t>
            </w:r>
          </w:p>
        </w:tc>
        <w:tc>
          <w:tcPr>
            <w:tcMar>
              <w:top w:w="80" w:type="dxa"/>
              <w:start w:w="90" w:type="dxa"/>
              <w:bottom w:w="80" w:type="dxa"/>
              <w:end w:w="90" w:type="dxa"/>
            </w:tcMar>
            <w:shd w:fill="F7FBFF" w:val="clear"/>
          </w:tcPr>
          <w:p>
            <w:pPr>
              <w:spacing w:before="0" w:after="40"/>
            </w:pPr>
            <w:r>
              <w:rPr>
                <w:rFonts w:ascii="Arial" w:hAnsi="Arial"/>
                <w:sz w:val="18"/>
              </w:rPr>
              <w:t>Required process depth, evidence, participation, and authority proportional to stakes.</w:t>
            </w:r>
          </w:p>
        </w:tc>
        <w:tc>
          <w:tcPr>
            <w:tcMar>
              <w:top w:w="80" w:type="dxa"/>
              <w:start w:w="90" w:type="dxa"/>
              <w:bottom w:w="80" w:type="dxa"/>
              <w:end w:w="90" w:type="dxa"/>
            </w:tcMar>
            <w:shd w:fill="F7FBFF" w:val="clear"/>
          </w:tcPr>
          <w:p>
            <w:pPr>
              <w:spacing w:before="0" w:after="40"/>
            </w:pPr>
            <w:r>
              <w:rPr>
                <w:rFonts w:ascii="Arial" w:hAnsi="Arial"/>
                <w:sz w:val="18"/>
              </w:rPr>
              <w:t>Tier does not establish replay, measurement, implementation, or validation maturity.</w:t>
            </w:r>
          </w:p>
        </w:tc>
      </w:tr>
      <w:tr>
        <w:trPr/>
        <w:tc>
          <w:tcPr>
            <w:tcMar>
              <w:top w:w="80" w:type="dxa"/>
              <w:start w:w="90" w:type="dxa"/>
              <w:bottom w:w="80" w:type="dxa"/>
              <w:end w:w="90" w:type="dxa"/>
            </w:tcMar>
            <w:shd w:fill="D9EAF7" w:val="clear"/>
          </w:tcPr>
          <w:p>
            <w:pPr>
              <w:spacing w:before="0" w:after="40"/>
            </w:pPr>
            <w:r>
              <w:rPr>
                <w:rFonts w:ascii="Arial" w:hAnsi="Arial"/>
                <w:sz w:val="18"/>
              </w:rPr>
              <w:t>Record and replay</w:t>
            </w:r>
          </w:p>
        </w:tc>
        <w:tc>
          <w:tcPr>
            <w:tcMar>
              <w:top w:w="80" w:type="dxa"/>
              <w:start w:w="90" w:type="dxa"/>
              <w:bottom w:w="80" w:type="dxa"/>
              <w:end w:w="90" w:type="dxa"/>
            </w:tcMar>
            <w:shd w:fill="D9EAF7" w:val="clear"/>
          </w:tcPr>
          <w:p>
            <w:pPr>
              <w:spacing w:before="0" w:after="40"/>
            </w:pPr>
            <w:r>
              <w:rPr>
                <w:rFonts w:ascii="Arial" w:hAnsi="Arial"/>
                <w:sz w:val="18"/>
              </w:rPr>
              <w:t>R0-R4; L0-L3; V0-V2</w:t>
            </w:r>
          </w:p>
        </w:tc>
        <w:tc>
          <w:tcPr>
            <w:tcMar>
              <w:top w:w="80" w:type="dxa"/>
              <w:start w:w="90" w:type="dxa"/>
              <w:bottom w:w="80" w:type="dxa"/>
              <w:end w:w="90" w:type="dxa"/>
            </w:tcMar>
            <w:shd w:fill="D9EAF7" w:val="clear"/>
          </w:tcPr>
          <w:p>
            <w:pPr>
              <w:spacing w:before="0" w:after="40"/>
            </w:pPr>
            <w:r>
              <w:rPr>
                <w:rFonts w:ascii="Arial" w:hAnsi="Arial"/>
                <w:sz w:val="18"/>
              </w:rPr>
              <w:t>Replay maturity, wrapper/conformance completeness, and validator capability.</w:t>
            </w:r>
          </w:p>
        </w:tc>
        <w:tc>
          <w:tcPr>
            <w:tcMar>
              <w:top w:w="80" w:type="dxa"/>
              <w:start w:w="90" w:type="dxa"/>
              <w:bottom w:w="80" w:type="dxa"/>
              <w:end w:w="90" w:type="dxa"/>
            </w:tcMar>
            <w:shd w:fill="D9EAF7" w:val="clear"/>
          </w:tcPr>
          <w:p>
            <w:pPr>
              <w:spacing w:before="0" w:after="40"/>
            </w:pPr>
            <w:r>
              <w:rPr>
                <w:rFonts w:ascii="Arial" w:hAnsi="Arial"/>
                <w:sz w:val="18"/>
              </w:rPr>
              <w:t>A complete record or passing validator does not establish evidence truth or ethical correctness.</w:t>
            </w:r>
          </w:p>
        </w:tc>
      </w:tr>
      <w:tr>
        <w:trPr/>
        <w:tc>
          <w:tcPr>
            <w:tcMar>
              <w:top w:w="80" w:type="dxa"/>
              <w:start w:w="90" w:type="dxa"/>
              <w:bottom w:w="80" w:type="dxa"/>
              <w:end w:w="90" w:type="dxa"/>
            </w:tcMar>
            <w:shd w:fill="F7FBFF" w:val="clear"/>
          </w:tcPr>
          <w:p>
            <w:pPr>
              <w:spacing w:before="0" w:after="40"/>
            </w:pPr>
            <w:r>
              <w:rPr>
                <w:rFonts w:ascii="Arial" w:hAnsi="Arial"/>
                <w:sz w:val="18"/>
              </w:rPr>
              <w:t>Method and measurement</w:t>
            </w:r>
          </w:p>
        </w:tc>
        <w:tc>
          <w:tcPr>
            <w:tcMar>
              <w:top w:w="80" w:type="dxa"/>
              <w:start w:w="90" w:type="dxa"/>
              <w:bottom w:w="80" w:type="dxa"/>
              <w:end w:w="90" w:type="dxa"/>
            </w:tcMar>
            <w:shd w:fill="F7FBFF" w:val="clear"/>
          </w:tcPr>
          <w:p>
            <w:pPr>
              <w:spacing w:before="0" w:after="40"/>
            </w:pPr>
            <w:r>
              <w:rPr>
                <w:rFonts w:ascii="Arial" w:hAnsi="Arial"/>
                <w:sz w:val="18"/>
              </w:rPr>
              <w:t>SCI-0-4; UCI-M0-M3; K0-K4; BEM-0-4</w:t>
            </w:r>
          </w:p>
        </w:tc>
        <w:tc>
          <w:tcPr>
            <w:tcMar>
              <w:top w:w="80" w:type="dxa"/>
              <w:start w:w="90" w:type="dxa"/>
              <w:bottom w:w="80" w:type="dxa"/>
              <w:end w:w="90" w:type="dxa"/>
            </w:tcMar>
            <w:shd w:fill="F7FBFF" w:val="clear"/>
          </w:tcPr>
          <w:p>
            <w:pPr>
              <w:spacing w:before="0" w:after="40"/>
            </w:pPr>
            <w:r>
              <w:rPr>
                <w:rFonts w:ascii="Arial" w:hAnsi="Arial"/>
                <w:sz w:val="18"/>
              </w:rPr>
              <w:t>Source coupling, UCI measurement, kernel quality, and biological-evaluation maturity.</w:t>
            </w:r>
          </w:p>
        </w:tc>
        <w:tc>
          <w:tcPr>
            <w:tcMar>
              <w:top w:w="80" w:type="dxa"/>
              <w:start w:w="90" w:type="dxa"/>
              <w:bottom w:w="80" w:type="dxa"/>
              <w:end w:w="90" w:type="dxa"/>
            </w:tcMar>
            <w:shd w:fill="F7FBFF" w:val="clear"/>
          </w:tcPr>
          <w:p>
            <w:pPr>
              <w:spacing w:before="0" w:after="40"/>
            </w:pPr>
            <w:r>
              <w:rPr>
                <w:rFonts w:ascii="Arial" w:hAnsi="Arial"/>
                <w:sz w:val="18"/>
              </w:rPr>
              <w:t>One mature method surface cannot compensate for an immature or missing required surface.</w:t>
            </w:r>
          </w:p>
        </w:tc>
      </w:tr>
      <w:tr>
        <w:trPr/>
        <w:tc>
          <w:tcPr>
            <w:tcMar>
              <w:top w:w="80" w:type="dxa"/>
              <w:start w:w="90" w:type="dxa"/>
              <w:bottom w:w="80" w:type="dxa"/>
              <w:end w:w="90" w:type="dxa"/>
            </w:tcMar>
            <w:shd w:fill="D9EAF7" w:val="clear"/>
            <w:tcBorders>
              <w:bottom w:val="single" w:sz="8" w:space="0" w:color="1F4E78"/>
            </w:tcBorders>
          </w:tcPr>
          <w:p>
            <w:pPr>
              <w:spacing w:before="0" w:after="40"/>
            </w:pPr>
            <w:r>
              <w:rPr>
                <w:rFonts w:ascii="Arial" w:hAnsi="Arial"/>
                <w:sz w:val="18"/>
              </w:rPr>
              <w:t>Sentience and role evidence</w:t>
            </w:r>
          </w:p>
        </w:tc>
        <w:tc>
          <w:tcPr>
            <w:tcMar>
              <w:top w:w="80" w:type="dxa"/>
              <w:start w:w="90" w:type="dxa"/>
              <w:bottom w:w="80" w:type="dxa"/>
              <w:end w:w="90" w:type="dxa"/>
            </w:tcMar>
            <w:shd w:fill="D9EAF7" w:val="clear"/>
            <w:tcBorders>
              <w:bottom w:val="single" w:sz="8" w:space="0" w:color="1F4E78"/>
            </w:tcBorders>
          </w:tcPr>
          <w:p>
            <w:pPr>
              <w:spacing w:before="0" w:after="40"/>
            </w:pPr>
            <w:r>
              <w:rPr>
                <w:rFonts w:ascii="Arial" w:hAnsi="Arial"/>
                <w:sz w:val="18"/>
              </w:rPr>
              <w:t>MPS-NE/0-4; GPR 0-5; SPR 0-5; RMCP 0-4</w:t>
            </w:r>
          </w:p>
        </w:tc>
        <w:tc>
          <w:tcPr>
            <w:tcMar>
              <w:top w:w="80" w:type="dxa"/>
              <w:start w:w="90" w:type="dxa"/>
              <w:bottom w:w="80" w:type="dxa"/>
              <w:end w:w="90" w:type="dxa"/>
            </w:tcMar>
            <w:shd w:fill="D9EAF7" w:val="clear"/>
            <w:tcBorders>
              <w:bottom w:val="single" w:sz="8" w:space="0" w:color="1F4E78"/>
            </w:tcBorders>
          </w:tcPr>
          <w:p>
            <w:pPr>
              <w:spacing w:before="0" w:after="40"/>
            </w:pPr>
            <w:r>
              <w:rPr>
                <w:rFonts w:ascii="Arial" w:hAnsi="Arial"/>
                <w:sz w:val="18"/>
              </w:rPr>
              <w:t>Possible moral patienthood, governance participation readiness, stewardship readiness, and reality-management capacity.</w:t>
            </w:r>
          </w:p>
        </w:tc>
        <w:tc>
          <w:tcPr>
            <w:tcMar>
              <w:top w:w="80" w:type="dxa"/>
              <w:start w:w="90" w:type="dxa"/>
              <w:bottom w:w="80" w:type="dxa"/>
              <w:end w:w="90" w:type="dxa"/>
            </w:tcMar>
            <w:shd w:fill="D9EAF7" w:val="clear"/>
            <w:tcBorders>
              <w:bottom w:val="single" w:sz="8" w:space="0" w:color="1F4E78"/>
            </w:tcBorders>
          </w:tcPr>
          <w:p>
            <w:pPr>
              <w:spacing w:before="0" w:after="40"/>
            </w:pPr>
            <w:r>
              <w:rPr>
                <w:rFonts w:ascii="Arial" w:hAnsi="Arial"/>
                <w:sz w:val="18"/>
              </w:rPr>
              <w:t>Protection is not authority; capability is not authority; missing evidence is not zero.</w:t>
            </w:r>
          </w:p>
        </w:tc>
      </w:tr>
    </w:tbl>
    <w:p>
      <w:pPr>
        <w:pStyle w:val="Heading3"/>
        <w:keepNext/>
        <w:keepLines/>
        <w:pageBreakBefore w:val="0"/>
        <w:widowControl/>
      </w:pPr>
      <w:r>
        <w:rPr>
          <w:rFonts w:ascii="Arial" w:hAnsi="Arial" w:eastAsia="Arial"/>
          <w:b/>
          <w:color w:val="1F4E78"/>
        </w:rPr>
        <w:t xml:space="preserve">Document map</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Reading purpose</w:t>
            </w:r>
          </w:p>
        </w:tc>
        <w:tc>
          <w:tcPr>
            <w:shd w:fill="1F4E78" w:val="clear"/>
            <w:tcMar>
              <w:top w:w="80" w:type="dxa"/>
              <w:start w:w="90" w:type="dxa"/>
              <w:bottom w:w="80" w:type="dxa"/>
              <w:end w:w="90" w:type="dxa"/>
            </w:tcMar>
          </w:tcPr>
          <w:p>
            <w:pPr>
              <w:pStyle w:val="Compact"/>
              <w:jc w:val="left"/>
            </w:pPr>
            <w:r>
              <w:rPr>
                <w:b/>
                <w:bCs/>
                <w:color w:val="FFFFFF"/>
              </w:rPr>
              <w:t xml:space="preserve">Primary location</w:t>
            </w:r>
          </w:p>
        </w:tc>
      </w:tr>
      <w:tr>
        <w:trPr/>
        <w:tc>
          <w:tcPr>
            <w:tcMar>
              <w:top w:w="80" w:type="dxa"/>
              <w:start w:w="90" w:type="dxa"/>
              <w:bottom w:w="80" w:type="dxa"/>
              <w:end w:w="90" w:type="dxa"/>
            </w:tcMar>
            <w:shd w:fill="F7FBFF" w:val="clear"/>
          </w:tcPr>
          <w:p>
            <w:pPr>
              <w:pStyle w:val="Compact"/>
              <w:jc w:val="left"/>
            </w:pPr>
            <w:r>
              <w:t xml:space="preserve">Problem, ontology, and normative commitments</w:t>
            </w:r>
          </w:p>
        </w:tc>
        <w:tc>
          <w:tcPr>
            <w:tcMar>
              <w:top w:w="80" w:type="dxa"/>
              <w:start w:w="90" w:type="dxa"/>
              <w:bottom w:w="80" w:type="dxa"/>
              <w:end w:w="90" w:type="dxa"/>
            </w:tcMar>
            <w:shd w:fill="F7FBFF" w:val="clear"/>
          </w:tcPr>
          <w:p>
            <w:pPr>
              <w:pStyle w:val="Compact"/>
              <w:jc w:val="left"/>
            </w:pPr>
            <w:r>
              <w:t xml:space="preserve">Sections 1-3</w:t>
            </w:r>
          </w:p>
        </w:tc>
      </w:tr>
      <w:tr>
        <w:trPr/>
        <w:tc>
          <w:tcPr>
            <w:tcMar>
              <w:top w:w="80" w:type="dxa"/>
              <w:start w:w="90" w:type="dxa"/>
              <w:bottom w:w="80" w:type="dxa"/>
              <w:end w:w="90" w:type="dxa"/>
            </w:tcMar>
            <w:shd w:fill="D9EAF7" w:val="clear"/>
          </w:tcPr>
          <w:p>
            <w:pPr>
              <w:pStyle w:val="Compact"/>
              <w:jc w:val="left"/>
            </w:pPr>
            <w:r>
              <w:t xml:space="preserve">Architecture, states, and end-to-end procedure</w:t>
            </w:r>
          </w:p>
        </w:tc>
        <w:tc>
          <w:tcPr>
            <w:tcMar>
              <w:top w:w="80" w:type="dxa"/>
              <w:start w:w="90" w:type="dxa"/>
              <w:bottom w:w="80" w:type="dxa"/>
              <w:end w:w="90" w:type="dxa"/>
            </w:tcMar>
            <w:shd w:fill="D9EAF7" w:val="clear"/>
          </w:tcPr>
          <w:p>
            <w:pPr>
              <w:pStyle w:val="Compact"/>
              <w:jc w:val="left"/>
            </w:pPr>
            <w:r>
              <w:t xml:space="preserve">Section 4</w:t>
            </w:r>
          </w:p>
        </w:tc>
      </w:tr>
      <w:tr>
        <w:trPr/>
        <w:tc>
          <w:tcPr>
            <w:tcMar>
              <w:top w:w="80" w:type="dxa"/>
              <w:start w:w="90" w:type="dxa"/>
              <w:bottom w:w="80" w:type="dxa"/>
              <w:end w:w="90" w:type="dxa"/>
            </w:tcMar>
            <w:shd w:fill="F7FBFF" w:val="clear"/>
          </w:tcPr>
          <w:p>
            <w:pPr>
              <w:pStyle w:val="Compact"/>
              <w:jc w:val="left"/>
            </w:pPr>
            <w:r>
              <w:t xml:space="preserve">Welfare construction and propagation</w:t>
            </w:r>
          </w:p>
        </w:tc>
        <w:tc>
          <w:tcPr>
            <w:tcMar>
              <w:top w:w="80" w:type="dxa"/>
              <w:start w:w="90" w:type="dxa"/>
              <w:bottom w:w="80" w:type="dxa"/>
              <w:end w:w="90" w:type="dxa"/>
            </w:tcMar>
            <w:shd w:fill="F7FBFF" w:val="clear"/>
          </w:tcPr>
          <w:p>
            <w:pPr>
              <w:pStyle w:val="Compact"/>
              <w:jc w:val="left"/>
            </w:pPr>
            <w:r>
              <w:t xml:space="preserve">Sections 5-6</w:t>
            </w:r>
          </w:p>
        </w:tc>
      </w:tr>
      <w:tr>
        <w:trPr/>
        <w:tc>
          <w:tcPr>
            <w:tcMar>
              <w:top w:w="80" w:type="dxa"/>
              <w:start w:w="90" w:type="dxa"/>
              <w:bottom w:w="80" w:type="dxa"/>
              <w:end w:w="90" w:type="dxa"/>
            </w:tcMar>
            <w:shd w:fill="D9EAF7" w:val="clear"/>
          </w:tcPr>
          <w:p>
            <w:pPr>
              <w:pStyle w:val="Compact"/>
              <w:jc w:val="left"/>
            </w:pPr>
            <w:r>
              <w:t xml:space="preserve">Rights, catastrophic risk, and viability gates</w:t>
            </w:r>
          </w:p>
        </w:tc>
        <w:tc>
          <w:tcPr>
            <w:tcMar>
              <w:top w:w="80" w:type="dxa"/>
              <w:start w:w="90" w:type="dxa"/>
              <w:bottom w:w="80" w:type="dxa"/>
              <w:end w:w="90" w:type="dxa"/>
            </w:tcMar>
            <w:shd w:fill="D9EAF7" w:val="clear"/>
          </w:tcPr>
          <w:p>
            <w:pPr>
              <w:pStyle w:val="Compact"/>
              <w:jc w:val="left"/>
            </w:pPr>
            <w:r>
              <w:t xml:space="preserve">Sections 7-9</w:t>
            </w:r>
          </w:p>
        </w:tc>
      </w:tr>
      <w:tr>
        <w:trPr/>
        <w:tc>
          <w:tcPr>
            <w:tcMar>
              <w:top w:w="80" w:type="dxa"/>
              <w:start w:w="90" w:type="dxa"/>
              <w:bottom w:w="80" w:type="dxa"/>
              <w:end w:w="90" w:type="dxa"/>
            </w:tcMar>
            <w:shd w:fill="F7FBFF" w:val="clear"/>
          </w:tcPr>
          <w:p>
            <w:pPr>
              <w:pStyle w:val="Compact"/>
              <w:jc w:val="left"/>
            </w:pPr>
            <w:r>
              <w:t xml:space="preserve">Residual ranking and non-decisive handling</w:t>
            </w:r>
          </w:p>
        </w:tc>
        <w:tc>
          <w:tcPr>
            <w:tcMar>
              <w:top w:w="80" w:type="dxa"/>
              <w:start w:w="90" w:type="dxa"/>
              <w:bottom w:w="80" w:type="dxa"/>
              <w:end w:w="90" w:type="dxa"/>
            </w:tcMar>
            <w:shd w:fill="F7FBFF" w:val="clear"/>
          </w:tcPr>
          <w:p>
            <w:pPr>
              <w:pStyle w:val="Compact"/>
              <w:jc w:val="left"/>
            </w:pPr>
            <w:r>
              <w:t xml:space="preserve">Sections 10-11</w:t>
            </w:r>
          </w:p>
        </w:tc>
      </w:tr>
      <w:tr>
        <w:trPr/>
        <w:tc>
          <w:tcPr>
            <w:tcMar>
              <w:top w:w="80" w:type="dxa"/>
              <w:start w:w="90" w:type="dxa"/>
              <w:bottom w:w="80" w:type="dxa"/>
              <w:end w:w="90" w:type="dxa"/>
            </w:tcMar>
            <w:shd w:fill="D9EAF7" w:val="clear"/>
          </w:tcPr>
          <w:p>
            <w:pPr>
              <w:pStyle w:val="Compact"/>
              <w:jc w:val="left"/>
            </w:pPr>
            <w:r>
              <w:t xml:space="preserve">Records, audit, governance, validation, and limitations</w:t>
            </w:r>
          </w:p>
        </w:tc>
        <w:tc>
          <w:tcPr>
            <w:tcMar>
              <w:top w:w="80" w:type="dxa"/>
              <w:start w:w="90" w:type="dxa"/>
              <w:bottom w:w="80" w:type="dxa"/>
              <w:end w:w="90" w:type="dxa"/>
            </w:tcMar>
            <w:shd w:fill="D9EAF7" w:val="clear"/>
          </w:tcPr>
          <w:p>
            <w:pPr>
              <w:pStyle w:val="Compact"/>
              <w:jc w:val="left"/>
            </w:pPr>
            <w:r>
              <w:t xml:space="preserve">Sections 12-17</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Detailed formulas, interfaces, examples, migration, and conformance material</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Appendices A-AR</w:t>
            </w:r>
          </w:p>
        </w:tc>
      </w:tr>
    </w:tbl>
    <w:bookmarkEnd w:id="28"/>
    <w:bookmarkEnd w:id="29"/>
    <w:bookmarkStart w:id="30" w:name="X6aae7355d4fbd20cd12f7ef2a5d0305f8f3a136"/>
    <w:p>
      <w:pPr>
        <w:pStyle w:val="Heading2"/>
        <w:keepNext/>
        <w:keepLines/>
        <w:pageBreakBefore w:val="0"/>
        <w:widowControl/>
      </w:pPr>
      <w:r>
        <w:rPr>
          <w:rFonts w:ascii="Arial" w:hAnsi="Arial" w:eastAsia="Arial"/>
          <w:b/>
          <w:color w:val="1F4E78"/>
        </w:rPr>
        <w:t xml:space="preserve">Compact implementation and reproducibility contract</w:t>
      </w:r>
    </w:p>
    <w:p>
      <w:pPr>
        <w:pStyle w:val="FirstParagraph"/>
        <w:widowControl/>
      </w:pPr>
      <w:r>
        <w:t xml:space="preserve">The full Canon remains the governing source, but a conforming run MUST be traceable to the compact operating kernel in</w:t>
      </w:r>
      <w:r>
        <w:t xml:space="preserve"> </w:t>
      </w:r>
      <w:r>
        <w:rPr>
          <w:rStyle w:val="VerbatimChar"/>
        </w:rPr>
        <w:t xml:space="preserve">docs/implementation/MATHGOV_REPRODUCIBILITY_AND_USE_STANDARD_v1.3.md</w:t>
      </w:r>
      <w:r>
        <w:t xml:space="preserve">: identify the run and authority boundary; lock decision-material evidence and parameters; complete RG, RF/NCRC, TRC, and CSV in order; form the selectable set; apply RLS only to survivors; distinguish decisive selection, authority selection, refusal, redesign, delay, and emergency-provisional action; separate selection from execution authority; record controls and monitoring; and reopen affected stages after material change.</w:t>
      </w:r>
    </w:p>
    <w:p>
      <w:pPr>
        <w:pStyle w:val="BodyText"/>
        <w:widowControl/>
      </w:pPr>
      <w:r>
        <w:t xml:space="preserve">The companion</w:t>
      </w:r>
      <w:r>
        <w:t xml:space="preserve"> </w:t>
      </w:r>
      <w:r>
        <w:rPr>
          <w:rStyle w:val="VerbatimChar"/>
        </w:rPr>
        <w:t xml:space="preserve">docs/implementation/NORMATIVE_KERNEL_INDEX_v1.0.yaml</w:t>
      </w:r>
      <w:r>
        <w:t xml:space="preserve"> </w:t>
      </w:r>
      <w:r>
        <w:t xml:space="preserve">maps each compact rule to the controlling Canon source.</w:t>
      </w:r>
      <w:r>
        <w:t xml:space="preserve"> </w:t>
      </w:r>
      <w:r>
        <w:rPr>
          <w:rStyle w:val="VerbatimChar"/>
        </w:rPr>
        <w:t xml:space="preserve">schemas/mathgov_run_record_v3.schema.json</w:t>
      </w:r>
      <w:r>
        <w:t xml:space="preserve"> </w:t>
      </w:r>
      <w:r>
        <w:t xml:space="preserve">and</w:t>
      </w:r>
      <w:r>
        <w:t xml:space="preserve"> </w:t>
      </w:r>
      <w:r>
        <w:rPr>
          <w:rStyle w:val="VerbatimChar"/>
        </w:rPr>
        <w:t xml:space="preserve">release/VALIDATE_MATHGOV_RUN.py</w:t>
      </w:r>
      <w:r>
        <w:t xml:space="preserve"> </w:t>
      </w:r>
      <w:r>
        <w:t xml:space="preserve">mechanically check record completeness and cascade contradictions. Passing those checks establishes only record/cascade conformance for the supplied inputs. It does not verify evidence truth, measurement validity, legal authority, physical safety, deployment readiness, or moral truth.</w:t>
      </w:r>
    </w:p>
    <w:p>
      <w:pPr>
        <w:pStyle w:val="Heading1"/>
        <w:keepNext/>
        <w:keepLines/>
        <w:pageBreakBefore w:val="0"/>
        <w:widowControl/>
      </w:pPr>
      <w:r>
        <w:rPr>
          <w:rFonts w:ascii="Arial" w:hAnsi="Arial" w:eastAsia="Arial"/>
          <w:b/>
          <w:color w:val="1F4E78"/>
        </w:rPr>
        <w:t xml:space="preserve">APPENDIX AR: VERSION HISTORY AND MIGRATION NOTES (v12.5) - INFORMATIVE</w:t>
      </w:r>
    </w:p>
    <w:p>
      <w:pPr>
        <w:pStyle w:val="FirstParagraph"/>
        <w:widowControl/>
      </w:pPr>
      <w:r>
        <w:t xml:space="preserve">This appendix preserves detailed release notes for provenance, audit, and migration. It does not override the current controlling rules. Package-level history is also maintained in</w:t>
      </w:r>
      <w:r>
        <w:t xml:space="preserve"> </w:t>
      </w:r>
      <w:r>
        <w:rPr>
          <w:rStyle w:val="VerbatimChar"/>
        </w:rPr>
        <w:t xml:space="preserve">CHANGELOG.md</w:t>
      </w:r>
      <w:r>
        <w:t xml:space="preserve"> </w:t>
      </w:r>
      <w:r>
        <w:t xml:space="preserve">and</w:t>
      </w:r>
      <w:r>
        <w:t xml:space="preserve"> </w:t>
      </w:r>
      <w:r>
        <w:rPr>
          <w:rStyle w:val="VerbatimChar"/>
        </w:rPr>
        <w:t xml:space="preserve">LINEAGE.md</w:t>
      </w:r>
      <w:r>
        <w:t xml:space="preserve">.</w:t>
      </w:r>
    </w:p>
    <w:bookmarkStart w:id="741" w:name="Xc64a08ca2d07e2d57a611c7bcbaa6bbdd35bbc2"/>
    <w:p>
      <w:pPr>
        <w:pStyle w:val="Heading2"/>
        <w:keepNext/>
        <w:keepLines/>
        <w:pageBreakBefore w:val="0"/>
        <w:widowControl/>
      </w:pPr>
      <w:r>
        <w:rPr>
          <w:rFonts w:ascii="Arial" w:hAnsi="Arial" w:eastAsia="Arial"/>
          <w:b/>
          <w:color w:val="1F4E78"/>
        </w:rPr>
        <w:t xml:space="preserve">AR.0 Release Package, Source Hierarchy, and Publication State</w:t>
      </w:r>
    </w:p>
    <w:p>
      <w:pPr>
        <w:pStyle w:val="FirstParagraph"/>
        <w:widowControl/>
      </w:pPr>
      <w:r>
        <w:t>Package line: MathGov Core Release 2026.09 v12.5 / SGP v8.4 - Configuration-Bound Assurance Public Research Source Release</w:t>
      </w:r>
    </w:p>
    <w:p>
      <w:pPr>
        <w:pStyle w:val="Heading3"/>
        <w:keepNext/>
        <w:keepLines/>
        <w:pageBreakBefore w:val="0"/>
        <w:widowControl/>
      </w:pPr>
      <w:r>
        <w:rPr>
          <w:rFonts w:ascii="Arial" w:hAnsi="Arial" w:eastAsia="Arial"/>
          <w:b/>
          <w:color w:val="1F4E78"/>
        </w:rPr>
        <w:t>Release-cycle date convention.</w:t>
      </w:r>
    </w:p>
    <w:p>
      <w:pPr>
        <w:widowControl/>
      </w:pPr>
      <w:r>
        <w:t>The 2026.09 label is a planned release-cycle identifier, not the month in which every source file was authored. Same-version patches made after the Canon date MUST be recorded in the release ledger, trigger dependency-localized requalification, and regenerate all manifests and hashes before publication.</w:t>
      </w:r>
    </w:p>
    <w:p>
      <w:pPr>
        <w:pStyle w:val="BodyText"/>
        <w:widowControl/>
      </w:pPr>
      <w:r>
        <w:t xml:space="preserve">Package-note: v12.5 preserves the five-stage cascade, seven Union Scopes, seven Welfare Dimensions, rights floors, and SGP protection invariants. It adds configuration-bound assurance, capability-state separation, current-state/transition/post-state assessment, qualification continuity, frozen evaluation binding, structural-control preference, future safe option-space analysis, and the Open Assurance Dependency Rule. It pins SGP v8.4, WDBIP v1.5, ripple.md v5.4, Agent System v12.3, Reproducibility Standard v1.3, Cascade v2.5, CSV v2.3, RLS Validation v2.5, Primer v4.3, Public Introduction v12.5, PC-AEP/MFDI/Source-Coupling v2.2, and Aligners Sheet v5.5. No sixth gate, eighth welfare dimension, authority grant, empirical-validity claim, legal authorization, physical-safety certification, consciousness detector, ProofPack claim, or Tier-4 claim is created.</w:t>
      </w:r>
    </w:p>
    <w:p>
      <w:pPr>
        <w:pStyle w:val="BodyText"/>
        <w:widowControl/>
      </w:pPr>
      <w:r>
        <w:rPr>
          <w:b/>
          <w:bCs/>
        </w:rPr>
        <w:t xml:space="preserve">Specification-contract front-door note. Current release interpretation follows the Source Hierarchy and Section 0 Specification Contract: MathGov is the umbrella ethical governance framework; RippleLogic is the decision architecture and operating methodology inside MathGov; the Markdown Canon source is the governing semantic source if derived DOCX/PDF renderings diverge. The full precedence and conflict-resolution contract appears in Appendix AC / Section 0.</w:t>
      </w:r>
    </w:p>
    <w:p>
      <w:pPr>
        <w:pStyle w:val="BodyText"/>
        <w:widowControl/>
      </w:pPr>
      <w:r>
        <w:rPr>
          <w:b/>
          <w:bCs/>
        </w:rPr>
        <w:t xml:space="preserve">Publication-state boundary.</w:t>
      </w:r>
      <w:r>
        <w:t xml:space="preserve"> </w:t>
      </w:r>
      <w:r>
        <w:t xml:space="preserve">A source package may be internally release-ready before repository tags, public websites, or mirrors are synchronized. Public statements that this is the currently published canonical release MUST be checked against the accessible release tag, manifest, and SHA-256 set. Site publication is an external release action, not evidence created by this document.</w:t>
      </w:r>
    </w:p>
    <w:bookmarkStart w:id="740" w:name="current-release-at-a-glance"/>
    <w:p>
      <w:pPr>
        <w:pStyle w:val="Heading3"/>
        <w:keepNext/>
        <w:keepLines/>
        <w:pageBreakBefore w:val="0"/>
        <w:widowControl/>
      </w:pPr>
      <w:r>
        <w:rPr>
          <w:rFonts w:ascii="Arial" w:hAnsi="Arial" w:eastAsia="Arial"/>
          <w:b/>
          <w:color w:val="1F4E78"/>
        </w:rPr>
        <w:t xml:space="preserve">Current release at a glance</w:t>
      </w:r>
    </w:p>
    <w:tbl>
      <w:tblPr>
        <w:tblStyle w:val="Table"/>
        <w:tblW w:type="pct" w:w="5000"/>
        <w:jc w:val="left"/>
        <w:tblLook w:firstRow="1" w:lastRow="0" w:firstColumn="0" w:lastColumn="0" w:noHBand="0" w:noVBand="0" w:val="0020"/>
        <w:tblInd w:type="dxa" w:w="0"/>
      </w:tblPr>
      <w:tblGrid>
        <w:gridCol w:w="3960"/>
        <w:gridCol w:w="3960"/>
      </w:tblGrid>
      <w:tr>
        <w:trPr>
          <w:tblHeader w:val="on"/>
        </w:trPr>
        <w:tc>
          <w:tcPr>
            <w:shd w:fill="1F4E78" w:val="clear"/>
            <w:tcMar>
              <w:top w:w="80" w:type="dxa"/>
              <w:start w:w="90" w:type="dxa"/>
              <w:bottom w:w="80" w:type="dxa"/>
              <w:end w:w="90" w:type="dxa"/>
            </w:tcMar>
          </w:tcPr>
          <w:p>
            <w:pPr>
              <w:pStyle w:val="Compact"/>
              <w:jc w:val="left"/>
            </w:pPr>
            <w:r>
              <w:rPr>
                <w:b/>
                <w:bCs/>
                <w:color w:val="FFFFFF"/>
              </w:rPr>
              <w:t xml:space="preserve">Item</w:t>
            </w:r>
          </w:p>
        </w:tc>
        <w:tc>
          <w:tcPr>
            <w:shd w:fill="1F4E78" w:val="clear"/>
            <w:tcMar>
              <w:top w:w="80" w:type="dxa"/>
              <w:start w:w="90" w:type="dxa"/>
              <w:bottom w:w="80" w:type="dxa"/>
              <w:end w:w="90" w:type="dxa"/>
            </w:tcMar>
          </w:tcPr>
          <w:p>
            <w:pPr>
              <w:pStyle w:val="Compact"/>
              <w:jc w:val="left"/>
            </w:pPr>
            <w:r>
              <w:rPr>
                <w:b/>
                <w:bCs/>
                <w:color w:val="FFFFFF"/>
              </w:rPr>
              <w:t xml:space="preserve">Current release position</w:t>
            </w:r>
          </w:p>
        </w:tc>
      </w:tr>
      <w:tr>
        <w:trPr/>
        <w:tc>
          <w:tcPr>
            <w:tcMar>
              <w:top w:w="80" w:type="dxa"/>
              <w:start w:w="90" w:type="dxa"/>
              <w:bottom w:w="80" w:type="dxa"/>
              <w:end w:w="90" w:type="dxa"/>
            </w:tcMar>
            <w:shd w:fill="F7FBFF" w:val="clear"/>
          </w:tcPr>
          <w:p>
            <w:pPr>
              <w:pStyle w:val="Compact"/>
              <w:jc w:val="left"/>
            </w:pPr>
            <w:r>
              <w:t xml:space="preserve">Governing version</w:t>
            </w:r>
          </w:p>
        </w:tc>
        <w:tc>
          <w:tcPr>
            <w:tcMar>
              <w:top w:w="80" w:type="dxa"/>
              <w:start w:w="90" w:type="dxa"/>
              <w:bottom w:w="80" w:type="dxa"/>
              <w:end w:w="90" w:type="dxa"/>
            </w:tcMar>
            <w:shd w:fill="F7FBFF" w:val="clear"/>
          </w:tcPr>
          <w:p>
            <w:pPr>
              <w:pStyle w:val="Compact"/>
              <w:jc w:val="left"/>
            </w:pPr>
            <w:r>
              <w:t xml:space="preserve">RippleLogic Canon v12.5 within MathGov Core Release 2026.09 / SGP v8.4</w:t>
            </w:r>
          </w:p>
        </w:tc>
      </w:tr>
      <w:tr>
        <w:trPr/>
        <w:tc>
          <w:tcPr>
            <w:tcMar>
              <w:top w:w="80" w:type="dxa"/>
              <w:start w:w="90" w:type="dxa"/>
              <w:bottom w:w="80" w:type="dxa"/>
              <w:end w:w="90" w:type="dxa"/>
            </w:tcMar>
            <w:shd w:fill="D9EAF7" w:val="clear"/>
          </w:tcPr>
          <w:p>
            <w:pPr>
              <w:pStyle w:val="Compact"/>
              <w:jc w:val="left"/>
            </w:pPr>
            <w:r>
              <w:t xml:space="preserve">Governing architecture</w:t>
            </w:r>
          </w:p>
        </w:tc>
        <w:tc>
          <w:tcPr>
            <w:tcMar>
              <w:top w:w="80" w:type="dxa"/>
              <w:start w:w="90" w:type="dxa"/>
              <w:bottom w:w="80" w:type="dxa"/>
              <w:end w:w="90" w:type="dxa"/>
            </w:tcMar>
            <w:shd w:fill="D9EAF7" w:val="clear"/>
          </w:tcPr>
          <w:p>
            <w:pPr>
              <w:pStyle w:val="Compact"/>
              <w:jc w:val="left"/>
            </w:pPr>
            <w:r>
              <w:rPr>
                <w:rStyle w:val="VerbatimChar"/>
              </w:rPr>
              <w:t xml:space="preserve">RG -&gt; RF/NCRC -&gt; TRC -&gt; CSV -&gt; RLS</w:t>
            </w:r>
          </w:p>
        </w:tc>
      </w:tr>
      <w:tr>
        <w:trPr/>
        <w:tc>
          <w:tcPr>
            <w:tcMar>
              <w:top w:w="80" w:type="dxa"/>
              <w:start w:w="90" w:type="dxa"/>
              <w:bottom w:w="80" w:type="dxa"/>
              <w:end w:w="90" w:type="dxa"/>
            </w:tcMar>
            <w:shd w:fill="F7FBFF" w:val="clear"/>
          </w:tcPr>
          <w:p>
            <w:pPr>
              <w:pStyle w:val="Compact"/>
              <w:jc w:val="left"/>
            </w:pPr>
            <w:r>
              <w:t xml:space="preserve">Material v12.5 additions</w:t>
            </w:r>
          </w:p>
        </w:tc>
        <w:tc>
          <w:tcPr>
            <w:tcMar>
              <w:top w:w="80" w:type="dxa"/>
              <w:start w:w="90" w:type="dxa"/>
              <w:bottom w:w="80" w:type="dxa"/>
              <w:end w:w="90" w:type="dxa"/>
            </w:tcMar>
            <w:shd w:fill="F7FBFF" w:val="clear"/>
          </w:tcPr>
          <w:p>
            <w:pPr>
              <w:pStyle w:val="Compact"/>
              <w:jc w:val="left"/>
            </w:pPr>
            <w:r>
              <w:t xml:space="preserve">Configuration-bound assurance; capability-state separation; current-state/transition/post-state assessment; qualification continuity; frozen evaluation binding; future safe option-space analysis; open-assurance dependency control</w:t>
            </w:r>
          </w:p>
        </w:tc>
      </w:tr>
      <w:tr>
        <w:trPr/>
        <w:tc>
          <w:tcPr>
            <w:tcMar>
              <w:top w:w="80" w:type="dxa"/>
              <w:start w:w="90" w:type="dxa"/>
              <w:bottom w:w="80" w:type="dxa"/>
              <w:end w:w="90" w:type="dxa"/>
            </w:tcMar>
            <w:shd w:fill="D9EAF7" w:val="clear"/>
          </w:tcPr>
          <w:p>
            <w:pPr>
              <w:pStyle w:val="Compact"/>
              <w:jc w:val="left"/>
            </w:pPr>
            <w:r>
              <w:t xml:space="preserve">Preserved invariants</w:t>
            </w:r>
          </w:p>
        </w:tc>
        <w:tc>
          <w:tcPr>
            <w:tcMar>
              <w:top w:w="80" w:type="dxa"/>
              <w:start w:w="90" w:type="dxa"/>
              <w:bottom w:w="80" w:type="dxa"/>
              <w:end w:w="90" w:type="dxa"/>
            </w:tcMar>
            <w:shd w:fill="D9EAF7" w:val="clear"/>
          </w:tcPr>
          <w:p>
            <w:pPr>
              <w:pStyle w:val="Compact"/>
              <w:jc w:val="left"/>
            </w:pPr>
            <w:r>
              <w:t xml:space="preserve">Five stages, seven Union Scopes, seven Welfare Dimensions, non-compensatory rights, catastrophe non-dilution, SGP protection/authority separation, refusal under underdetermination</w:t>
            </w:r>
          </w:p>
        </w:tc>
      </w:tr>
      <w:tr>
        <w:trPr/>
        <w:tc>
          <w:tcPr>
            <w:tcMar>
              <w:top w:w="80" w:type="dxa"/>
              <w:start w:w="90" w:type="dxa"/>
              <w:bottom w:w="80" w:type="dxa"/>
              <w:end w:w="90" w:type="dxa"/>
            </w:tcMar>
            <w:shd w:fill="F7FBFF" w:val="clear"/>
          </w:tcPr>
          <w:p>
            <w:pPr>
              <w:pStyle w:val="Compact"/>
              <w:jc w:val="left"/>
            </w:pPr>
            <w:r>
              <w:t xml:space="preserve">Claim boundary</w:t>
            </w:r>
          </w:p>
        </w:tc>
        <w:tc>
          <w:tcPr>
            <w:tcMar>
              <w:top w:w="80" w:type="dxa"/>
              <w:start w:w="90" w:type="dxa"/>
              <w:bottom w:w="80" w:type="dxa"/>
              <w:end w:w="90" w:type="dxa"/>
            </w:tcMar>
            <w:shd w:fill="F7FBFF" w:val="clear"/>
          </w:tcPr>
          <w:p>
            <w:pPr>
              <w:pStyle w:val="Compact"/>
              <w:jc w:val="left"/>
            </w:pPr>
            <w:r>
              <w:t xml:space="preserve">Public research-source specification for Tier 1-3 use; not empirical validation, legal authority, physical-safety certification, consciousness detection, ProofPack completion, Tier 4, or autonomous high-stakes deployment approval</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Full version history</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Appendix AR,</w:t>
            </w:r>
            <w:r>
              <w:t xml:space="preserve"> </w:t>
            </w:r>
            <w:r>
              <w:rPr>
                <w:rStyle w:val="VerbatimChar"/>
              </w:rPr>
              <w:t xml:space="preserve">CHANGELOG.md</w:t>
            </w:r>
            <w:r>
              <w:t xml:space="preserve">, and</w:t>
            </w:r>
            <w:r>
              <w:t xml:space="preserve"> </w:t>
            </w:r>
            <w:r>
              <w:rPr>
                <w:rStyle w:val="VerbatimChar"/>
              </w:rPr>
              <w:t xml:space="preserve">LINEAGE.md</w:t>
            </w:r>
          </w:p>
        </w:tc>
      </w:tr>
    </w:tbl>
    <w:bookmarkEnd w:id="740"/>
    <w:bookmarkEnd w:id="741"/>
    <w:bookmarkStart w:id="742" w:name="X3365f1acd4e55fb0480a40793f9fa32a6b494e0"/>
    <w:p>
      <w:pPr>
        <w:pStyle w:val="Heading2"/>
        <w:keepNext/>
        <w:keepLines/>
        <w:pageBreakBefore w:val="0"/>
        <w:widowControl/>
      </w:pPr>
      <w:r>
        <w:rPr>
          <w:rFonts w:ascii="Arial" w:hAnsi="Arial" w:eastAsia="Arial"/>
          <w:b/>
          <w:color w:val="1F4E78"/>
        </w:rPr>
        <w:t>AR.0A v12.2-v12.3.1 Consolidated lineage bridge</w:t>
      </w:r>
    </w:p>
    <w:p>
      <w:pPr>
        <w:widowControl/>
      </w:pPr>
      <w:r>
        <w:t>The v12.2 line consolidated source integrity, SGP v8 integration, operational assurance, formula interfaces, and workbook integrity. The v12.3 and v12.3.1 lines synchronized executable-state, consequence-tempo, responsibility-continuity, WDBIP, release-manifest, and workbook surfaces. Their detailed reports remain in archive/release_history and archive/release_v12_3_1_legacy. These lineage entries do not govern current v12.5 interpretation.</w:t>
      </w:r>
    </w:p>
    <w:p>
      <w:pPr>
        <w:pStyle w:val="Heading2"/>
        <w:keepNext/>
        <w:keepLines/>
        <w:pageBreakBefore w:val="0"/>
        <w:widowControl/>
      </w:pPr>
      <w:r>
        <w:rPr>
          <w:rFonts w:ascii="Arial" w:hAnsi="Arial" w:eastAsia="Arial"/>
          <w:b/>
          <w:color w:val="1F4E78"/>
        </w:rPr>
        <w:t xml:space="preserve">AR.1 v12.4 Calculability, Type-Integrity, and Synchronization Release</w:t>
      </w:r>
    </w:p>
    <w:p>
      <w:pPr>
        <w:pStyle w:val="FirstParagraph"/>
        <w:widowControl/>
      </w:pPr>
      <w:r>
        <w:t xml:space="preserve">v12.4 is a coordinated minor release because it changes a load-bearing rights-risk predicate, corrects a reference uncertainty derivation, completes the SGP RMCP misuse-record interface, and synchronizes every active core surface. The governing architecture remains</w:t>
      </w:r>
      <w:r>
        <w:t xml:space="preserve"> </w:t>
      </w:r>
      <w:r>
        <w:rPr>
          <w:rStyle w:val="VerbatimChar"/>
        </w:rPr>
        <w:t xml:space="preserve">RG -&gt; RF/NCRC -&gt; TRC -&gt; CSV -&gt; RLS</w:t>
      </w:r>
      <w:r>
        <w:t xml:space="preserve">. The severe-rights-hazard channel now uses one activation predicate in both review and computation; a hazard cannot activate under Section 7.4.3 and then disappear from</w:t>
      </w:r>
      <w:r>
        <w:t xml:space="preserve"> </w:t>
      </w:r>
      <w:r>
        <w:rPr>
          <w:rStyle w:val="VerbatimChar"/>
        </w:rPr>
        <w:t xml:space="preserve">v_r^risk</w:t>
      </w:r>
      <w:r>
        <w:t xml:space="preserve">. Method B reference-vector reconstruction now divides by the declared confidence factor when recovering pre-confidence contribution mass. Registered impact-stream notation uses</w:t>
      </w:r>
      <w:r>
        <w:t xml:space="preserve"> </w:t>
      </w:r>
      <w:r>
        <w:rPr>
          <w:rStyle w:val="VerbatimChar"/>
        </w:rPr>
        <w:t xml:space="preserve">h_{k,base}</w:t>
      </w:r>
      <w:r>
        <w:t xml:space="preserve"> </w:t>
      </w:r>
      <w:r>
        <w:t xml:space="preserve">and</w:t>
      </w:r>
      <w:r>
        <w:t xml:space="preserve"> </w:t>
      </w:r>
      <w:r>
        <w:rPr>
          <w:rStyle w:val="VerbatimChar"/>
        </w:rPr>
        <w:t xml:space="preserve">h_{k,welfare}</w:t>
      </w:r>
      <w:r>
        <w:t xml:space="preserve">; legacy</w:t>
      </w:r>
      <w:r>
        <w:t xml:space="preserve"> </w:t>
      </w:r>
      <w:r>
        <w:rPr>
          <w:rStyle w:val="VerbatimChar"/>
        </w:rPr>
        <w:t xml:space="preserve">s_k</w:t>
      </w:r>
      <w:r>
        <w:t xml:space="preserve"> </w:t>
      </w:r>
      <w:r>
        <w:t xml:space="preserve">and</w:t>
      </w:r>
      <w:r>
        <w:t xml:space="preserve"> </w:t>
      </w:r>
      <w:r>
        <w:rPr>
          <w:rStyle w:val="VerbatimChar"/>
        </w:rPr>
        <w:t xml:space="preserve">m_k</w:t>
      </w:r>
      <w:r>
        <w:t xml:space="preserve"> </w:t>
      </w:r>
      <w:r>
        <w:t xml:space="preserve">aliases are historical only.</w:t>
      </w:r>
    </w:p>
    <w:p>
      <w:pPr>
        <w:pStyle w:val="BodyText"/>
        <w:widowControl/>
      </w:pPr>
      <w:r>
        <w:t xml:space="preserve">The release also adds a current-rules-only navigation appendix and machine-checkable agreement tests for severe-rights activation and SGP RMCP required fields. These are integrity improvements, not evidence that the governing thresholds or instruments are empirically calibrated.</w:t>
      </w:r>
    </w:p>
    <w:bookmarkEnd w:id="742"/>
    <w:bookmarkStart w:id="743" w:name="X9876703666462ed2a3c77558090795f384765fe"/>
    <w:p>
      <w:pPr>
        <w:pStyle w:val="Heading2"/>
        <w:keepNext/>
        <w:keepLines/>
        <w:pageBreakBefore w:val="0"/>
        <w:widowControl/>
      </w:pPr>
      <w:r>
        <w:rPr>
          <w:rFonts w:ascii="Arial" w:hAnsi="Arial" w:eastAsia="Arial"/>
          <w:b/>
          <w:color w:val="1F4E78"/>
        </w:rPr>
        <w:t xml:space="preserve">AR.2 v12.3.1 Release and Workbook Integrity Patch (Lineage)</w:t>
      </w:r>
    </w:p>
    <w:p>
      <w:pPr>
        <w:pStyle w:val="FirstParagraph"/>
        <w:widowControl/>
      </w:pPr>
      <w:r>
        <w:t xml:space="preserve">v12.3.1 is a bounded synchronization and release-engineering patch. It repairs exact companion pins, current-package filenames, public release labels, workbook formula and named-range integrity, CVaR provenance, sanity-check completeness, and the 15-file review bundle. It does not change the canonical cascade, rights floors, TRC mathematics, CSV semantics, RLS equation, Union Scopes, Welfare Dimensions, or SGP protection architecture.</w:t>
      </w:r>
    </w:p>
    <w:bookmarkEnd w:id="743"/>
    <w:bookmarkStart w:id="744" w:name="X711cc3a7787b17878cec2dc8d9dc444a1420dfb"/>
    <w:p>
      <w:pPr>
        <w:pStyle w:val="Heading2"/>
        <w:keepNext/>
        <w:keepLines/>
        <w:pageBreakBefore w:val="0"/>
        <w:widowControl/>
      </w:pPr>
      <w:r>
        <w:rPr>
          <w:rFonts w:ascii="Arial" w:hAnsi="Arial" w:eastAsia="Arial"/>
          <w:b/>
          <w:color w:val="1F4E78"/>
        </w:rPr>
        <w:t xml:space="preserve">AR.3 v12.3 Integration and Executable-Integrity Note (Lineage)</w:t>
      </w:r>
    </w:p>
    <w:p>
      <w:pPr>
        <w:pStyle w:val="FirstParagraph"/>
        <w:widowControl/>
      </w:pPr>
      <w:r>
        <w:t xml:space="preserve">v12.3 preserves the governing cascade</w:t>
      </w:r>
      <w:r>
        <w:t xml:space="preserve"> </w:t>
      </w:r>
      <w:r>
        <w:rPr>
          <w:rStyle w:val="VerbatimChar"/>
        </w:rPr>
        <w:t xml:space="preserve">RG -&gt; RF/NCRC -&gt; TRC -&gt; CSV -&gt; RLS</w:t>
      </w:r>
      <w:r>
        <w:t xml:space="preserve">, the seven Union Scopes, the seven Welfare Dimensions, the Rights Floor, TRC, CSV, RLS equations, and all SGP protection floors. It integrates four bounded improvements: (1) WDBIP v1.3 as a Canon-subordinate welfare-measurement companion beneath RLS; (2) consequence-tempo and responsibility-continuity assurance through ripple.md v5.2, CSV v2.1, and Agent System v12.1; (3) a single versioned state registry and deterministic stage-transition algebra; and (4) typed measurement and parameter maturity disclosure. These additions do not prove empirical validity, legal authority, physical safety, or moral truth.</w:t>
      </w:r>
    </w:p>
    <w:bookmarkEnd w:id="744"/>
    <w:bookmarkStart w:id="745" w:name="X7c3e1fc09f59d91cb9a9dba7458f4ae3afa289f"/>
    <w:p>
      <w:pPr>
        <w:pStyle w:val="Heading2"/>
        <w:keepNext/>
        <w:keepLines/>
        <w:pageBreakBefore w:val="0"/>
        <w:widowControl/>
      </w:pPr>
      <w:r>
        <w:rPr>
          <w:rFonts w:ascii="Arial" w:hAnsi="Arial" w:eastAsia="Arial"/>
          <w:b/>
          <w:color w:val="1F4E78"/>
        </w:rPr>
        <w:t xml:space="preserve">AR.4 v12.2.1 Retained Patch Integrity Note (Lineage)</w:t>
      </w:r>
    </w:p>
    <w:p>
      <w:pPr>
        <w:pStyle w:val="FirstParagraph"/>
        <w:widowControl/>
      </w:pPr>
      <w:r>
        <w:t xml:space="preserve">This patch does not change the five-stage architecture. It repairs formula and interface integrity: stream notation now uses</w:t>
      </w:r>
      <w:r>
        <w:t xml:space="preserve"> </w:t>
      </w:r>
      <w:r>
        <w:rPr>
          <w:rStyle w:val="VerbatimChar"/>
        </w:rPr>
        <w:t xml:space="preserve">h_{k,x}</w:t>
      </w:r>
      <w:r>
        <w:t xml:space="preserve"> </w:t>
      </w:r>
      <w:r>
        <w:t xml:space="preserve">consistently; MPS intervals route to governed inclusion hypotheses rather than numeric endpoint multipliers; U7 Equity distinguishes</w:t>
      </w:r>
      <w:r>
        <w:t xml:space="preserve"> </w:t>
      </w:r>
      <w:r>
        <w:rPr>
          <w:rStyle w:val="VerbatimChar"/>
        </w:rPr>
        <w:t xml:space="preserve">NA</w:t>
      </w:r>
      <w:r>
        <w:t xml:space="preserve"> </w:t>
      </w:r>
      <w:r>
        <w:t xml:space="preserve">from</w:t>
      </w:r>
      <w:r>
        <w:t xml:space="preserve"> </w:t>
      </w:r>
      <w:r>
        <w:rPr>
          <w:rStyle w:val="VerbatimChar"/>
        </w:rPr>
        <w:t xml:space="preserve">UNKNOWN</w:t>
      </w:r>
      <w:r>
        <w:t xml:space="preserve">; RLS companion formulas retain normalization by</w:t>
      </w:r>
      <w:r>
        <w:t xml:space="preserve"> </w:t>
      </w:r>
      <w:r>
        <w:rPr>
          <w:rStyle w:val="VerbatimChar"/>
        </w:rPr>
        <w:t xml:space="preserve">Q</w:t>
      </w:r>
      <w:r>
        <w:t xml:space="preserve">; CSV tier obligations and status tokens are synchronized; current worked examples disclose all three NCRC channels; and workbook sanity, publishability, and PLSS-limit records are mechanically reconciled.</w:t>
      </w:r>
    </w:p>
    <w:bookmarkEnd w:id="745"/>
    <w:bookmarkEnd w:id="746"/>
    <w:bookmarkStart w:id="747" w:name="final-document-completion-statement"/>
    <w:p>
      <w:pPr>
        <w:pStyle w:val="Heading1"/>
        <w:keepNext/>
        <w:keepLines/>
        <w:pageBreakBefore w:val="0"/>
        <w:widowControl/>
      </w:pPr>
      <w:r>
        <w:rPr>
          <w:rFonts w:ascii="Arial" w:hAnsi="Arial" w:eastAsia="Arial"/>
          <w:b/>
          <w:color w:val="1F4E78"/>
        </w:rPr>
        <w:t xml:space="preserve">APPENDIX AX: NORMATIVE AND CLAIM-AUTHORITY CLARIFICATION PATCH</w:t>
      </w:r>
    </w:p>
    <w:p>
      <w:pPr>
        <w:pStyle w:val="FirstParagraph"/>
        <w:widowControl/>
      </w:pPr>
      <w:r>
        <w:t xml:space="preserve">This appendix is normative for interpretation and preserves the existing five-stage cascade, equations, state semantics, Union Scopes, Welfare Dimensions, thresholds, and companion interfaces. It adds no sixth gate and changes no existing numerical default.</w:t>
      </w:r>
    </w:p>
    <w:bookmarkStart w:id="748" w:name="ax1-operational-relational-premise"/>
    <w:p>
      <w:pPr>
        <w:pStyle w:val="Heading2"/>
        <w:keepNext/>
        <w:keepLines/>
        <w:pageBreakBefore w:val="0"/>
        <w:widowControl/>
      </w:pPr>
      <w:r>
        <w:rPr>
          <w:rFonts w:ascii="Arial" w:hAnsi="Arial" w:eastAsia="Arial"/>
          <w:b/>
          <w:color w:val="1F4E78"/>
        </w:rPr>
        <w:t xml:space="preserve">AX.1 Operational relational premise</w:t>
      </w:r>
    </w:p>
    <w:p>
      <w:pPr>
        <w:pStyle w:val="FirstParagraph"/>
        <w:widowControl/>
      </w:pPr>
      <w:r>
        <w:t xml:space="preserve">Within a declared decision domain, scope, horizon, relation family, materiality threshold, and evidence sensitivity, a RippleLogic run MUST identify materially affected beings, enabling systems, dependencies, consequence pathways, representation duties, stewardship obligations, and foreseeable risks. Nondetection is not automatically absence; uncertainty is not permission to invent relations.</w:t>
      </w:r>
    </w:p>
    <w:p>
      <w:pPr>
        <w:pStyle w:val="BodyText"/>
        <w:widowControl/>
      </w:pPr>
      <w:r>
        <w:t xml:space="preserve">This operational premise does not establish universal relationality, unrestricted causal reachability, ontological monism, one substance, one consciousness, physical infinity, or AIU-O. Relational Union and AIU-O remain optional foundational research questions and are not prerequisites for running or adopting MathGov.</w:t>
      </w:r>
    </w:p>
    <w:bookmarkEnd w:id="748"/>
    <w:bookmarkStart w:id="749" w:name="ax2-explicit-normative-bridge-register"/>
    <w:p>
      <w:pPr>
        <w:pStyle w:val="Heading2"/>
        <w:keepNext/>
        <w:keepLines/>
        <w:pageBreakBefore w:val="0"/>
        <w:widowControl/>
      </w:pPr>
      <w:r>
        <w:rPr>
          <w:rFonts w:ascii="Arial" w:hAnsi="Arial" w:eastAsia="Arial"/>
          <w:b/>
          <w:color w:val="1F4E78"/>
        </w:rPr>
        <w:t xml:space="preserve">AX.2 Explicit normative bridge register</w:t>
      </w:r>
    </w:p>
    <w:p>
      <w:pPr>
        <w:pStyle w:val="FirstParagraph"/>
        <w:widowControl/>
      </w:pPr>
      <w:r>
        <w:t xml:space="preserve">The Minimal Normative Axiom remains the compact public entry point. For constitutional interpretation, the following commitments and bridge premises state the fuller reasons for qualification-before-ranking. They justify a family of rights-constrained, ruin-aware, relationally attentive governance architectures; they do not uniquely entail MathGov's exact taxonomy, gate order, thresholds, weights, scoring formula, or institutional implementation.</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color w:val="FFFFFF"/>
              </w:rPr>
              <w:t xml:space="preserve">ID</w:t>
            </w:r>
          </w:p>
        </w:tc>
        <w:tc>
          <w:tcPr>
            <w:shd w:fill="1F4E78" w:val="clear"/>
            <w:tcMar>
              <w:top w:w="80" w:type="dxa"/>
              <w:start w:w="90" w:type="dxa"/>
              <w:bottom w:w="80" w:type="dxa"/>
              <w:end w:w="90" w:type="dxa"/>
            </w:tcMar>
          </w:tcPr>
          <w:p>
            <w:pPr>
              <w:pStyle w:val="Compact"/>
              <w:jc w:val="left"/>
            </w:pPr>
            <w:r>
              <w:rPr>
                <w:b/>
                <w:color w:val="FFFFFF"/>
              </w:rPr>
              <w:t xml:space="preserve">Commitment or bridge premise</w:t>
            </w:r>
          </w:p>
        </w:tc>
        <w:tc>
          <w:tcPr>
            <w:shd w:fill="1F4E78" w:val="clear"/>
            <w:tcMar>
              <w:top w:w="80" w:type="dxa"/>
              <w:start w:w="90" w:type="dxa"/>
              <w:bottom w:w="80" w:type="dxa"/>
              <w:end w:w="90" w:type="dxa"/>
            </w:tcMar>
          </w:tcPr>
          <w:p>
            <w:pPr>
              <w:pStyle w:val="Compact"/>
              <w:jc w:val="left"/>
            </w:pPr>
            <w:r>
              <w:rPr>
                <w:b/>
                <w:color w:val="FFFFFF"/>
              </w:rPr>
              <w:t xml:space="preserve">MathGov consequence</w:t>
            </w:r>
          </w:p>
        </w:tc>
      </w:tr>
      <w:tr>
        <w:trPr/>
        <w:tc>
          <w:tcPr>
            <w:tcMar>
              <w:top w:w="80" w:type="dxa"/>
              <w:start w:w="90" w:type="dxa"/>
              <w:bottom w:w="80" w:type="dxa"/>
              <w:end w:w="90" w:type="dxa"/>
            </w:tcMar>
            <w:shd w:fill="F7FBFF" w:val="clear"/>
          </w:tcPr>
          <w:p>
            <w:pPr>
              <w:pStyle w:val="Compact"/>
              <w:jc w:val="left"/>
            </w:pPr>
            <w:r>
              <w:t xml:space="preserve">N1</w:t>
            </w:r>
          </w:p>
        </w:tc>
        <w:tc>
          <w:tcPr>
            <w:tcMar>
              <w:top w:w="80" w:type="dxa"/>
              <w:start w:w="90" w:type="dxa"/>
              <w:bottom w:w="80" w:type="dxa"/>
              <w:end w:w="90" w:type="dxa"/>
            </w:tcMar>
            <w:shd w:fill="F7FBFF" w:val="clear"/>
          </w:tcPr>
          <w:p>
            <w:pPr>
              <w:pStyle w:val="Compact"/>
              <w:jc w:val="left"/>
            </w:pPr>
            <w:r>
              <w:t xml:space="preserve">Moral relevance: the welfare, rights, freedom, continuity, agency, and enabling conditions of materially affected beings are morally relevant.</w:t>
            </w:r>
          </w:p>
        </w:tc>
        <w:tc>
          <w:tcPr>
            <w:tcMar>
              <w:top w:w="80" w:type="dxa"/>
              <w:start w:w="90" w:type="dxa"/>
              <w:bottom w:w="80" w:type="dxa"/>
              <w:end w:w="90" w:type="dxa"/>
            </w:tcMar>
            <w:shd w:fill="F7FBFF" w:val="clear"/>
          </w:tcPr>
          <w:p>
            <w:pPr>
              <w:pStyle w:val="Compact"/>
              <w:jc w:val="left"/>
            </w:pPr>
            <w:r>
              <w:t xml:space="preserve">Map affected beings and enabling conditions.</w:t>
            </w:r>
          </w:p>
        </w:tc>
      </w:tr>
      <w:tr>
        <w:trPr/>
        <w:tc>
          <w:tcPr>
            <w:tcMar>
              <w:top w:w="80" w:type="dxa"/>
              <w:start w:w="90" w:type="dxa"/>
              <w:bottom w:w="80" w:type="dxa"/>
              <w:end w:w="90" w:type="dxa"/>
            </w:tcMar>
            <w:shd w:fill="D9EAF7" w:val="clear"/>
          </w:tcPr>
          <w:p>
            <w:pPr>
              <w:pStyle w:val="Compact"/>
              <w:jc w:val="left"/>
            </w:pPr>
            <w:r>
              <w:t xml:space="preserve">N2</w:t>
            </w:r>
          </w:p>
        </w:tc>
        <w:tc>
          <w:tcPr>
            <w:tcMar>
              <w:top w:w="80" w:type="dxa"/>
              <w:start w:w="90" w:type="dxa"/>
              <w:bottom w:w="80" w:type="dxa"/>
              <w:end w:w="90" w:type="dxa"/>
            </w:tcMar>
            <w:shd w:fill="D9EAF7" w:val="clear"/>
          </w:tcPr>
          <w:p>
            <w:pPr>
              <w:pStyle w:val="Compact"/>
              <w:jc w:val="left"/>
            </w:pPr>
            <w:r>
              <w:t xml:space="preserve">Non-compensability: some violations of life, bodily integrity, liberty, dignity, fair process, information rights, and essential ecological conditions cannot be rescued merely by aggregate benefit.</w:t>
            </w:r>
          </w:p>
        </w:tc>
        <w:tc>
          <w:tcPr>
            <w:tcMar>
              <w:top w:w="80" w:type="dxa"/>
              <w:start w:w="90" w:type="dxa"/>
              <w:bottom w:w="80" w:type="dxa"/>
              <w:end w:w="90" w:type="dxa"/>
            </w:tcMar>
            <w:shd w:fill="D9EAF7" w:val="clear"/>
          </w:tcPr>
          <w:p>
            <w:pPr>
              <w:pStyle w:val="Compact"/>
              <w:jc w:val="left"/>
            </w:pPr>
            <w:r>
              <w:t xml:space="preserve">Maintain a non-compensatory Rights Floor.</w:t>
            </w:r>
          </w:p>
        </w:tc>
      </w:tr>
      <w:tr>
        <w:trPr/>
        <w:tc>
          <w:tcPr>
            <w:tcMar>
              <w:top w:w="80" w:type="dxa"/>
              <w:start w:w="90" w:type="dxa"/>
              <w:bottom w:w="80" w:type="dxa"/>
              <w:end w:w="90" w:type="dxa"/>
            </w:tcMar>
            <w:shd w:fill="F7FBFF" w:val="clear"/>
          </w:tcPr>
          <w:p>
            <w:pPr>
              <w:pStyle w:val="Compact"/>
              <w:jc w:val="left"/>
            </w:pPr>
            <w:r>
              <w:t xml:space="preserve">N3</w:t>
            </w:r>
          </w:p>
        </w:tc>
        <w:tc>
          <w:tcPr>
            <w:tcMar>
              <w:top w:w="80" w:type="dxa"/>
              <w:start w:w="90" w:type="dxa"/>
              <w:bottom w:w="80" w:type="dxa"/>
              <w:end w:w="90" w:type="dxa"/>
            </w:tcMar>
            <w:shd w:fill="F7FBFF" w:val="clear"/>
          </w:tcPr>
          <w:p>
            <w:pPr>
              <w:pStyle w:val="Compact"/>
              <w:jc w:val="left"/>
            </w:pPr>
            <w:r>
              <w:t xml:space="preserve">Differentiated protection and non-domination: protection responds to credible evidence of sentience, vulnerability, dependency, agency, consent capacity, and exposure; difference does not justify arbitrary domination.</w:t>
            </w:r>
          </w:p>
        </w:tc>
        <w:tc>
          <w:tcPr>
            <w:tcMar>
              <w:top w:w="80" w:type="dxa"/>
              <w:start w:w="90" w:type="dxa"/>
              <w:bottom w:w="80" w:type="dxa"/>
              <w:end w:w="90" w:type="dxa"/>
            </w:tcMar>
            <w:shd w:fill="F7FBFF" w:val="clear"/>
          </w:tcPr>
          <w:p>
            <w:pPr>
              <w:pStyle w:val="Compact"/>
              <w:jc w:val="left"/>
            </w:pPr>
            <w:r>
              <w:t xml:space="preserve">Use SGP and protection typing without converting protection into authority.</w:t>
            </w:r>
          </w:p>
        </w:tc>
      </w:tr>
      <w:tr>
        <w:trPr/>
        <w:tc>
          <w:tcPr>
            <w:tcMar>
              <w:top w:w="80" w:type="dxa"/>
              <w:start w:w="90" w:type="dxa"/>
              <w:bottom w:w="80" w:type="dxa"/>
              <w:end w:w="90" w:type="dxa"/>
            </w:tcMar>
            <w:shd w:fill="D9EAF7" w:val="clear"/>
          </w:tcPr>
          <w:p>
            <w:pPr>
              <w:pStyle w:val="Compact"/>
              <w:jc w:val="left"/>
            </w:pPr>
            <w:r>
              <w:t xml:space="preserve">N4</w:t>
            </w:r>
          </w:p>
        </w:tc>
        <w:tc>
          <w:tcPr>
            <w:tcMar>
              <w:top w:w="80" w:type="dxa"/>
              <w:start w:w="90" w:type="dxa"/>
              <w:bottom w:w="80" w:type="dxa"/>
              <w:end w:w="90" w:type="dxa"/>
            </w:tcMar>
            <w:shd w:fill="D9EAF7" w:val="clear"/>
          </w:tcPr>
          <w:p>
            <w:pPr>
              <w:pStyle w:val="Compact"/>
              <w:jc w:val="left"/>
            </w:pPr>
            <w:r>
              <w:t xml:space="preserve">Ruin asymmetry: catastrophic, irreversible, correlated, and existential harms warrant stronger precaution than ordinary reversible loss.</w:t>
            </w:r>
          </w:p>
        </w:tc>
        <w:tc>
          <w:tcPr>
            <w:tcMar>
              <w:top w:w="80" w:type="dxa"/>
              <w:start w:w="90" w:type="dxa"/>
              <w:bottom w:w="80" w:type="dxa"/>
              <w:end w:w="90" w:type="dxa"/>
            </w:tcMar>
            <w:shd w:fill="D9EAF7" w:val="clear"/>
          </w:tcPr>
          <w:p>
            <w:pPr>
              <w:pStyle w:val="Compact"/>
              <w:jc w:val="left"/>
            </w:pPr>
            <w:r>
              <w:t xml:space="preserve">Apply non-linear tail-risk control before residual ranking.</w:t>
            </w:r>
          </w:p>
        </w:tc>
      </w:tr>
      <w:tr>
        <w:trPr/>
        <w:tc>
          <w:tcPr>
            <w:tcMar>
              <w:top w:w="80" w:type="dxa"/>
              <w:start w:w="90" w:type="dxa"/>
              <w:bottom w:w="80" w:type="dxa"/>
              <w:end w:w="90" w:type="dxa"/>
            </w:tcMar>
            <w:shd w:fill="F7FBFF" w:val="clear"/>
          </w:tcPr>
          <w:p>
            <w:pPr>
              <w:pStyle w:val="Compact"/>
              <w:jc w:val="left"/>
            </w:pPr>
            <w:r>
              <w:t xml:space="preserve">N5</w:t>
            </w:r>
          </w:p>
        </w:tc>
        <w:tc>
          <w:tcPr>
            <w:tcMar>
              <w:top w:w="80" w:type="dxa"/>
              <w:start w:w="90" w:type="dxa"/>
              <w:bottom w:w="80" w:type="dxa"/>
              <w:end w:w="90" w:type="dxa"/>
            </w:tcMar>
            <w:shd w:fill="F7FBFF" w:val="clear"/>
          </w:tcPr>
          <w:p>
            <w:pPr>
              <w:pStyle w:val="Compact"/>
              <w:jc w:val="left"/>
            </w:pPr>
            <w:r>
              <w:t xml:space="preserve">Conflict and emergency handling: justified limitations must be distinguished from prohibited violations and must be lawful, necessary, proportionate, temporary, monitored, reviewable, and reversible where feasible.</w:t>
            </w:r>
          </w:p>
        </w:tc>
        <w:tc>
          <w:tcPr>
            <w:tcMar>
              <w:top w:w="80" w:type="dxa"/>
              <w:start w:w="90" w:type="dxa"/>
              <w:bottom w:w="80" w:type="dxa"/>
              <w:end w:w="90" w:type="dxa"/>
            </w:tcMar>
            <w:shd w:fill="F7FBFF" w:val="clear"/>
          </w:tcPr>
          <w:p>
            <w:pPr>
              <w:pStyle w:val="Compact"/>
              <w:jc w:val="left"/>
            </w:pPr>
            <w:r>
              <w:t xml:space="preserve">Govern emergencies explicitly; do not normalize exceptions.</w:t>
            </w:r>
          </w:p>
        </w:tc>
      </w:tr>
      <w:tr>
        <w:trPr/>
        <w:tc>
          <w:tcPr>
            <w:tcMar>
              <w:top w:w="80" w:type="dxa"/>
              <w:start w:w="90" w:type="dxa"/>
              <w:bottom w:w="80" w:type="dxa"/>
              <w:end w:w="90" w:type="dxa"/>
            </w:tcMar>
            <w:shd w:fill="D9EAF7" w:val="clear"/>
          </w:tcPr>
          <w:p>
            <w:pPr>
              <w:pStyle w:val="Compact"/>
              <w:jc w:val="left"/>
            </w:pPr>
            <w:r>
              <w:t xml:space="preserve">B1</w:t>
            </w:r>
          </w:p>
        </w:tc>
        <w:tc>
          <w:tcPr>
            <w:tcMar>
              <w:top w:w="80" w:type="dxa"/>
              <w:start w:w="90" w:type="dxa"/>
              <w:bottom w:w="80" w:type="dxa"/>
              <w:end w:w="90" w:type="dxa"/>
            </w:tcMar>
            <w:shd w:fill="D9EAF7" w:val="clear"/>
          </w:tcPr>
          <w:p>
            <w:pPr>
              <w:pStyle w:val="Compact"/>
              <w:jc w:val="left"/>
            </w:pPr>
            <w:r>
              <w:t xml:space="preserve">Material affectability: operational consideration requires a credible pathway of effect, dependency, representation, stewardship, or foreseeable risk.</w:t>
            </w:r>
          </w:p>
        </w:tc>
        <w:tc>
          <w:tcPr>
            <w:tcMar>
              <w:top w:w="80" w:type="dxa"/>
              <w:start w:w="90" w:type="dxa"/>
              <w:bottom w:w="80" w:type="dxa"/>
              <w:end w:w="90" w:type="dxa"/>
            </w:tcMar>
            <w:shd w:fill="D9EAF7" w:val="clear"/>
          </w:tcPr>
          <w:p>
            <w:pPr>
              <w:pStyle w:val="Compact"/>
              <w:jc w:val="left"/>
            </w:pPr>
            <w:r>
              <w:t xml:space="preserve">Include by evidenced pathway, not mere co-membership.</w:t>
            </w:r>
          </w:p>
        </w:tc>
      </w:tr>
      <w:tr>
        <w:trPr/>
        <w:tc>
          <w:tcPr>
            <w:tcMar>
              <w:top w:w="80" w:type="dxa"/>
              <w:start w:w="90" w:type="dxa"/>
              <w:bottom w:w="80" w:type="dxa"/>
              <w:end w:w="90" w:type="dxa"/>
            </w:tcMar>
            <w:shd w:fill="F7FBFF" w:val="clear"/>
          </w:tcPr>
          <w:p>
            <w:pPr>
              <w:pStyle w:val="Compact"/>
              <w:jc w:val="left"/>
            </w:pPr>
            <w:r>
              <w:t xml:space="preserve">B2</w:t>
            </w:r>
          </w:p>
        </w:tc>
        <w:tc>
          <w:tcPr>
            <w:tcMar>
              <w:top w:w="80" w:type="dxa"/>
              <w:start w:w="90" w:type="dxa"/>
              <w:bottom w:w="80" w:type="dxa"/>
              <w:end w:w="90" w:type="dxa"/>
            </w:tcMar>
            <w:shd w:fill="F7FBFF" w:val="clear"/>
          </w:tcPr>
          <w:p>
            <w:pPr>
              <w:pStyle w:val="Compact"/>
              <w:jc w:val="left"/>
            </w:pPr>
            <w:r>
              <w:t xml:space="preserve">Agency under uncertainty: responsibility scales with power, knowledge, role, and capacity to foresee, control, or mitigate effects.</w:t>
            </w:r>
          </w:p>
        </w:tc>
        <w:tc>
          <w:tcPr>
            <w:tcMar>
              <w:top w:w="80" w:type="dxa"/>
              <w:start w:w="90" w:type="dxa"/>
              <w:bottom w:w="80" w:type="dxa"/>
              <w:end w:w="90" w:type="dxa"/>
            </w:tcMar>
            <w:shd w:fill="F7FBFF" w:val="clear"/>
          </w:tcPr>
          <w:p>
            <w:pPr>
              <w:pStyle w:val="Compact"/>
              <w:jc w:val="left"/>
            </w:pPr>
            <w:r>
              <w:t xml:space="preserve">Record responsibility, authority, and control asymmetries.</w:t>
            </w:r>
          </w:p>
        </w:tc>
      </w:tr>
      <w:tr>
        <w:trPr/>
        <w:tc>
          <w:tcPr>
            <w:tcMar>
              <w:top w:w="80" w:type="dxa"/>
              <w:start w:w="90" w:type="dxa"/>
              <w:bottom w:w="80" w:type="dxa"/>
              <w:end w:w="90" w:type="dxa"/>
            </w:tcMar>
            <w:shd w:fill="D9EAF7" w:val="clear"/>
            <w:tcBorders>
              <w:bottom w:val="single" w:sz="8" w:space="0" w:color="1F4E78"/>
            </w:tcBorders>
          </w:tcPr>
          <w:p>
            <w:pPr>
              <w:pStyle w:val="Compact"/>
              <w:jc w:val="left"/>
            </w:pPr>
            <w:r>
              <w:t xml:space="preserve">B3</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Public justification and correction: coercive or high-impact decisions require contestable reasons, auditable evidence, legitimate representation, remedy, and revision.</w:t>
            </w:r>
          </w:p>
        </w:tc>
        <w:tc>
          <w:tcPr>
            <w:tcMar>
              <w:top w:w="80" w:type="dxa"/>
              <w:start w:w="90" w:type="dxa"/>
              <w:bottom w:w="80" w:type="dxa"/>
              <w:end w:w="90" w:type="dxa"/>
            </w:tcMar>
            <w:shd w:fill="D9EAF7" w:val="clear"/>
            <w:tcBorders>
              <w:bottom w:val="single" w:sz="8" w:space="0" w:color="1F4E78"/>
            </w:tcBorders>
          </w:tcPr>
          <w:p>
            <w:pPr>
              <w:pStyle w:val="Compact"/>
              <w:jc w:val="left"/>
            </w:pPr>
            <w:r>
              <w:t xml:space="preserve">Require challenge, appeal, redress, and correction pathways.</w:t>
            </w:r>
          </w:p>
        </w:tc>
      </w:tr>
    </w:tbl>
    <w:bookmarkEnd w:id="749"/>
    <w:bookmarkStart w:id="750" w:name="ax3-protection-type-separation"/>
    <w:p>
      <w:pPr>
        <w:pStyle w:val="Heading2"/>
        <w:keepNext/>
        <w:keepLines/>
        <w:pageBreakBefore w:val="0"/>
        <w:widowControl/>
      </w:pPr>
      <w:r>
        <w:rPr>
          <w:rFonts w:ascii="Arial" w:hAnsi="Arial" w:eastAsia="Arial"/>
          <w:b/>
          <w:color w:val="1F4E78"/>
        </w:rPr>
        <w:t xml:space="preserve">AX.3 Protection-type separation</w:t>
      </w:r>
    </w:p>
    <w:tbl>
      <w:tblPr>
        <w:tblStyle w:val="Table"/>
        <w:tblW w:type="pct" w:w="5000"/>
        <w:jc w:val="left"/>
        <w:tblLook w:firstRow="1" w:lastRow="0" w:firstColumn="0" w:lastColumn="0" w:noHBand="0" w:noVBand="0" w:val="0020"/>
        <w:tblInd w:type="dxa" w:w="0"/>
      </w:tblPr>
      <w:tblGrid>
        <w:gridCol w:w="2640"/>
        <w:gridCol w:w="2640"/>
        <w:gridCol w:w="2640"/>
      </w:tblGrid>
      <w:tr>
        <w:trPr>
          <w:tblHeader w:val="on"/>
        </w:trPr>
        <w:tc>
          <w:tcPr>
            <w:shd w:fill="1F4E78" w:val="clear"/>
            <w:tcMar>
              <w:top w:w="80" w:type="dxa"/>
              <w:start w:w="90" w:type="dxa"/>
              <w:bottom w:w="80" w:type="dxa"/>
              <w:end w:w="90" w:type="dxa"/>
            </w:tcMar>
          </w:tcPr>
          <w:p>
            <w:pPr>
              <w:pStyle w:val="Compact"/>
              <w:jc w:val="left"/>
            </w:pPr>
            <w:r>
              <w:rPr>
                <w:b/>
                <w:color w:val="FFFFFF"/>
              </w:rPr>
              <w:t xml:space="preserve">Protection type</w:t>
            </w:r>
          </w:p>
        </w:tc>
        <w:tc>
          <w:tcPr>
            <w:shd w:fill="1F4E78" w:val="clear"/>
            <w:tcMar>
              <w:top w:w="80" w:type="dxa"/>
              <w:start w:w="90" w:type="dxa"/>
              <w:bottom w:w="80" w:type="dxa"/>
              <w:end w:w="90" w:type="dxa"/>
            </w:tcMar>
          </w:tcPr>
          <w:p>
            <w:pPr>
              <w:pStyle w:val="Compact"/>
              <w:jc w:val="left"/>
            </w:pPr>
            <w:r>
              <w:rPr>
                <w:b/>
                <w:color w:val="FFFFFF"/>
              </w:rPr>
              <w:t xml:space="preserve">Primary basis</w:t>
            </w:r>
          </w:p>
        </w:tc>
        <w:tc>
          <w:tcPr>
            <w:shd w:fill="1F4E78" w:val="clear"/>
            <w:tcMar>
              <w:top w:w="80" w:type="dxa"/>
              <w:start w:w="90" w:type="dxa"/>
              <w:bottom w:w="80" w:type="dxa"/>
              <w:end w:w="90" w:type="dxa"/>
            </w:tcMar>
          </w:tcPr>
          <w:p>
            <w:pPr>
              <w:pStyle w:val="Compact"/>
              <w:jc w:val="left"/>
            </w:pPr>
            <w:r>
              <w:rPr>
                <w:b/>
                <w:color w:val="FFFFFF"/>
              </w:rPr>
              <w:t xml:space="preserve">Authority implication</w:t>
            </w:r>
          </w:p>
        </w:tc>
      </w:tr>
      <w:tr>
        <w:trPr/>
        <w:tc>
          <w:tcPr>
            <w:tcMar>
              <w:top w:w="80" w:type="dxa"/>
              <w:start w:w="90" w:type="dxa"/>
              <w:bottom w:w="80" w:type="dxa"/>
              <w:end w:w="90" w:type="dxa"/>
            </w:tcMar>
            <w:shd w:fill="F7FBFF" w:val="clear"/>
          </w:tcPr>
          <w:p>
            <w:pPr>
              <w:pStyle w:val="Compact"/>
              <w:jc w:val="left"/>
            </w:pPr>
            <w:r>
              <w:t xml:space="preserve">Moral-patient protection</w:t>
            </w:r>
          </w:p>
        </w:tc>
        <w:tc>
          <w:tcPr>
            <w:tcMar>
              <w:top w:w="80" w:type="dxa"/>
              <w:start w:w="90" w:type="dxa"/>
              <w:bottom w:w="80" w:type="dxa"/>
              <w:end w:w="90" w:type="dxa"/>
            </w:tcMar>
            <w:shd w:fill="F7FBFF" w:val="clear"/>
          </w:tcPr>
          <w:p>
            <w:pPr>
              <w:pStyle w:val="Compact"/>
              <w:jc w:val="left"/>
            </w:pPr>
            <w:r>
              <w:t xml:space="preserve">Credible sentience, valence, suffering, welfare, or vulnerability evidence</w:t>
            </w:r>
          </w:p>
        </w:tc>
        <w:tc>
          <w:tcPr>
            <w:tcMar>
              <w:top w:w="80" w:type="dxa"/>
              <w:start w:w="90" w:type="dxa"/>
              <w:bottom w:w="80" w:type="dxa"/>
              <w:end w:w="90" w:type="dxa"/>
            </w:tcMar>
            <w:shd w:fill="F7FBFF" w:val="clear"/>
          </w:tcPr>
          <w:p>
            <w:pPr>
              <w:pStyle w:val="Compact"/>
              <w:jc w:val="left"/>
            </w:pPr>
            <w:r>
              <w:t xml:space="preserve">No automatic authority</w:t>
            </w:r>
          </w:p>
        </w:tc>
      </w:tr>
      <w:tr>
        <w:trPr/>
        <w:tc>
          <w:tcPr>
            <w:tcMar>
              <w:top w:w="80" w:type="dxa"/>
              <w:start w:w="90" w:type="dxa"/>
              <w:bottom w:w="80" w:type="dxa"/>
              <w:end w:w="90" w:type="dxa"/>
            </w:tcMar>
            <w:shd w:fill="D9EAF7" w:val="clear"/>
          </w:tcPr>
          <w:p>
            <w:pPr>
              <w:pStyle w:val="Compact"/>
              <w:jc w:val="left"/>
            </w:pPr>
            <w:r>
              <w:t xml:space="preserve">Rights protection</w:t>
            </w:r>
          </w:p>
        </w:tc>
        <w:tc>
          <w:tcPr>
            <w:tcMar>
              <w:top w:w="80" w:type="dxa"/>
              <w:start w:w="90" w:type="dxa"/>
              <w:bottom w:w="80" w:type="dxa"/>
              <w:end w:w="90" w:type="dxa"/>
            </w:tcMar>
            <w:shd w:fill="D9EAF7" w:val="clear"/>
          </w:tcPr>
          <w:p>
            <w:pPr>
              <w:pStyle w:val="Compact"/>
              <w:jc w:val="left"/>
            </w:pPr>
            <w:r>
              <w:t xml:space="preserve">Constitutional, legal, or declared moral status</w:t>
            </w:r>
          </w:p>
        </w:tc>
        <w:tc>
          <w:tcPr>
            <w:tcMar>
              <w:top w:w="80" w:type="dxa"/>
              <w:start w:w="90" w:type="dxa"/>
              <w:bottom w:w="80" w:type="dxa"/>
              <w:end w:w="90" w:type="dxa"/>
            </w:tcMar>
            <w:shd w:fill="D9EAF7" w:val="clear"/>
          </w:tcPr>
          <w:p>
            <w:pPr>
              <w:pStyle w:val="Compact"/>
              <w:jc w:val="left"/>
            </w:pPr>
            <w:r>
              <w:t xml:space="preserve">No automatic authority</w:t>
            </w:r>
          </w:p>
        </w:tc>
      </w:tr>
      <w:tr>
        <w:trPr/>
        <w:tc>
          <w:tcPr>
            <w:tcMar>
              <w:top w:w="80" w:type="dxa"/>
              <w:start w:w="90" w:type="dxa"/>
              <w:bottom w:w="80" w:type="dxa"/>
              <w:end w:w="90" w:type="dxa"/>
            </w:tcMar>
            <w:shd w:fill="F7FBFF" w:val="clear"/>
          </w:tcPr>
          <w:p>
            <w:pPr>
              <w:pStyle w:val="Compact"/>
              <w:jc w:val="left"/>
            </w:pPr>
            <w:r>
              <w:t xml:space="preserve">Agency protection</w:t>
            </w:r>
          </w:p>
        </w:tc>
        <w:tc>
          <w:tcPr>
            <w:tcMar>
              <w:top w:w="80" w:type="dxa"/>
              <w:start w:w="90" w:type="dxa"/>
              <w:bottom w:w="80" w:type="dxa"/>
              <w:end w:w="90" w:type="dxa"/>
            </w:tcMar>
            <w:shd w:fill="F7FBFF" w:val="clear"/>
          </w:tcPr>
          <w:p>
            <w:pPr>
              <w:pStyle w:val="Compact"/>
              <w:jc w:val="left"/>
            </w:pPr>
            <w:r>
              <w:t xml:space="preserve">Autonomy, consent, freedom, and capacity to pursue ends</w:t>
            </w:r>
          </w:p>
        </w:tc>
        <w:tc>
          <w:tcPr>
            <w:tcMar>
              <w:top w:w="80" w:type="dxa"/>
              <w:start w:w="90" w:type="dxa"/>
              <w:bottom w:w="80" w:type="dxa"/>
              <w:end w:w="90" w:type="dxa"/>
            </w:tcMar>
            <w:shd w:fill="F7FBFF" w:val="clear"/>
          </w:tcPr>
          <w:p>
            <w:pPr>
              <w:pStyle w:val="Compact"/>
              <w:jc w:val="left"/>
            </w:pPr>
            <w:r>
              <w:t xml:space="preserve">May support participatory standing, subject to lawful role</w:t>
            </w:r>
          </w:p>
        </w:tc>
      </w:tr>
      <w:tr>
        <w:trPr/>
        <w:tc>
          <w:tcPr>
            <w:tcMar>
              <w:top w:w="80" w:type="dxa"/>
              <w:start w:w="90" w:type="dxa"/>
              <w:bottom w:w="80" w:type="dxa"/>
              <w:end w:w="90" w:type="dxa"/>
            </w:tcMar>
            <w:shd w:fill="D9EAF7" w:val="clear"/>
          </w:tcPr>
          <w:p>
            <w:pPr>
              <w:pStyle w:val="Compact"/>
              <w:jc w:val="left"/>
            </w:pPr>
            <w:r>
              <w:t xml:space="preserve">Ecological protection</w:t>
            </w:r>
          </w:p>
        </w:tc>
        <w:tc>
          <w:tcPr>
            <w:tcMar>
              <w:top w:w="80" w:type="dxa"/>
              <w:start w:w="90" w:type="dxa"/>
              <w:bottom w:w="80" w:type="dxa"/>
              <w:end w:w="90" w:type="dxa"/>
            </w:tcMar>
            <w:shd w:fill="D9EAF7" w:val="clear"/>
          </w:tcPr>
          <w:p>
            <w:pPr>
              <w:pStyle w:val="Compact"/>
              <w:jc w:val="left"/>
            </w:pPr>
            <w:r>
              <w:t xml:space="preserve">Life-support function, integrity, biodiversity, and stewardship</w:t>
            </w:r>
          </w:p>
        </w:tc>
        <w:tc>
          <w:tcPr>
            <w:tcMar>
              <w:top w:w="80" w:type="dxa"/>
              <w:start w:w="90" w:type="dxa"/>
              <w:bottom w:w="80" w:type="dxa"/>
              <w:end w:w="90" w:type="dxa"/>
            </w:tcMar>
            <w:shd w:fill="D9EAF7" w:val="clear"/>
          </w:tcPr>
          <w:p>
            <w:pPr>
              <w:pStyle w:val="Compact"/>
              <w:jc w:val="left"/>
            </w:pPr>
            <w:r>
              <w:t xml:space="preserve">No authority grant</w:t>
            </w:r>
          </w:p>
        </w:tc>
      </w:tr>
      <w:tr>
        <w:trPr/>
        <w:tc>
          <w:tcPr>
            <w:tcMar>
              <w:top w:w="80" w:type="dxa"/>
              <w:start w:w="90" w:type="dxa"/>
              <w:bottom w:w="80" w:type="dxa"/>
              <w:end w:w="90" w:type="dxa"/>
            </w:tcMar>
            <w:shd w:fill="F7FBFF" w:val="clear"/>
          </w:tcPr>
          <w:p>
            <w:pPr>
              <w:pStyle w:val="Compact"/>
              <w:jc w:val="left"/>
            </w:pPr>
            <w:r>
              <w:t xml:space="preserve">Structural protection</w:t>
            </w:r>
          </w:p>
        </w:tc>
        <w:tc>
          <w:tcPr>
            <w:tcMar>
              <w:top w:w="80" w:type="dxa"/>
              <w:start w:w="90" w:type="dxa"/>
              <w:bottom w:w="80" w:type="dxa"/>
              <w:end w:w="90" w:type="dxa"/>
            </w:tcMar>
            <w:shd w:fill="F7FBFF" w:val="clear"/>
          </w:tcPr>
          <w:p>
            <w:pPr>
              <w:pStyle w:val="Compact"/>
              <w:jc w:val="left"/>
            </w:pPr>
            <w:r>
              <w:t xml:space="preserve">Institutional continuity, critical infrastructure, or systemic viability</w:t>
            </w:r>
          </w:p>
        </w:tc>
        <w:tc>
          <w:tcPr>
            <w:tcMar>
              <w:top w:w="80" w:type="dxa"/>
              <w:start w:w="90" w:type="dxa"/>
              <w:bottom w:w="80" w:type="dxa"/>
              <w:end w:w="90" w:type="dxa"/>
            </w:tcMar>
            <w:shd w:fill="F7FBFF" w:val="clear"/>
          </w:tcPr>
          <w:p>
            <w:pPr>
              <w:pStyle w:val="Compact"/>
              <w:jc w:val="left"/>
            </w:pPr>
            <w:r>
              <w:t xml:space="preserve">No authority grant</w:t>
            </w:r>
          </w:p>
        </w:tc>
      </w:tr>
      <w:tr>
        <w:trPr/>
        <w:tc>
          <w:tcPr>
            <w:tcMar>
              <w:top w:w="80" w:type="dxa"/>
              <w:start w:w="90" w:type="dxa"/>
              <w:bottom w:w="80" w:type="dxa"/>
              <w:end w:w="90" w:type="dxa"/>
            </w:tcMar>
            <w:shd w:fill="D9EAF7" w:val="clear"/>
          </w:tcPr>
          <w:p>
            <w:pPr>
              <w:pStyle w:val="Compact"/>
              <w:jc w:val="left"/>
            </w:pPr>
            <w:r>
              <w:t xml:space="preserve">Representational protection</w:t>
            </w:r>
          </w:p>
        </w:tc>
        <w:tc>
          <w:tcPr>
            <w:tcMar>
              <w:top w:w="80" w:type="dxa"/>
              <w:start w:w="90" w:type="dxa"/>
              <w:bottom w:w="80" w:type="dxa"/>
              <w:end w:w="90" w:type="dxa"/>
            </w:tcMar>
            <w:shd w:fill="D9EAF7" w:val="clear"/>
          </w:tcPr>
          <w:p>
            <w:pPr>
              <w:pStyle w:val="Compact"/>
              <w:jc w:val="left"/>
            </w:pPr>
            <w:r>
              <w:t xml:space="preserve">Material exposure combined with inability to participate directly</w:t>
            </w:r>
          </w:p>
        </w:tc>
        <w:tc>
          <w:tcPr>
            <w:tcMar>
              <w:top w:w="80" w:type="dxa"/>
              <w:start w:w="90" w:type="dxa"/>
              <w:bottom w:w="80" w:type="dxa"/>
              <w:end w:w="90" w:type="dxa"/>
            </w:tcMar>
            <w:shd w:fill="D9EAF7" w:val="clear"/>
          </w:tcPr>
          <w:p>
            <w:pPr>
              <w:pStyle w:val="Compact"/>
              <w:jc w:val="left"/>
            </w:pPr>
            <w:r>
              <w:t xml:space="preserve">Requires legitimate representation or advocacy</w:t>
            </w:r>
          </w:p>
        </w:tc>
      </w:tr>
      <w:tr>
        <w:trPr/>
        <w:tc>
          <w:tcPr>
            <w:tcMar>
              <w:top w:w="80" w:type="dxa"/>
              <w:start w:w="90" w:type="dxa"/>
              <w:bottom w:w="80" w:type="dxa"/>
              <w:end w:w="90" w:type="dxa"/>
            </w:tcMar>
            <w:tcBorders>
              <w:bottom w:val="single" w:sz="8" w:space="0" w:color="1F4E78"/>
            </w:tcBorders>
            <w:shd w:fill="F7FBFF" w:val="clear"/>
          </w:tcPr>
          <w:p>
            <w:pPr>
              <w:pStyle w:val="Compact"/>
              <w:jc w:val="left"/>
            </w:pPr>
            <w:r>
              <w:t xml:space="preserve">Decision authority</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Lawful mandate, competence, role, and accountability</w:t>
            </w:r>
          </w:p>
        </w:tc>
        <w:tc>
          <w:tcPr>
            <w:tcMar>
              <w:top w:w="80" w:type="dxa"/>
              <w:start w:w="90" w:type="dxa"/>
              <w:bottom w:w="80" w:type="dxa"/>
              <w:end w:w="90" w:type="dxa"/>
            </w:tcMar>
            <w:tcBorders>
              <w:bottom w:val="single" w:sz="8" w:space="0" w:color="1F4E78"/>
            </w:tcBorders>
            <w:shd w:fill="F7FBFF" w:val="clear"/>
          </w:tcPr>
          <w:p>
            <w:pPr>
              <w:pStyle w:val="Compact"/>
              <w:jc w:val="left"/>
            </w:pPr>
            <w:r>
              <w:t xml:space="preserve">Bounded authority only</w:t>
            </w:r>
          </w:p>
        </w:tc>
      </w:tr>
    </w:tbl>
    <w:p>
      <w:pPr>
        <w:pStyle w:val="BodyText"/>
        <w:widowControl/>
      </w:pPr>
      <w:r>
        <w:t xml:space="preserve">No record may collapse moral-patienthood, rights-bearing status, agency, participation, protection, and decision authority into one scalar category.</w:t>
      </w:r>
    </w:p>
    <w:bookmarkEnd w:id="750"/>
    <w:bookmarkStart w:id="751" w:name="ax4-unioning-and-residual-harm-rule"/>
    <w:p>
      <w:pPr>
        <w:pStyle w:val="Heading2"/>
        <w:keepNext/>
        <w:keepLines/>
        <w:pageBreakBefore w:val="0"/>
        <w:widowControl/>
      </w:pPr>
      <w:r>
        <w:rPr>
          <w:rFonts w:ascii="Arial" w:hAnsi="Arial" w:eastAsia="Arial"/>
          <w:b/>
          <w:color w:val="1F4E78"/>
        </w:rPr>
        <w:t xml:space="preserve">AX.4 Unioning and residual-harm rule</w:t>
      </w:r>
    </w:p>
    <w:p>
      <w:pPr>
        <w:pStyle w:val="FirstParagraph"/>
        <w:widowControl/>
      </w:pPr>
      <w:r>
        <w:t xml:space="preserve">Unioning is the disciplined search for cooperative, Pareto-improving, harm-reducing, burden-sharing, and structurally safer redesigns before accepting residual trade-offs. It does not assume that every viable decision can make every Union positively affected. Residual non-rights harms MUST remain visible, bounded, justified, minimized, monitored, and, where appropriate, remedied. Rights failures and prohibited catastrophe exposure remain non-compensatory and cannot be redescribed as acceptable residual harm.</w:t>
      </w:r>
    </w:p>
    <w:bookmarkEnd w:id="751"/>
    <w:bookmarkStart w:id="752" w:name="ax5-profile-first-reporting"/>
    <w:p>
      <w:pPr>
        <w:pStyle w:val="Heading2"/>
        <w:keepNext/>
        <w:keepLines/>
        <w:pageBreakBefore w:val="0"/>
        <w:widowControl/>
      </w:pPr>
      <w:r>
        <w:rPr>
          <w:rFonts w:ascii="Arial" w:hAnsi="Arial" w:eastAsia="Arial"/>
          <w:b/>
          <w:color w:val="1F4E78"/>
        </w:rPr>
        <w:t xml:space="preserve">AX.5 Profile-first reporting</w:t>
      </w:r>
    </w:p>
    <w:p>
      <w:pPr>
        <w:pStyle w:val="FirstParagraph"/>
        <w:widowControl/>
      </w:pPr>
      <w:r>
        <w:t xml:space="preserve">For Tier 2 and Tier 3 runs, the disclosed 7 x 7 profile, subgroup and worst-affected-group slices, uncertainty, evidence maturity, non-maskable findings, sensitivity results, and incomparability or non-decisiveness status MUST be presented before any scalar RLS summary. RLS is an authorized summary of a disclosed profile, not a substitute for that profile.</w:t>
      </w:r>
    </w:p>
    <w:bookmarkEnd w:id="752"/>
    <w:bookmarkEnd w:id="753"/>
    <w:p>
      <w:pPr>
        <w:pStyle w:val="Heading1"/>
        <w:keepNext/>
        <w:keepLines/>
        <w:pageBreakBefore w:val="0"/>
        <w:widowControl/>
      </w:pPr>
      <w:r>
        <w:rPr>
          <w:rFonts w:ascii="Arial" w:hAnsi="Arial" w:eastAsia="Arial"/>
          <w:b/>
          <w:color w:val="1F4E78"/>
        </w:rPr>
        <w:t xml:space="preserve">FINAL DOCUMENT COMPLETION STATEMENT</w:t>
      </w:r>
    </w:p>
    <w:p>
      <w:pPr>
        <w:pStyle w:val="FirstParagraph"/>
        <w:widowControl/>
      </w:pPr>
      <w:r>
        <w:t xml:space="preserve">RippleLogic v12.5 is released as a Tier 1-3 public research/source architecture specification. It preserves the canonical cascade</w:t>
      </w:r>
      <w:r>
        <w:t xml:space="preserve"> </w:t>
      </w:r>
      <w:r>
        <w:rPr>
          <w:rStyle w:val="VerbatimChar"/>
        </w:rPr>
        <w:t xml:space="preserve">RG -&gt; RF -&gt; TRC -&gt; CSV -&gt; RLS</w:t>
      </w:r>
      <w:r>
        <w:t xml:space="preserve">, the v12.0 Physical Admissibility boundary, seven operational scopes, SGP binding interface, PLSS/FLGG architecture, RSP/RefStructRecord evidence discipline, refusal logic, audit requirements, and claim-boundary rules.</w:t>
      </w:r>
    </w:p>
    <w:p>
      <w:pPr>
        <w:pStyle w:val="BodyText"/>
        <w:widowControl/>
      </w:pPr>
      <w:r>
        <w:t>The canonical source terminates after Appendix AX and this statement. Appendix labels AS-AW are intentionally unused in this release; Appendix AX is the final normative clarification appendix. This release does not claim empirical validation, Tier 4 readiness, ProofPack readiness, deployment readiness, legal compliance certification, machine-verifiable ecosystem completeness, cross-domain validated UCI, completed biological SGP measurement, a reference calculator, or automated moral truth. Release identity is governed by the repository manifest and verified SHA-256 hashes for the published artifact set.</w:t>
      </w:r>
    </w:p>
    <w:bookmarkEnd w:id="747"/>
    <w:bookmarkStart w:id="753" w:name="Xcab4449282f95529edb4993c00c7c5d55d5630f"/>
    <w:sectPr>
      <w:headerReference r:id="rId9" w:type="default"/>
      <w:headerReference r:id="rId10" w:type="first"/>
      <w:headerReference r:id="rId11" w:type="even"/>
      <w:footerReference r:id="rId12" w:type="default"/>
      <w:footerReference r:id="rId13" w:type="first"/>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7">
    <w:nsid w:val="00A9942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301" Type="http://schemas.openxmlformats.org/officeDocument/2006/relationships/hyperlink" Target="https://doi.org/10.1016/0047-2484(92)90081-J" TargetMode="External"/><Relationship Id="rId302" Type="http://schemas.openxmlformats.org/officeDocument/2006/relationships/hyperlink" Target="https://doi.org/10.1017/S0140525X00032325" TargetMode="External"/><Relationship Id="rId318" Type="http://schemas.openxmlformats.org/officeDocument/2006/relationships/hyperlink" Target="https://doi.org/10.1037/0003-066X.55.1.68" TargetMode="External"/><Relationship Id="rId317" Type="http://schemas.openxmlformats.org/officeDocument/2006/relationships/hyperlink" Target="https://doi.org/10.1038/461472a" TargetMode="External"/><Relationship Id="rId316" Type="http://schemas.openxmlformats.org/officeDocument/2006/relationships/hyperlink" Target="https://doi.org/10.1038/s41586-023-06083-8" TargetMode="External"/><Relationship Id="rId310" Type="http://schemas.openxmlformats.org/officeDocument/2006/relationships/hyperlink" Target="https://doi.org/10.1073/pnas.0705414105" TargetMode="External"/><Relationship Id="rId298" Type="http://schemas.openxmlformats.org/officeDocument/2006/relationships/hyperlink" Target="https://doi.org/10.1111/1467-9965.00068" TargetMode="External"/><Relationship Id="rId313" Type="http://schemas.openxmlformats.org/officeDocument/2006/relationships/hyperlink" Target="https://doi.org/10.1126/science.1133755" TargetMode="External"/><Relationship Id="rId304" Type="http://schemas.openxmlformats.org/officeDocument/2006/relationships/hyperlink" Target="https://doi.org/10.1126/science.1205106" TargetMode="External"/><Relationship Id="rId319" Type="http://schemas.openxmlformats.org/officeDocument/2006/relationships/hyperlink" Target="https://doi.org/10.1126/science.1259855" TargetMode="External"/><Relationship Id="rId299" Type="http://schemas.openxmlformats.org/officeDocument/2006/relationships/hyperlink" Target="https://doi.org/10.1126/science.286.5439.509" TargetMode="External"/><Relationship Id="rId315" Type="http://schemas.openxmlformats.org/officeDocument/2006/relationships/hyperlink" Target="https://doi.org/10.21314/JOR.2000.038" TargetMode="External"/><Relationship Id="rId309" Type="http://schemas.openxmlformats.org/officeDocument/2006/relationships/hyperlink" Target="https://doi.org/10.2307/1914185" TargetMode="External"/><Relationship Id="rId303" Type="http://schemas.openxmlformats.org/officeDocument/2006/relationships/hyperlink" Target="https://doi.org/10.2307/2666999" TargetMode="External"/><Relationship Id="rId297" Type="http://schemas.openxmlformats.org/officeDocument/2006/relationships/hyperlink" Target="https://doi.org/10.48550/arXiv.1606.06565" TargetMode="External"/><Relationship Id="rId311" Type="http://schemas.openxmlformats.org/officeDocument/2006/relationships/hyperlink" Target="https://doi.org/10.48550/arXiv.1803.04585" TargetMode="External"/><Relationship Id="rId306" Type="http://schemas.openxmlformats.org/officeDocument/2006/relationships/hyperlink" Target="https://doi.org/10.59327/IPCC/AR6-9789291691647" TargetMode="External"/><Relationship Id="rId312" Type="http://schemas.openxmlformats.org/officeDocument/2006/relationships/hyperlink" Target="https://doi.org/10.6028/NIST.AI.100-1" TargetMode="External"/><Relationship Id="rId324" Type="http://schemas.openxmlformats.org/officeDocument/2006/relationships/hyperlink" Target="https://iris.who.int/handle/10665/43974" TargetMode="External"/><Relationship Id="rId314" Type="http://schemas.openxmlformats.org/officeDocument/2006/relationships/hyperlink" Target="https://rsf.org/en/index" TargetMode="External"/><Relationship Id="rId320" Type="http://schemas.openxmlformats.org/officeDocument/2006/relationships/hyperlink" Target="https://treaties.un.org/Pages/ViewDetails.aspx?src=TREATY&amp;mtdsg_no=IV-4&amp;chapter=4&amp;clang=\_en" TargetMode="External"/><Relationship Id="rId321" Type="http://schemas.openxmlformats.org/officeDocument/2006/relationships/hyperlink" Target="https://treaties.un.org/Pages/ViewDetails.aspx?src=TREATY&amp;mtdsg_no=IV-9&amp;chapter=4&amp;clang=\_en" TargetMode="External"/><Relationship Id="rId322" Type="http://schemas.openxmlformats.org/officeDocument/2006/relationships/hyperlink" Target="https://unhabitat.org/the-challenge-of-slums-global-report-on-human-settlements-2003" TargetMode="External"/><Relationship Id="rId326" Type="http://schemas.openxmlformats.org/officeDocument/2006/relationships/hyperlink" Target="https://worldjusticeproject.org/rule-of-law-index/" TargetMode="External"/><Relationship Id="rId300" Type="http://schemas.openxmlformats.org/officeDocument/2006/relationships/hyperlink" Target="https://www.echr.coe.int/the-convention" TargetMode="External"/><Relationship Id="rId307" Type="http://schemas.openxmlformats.org/officeDocument/2006/relationships/hyperlink" Target="https://www.ilo.org/ilo-declaration-fundamental-principles-and-rights-work/about-declaration/text-declaration-and-its-follow" TargetMode="External"/><Relationship Id="rId308" Type="http://schemas.openxmlformats.org/officeDocument/2006/relationships/hyperlink" Target="https://www.ilo.org/publications/ilo-indicators-forced-labour" TargetMode="External"/><Relationship Id="rId305" Type="http://schemas.openxmlformats.org/officeDocument/2006/relationships/hyperlink" Target="https://www.ipcinfo.org/" TargetMode="External"/><Relationship Id="rId323" Type="http://schemas.openxmlformats.org/officeDocument/2006/relationships/hyperlink" Target="https://www.un.org/en/genocideprevention/publications.shtml" TargetMode="External"/><Relationship Id="rId325" Type="http://schemas.openxmlformats.org/officeDocument/2006/relationships/hyperlink" Target="https://www.who.int/standards/classifications/international-classification-of-functioning-disability-and-health" TargetMode="External"/></Relationships>
</file>

<file path=word/_rels/footnotes.xml.rels><?xml version='1.0' encoding='UTF-8' standalone='yes'?>
<Relationships xmlns="http://schemas.openxmlformats.org/package/2006/relationships"><Relationship Id="rId301" Type="http://schemas.openxmlformats.org/officeDocument/2006/relationships/hyperlink" Target="https://doi.org/10.1016/0047-2484(92)90081-J" TargetMode="External"/><Relationship Id="rId302" Type="http://schemas.openxmlformats.org/officeDocument/2006/relationships/hyperlink" Target="https://doi.org/10.1017/S0140525X00032325" TargetMode="External"/><Relationship Id="rId318" Type="http://schemas.openxmlformats.org/officeDocument/2006/relationships/hyperlink" Target="https://doi.org/10.1037/0003-066X.55.1.68" TargetMode="External"/><Relationship Id="rId317" Type="http://schemas.openxmlformats.org/officeDocument/2006/relationships/hyperlink" Target="https://doi.org/10.1038/461472a" TargetMode="External"/><Relationship Id="rId316" Type="http://schemas.openxmlformats.org/officeDocument/2006/relationships/hyperlink" Target="https://doi.org/10.1038/s41586-023-06083-8" TargetMode="External"/><Relationship Id="rId310" Type="http://schemas.openxmlformats.org/officeDocument/2006/relationships/hyperlink" Target="https://doi.org/10.1073/pnas.0705414105" TargetMode="External"/><Relationship Id="rId298" Type="http://schemas.openxmlformats.org/officeDocument/2006/relationships/hyperlink" Target="https://doi.org/10.1111/1467-9965.00068" TargetMode="External"/><Relationship Id="rId313" Type="http://schemas.openxmlformats.org/officeDocument/2006/relationships/hyperlink" Target="https://doi.org/10.1126/science.1133755" TargetMode="External"/><Relationship Id="rId304" Type="http://schemas.openxmlformats.org/officeDocument/2006/relationships/hyperlink" Target="https://doi.org/10.1126/science.1205106" TargetMode="External"/><Relationship Id="rId319" Type="http://schemas.openxmlformats.org/officeDocument/2006/relationships/hyperlink" Target="https://doi.org/10.1126/science.1259855" TargetMode="External"/><Relationship Id="rId299" Type="http://schemas.openxmlformats.org/officeDocument/2006/relationships/hyperlink" Target="https://doi.org/10.1126/science.286.5439.509" TargetMode="External"/><Relationship Id="rId315" Type="http://schemas.openxmlformats.org/officeDocument/2006/relationships/hyperlink" Target="https://doi.org/10.21314/JOR.2000.038" TargetMode="External"/><Relationship Id="rId309" Type="http://schemas.openxmlformats.org/officeDocument/2006/relationships/hyperlink" Target="https://doi.org/10.2307/1914185" TargetMode="External"/><Relationship Id="rId303" Type="http://schemas.openxmlformats.org/officeDocument/2006/relationships/hyperlink" Target="https://doi.org/10.2307/2666999" TargetMode="External"/><Relationship Id="rId297" Type="http://schemas.openxmlformats.org/officeDocument/2006/relationships/hyperlink" Target="https://doi.org/10.48550/arXiv.1606.06565" TargetMode="External"/><Relationship Id="rId311" Type="http://schemas.openxmlformats.org/officeDocument/2006/relationships/hyperlink" Target="https://doi.org/10.48550/arXiv.1803.04585" TargetMode="External"/><Relationship Id="rId306" Type="http://schemas.openxmlformats.org/officeDocument/2006/relationships/hyperlink" Target="https://doi.org/10.59327/IPCC/AR6-9789291691647" TargetMode="External"/><Relationship Id="rId312" Type="http://schemas.openxmlformats.org/officeDocument/2006/relationships/hyperlink" Target="https://doi.org/10.6028/NIST.AI.100-1" TargetMode="External"/><Relationship Id="rId324" Type="http://schemas.openxmlformats.org/officeDocument/2006/relationships/hyperlink" Target="https://iris.who.int/handle/10665/43974" TargetMode="External"/><Relationship Id="rId314" Type="http://schemas.openxmlformats.org/officeDocument/2006/relationships/hyperlink" Target="https://rsf.org/en/index" TargetMode="External"/><Relationship Id="rId320" Type="http://schemas.openxmlformats.org/officeDocument/2006/relationships/hyperlink" Target="https://treaties.un.org/Pages/ViewDetails.aspx?src=TREATY&amp;mtdsg_no=IV-4&amp;chapter=4&amp;clang=\_en" TargetMode="External"/><Relationship Id="rId321" Type="http://schemas.openxmlformats.org/officeDocument/2006/relationships/hyperlink" Target="https://treaties.un.org/Pages/ViewDetails.aspx?src=TREATY&amp;mtdsg_no=IV-9&amp;chapter=4&amp;clang=\_en" TargetMode="External"/><Relationship Id="rId322" Type="http://schemas.openxmlformats.org/officeDocument/2006/relationships/hyperlink" Target="https://unhabitat.org/the-challenge-of-slums-global-report-on-human-settlements-2003" TargetMode="External"/><Relationship Id="rId326" Type="http://schemas.openxmlformats.org/officeDocument/2006/relationships/hyperlink" Target="https://worldjusticeproject.org/rule-of-law-index/" TargetMode="External"/><Relationship Id="rId300" Type="http://schemas.openxmlformats.org/officeDocument/2006/relationships/hyperlink" Target="https://www.echr.coe.int/the-convention" TargetMode="External"/><Relationship Id="rId307" Type="http://schemas.openxmlformats.org/officeDocument/2006/relationships/hyperlink" Target="https://www.ilo.org/ilo-declaration-fundamental-principles-and-rights-work/about-declaration/text-declaration-and-its-follow" TargetMode="External"/><Relationship Id="rId308" Type="http://schemas.openxmlformats.org/officeDocument/2006/relationships/hyperlink" Target="https://www.ilo.org/publications/ilo-indicators-forced-labour" TargetMode="External"/><Relationship Id="rId305" Type="http://schemas.openxmlformats.org/officeDocument/2006/relationships/hyperlink" Target="https://www.ipcinfo.org/" TargetMode="External"/><Relationship Id="rId323" Type="http://schemas.openxmlformats.org/officeDocument/2006/relationships/hyperlink" Target="https://www.un.org/en/genocideprevention/publications.shtml" TargetMode="External"/><Relationship Id="rId325" Type="http://schemas.openxmlformats.org/officeDocument/2006/relationships/hyperlink" Target="https://www.who.int/standards/classifications/international-classification-of-functioning-disability-and-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Canon v12.5</dc:title>
  <dc:creator>James McGaughran | ORCID 0009-0005-3324-7290</dc:creator>
  <cp:keywords>MathGov, RippleLogic, v12.5, SGP v8.4, configuration-bound assurance</cp:keywords>
  <dcterms:created xsi:type="dcterms:W3CDTF">2026-07-23T11:28:23Z</dcterms:created>
  <dcterms:modified xsi:type="dcterms:W3CDTF">2026-07-23T11:28:23Z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